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C61837" w14:textId="77777777" w:rsidR="00CF28EF" w:rsidRDefault="00CF28EF" w:rsidP="00CF28EF">
      <w:pPr>
        <w:pStyle w:val="NoSpacing"/>
        <w:jc w:val="center"/>
        <w:rPr>
          <w:b/>
          <w:bCs/>
          <w:lang w:val="en-US"/>
        </w:rPr>
      </w:pPr>
      <w:r>
        <w:rPr>
          <w:b/>
          <w:bCs/>
          <w:lang w:val="en-US"/>
        </w:rPr>
        <w:t>PENGARUH LITERASI KEUANGAN PERILAKU KEUANGAN TEKNOLOGI KEUANGAN TERHADAP KESEJAHTERAAN KEUANGAN</w:t>
      </w:r>
    </w:p>
    <w:p w14:paraId="1D9BF549" w14:textId="77777777" w:rsidR="00CF28EF" w:rsidRDefault="00CF28EF" w:rsidP="00CF28EF">
      <w:pPr>
        <w:pStyle w:val="NoSpacing"/>
        <w:jc w:val="center"/>
        <w:rPr>
          <w:b/>
          <w:bCs/>
          <w:lang w:val="en-US"/>
        </w:rPr>
      </w:pPr>
      <w:r>
        <w:rPr>
          <w:b/>
          <w:bCs/>
          <w:lang w:val="en-US"/>
        </w:rPr>
        <w:t>(Studi Kasus Pada Generasi Z Desa Donoharjo, Kecamatan Ngaglik, Kabupaten Sleman, Yogyakarta)</w:t>
      </w:r>
    </w:p>
    <w:p w14:paraId="031DBC60" w14:textId="77777777" w:rsidR="00CF28EF" w:rsidRDefault="00CF28EF" w:rsidP="00CF28EF">
      <w:pPr>
        <w:pStyle w:val="NoSpacing"/>
        <w:jc w:val="center"/>
        <w:rPr>
          <w:b/>
          <w:bCs/>
          <w:lang w:val="en-US"/>
        </w:rPr>
      </w:pPr>
    </w:p>
    <w:p w14:paraId="26D073F6" w14:textId="77777777" w:rsidR="00CF28EF" w:rsidRDefault="00CF28EF" w:rsidP="00CF28EF">
      <w:pPr>
        <w:pStyle w:val="NoSpacing"/>
        <w:jc w:val="center"/>
        <w:rPr>
          <w:b/>
          <w:bCs/>
          <w:lang w:val="en-US"/>
        </w:rPr>
      </w:pPr>
      <w:r>
        <w:rPr>
          <w:b/>
          <w:bCs/>
          <w:lang w:val="en-US"/>
        </w:rPr>
        <w:t>Suci Rachmawati</w:t>
      </w:r>
    </w:p>
    <w:p w14:paraId="25FD69FB" w14:textId="77777777" w:rsidR="00CF28EF" w:rsidRDefault="00CF28EF" w:rsidP="00CF28EF">
      <w:pPr>
        <w:pStyle w:val="NoSpacing"/>
        <w:jc w:val="center"/>
        <w:rPr>
          <w:b/>
          <w:bCs/>
          <w:lang w:val="en-US"/>
        </w:rPr>
      </w:pPr>
      <w:r>
        <w:rPr>
          <w:b/>
          <w:bCs/>
          <w:lang w:val="en-US"/>
        </w:rPr>
        <w:t>16061272</w:t>
      </w:r>
    </w:p>
    <w:p w14:paraId="05D782DA" w14:textId="77777777" w:rsidR="00CF28EF" w:rsidRDefault="00CF28EF" w:rsidP="00CF28EF">
      <w:pPr>
        <w:pStyle w:val="NoSpacing"/>
        <w:jc w:val="center"/>
        <w:rPr>
          <w:lang w:val="en-US"/>
        </w:rPr>
      </w:pPr>
      <w:r>
        <w:rPr>
          <w:lang w:val="en-US"/>
        </w:rPr>
        <w:t>Jurusan Akuntansi Fakultas Ekonomi, Universitas Mercu Buana Yogyakarta</w:t>
      </w:r>
    </w:p>
    <w:p w14:paraId="05FA5BAB" w14:textId="08485334" w:rsidR="00CF28EF" w:rsidRDefault="00CF28EF" w:rsidP="00AB622F">
      <w:pPr>
        <w:pStyle w:val="NoSpacing"/>
        <w:jc w:val="center"/>
        <w:rPr>
          <w:lang w:val="en-US"/>
        </w:rPr>
      </w:pPr>
      <w:r>
        <w:rPr>
          <w:lang w:val="en-US"/>
        </w:rPr>
        <w:t>Jl. Wates Km. 10 Yogyakarta 55753</w:t>
      </w:r>
    </w:p>
    <w:p w14:paraId="584DB2CF" w14:textId="77777777" w:rsidR="00CF28EF" w:rsidRPr="000E3A91" w:rsidRDefault="00CF28EF" w:rsidP="00CF28EF">
      <w:pPr>
        <w:pStyle w:val="NoSpacing"/>
        <w:jc w:val="center"/>
        <w:rPr>
          <w:lang w:val="en-US"/>
        </w:rPr>
      </w:pPr>
    </w:p>
    <w:p w14:paraId="6D787D39" w14:textId="74E4B994" w:rsidR="00CF28EF" w:rsidRDefault="00CF28EF" w:rsidP="00CF28EF">
      <w:pPr>
        <w:pStyle w:val="NoSpacing"/>
        <w:jc w:val="center"/>
        <w:rPr>
          <w:b/>
          <w:bCs/>
          <w:lang w:val="en-US"/>
        </w:rPr>
      </w:pPr>
      <w:r>
        <w:rPr>
          <w:b/>
          <w:bCs/>
          <w:lang w:val="en-US"/>
        </w:rPr>
        <w:t>Abstrak</w:t>
      </w:r>
    </w:p>
    <w:p w14:paraId="4268DCAF" w14:textId="77777777" w:rsidR="00CF28EF" w:rsidRDefault="00CF28EF" w:rsidP="00AB622F">
      <w:pPr>
        <w:spacing w:after="0" w:line="240" w:lineRule="auto"/>
        <w:ind w:firstLine="720"/>
        <w:rPr>
          <w:lang w:val="en-US"/>
        </w:rPr>
      </w:pPr>
      <w:r>
        <w:rPr>
          <w:lang w:val="en-US"/>
        </w:rPr>
        <w:t xml:space="preserve">Penelitian ini  bertujuan untuk mengetahui pengaruh literasi keuangan, perilaku keuangan dan teknologi keuangan terhadap kesejahteraan keuangan. Objek penelitian ini adalah generasi z  di Desa Donoharjo, Ngaglik, Sleman, Yogyakarta. Jenis penelitian ini adalah kuantitatif. Pengambilan sampel menggunakan teknik pengambilan sampel </w:t>
      </w:r>
      <w:r>
        <w:rPr>
          <w:i/>
          <w:iCs/>
          <w:lang w:val="en-US"/>
        </w:rPr>
        <w:t xml:space="preserve"> conveniance. </w:t>
      </w:r>
      <w:r>
        <w:rPr>
          <w:lang w:val="en-US"/>
        </w:rPr>
        <w:t>Data diperoleh dengan cara membagikan kuisioner kepada 320 responden. Teknik analisis data yang digunakan adalah analisis linier berganda. Hasil penelitian menunjukkan (1) literasi keuangan berpengaruh positif terhadap kesejahteraan keuangan generasi z. (2) perilaku keuangan berpengaruh positif terhadap kesejahteraan keuangan generasi z. (3)  teknologi keuangan tidak berpengaruh terhadap kesejahteraan keuangan generasi z. Implikasi dari hasil penelitian ini adalah perlu dilakukannya sosialisasi tentang pengelolaan keuangan yang baik dan investasi digital dikalangan generasi z agar dapat meningkatkan kesejahteraan.</w:t>
      </w:r>
    </w:p>
    <w:p w14:paraId="7DD926E9" w14:textId="34F152F0" w:rsidR="00CF28EF" w:rsidRDefault="00CF28EF" w:rsidP="00AB622F">
      <w:pPr>
        <w:spacing w:after="0" w:line="240" w:lineRule="auto"/>
        <w:rPr>
          <w:lang w:val="en-US"/>
        </w:rPr>
      </w:pPr>
      <w:r>
        <w:rPr>
          <w:lang w:val="en-US"/>
        </w:rPr>
        <w:t>Kata kunci : literasi keuangan, perilaku keuangan, teknologi keuangan, kesejahteraan keuangan</w:t>
      </w:r>
    </w:p>
    <w:p w14:paraId="29079B54" w14:textId="77777777" w:rsidR="00CF28EF" w:rsidRDefault="00CF28EF" w:rsidP="00AB622F">
      <w:pPr>
        <w:spacing w:after="0" w:line="240" w:lineRule="auto"/>
        <w:rPr>
          <w:lang w:val="en-US"/>
        </w:rPr>
      </w:pPr>
    </w:p>
    <w:p w14:paraId="68A41D4F" w14:textId="3D0A955C" w:rsidR="00AD3310" w:rsidRPr="007D7E2A" w:rsidRDefault="00CF28EF" w:rsidP="00AB622F">
      <w:pPr>
        <w:spacing w:after="0" w:line="240" w:lineRule="auto"/>
        <w:rPr>
          <w:b/>
          <w:bCs/>
          <w:lang w:val="en-US"/>
        </w:rPr>
      </w:pPr>
      <w:r w:rsidRPr="00AD3310">
        <w:rPr>
          <w:b/>
          <w:bCs/>
          <w:lang w:val="en-US"/>
        </w:rPr>
        <w:t>PENDAHULUAN</w:t>
      </w:r>
    </w:p>
    <w:p w14:paraId="7B055DA7" w14:textId="77777777" w:rsidR="00AD3310" w:rsidRDefault="00AD3310" w:rsidP="00AD3310">
      <w:pPr>
        <w:spacing w:after="0" w:line="240" w:lineRule="auto"/>
        <w:rPr>
          <w:lang w:val="en-US"/>
        </w:rPr>
      </w:pPr>
      <w:r>
        <w:rPr>
          <w:lang w:val="en-US"/>
        </w:rPr>
        <w:t xml:space="preserve">      Salah satu faktor yang membuat hidup seseorang menjadi lebih nyaman dan bahagia adalah kesejahteraan. Kesejahteraan akan tercapai ketika seseorang telah mampu memenuhi kebutuhan dasar yang beragam dan tidak terbatas. Keuangan merupakan salah satu aspek penting untuk mencapai kesejahteraan </w:t>
      </w:r>
      <w:r>
        <w:rPr>
          <w:lang w:val="en-US"/>
        </w:rPr>
        <w:fldChar w:fldCharType="begin" w:fldLock="1"/>
      </w:r>
      <w:r>
        <w:rPr>
          <w:lang w:val="en-US"/>
        </w:rPr>
        <w:instrText>ADDIN CSL_CITATION {"citationItems":[{"id":"ITEM-1","itemData":{"author":[{"dropping-particle":"","family":"Wulansari","given":"Novi","non-dropping-particle":"","parse-names":false,"suffix":""}],"id":"ITEM-1","issued":{"date-parts":[["2019"]]},"publisher":"UNIVERSITAS NEGERI SEMARANG","title":"PENGARUH PENDAPATAN, LITERASI KEUANGAN, DAN SIKAP KEUANGAN TERHADAP KESEJAHTERAAN KEUANGAN KELUARGA DESA KETANJUNG KECAMATAN KARANGANYAR KABUPATEN DEMAK MELALUI PERILAKU KEUANGAN SEBAGAI VARIABEL INTERVENING","type":"thesis"},"uris":["http://www.mendeley.com/documents/?uuid=517709fa-d77e-4e0a-a23e-d4d1695b7d8e"]}],"mendeley":{"formattedCitation":"(Wulansari, 2019)","plainTextFormattedCitation":"(Wulansari, 2019)","previouslyFormattedCitation":"(Wulansari, 2019)"},"properties":{"noteIndex":0},"schema":"https://github.com/citation-style-language/schema/raw/master/csl-citation.json"}</w:instrText>
      </w:r>
      <w:r>
        <w:rPr>
          <w:lang w:val="en-US"/>
        </w:rPr>
        <w:fldChar w:fldCharType="separate"/>
      </w:r>
      <w:r w:rsidRPr="00BC1D19">
        <w:rPr>
          <w:noProof/>
          <w:lang w:val="en-US"/>
        </w:rPr>
        <w:t>(Wulansari, 2019)</w:t>
      </w:r>
      <w:r>
        <w:rPr>
          <w:lang w:val="en-US"/>
        </w:rPr>
        <w:fldChar w:fldCharType="end"/>
      </w:r>
      <w:r>
        <w:rPr>
          <w:lang w:val="en-US"/>
        </w:rPr>
        <w:t xml:space="preserve">. Faktor – faktor yang mempengaruhi kesejahteraan keuangan adalah literasi keuangan dan sikap keuangan </w:t>
      </w:r>
      <w:r>
        <w:rPr>
          <w:lang w:val="en-US"/>
        </w:rPr>
        <w:fldChar w:fldCharType="begin" w:fldLock="1"/>
      </w:r>
      <w:r>
        <w:rPr>
          <w:lang w:val="en-US"/>
        </w:rPr>
        <w:instrText>ADDIN CSL_CITATION {"citationItems":[{"id":"ITEM-1","itemData":{"abstract":"Financial literacy is the ability to use knowledge and skills to manage financial resources effectively for a lifetime of financial well-being. Increasingly, individuals are responsible for their own financial literacy and encountered with complex integrated financial instruments. The purpose of this study is to highlight the important of financial literacy for financial wellbeing of working women and present the impact of financial literacy and financial attitude on the financial wellbeing. This is a survey based study with a sample size of 300 working women. Working women were carefully selected from non-financial sector. The result of this study showed that financial literacy is an essential element for the wellbeing. Analysis indicate that financial literacy is significantly and positively related to financial wellbeing. Financial literacy leads toward financial wellbeing. Higher the level of financial literacy, greater will be the financial wellbeing. Similarity, financial attitude has positive significant relationship with financial wellbeing. Financial wellbeing is found to be effected by demographic variables i.e. age, marital status, education, profession, income level, saving and investment tendency of the respondents. Finally, results revealed that the presence of financial literacy and positive financial attitude is necessary for the financial wellbeing of working women","author":[{"dropping-particle":"","family":"Bilal","given":"Muhammad","non-dropping-particle":"","parse-names":false,"suffix":""},{"dropping-particle":"","family":"Zulfiqar","given":"Mehwish","non-dropping-particle":"","parse-names":false,"suffix":""}],"container-title":"Research Journal of Finance and Accounting","id":"ITEM-1","issued":{"date-parts":[["2016"]]},"title":"Financial Wellbeing is the Goal of Financial Literacy","type":"article-journal"},"uris":["http://www.mendeley.com/documents/?uuid=212ccbed-c436-43bb-bef9-61d513015115"]}],"mendeley":{"formattedCitation":"(Bilal &amp; Zulfiqar, 2016)","plainTextFormattedCitation":"(Bilal &amp; Zulfiqar, 2016)","previouslyFormattedCitation":"(Bilal &amp; Zulfiqar, 2016)"},"properties":{"noteIndex":0},"schema":"https://github.com/citation-style-language/schema/raw/master/csl-citation.json"}</w:instrText>
      </w:r>
      <w:r>
        <w:rPr>
          <w:lang w:val="en-US"/>
        </w:rPr>
        <w:fldChar w:fldCharType="separate"/>
      </w:r>
      <w:r w:rsidRPr="00650BA8">
        <w:rPr>
          <w:noProof/>
          <w:lang w:val="en-US"/>
        </w:rPr>
        <w:t>(Bilal &amp; Zulfiqar, 2016)</w:t>
      </w:r>
      <w:r>
        <w:rPr>
          <w:lang w:val="en-US"/>
        </w:rPr>
        <w:fldChar w:fldCharType="end"/>
      </w:r>
      <w:r>
        <w:rPr>
          <w:lang w:val="en-US"/>
        </w:rPr>
        <w:t xml:space="preserve">. Menurut </w:t>
      </w:r>
      <w:r>
        <w:rPr>
          <w:lang w:val="en-US"/>
        </w:rPr>
        <w:fldChar w:fldCharType="begin" w:fldLock="1"/>
      </w:r>
      <w:r>
        <w:rPr>
          <w:lang w:val="en-US"/>
        </w:rPr>
        <w:instrText>ADDIN CSL_CITATION {"citationItems":[{"id":"ITEM-1","itemData":{"DOI":"10.1016/j.jbef.2017.04.002","ISSN":"22146369","abstract":"To improve our understanding of how people make financial decisions, it is important to investigate what psychological characteristics influence individuals' positive financial behavior and financial well-being. In this study, we explore the effect of individual differences in self-control and other non-cognitive factors on financial behavior and financial well-being. A survey containing measures of financial behavior, subjective financial well-being, self-control, optimism, deliberative thinking and demographic variables was sent to a representative sample (n=2063) of the Swedish population. Our findings extend the application of the behavioral lifecycle hypothesis beyond savings behavior, to include general financial behavior. People with good self-control are more likely to save money from every pay-check, have better general financial behavior, feel less anxious about financial matters, and feel more secure in their current and future financial situation.","author":[{"dropping-particle":"","family":"Strömbäck","given":"Camilla","non-dropping-particle":"","parse-names":false,"suffix":""},{"dropping-particle":"","family":"Lind","given":"Thérèse","non-dropping-particle":"","parse-names":false,"suffix":""},{"dropping-particle":"","family":"Skagerlund","given":"Kenny","non-dropping-particle":"","parse-names":false,"suffix":""},{"dropping-particle":"","family":"Västfjäll","given":"Daniel","non-dropping-particle":"","parse-names":false,"suffix":""},{"dropping-particle":"","family":"Tinghög","given":"Gustav","non-dropping-particle":"","parse-names":false,"suffix":""}],"container-title":"Journal of Behavioral and Experimental Finance","id":"ITEM-1","issued":{"date-parts":[["2017"]]},"title":"Does self-control predict financial behavior and financial well-being?","type":"article-journal"},"uris":["http://www.mendeley.com/documents/?uuid=3b139f2e-2bd8-48b9-9e03-3da821a8c4a2"]}],"mendeley":{"formattedCitation":"(Strömbäck et al., 2017)","manualFormatting":"Strömbäck et al., (2017)","plainTextFormattedCitation":"(Strömbäck et al., 2017)","previouslyFormattedCitation":"(Strömbäck et al., 2017)"},"properties":{"noteIndex":0},"schema":"https://github.com/citation-style-language/schema/raw/master/csl-citation.json"}</w:instrText>
      </w:r>
      <w:r>
        <w:rPr>
          <w:lang w:val="en-US"/>
        </w:rPr>
        <w:fldChar w:fldCharType="separate"/>
      </w:r>
      <w:r w:rsidRPr="00DA6D7D">
        <w:rPr>
          <w:noProof/>
          <w:lang w:val="en-US"/>
        </w:rPr>
        <w:t xml:space="preserve">Strömbäck et al., </w:t>
      </w:r>
      <w:r>
        <w:rPr>
          <w:noProof/>
          <w:lang w:val="en-US"/>
        </w:rPr>
        <w:t>(</w:t>
      </w:r>
      <w:r w:rsidRPr="00DA6D7D">
        <w:rPr>
          <w:noProof/>
          <w:lang w:val="en-US"/>
        </w:rPr>
        <w:t>2017)</w:t>
      </w:r>
      <w:r>
        <w:rPr>
          <w:lang w:val="en-US"/>
        </w:rPr>
        <w:fldChar w:fldCharType="end"/>
      </w:r>
      <w:r>
        <w:rPr>
          <w:lang w:val="en-US"/>
        </w:rPr>
        <w:t xml:space="preserve"> kesejahteraan keuangan dipengaruhi oleh perilaku keuangan. Menurut </w:t>
      </w:r>
      <w:r>
        <w:rPr>
          <w:lang w:val="en-US"/>
        </w:rPr>
        <w:fldChar w:fldCharType="begin" w:fldLock="1"/>
      </w:r>
      <w:r>
        <w:rPr>
          <w:lang w:val="en-US"/>
        </w:rPr>
        <w:instrText>ADDIN CSL_CITATION {"citationItems":[{"id":"ITEM-1","itemData":{"DOI":"10.1080/1351847X.2020.1717569","ISSN":"14664364","abstract":"A growing body of evidence suggests that financial literacy plays an important role in financial well-being, and that differences in financial knowledge acquired early in life can explain a significant part of financial and more general well-being in adult life. Financial technology (FinTech) is revolutionising the financial services industry at an unrivalled pace. Views differ regarding the likely impact that FinTech is likely to have on personal financial planning, well-being and societal welfare. In an era of mounting student debt, increased (digital) financial inclusion, and threats arising from instances of (online) financial fraud, financial education and enlightened financial advising appropriate policy interventions that enhance financial and overall well-being. This special issue engages in this important academic and policy agenda by presenting a set of seven new papers emanating from four parallel streams of literature related to financial literacy and responsible finance.","author":[{"dropping-particle":"","family":"Panos","given":"Georgios A.","non-dropping-particle":"","parse-names":false,"suffix":""},{"dropping-particle":"","family":"Wilson","given":"John O.S.","non-dropping-particle":"","parse-names":false,"suffix":""}],"container-title":"European Journal of Finance","id":"ITEM-1","issued":{"date-parts":[["2020"]]},"title":"Financial literacy and responsible finance in the FinTech era: capabilities and challenges","type":"article"},"uris":["http://www.mendeley.com/documents/?uuid=6fba2448-9747-4465-95fc-62efc17c28df"]}],"mendeley":{"formattedCitation":"(Panos &amp; Wilson, 2020)","plainTextFormattedCitation":"(Panos &amp; Wilson, 2020)","previouslyFormattedCitation":"(Panos &amp; Wilson, 2020)"},"properties":{"noteIndex":0},"schema":"https://github.com/citation-style-language/schema/raw/master/csl-citation.json"}</w:instrText>
      </w:r>
      <w:r>
        <w:rPr>
          <w:lang w:val="en-US"/>
        </w:rPr>
        <w:fldChar w:fldCharType="separate"/>
      </w:r>
      <w:r w:rsidRPr="00AD759B">
        <w:rPr>
          <w:noProof/>
          <w:lang w:val="en-US"/>
        </w:rPr>
        <w:t>(Panos &amp; Wilson, 2020)</w:t>
      </w:r>
      <w:r>
        <w:rPr>
          <w:lang w:val="en-US"/>
        </w:rPr>
        <w:fldChar w:fldCharType="end"/>
      </w:r>
      <w:r>
        <w:rPr>
          <w:lang w:val="en-US"/>
        </w:rPr>
        <w:t xml:space="preserve"> teknologi keuangan akan mempengaruhi kesejahteraan individu.</w:t>
      </w:r>
    </w:p>
    <w:p w14:paraId="17E6B679" w14:textId="77777777" w:rsidR="00AD3310" w:rsidRDefault="00AD3310" w:rsidP="00AD3310">
      <w:pPr>
        <w:spacing w:after="0" w:line="240" w:lineRule="auto"/>
        <w:rPr>
          <w:lang w:val="en-US"/>
        </w:rPr>
      </w:pPr>
      <w:r>
        <w:rPr>
          <w:lang w:val="en-US"/>
        </w:rPr>
        <w:t xml:space="preserve">      Literasi keuangan merupakan kemampuan menerapkan pengelolaan keuangan yang digunakan dalam pengambilan keputusan </w:t>
      </w:r>
      <w:r>
        <w:rPr>
          <w:lang w:val="en-US"/>
        </w:rPr>
        <w:fldChar w:fldCharType="begin" w:fldLock="1"/>
      </w:r>
      <w:r>
        <w:rPr>
          <w:lang w:val="en-US"/>
        </w:rPr>
        <w:instrText>ADDIN CSL_CITATION {"citationItems":[{"id":"ITEM-1","itemData":{"DOI":"10.32812/jibeka.v13i1.111","ISSN":"0126-1258","abstract":"Literasi keuangan yang rendah akan berdampak pada pembuatan keputusan dalam kehidupan sehari-hari. Pembuatan keputusan yang salah akan berakhir pada pengelolaan ekonomi yang buruk dan tidak efektif dapat mengakibatkan perilaku masyarakat yang rentan akan krisis keuangan dan berpotensi mengalami kerugian akibat kejahatan di sektor keuangan. Tingkat literasi keuangan akan berbeda-beda sesuai dengan ciri-ciri demografinya. Wanita, kaum minoritas dan golongan berpenghasilan rendah cenderung memiliki tingkat literasi keuangan yang rendah. Begitu juga dengan usia, usia sangat menentukan sudut pandang orang terhadap sesuatu. Generasi Y adalah generasi yang lahir di rentang tahun 1980-1994 dimana generasi ini sangat erat dengan teknologi dan memiliki kebiasaan yang berbeda dengan generasi lainnya. Tujuan dari penelitian ini adalah mengukur indeks literasi keuangan pada generasi milenial. Penelitian ini menggunakan jenis penelitian deskriptif sehingga peneliti menjabarkan indeks yang telah dihitung sebelumnya. Indeks tersebut kemudian diuji pengaruhnya dengan perilaku keuangan. Hasil pengujian menunjukkan literasi keuangan dasar dan syariah berpengaruh positif signifikan terhadap perilaku keuangan. Hal tersebut dibuktikan dengan nilai t hitung kedua variabel yang lebih besar daripada t tabel (3,147&gt;1,97; 2,512&gt;1,97). Semakin seseorang paham akan konsep keuangan maka semakin ia mampu mengelola dengan baik keuangannya.","author":[{"dropping-particle":"","family":"Ningtyas","given":"Mega Noerman","non-dropping-particle":"","parse-names":false,"suffix":""}],"container-title":"Jurnal Ilmiah Bisnis dan Ekonomi Asia","id":"ITEM-1","issued":{"date-parts":[["2019"]]},"title":"Literasi Keuangan pada Generasi Milenial","type":"article-journal"},"uris":["http://www.mendeley.com/documents/?uuid=03dc5f05-6afe-4c4c-aac6-c7cf9459b035"]}],"mendeley":{"formattedCitation":"(Ningtyas, 2019)","plainTextFormattedCitation":"(Ningtyas, 2019)","previouslyFormattedCitation":"(Ningtyas, 2019)"},"properties":{"noteIndex":0},"schema":"https://github.com/citation-style-language/schema/raw/master/csl-citation.json"}</w:instrText>
      </w:r>
      <w:r>
        <w:rPr>
          <w:lang w:val="en-US"/>
        </w:rPr>
        <w:fldChar w:fldCharType="separate"/>
      </w:r>
      <w:r w:rsidRPr="000B35F6">
        <w:rPr>
          <w:noProof/>
          <w:lang w:val="en-US"/>
        </w:rPr>
        <w:t>(Ningtyas, 2019)</w:t>
      </w:r>
      <w:r>
        <w:rPr>
          <w:lang w:val="en-US"/>
        </w:rPr>
        <w:fldChar w:fldCharType="end"/>
      </w:r>
      <w:r>
        <w:rPr>
          <w:lang w:val="en-US"/>
        </w:rPr>
        <w:t xml:space="preserve">. Menurut  </w:t>
      </w:r>
      <w:r>
        <w:rPr>
          <w:lang w:val="en-US"/>
        </w:rPr>
        <w:fldChar w:fldCharType="begin" w:fldLock="1"/>
      </w:r>
      <w:r>
        <w:rPr>
          <w:lang w:val="en-US"/>
        </w:rPr>
        <w:instrText>ADDIN CSL_CITATION {"citationItems":[{"id":"ITEM-1","itemData":{"abstract":"Siaran Pers Nomor: 58/DHMS/OJK/XI/2019 Survei Nasional Literasi Keuangan (SNLIK) ketiga yang dilakukan Otoritas Jasa Keuangan (OJK) pada tahun ini menunjukkan indeks literasi keuangan mencapai 38,03% dan indeks inklusi keuangan 76,19%. Angka tersebut meningkat dibanding hasil survei OJK 2016 yaitu indeks literasi keuangan 29,7% dan indeks inklusi keuangan 67,8%.","author":[{"dropping-particle":"","family":"OJK","given":"","non-dropping-particle":"","parse-names":false,"suffix":""}],"container-title":"Sp 58/Dhms/Ojk/Xi/2019","id":"ITEM-1","issued":{"date-parts":[["2019"]]},"title":"Siaran Pers Survei OJK 2019: Indeks Literasi Dan Inklusi Keuangan Meningkat","type":"article-journal"},"uris":["http://www.mendeley.com/documents/?uuid=61a008cf-df7a-4e2c-bd59-29a9d92515c6"]}],"mendeley":{"formattedCitation":"(OJK, 2019)","manualFormatting":"OJK (2019)","plainTextFormattedCitation":"(OJK, 2019)","previouslyFormattedCitation":"(OJK, 2019)"},"properties":{"noteIndex":0},"schema":"https://github.com/citation-style-language/schema/raw/master/csl-citation.json"}</w:instrText>
      </w:r>
      <w:r>
        <w:rPr>
          <w:lang w:val="en-US"/>
        </w:rPr>
        <w:fldChar w:fldCharType="separate"/>
      </w:r>
      <w:r w:rsidRPr="00ED64D7">
        <w:rPr>
          <w:noProof/>
          <w:lang w:val="en-US"/>
        </w:rPr>
        <w:t xml:space="preserve">OJK </w:t>
      </w:r>
      <w:r>
        <w:rPr>
          <w:noProof/>
          <w:lang w:val="en-US"/>
        </w:rPr>
        <w:t>(</w:t>
      </w:r>
      <w:r w:rsidRPr="00ED64D7">
        <w:rPr>
          <w:noProof/>
          <w:lang w:val="en-US"/>
        </w:rPr>
        <w:t>2019)</w:t>
      </w:r>
      <w:r>
        <w:rPr>
          <w:lang w:val="en-US"/>
        </w:rPr>
        <w:fldChar w:fldCharType="end"/>
      </w:r>
      <w:r>
        <w:rPr>
          <w:lang w:val="en-US"/>
        </w:rPr>
        <w:t xml:space="preserve"> indeks literasi keuangan masyarakat di Indonesia sebesar 38,03 persen meningkat sebanyak 8,33 persen dari tahun 2016 dimana indeks literasi keuangan masyarakat Indonesia sebesar 29,7 persen. Namun jika ditinjau dari sisi resiko, hanya sebagian masyarakat yang sudah memahami tentang literasi keuangan. Literasi keuangan yang baik akan mempengaruhi  kemampuan </w:t>
      </w:r>
      <w:r>
        <w:rPr>
          <w:i/>
          <w:iCs/>
          <w:lang w:val="en-US"/>
        </w:rPr>
        <w:t xml:space="preserve">budgeting, spending, </w:t>
      </w:r>
      <w:r>
        <w:rPr>
          <w:lang w:val="en-US"/>
        </w:rPr>
        <w:t xml:space="preserve">dan </w:t>
      </w:r>
      <w:r>
        <w:rPr>
          <w:i/>
          <w:iCs/>
          <w:lang w:val="en-US"/>
        </w:rPr>
        <w:t xml:space="preserve">saving. </w:t>
      </w:r>
      <w:r>
        <w:rPr>
          <w:lang w:val="en-US"/>
        </w:rPr>
        <w:t xml:space="preserve"> Tiga hal ini merupakan aspek penting dalam perilaku </w:t>
      </w:r>
      <w:r>
        <w:rPr>
          <w:lang w:val="en-US"/>
        </w:rPr>
        <w:lastRenderedPageBreak/>
        <w:t xml:space="preserve">keuangan. </w:t>
      </w:r>
      <w:r>
        <w:rPr>
          <w:lang w:val="en-US"/>
        </w:rPr>
        <w:fldChar w:fldCharType="begin" w:fldLock="1"/>
      </w:r>
      <w:r>
        <w:rPr>
          <w:lang w:val="en-US"/>
        </w:rPr>
        <w:instrText>ADDIN CSL_CITATION {"citationItems":[{"id":"ITEM-1","itemData":{"abstract":"Jakarta, 24 Januari 2017. Survei Nasional Literasi dan Inklusi Keuangan (SNLIK) kedua yang dilakukan Otoritas Jasa Keuangan (OJK) pada tahun 2016 menunjukkan indeks literasi keuangan sebesar 29,66% dan indeks inklusi keuangan sebesar 67,82%. Angka tersebut meningkat dibanding hasil SNLIK pada 2013, yaitu indeks literasi keuangan 21,84% dan indeks inklusi keuangan 59,74%. Dengan demikian telah terjadi peningkatan pemahaman keuangan (well literate) dari 21,84 persen menjadi 29,66 persen, serta peningkatan akses terhadap produk dan layanan jasa keuangan (inklusi keuangan) dari 59,74 persen menjadi 67,82 persen. \" Peningkatan tersebut merupakan hasil kerja keras OJK dan Industri Jasa Keuangan, yang terus berusaha secara berkesinambungan meningkatkan literasi dan inklusi keuangan di masyarakat, \" kata Kusumaningtuti S. Soetiono, Anggota Dewan Komisioner OJK Bidang Edukasi dan Perlindungan Konsumen. Menurutnya, OJK bersama IJK akan terus mendorong dan melaksanakan program literasi dan inklusi keuangan agar target indeks inklusi keuangan yang dicanangkan pemerintah melalui Peraturan Presiden Republik Indonesia Nomor 82 tahun 2016 tentang Strategi Nasional Keuangan Inklusif (SNKI) sebesar 75% pada tahun 2019 dapat tercapai. SNLIK 2016 dilakukan OJK untuk mengukur efektivitas implementasi SNLIK 2013 yang telah dilakukan dan memetakan kembali tingkat literasi dan inklusi keuangan masyarakat terkini. Survei tahun 2016 mencakup 9.680 responden di 34 provinsi yang tersebar di 64 kota/ kabupaten di Indonesia dengan mempertimbangkan gender, strata wilayah, umur, pengeluaran, pekerjaan, dan tingkat pendidikan. Survei ini untuk pertama kalinya mengukur tingkat literasi dan inklusi keuangan syariah masing-masing sebesar 8,11% dan 11,06%. Sebagai tambahan, hasil survei juga mencakup indeks literasi dan inklusi keuangan per provinsi dan per sektor jasa keuangan, baik untuk sektor jasa keuangan konvensional maupun syariah. Otoritas Jasa Keuangan sesuai amanat Undang-Undang Nomor 21 Tahun 2011 memiliki fungsi mengatur dan mengawasi industri jasa keuangan sekaligus melindungi konsumen, khususnya dalam berinteraksi dengan industri jasa keuangan. Perlindungan masyarakat dalam konteks preventif memiliki aspek literasi dan edukasi keuangan dan capacity building yang membutuhkan strategi khusus dalam implementasinya. Untuk pertama kalinya OJK melaksanakan Survei Nasional Literasi Keuangan (SNLK) pada tahun 2013, dengan hasil dari setiap 100 penduduk di Indonesia hanya 21 orang yan…","author":[{"dropping-particle":"","family":"OJK","given":"","non-dropping-particle":"","parse-names":false,"suffix":""}],"container-title":"Ojk","id":"ITEM-1","issued":{"date-parts":[["2017"]]},"title":"OJK: Indeks Literasi Dan Inklusi Keuangan Meningkat","type":"article-journal"},"uris":["http://www.mendeley.com/documents/?uuid=77b21284-d9b4-4014-b44e-89b111625bde"]}],"mendeley":{"formattedCitation":"(OJK, 2017)","manualFormatting":"OJK (2017)","plainTextFormattedCitation":"(OJK, 2017)","previouslyFormattedCitation":"(OJK, 2017)"},"properties":{"noteIndex":0},"schema":"https://github.com/citation-style-language/schema/raw/master/csl-citation.json"}</w:instrText>
      </w:r>
      <w:r>
        <w:rPr>
          <w:lang w:val="en-US"/>
        </w:rPr>
        <w:fldChar w:fldCharType="separate"/>
      </w:r>
      <w:r w:rsidRPr="00837194">
        <w:rPr>
          <w:noProof/>
          <w:lang w:val="en-US"/>
        </w:rPr>
        <w:t xml:space="preserve">OJK </w:t>
      </w:r>
      <w:r>
        <w:rPr>
          <w:noProof/>
          <w:lang w:val="en-US"/>
        </w:rPr>
        <w:t>(</w:t>
      </w:r>
      <w:r w:rsidRPr="00837194">
        <w:rPr>
          <w:noProof/>
          <w:lang w:val="en-US"/>
        </w:rPr>
        <w:t>2017)</w:t>
      </w:r>
      <w:r>
        <w:rPr>
          <w:lang w:val="en-US"/>
        </w:rPr>
        <w:fldChar w:fldCharType="end"/>
      </w:r>
      <w:r>
        <w:rPr>
          <w:lang w:val="en-US"/>
        </w:rPr>
        <w:t xml:space="preserve"> merilis sebuah data, dimana 54,9 persen masyarakat Indonesia sudah menyusun anggaran keuangan. Namun, hanyak 30,7 persen yang berkomitmen dengan anggaran yang telah dibuat. Hal ini menunjukkan bahwa perilaku keuangan masyarakat di Indonesia masih kurang baik.</w:t>
      </w:r>
    </w:p>
    <w:p w14:paraId="08F2FB87" w14:textId="77777777" w:rsidR="00AD3310" w:rsidRDefault="00AD3310" w:rsidP="00AD3310">
      <w:pPr>
        <w:spacing w:after="0" w:line="240" w:lineRule="auto"/>
        <w:rPr>
          <w:lang w:val="en-US"/>
        </w:rPr>
      </w:pPr>
      <w:r>
        <w:rPr>
          <w:lang w:val="en-US"/>
        </w:rPr>
        <w:t xml:space="preserve">      Di era digital saat ini, perkembangan teknologi dalam bidang keuangan berkembang cukup pesat. Menurut </w:t>
      </w:r>
      <w:r>
        <w:rPr>
          <w:lang w:val="en-US"/>
        </w:rPr>
        <w:fldChar w:fldCharType="begin" w:fldLock="1"/>
      </w:r>
      <w:r>
        <w:rPr>
          <w:lang w:val="en-US"/>
        </w:rPr>
        <w:instrText>ADDIN CSL_CITATION {"citationItems":[{"id":"ITEM-1","itemData":{"DOI":"10.1093/epolic/eiaa003","ISSN":"0266-4658","abstract":"We consider the drivers and implications of the growth of “BigTech” in finance – ie the financial services offerings of technology companies with established presence in the market for digital services. BigTech firms often start with payments. Thereafter, some expand into the provision of credit, insurance and money management products, either directly or in cooperation with financial institution partners. Focusing on credit, we show that BigTech firms lend more in countries with less competitive banking sectors and less stringent bank regulation. Analysing the case of Argentina, we find support for the hypothesis that BigTech lenders, by acquiring a vast amount of non-traditional information, have an advantage in credit assessment relative to a traditional credit bureau. They also serve unbanked borrowers, and may have an advantage in contact enforcement. It is too early to judge the extent of BigTech’s eventual advance into the provision of financial services. However, the early evidence allows us to pose pertinent questions that bear on their impact on financial stability and overall economic welfare.","author":[{"dropping-particle":"","family":"Frost","given":"Jon","non-dropping-particle":"","parse-names":false,"suffix":""},{"dropping-particle":"","family":"Gambacorta","given":"Leonardo","non-dropping-particle":"","parse-names":false,"suffix":""},{"dropping-particle":"","family":"Huang","given":"Yi","non-dropping-particle":"","parse-names":false,"suffix":""},{"dropping-particle":"","family":"Shin","given":"Hyun Song","non-dropping-particle":"","parse-names":false,"suffix":""},{"dropping-particle":"","family":"Zbinden","given":"Pablo","non-dropping-particle":"","parse-names":false,"suffix":""}],"container-title":"Economic Policy","id":"ITEM-1","issued":{"date-parts":[["2020"]]},"title":"BigTech and the changing structure of financial intermediation","type":"article-journal"},"uris":["http://www.mendeley.com/documents/?uuid=f14569c7-c6f2-47e0-85c0-656a02c4a32e"]}],"mendeley":{"formattedCitation":"(Frost et al., 2020)","manualFormatting":"Frost et al., (2020)","plainTextFormattedCitation":"(Frost et al., 2020)","previouslyFormattedCitation":"(Frost et al., 2020)"},"properties":{"noteIndex":0},"schema":"https://github.com/citation-style-language/schema/raw/master/csl-citation.json"}</w:instrText>
      </w:r>
      <w:r>
        <w:rPr>
          <w:lang w:val="en-US"/>
        </w:rPr>
        <w:fldChar w:fldCharType="separate"/>
      </w:r>
      <w:r w:rsidRPr="00837194">
        <w:rPr>
          <w:noProof/>
          <w:lang w:val="en-US"/>
        </w:rPr>
        <w:t xml:space="preserve">Frost et al., </w:t>
      </w:r>
      <w:r>
        <w:rPr>
          <w:noProof/>
          <w:lang w:val="en-US"/>
        </w:rPr>
        <w:t>(</w:t>
      </w:r>
      <w:r w:rsidRPr="00837194">
        <w:rPr>
          <w:noProof/>
          <w:lang w:val="en-US"/>
        </w:rPr>
        <w:t>2020)</w:t>
      </w:r>
      <w:r>
        <w:rPr>
          <w:lang w:val="en-US"/>
        </w:rPr>
        <w:fldChar w:fldCharType="end"/>
      </w:r>
      <w:r>
        <w:rPr>
          <w:lang w:val="en-US"/>
        </w:rPr>
        <w:t xml:space="preserve"> teknologi keuangan mampu merevolusi industri jasa keuangan dengan sangat pesat. Di Indonesia sendiri teknologi keuangan didominasi oleh teknologi berjenis </w:t>
      </w:r>
      <w:r>
        <w:rPr>
          <w:i/>
          <w:iCs/>
          <w:lang w:val="en-US"/>
        </w:rPr>
        <w:t xml:space="preserve">payment </w:t>
      </w:r>
      <w:r>
        <w:rPr>
          <w:lang w:val="en-US"/>
        </w:rPr>
        <w:t xml:space="preserve">43 persen, pinjaman 17 persen, dan sisanya berbentuk </w:t>
      </w:r>
      <w:r>
        <w:rPr>
          <w:i/>
          <w:iCs/>
          <w:lang w:val="en-US"/>
        </w:rPr>
        <w:t xml:space="preserve">agregator </w:t>
      </w:r>
      <w:r>
        <w:rPr>
          <w:lang w:val="en-US"/>
        </w:rPr>
        <w:t xml:space="preserve">dan </w:t>
      </w:r>
      <w:r>
        <w:rPr>
          <w:i/>
          <w:iCs/>
          <w:lang w:val="en-US"/>
        </w:rPr>
        <w:t>crowfunding</w:t>
      </w:r>
      <w:r>
        <w:rPr>
          <w:lang w:val="en-US"/>
        </w:rPr>
        <w:t xml:space="preserve"> </w:t>
      </w:r>
      <w:r>
        <w:rPr>
          <w:lang w:val="en-US"/>
        </w:rPr>
        <w:fldChar w:fldCharType="begin" w:fldLock="1"/>
      </w:r>
      <w:r>
        <w:rPr>
          <w:lang w:val="en-US"/>
        </w:rPr>
        <w:instrText>ADDIN CSL_CITATION {"citationItems":[{"id":"ITEM-1","itemData":{"ISSN":"1939-8654","abstract":"Purpose: High-dose-rate brachytherapy (HDR) and supplemental external beam radiotherapy (EBRT) is associated with a high disease control rate for men with intermediate and high-risk prostate cancer. The value of routine post radiotherapy biopsy to predict disease control is unknown. Our purpose was to determine the association between post-treatment biopsy results and probability of biochemical disease-free survival in men treated with HDR + EBRT. Materials and Methods: Two sequential prospective clinical trials were undertaken in men with intermediate-risk prostate cancer (T1-T2 with either Gleason 7 and PSA &lt;20 or Gleason 6 and PSA 10-20). No androgen deprivation therapy was allowed, and prostate volume was limited to 60 cc. All patients had HDR (either two fractions of 10 Gy as two insertions one week apart, or 15 Gy as a single fraction) followed by EBRT (either 45 Gy in 25 fractions or 37.5 Gy in 15 fractions, respectively). HDR catheters were inserted under transrectal ultrasound guidance, and planning performed with CT-based inverse optimization. EBRT was delivered using 3D conformal radiotherapy to prostate and base of seminal vesicles. Both study groups were well matched, and were followed prospectively with regular PSA readings and prostate biopsy at 2 years. A general linear mixed model of PSA over time was used to characterize PSA changes by treatment groups. Biochemical failure was defined using the nadir + 2 definition, and estimated using Kaplan-Meier curves. Biopsies were reported as follows: positive5malignant cells without radiation effect, negative5no malignant cells seen, indeterminate5malignant cells with extensive radiation effect. Fisher exact test was performed to investigate any relationships between HDR treatment (single vs. two fractions) and biopsy results. Results: A total of 187 patients were enrolled in the clinical trials, of which 62 were treated with 10 Gy x 2 and 125 with 15 Gy x 1. The median followup for all patients was 4.1 years (range 0.1-7.6). Median PSA fell to a nadir of 0.06 at 66 months, with no difference in PSA change over time by treatment group (p=0.1616). Biopsy at 2-years was performed in 111 patients of which 82 (74%) were benign, 17 (15%) indeterminate and 12 (11%) malignant. The \"benign\" biopsy rate was identical in both treatment cohorts - 73% and 74%, respectively. There was no association between biopsy results and PSA changes over time. Biochemical failure occurred in 10 patients (5.6%) of which …","author":[{"dropping-particle":"","family":"Hadad","given":"M. Muliaman","non-dropping-particle":"","parse-names":false,"suffix":""}],"container-title":"ibs.ac.id","id":"ITEM-1","issued":{"date-parts":[["2017"]]},"title":"Financial Technology ( FinTech ) di Indonesia","type":"report"},"uris":["http://www.mendeley.com/documents/?uuid=8fa2a1ef-9d6f-4689-b10a-0330ec61391c"]}],"mendeley":{"formattedCitation":"(Hadad, 2017)","plainTextFormattedCitation":"(Hadad, 2017)","previouslyFormattedCitation":"(Hadad, 2017)"},"properties":{"noteIndex":0},"schema":"https://github.com/citation-style-language/schema/raw/master/csl-citation.json"}</w:instrText>
      </w:r>
      <w:r>
        <w:rPr>
          <w:lang w:val="en-US"/>
        </w:rPr>
        <w:fldChar w:fldCharType="separate"/>
      </w:r>
      <w:r w:rsidRPr="00D65359">
        <w:rPr>
          <w:noProof/>
          <w:lang w:val="en-US"/>
        </w:rPr>
        <w:t>(Hadad, 2017)</w:t>
      </w:r>
      <w:r>
        <w:rPr>
          <w:lang w:val="en-US"/>
        </w:rPr>
        <w:fldChar w:fldCharType="end"/>
      </w:r>
      <w:r>
        <w:rPr>
          <w:lang w:val="en-US"/>
        </w:rPr>
        <w:t xml:space="preserve">.  Menurut </w:t>
      </w:r>
      <w:r>
        <w:rPr>
          <w:lang w:val="en-US"/>
        </w:rPr>
        <w:fldChar w:fldCharType="begin" w:fldLock="1"/>
      </w:r>
      <w:r>
        <w:rPr>
          <w:lang w:val="en-US"/>
        </w:rPr>
        <w:instrText>ADDIN CSL_CITATION {"citationItems":[{"id":"ITEM-1","itemData":{"author":[{"dropping-particle":"","family":"OJK","given":"","non-dropping-particle":"","parse-names":false,"suffix":""}],"id":"ITEM-1","issue":"September","issued":{"date-parts":[["2020"]]},"title":"Statistik Fintech Layanan Pinjam Meminjam Uang Berbasis Teknologi Informasi","type":"article-journal"},"uris":["http://www.mendeley.com/documents/?uuid=55d9f460-4905-4250-9f8a-d247568b7212"]}],"mendeley":{"formattedCitation":"(OJK, 2020)","manualFormatting":"OJK (2020)","plainTextFormattedCitation":"(OJK, 2020)","previouslyFormattedCitation":"(OJK, 2020)"},"properties":{"noteIndex":0},"schema":"https://github.com/citation-style-language/schema/raw/master/csl-citation.json"}</w:instrText>
      </w:r>
      <w:r>
        <w:rPr>
          <w:lang w:val="en-US"/>
        </w:rPr>
        <w:fldChar w:fldCharType="separate"/>
      </w:r>
      <w:r w:rsidRPr="00D65359">
        <w:rPr>
          <w:noProof/>
          <w:lang w:val="en-US"/>
        </w:rPr>
        <w:t xml:space="preserve">OJK </w:t>
      </w:r>
      <w:r>
        <w:rPr>
          <w:noProof/>
          <w:lang w:val="en-US"/>
        </w:rPr>
        <w:t>(</w:t>
      </w:r>
      <w:r w:rsidRPr="00D65359">
        <w:rPr>
          <w:noProof/>
          <w:lang w:val="en-US"/>
        </w:rPr>
        <w:t>2020)</w:t>
      </w:r>
      <w:r>
        <w:rPr>
          <w:lang w:val="en-US"/>
        </w:rPr>
        <w:fldChar w:fldCharType="end"/>
      </w:r>
      <w:r>
        <w:rPr>
          <w:lang w:val="en-US"/>
        </w:rPr>
        <w:t xml:space="preserve">, terdapat 126 </w:t>
      </w:r>
      <w:r>
        <w:rPr>
          <w:i/>
          <w:iCs/>
          <w:lang w:val="en-US"/>
        </w:rPr>
        <w:t>fintech lending</w:t>
      </w:r>
      <w:r>
        <w:rPr>
          <w:lang w:val="en-US"/>
        </w:rPr>
        <w:t xml:space="preserve"> ilegal dan 32 </w:t>
      </w:r>
      <w:r>
        <w:rPr>
          <w:i/>
          <w:iCs/>
          <w:lang w:val="en-US"/>
        </w:rPr>
        <w:t xml:space="preserve">fintech </w:t>
      </w:r>
      <w:r>
        <w:rPr>
          <w:lang w:val="en-US"/>
        </w:rPr>
        <w:t xml:space="preserve">investasi tanpa izin.  Rendahnya kesadaran masyarakat dimanfaatkan oleh pemilik aplikasi </w:t>
      </w:r>
      <w:r>
        <w:rPr>
          <w:i/>
          <w:iCs/>
          <w:lang w:val="en-US"/>
        </w:rPr>
        <w:t>fintech</w:t>
      </w:r>
      <w:r>
        <w:rPr>
          <w:lang w:val="en-US"/>
        </w:rPr>
        <w:t xml:space="preserve"> dengan memberikan kemudahan pengajuan pinjaman dan pembiayaan </w:t>
      </w:r>
      <w:r>
        <w:rPr>
          <w:i/>
          <w:iCs/>
          <w:lang w:val="en-US"/>
        </w:rPr>
        <w:t xml:space="preserve">online. </w:t>
      </w:r>
      <w:r>
        <w:rPr>
          <w:lang w:val="en-US"/>
        </w:rPr>
        <w:t xml:space="preserve">Dibalik kemudahan ini terdapat resiko penyalahgunaan data pribadi oleh pemilik aplikasi </w:t>
      </w:r>
      <w:r>
        <w:rPr>
          <w:i/>
          <w:iCs/>
          <w:lang w:val="en-US"/>
        </w:rPr>
        <w:t xml:space="preserve">fintech </w:t>
      </w:r>
      <w:r>
        <w:rPr>
          <w:i/>
          <w:iCs/>
          <w:lang w:val="en-US"/>
        </w:rPr>
        <w:fldChar w:fldCharType="begin" w:fldLock="1"/>
      </w:r>
      <w:r>
        <w:rPr>
          <w:i/>
          <w:iCs/>
          <w:lang w:val="en-US"/>
        </w:rPr>
        <w:instrText>ADDIN CSL_CITATION {"citationItems":[{"id":"ITEM-1","itemData":{"DOI":"10.30646/sinus.v18i1.433","ISSN":"1693-1173","abstract":"Penetration of internet usage in Indonesia has increased by 10.12% from 2017 to 2018. This has led to very rapid technological growth, such as the growth of online loan services or Financial Technology (Fintech). This condition makes the emergence of illegal fintech services built by certain groups to reap profits. Illegal fintech service providers stand building applications with a lot of personal data requested at registration. Starting from personal data, family, work up to banking are accompanied by photo evidence and contact numbers. Hybrid analysis is needed to see the extent in which the fintech application treats customer data. In this technique, there are static analysis and dynamic analysis. Static analysis is used to see the extent in which the fintech application runs on Smartphone devices with required data and other policies. Dynamic analysis is used to view the activity of tiles and permissions of fintech applications from source code, malware analysis, and permission analysis. Hybrid analysis results show that all fintech applications have a huge potential for misuse of customer's personal data. This is indicated by the existence of a data collection URL that can be accessed by the public, there are malware activities, READ_PHONE_STATE and READ_CONTACS permissions so that fintech application providers freely monitor all contact activities, locations on the customer's Smartphone. The results of the analysis can be used to recommend fintech service users to be careful of fintech applications. Moreover, it can be used as a reference for making illegal fintech detection frameworks.","author":[{"dropping-particle":"","family":"Wijayanto","given":"Hendro","non-dropping-particle":"","parse-names":false,"suffix":""},{"dropping-particle":"","family":"Muhammad","given":"Abdul Haris","non-dropping-particle":"","parse-names":false,"suffix":""},{"dropping-particle":"","family":"Hariyadi","given":"Dedy","non-dropping-particle":"","parse-names":false,"suffix":""}],"container-title":"Jurnal Ilmiah SINUS","id":"ITEM-1","issued":{"date-parts":[["2020"]]},"title":"Analisis Penyalahgunaan Data Pribadi Dalam Aplikasi Fintech Ilegal Dengan Metode Hibrid","type":"article-journal"},"uris":["http://www.mendeley.com/documents/?uuid=92ba7484-f955-4079-b56a-b50a9f7bae19"]}],"mendeley":{"formattedCitation":"(Wijayanto et al., 2020)","plainTextFormattedCitation":"(Wijayanto et al., 2020)","previouslyFormattedCitation":"(Wijayanto et al., 2020)"},"properties":{"noteIndex":0},"schema":"https://github.com/citation-style-language/schema/raw/master/csl-citation.json"}</w:instrText>
      </w:r>
      <w:r>
        <w:rPr>
          <w:i/>
          <w:iCs/>
          <w:lang w:val="en-US"/>
        </w:rPr>
        <w:fldChar w:fldCharType="separate"/>
      </w:r>
      <w:r w:rsidRPr="00516D3E">
        <w:rPr>
          <w:iCs/>
          <w:noProof/>
          <w:lang w:val="en-US"/>
        </w:rPr>
        <w:t>(Wijayanto et al., 2020)</w:t>
      </w:r>
      <w:r>
        <w:rPr>
          <w:i/>
          <w:iCs/>
          <w:lang w:val="en-US"/>
        </w:rPr>
        <w:fldChar w:fldCharType="end"/>
      </w:r>
      <w:r>
        <w:rPr>
          <w:i/>
          <w:iCs/>
          <w:lang w:val="en-US"/>
        </w:rPr>
        <w:t>.</w:t>
      </w:r>
      <w:r>
        <w:rPr>
          <w:lang w:val="en-US"/>
        </w:rPr>
        <w:t xml:space="preserve"> Dengan kemajuan teknologi ini juga meningkatkan jumlah penggunaan kartu kredit untuk kebutuhan konsumtif. Penggunaan teknologi keuangan akan lebih bermanfaat bagi kesejahteraan keuangan jika digunakan untuk hal – hal yang bersifat produktif </w:t>
      </w:r>
      <w:r>
        <w:rPr>
          <w:lang w:val="en-US"/>
        </w:rPr>
        <w:fldChar w:fldCharType="begin" w:fldLock="1"/>
      </w:r>
      <w:r>
        <w:rPr>
          <w:lang w:val="en-US"/>
        </w:rPr>
        <w:instrText>ADDIN CSL_CITATION {"citationItems":[{"id":"ITEM-1","itemData":{"abstract":"We analyze how FinTech adoption improves consumer financial decision-making. Using a regression discontinuity in time design, we exploit the exogenous introduction of a mobile application for a financial aggregation platform. In response, individuals accessed information about their transactions and bank account balances more often, which led to significant reduction in high-interest unsecured debt and bank fees. The magnitudes are economically significant: for the overall population , one additional monthly login reduced consumer debt by 14 percent over a 2-year period. Additionally, we complement our within-individual identification with cross-sectional evidence using a difference-indifferences estimation strategy and document the benefit that improved technology has on consumer financial decision making. These empirical findings help to understand the widespread use of such debt throughout the developed world, which has been a long-standing puzzle in the household-finance literature (Laibson et al., 2000). JEL classifications: D14, D83, G02.","author":[{"dropping-particle":"","family":"Carlin","given":"Bruce","non-dropping-particle":"","parse-names":false,"suffix":""},{"dropping-particle":"","family":"Olafsson","given":"Arna","non-dropping-particle":"","parse-names":false,"suffix":""},{"dropping-particle":"","family":"Pagel","given":"Michaela","non-dropping-particle":"","parse-names":false,"suffix":""}],"container-title":"Manuscript","id":"ITEM-1","issued":{"date-parts":[["2018"]]},"title":"FinTech and Consumer Well-Being in the Information Age","type":"article-journal"},"uris":["http://www.mendeley.com/documents/?uuid=af1525d4-7328-4295-a275-76214bcf28cc"]}],"mendeley":{"formattedCitation":"(Carlin et al., 2018)","plainTextFormattedCitation":"(Carlin et al., 2018)","previouslyFormattedCitation":"(Carlin et al., 2018)"},"properties":{"noteIndex":0},"schema":"https://github.com/citation-style-language/schema/raw/master/csl-citation.json"}</w:instrText>
      </w:r>
      <w:r>
        <w:rPr>
          <w:lang w:val="en-US"/>
        </w:rPr>
        <w:fldChar w:fldCharType="separate"/>
      </w:r>
      <w:r w:rsidRPr="004954D3">
        <w:rPr>
          <w:noProof/>
          <w:lang w:val="en-US"/>
        </w:rPr>
        <w:t>(Carlin et al., 2018)</w:t>
      </w:r>
      <w:r>
        <w:rPr>
          <w:lang w:val="en-US"/>
        </w:rPr>
        <w:fldChar w:fldCharType="end"/>
      </w:r>
      <w:r>
        <w:rPr>
          <w:lang w:val="en-US"/>
        </w:rPr>
        <w:t>.</w:t>
      </w:r>
    </w:p>
    <w:p w14:paraId="6CA82D07" w14:textId="77777777" w:rsidR="00AD3310" w:rsidRDefault="00AD3310" w:rsidP="00AD3310">
      <w:pPr>
        <w:spacing w:before="240" w:after="0" w:line="240" w:lineRule="auto"/>
        <w:rPr>
          <w:lang w:val="en-US"/>
        </w:rPr>
      </w:pPr>
      <w:r>
        <w:rPr>
          <w:lang w:val="en-US"/>
        </w:rPr>
        <w:t xml:space="preserve">      Berdasarkan penjelasan diatas, tiga faktor yang mempengaruhi kesejahteraan keuangan adalah literasi keuangan, perilaku keuangan dan teknologi keuangan. Peneliti menggunakan variabel ini karena menurut penelitian terdahulu ketiga variabel ini berpengaruh terhadap kesejahteraan keuangan. Hal ini didukung oleh penelitian </w:t>
      </w:r>
      <w:r>
        <w:rPr>
          <w:lang w:val="en-US"/>
        </w:rPr>
        <w:fldChar w:fldCharType="begin" w:fldLock="1"/>
      </w:r>
      <w:r>
        <w:rPr>
          <w:lang w:val="en-US"/>
        </w:rPr>
        <w:instrText>ADDIN CSL_CITATION {"citationItems":[{"id":"ITEM-1","itemData":{"abstract":"Financial literacy is the ability to use knowledge and skills to manage financial resources effectively for a lifetime of financial well-being. Increasingly, individuals are responsible for their own financial literacy and encountered with complex integrated financial instruments. The purpose of this study is to highlight the important of financial literacy for financial wellbeing of working women and present the impact of financial literacy and financial attitude on the financial wellbeing. This is a survey based study with a sample size of 300 working women. Working women were carefully selected from non-financial sector. The result of this study showed that financial literacy is an essential element for the wellbeing. Analysis indicate that financial literacy is significantly and positively related to financial wellbeing. Financial literacy leads toward financial wellbeing. Higher the level of financial literacy, greater will be the financial wellbeing. Similarity, financial attitude has positive significant relationship with financial wellbeing. Financial wellbeing is found to be effected by demographic variables i.e. age, marital status, education, profession, income level, saving and investment tendency of the respondents. Finally, results revealed that the presence of financial literacy and positive financial attitude is necessary for the financial wellbeing of working women","author":[{"dropping-particle":"","family":"Bilal","given":"Muhammad","non-dropping-particle":"","parse-names":false,"suffix":""},{"dropping-particle":"","family":"Zulfiqar","given":"Mehwish","non-dropping-particle":"","parse-names":false,"suffix":""}],"container-title":"Research Journal of Finance and Accounting","id":"ITEM-1","issued":{"date-parts":[["2016"]]},"title":"Financial Wellbeing is the Goal of Financial Literacy","type":"article-journal"},"uris":["http://www.mendeley.com/documents/?uuid=212ccbed-c436-43bb-bef9-61d513015115"]}],"mendeley":{"formattedCitation":"(Bilal &amp; Zulfiqar, 2016)","manualFormatting":"Bilal &amp; Zulfiqar, (2016)","plainTextFormattedCitation":"(Bilal &amp; Zulfiqar, 2016)","previouslyFormattedCitation":"(Bilal &amp; Zulfiqar, 2016)"},"properties":{"noteIndex":0},"schema":"https://github.com/citation-style-language/schema/raw/master/csl-citation.json"}</w:instrText>
      </w:r>
      <w:r>
        <w:rPr>
          <w:lang w:val="en-US"/>
        </w:rPr>
        <w:fldChar w:fldCharType="separate"/>
      </w:r>
      <w:r w:rsidRPr="00642E96">
        <w:rPr>
          <w:noProof/>
          <w:lang w:val="en-US"/>
        </w:rPr>
        <w:t xml:space="preserve">Bilal &amp; Zulfiqar, </w:t>
      </w:r>
      <w:r>
        <w:rPr>
          <w:noProof/>
          <w:lang w:val="en-US"/>
        </w:rPr>
        <w:t>(</w:t>
      </w:r>
      <w:r w:rsidRPr="00642E96">
        <w:rPr>
          <w:noProof/>
          <w:lang w:val="en-US"/>
        </w:rPr>
        <w:t>2016)</w:t>
      </w:r>
      <w:r>
        <w:rPr>
          <w:lang w:val="en-US"/>
        </w:rPr>
        <w:fldChar w:fldCharType="end"/>
      </w:r>
      <w:r>
        <w:rPr>
          <w:lang w:val="en-US"/>
        </w:rPr>
        <w:t xml:space="preserve"> yang menunjukkan bahwa literasi keuangan berpengaruh langsung dan positif terhadap kesejahteraan keuangan. Berbeda dengan penelitian yang dilakukan </w:t>
      </w:r>
      <w:r>
        <w:rPr>
          <w:lang w:val="en-US"/>
        </w:rPr>
        <w:fldChar w:fldCharType="begin" w:fldLock="1"/>
      </w:r>
      <w:r>
        <w:rPr>
          <w:lang w:val="en-US"/>
        </w:rPr>
        <w:instrText>ADDIN CSL_CITATION {"citationItems":[{"id":"ITEM-1","itemData":{"author":[{"dropping-particle":"","family":"Rahayu","given":"Aghnia Setyaning","non-dropping-particle":"","parse-names":false,"suffix":""}],"id":"ITEM-1","issued":{"date-parts":[["2019"]]},"title":"PENGARUH LITERASI KEUANGAN, KENDALI DIRI, OPTIMISME DAN PEMIKIRAN DELIBERATIF TERHADAP PERILAKU DAN KESEJAHTERAAN KEUANGAN","type":"article-journal"},"uris":["http://www.mendeley.com/documents/?uuid=b35a10a3-7a1c-47b3-a390-88868d232277"]}],"mendeley":{"formattedCitation":"(Rahayu, 2019)","manualFormatting":"Rahayu, (2019)","plainTextFormattedCitation":"(Rahayu, 2019)","previouslyFormattedCitation":"(Rahayu, 2019)"},"properties":{"noteIndex":0},"schema":"https://github.com/citation-style-language/schema/raw/master/csl-citation.json"}</w:instrText>
      </w:r>
      <w:r>
        <w:rPr>
          <w:lang w:val="en-US"/>
        </w:rPr>
        <w:fldChar w:fldCharType="separate"/>
      </w:r>
      <w:r w:rsidRPr="007B4856">
        <w:rPr>
          <w:noProof/>
          <w:lang w:val="en-US"/>
        </w:rPr>
        <w:t xml:space="preserve">Rahayu, </w:t>
      </w:r>
      <w:r>
        <w:rPr>
          <w:noProof/>
          <w:lang w:val="en-US"/>
        </w:rPr>
        <w:t>(</w:t>
      </w:r>
      <w:r w:rsidRPr="007B4856">
        <w:rPr>
          <w:noProof/>
          <w:lang w:val="en-US"/>
        </w:rPr>
        <w:t>2019)</w:t>
      </w:r>
      <w:r>
        <w:rPr>
          <w:lang w:val="en-US"/>
        </w:rPr>
        <w:fldChar w:fldCharType="end"/>
      </w:r>
      <w:r>
        <w:rPr>
          <w:lang w:val="en-US"/>
        </w:rPr>
        <w:t xml:space="preserve"> mengatakan bahwa literasi keuangan, pendapatan rendah, biaya hidup tinggi dan hutang memiliki pengaruh negatif terhadap kesejahteraan keuangan seseorang.</w:t>
      </w:r>
    </w:p>
    <w:p w14:paraId="0AD44E39" w14:textId="77777777" w:rsidR="00AD3310" w:rsidRPr="002C1279" w:rsidRDefault="00AD3310" w:rsidP="00AD3310">
      <w:pPr>
        <w:spacing w:before="240" w:after="0" w:line="240" w:lineRule="auto"/>
        <w:rPr>
          <w:noProof/>
          <w:lang w:val="en-US"/>
        </w:rPr>
      </w:pPr>
      <w:r>
        <w:rPr>
          <w:lang w:val="en-US"/>
        </w:rPr>
        <w:t xml:space="preserve">      Penelitian </w:t>
      </w:r>
      <w:r>
        <w:rPr>
          <w:lang w:val="en-US"/>
        </w:rPr>
        <w:fldChar w:fldCharType="begin" w:fldLock="1"/>
      </w:r>
      <w:r>
        <w:rPr>
          <w:lang w:val="en-US"/>
        </w:rPr>
        <w:instrText>ADDIN CSL_CITATION {"citationItems":[{"id":"ITEM-1","itemData":{"author":[{"dropping-particle":"","family":"Wulansari","given":"Novi","non-dropping-particle":"","parse-names":false,"suffix":""}],"id":"ITEM-1","issued":{"date-parts":[["2019"]]},"publisher":"UNIVERSITAS NEGERI SEMARANG","title":"PENGARUH PENDAPATAN, LITERASI KEUANGAN, DAN SIKAP KEUANGAN TERHADAP KESEJAHTERAAN KEUANGAN KELUARGA DESA KETANJUNG KECAMATAN KARANGANYAR KABUPATEN DEMAK MELALUI PERILAKU KEUANGAN SEBAGAI VARIABEL INTERVENING","type":"thesis"},"uris":["http://www.mendeley.com/documents/?uuid=517709fa-d77e-4e0a-a23e-d4d1695b7d8e"]}],"mendeley":{"formattedCitation":"(Wulansari, 2019)","manualFormatting":"Wulansari (2019)","plainTextFormattedCitation":"(Wulansari, 2019)","previouslyFormattedCitation":"(Wulansari, 2019)"},"properties":{"noteIndex":0},"schema":"https://github.com/citation-style-language/schema/raw/master/csl-citation.json"}</w:instrText>
      </w:r>
      <w:r>
        <w:rPr>
          <w:lang w:val="en-US"/>
        </w:rPr>
        <w:fldChar w:fldCharType="separate"/>
      </w:r>
      <w:r w:rsidRPr="007B4856">
        <w:rPr>
          <w:noProof/>
          <w:lang w:val="en-US"/>
        </w:rPr>
        <w:t>Wulansari</w:t>
      </w:r>
      <w:r>
        <w:rPr>
          <w:noProof/>
          <w:lang w:val="en-US"/>
        </w:rPr>
        <w:t xml:space="preserve"> (</w:t>
      </w:r>
      <w:r w:rsidRPr="007B4856">
        <w:rPr>
          <w:noProof/>
          <w:lang w:val="en-US"/>
        </w:rPr>
        <w:t>2019)</w:t>
      </w:r>
      <w:r>
        <w:rPr>
          <w:lang w:val="en-US"/>
        </w:rPr>
        <w:fldChar w:fldCharType="end"/>
      </w:r>
      <w:r>
        <w:rPr>
          <w:lang w:val="en-US"/>
        </w:rPr>
        <w:t xml:space="preserve"> mengatakan  bahwa kesejahteraan keuangan ditentukan oleh perilaku keuangan dan arus pendapatan.</w:t>
      </w:r>
      <w:r w:rsidRPr="008525C4">
        <w:rPr>
          <w:lang w:val="en-US"/>
        </w:rPr>
        <w:t xml:space="preserve"> </w:t>
      </w:r>
      <w:r>
        <w:rPr>
          <w:lang w:val="en-US"/>
        </w:rPr>
        <w:t xml:space="preserve">Ketika perilaku keuangan individu baik maka kesejahteraan keuangan individu akan tercapai. Berbeda dengan penelitian milik </w:t>
      </w:r>
      <w:r>
        <w:rPr>
          <w:lang w:val="en-US"/>
        </w:rPr>
        <w:fldChar w:fldCharType="begin" w:fldLock="1"/>
      </w:r>
      <w:r>
        <w:rPr>
          <w:lang w:val="en-US"/>
        </w:rPr>
        <w:instrText>ADDIN CSL_CITATION {"citationItems":[{"id":"ITEM-1","itemData":{"author":[{"dropping-particle":"","family":"Cecilia","given":"Meilinda","non-dropping-particle":"","parse-names":false,"suffix":""}],"id":"ITEM-1","issued":{"date-parts":[["2020"]]},"page":"2020","title":"ANALYSIS OF THE FACTORS THAT AFFECT FINANCIAL WELL BEING OF MILLENNIALS IN BATAM","type":"article-journal"},"uris":["http://www.mendeley.com/documents/?uuid=c75c5748-5def-49a3-9f47-99ca7fb4cebf"]}],"mendeley":{"formattedCitation":"(Cecilia, 2020)","manualFormatting":"Cecilia (2020)","plainTextFormattedCitation":"(Cecilia, 2020)","previouslyFormattedCitation":"(Cecilia, 2020)"},"properties":{"noteIndex":0},"schema":"https://github.com/citation-style-language/schema/raw/master/csl-citation.json"}</w:instrText>
      </w:r>
      <w:r>
        <w:rPr>
          <w:lang w:val="en-US"/>
        </w:rPr>
        <w:fldChar w:fldCharType="separate"/>
      </w:r>
      <w:r w:rsidRPr="0085496F">
        <w:rPr>
          <w:noProof/>
          <w:lang w:val="en-US"/>
        </w:rPr>
        <w:t>Cecilia</w:t>
      </w:r>
      <w:r>
        <w:rPr>
          <w:noProof/>
          <w:lang w:val="en-US"/>
        </w:rPr>
        <w:t xml:space="preserve"> (</w:t>
      </w:r>
      <w:r w:rsidRPr="0085496F">
        <w:rPr>
          <w:noProof/>
          <w:lang w:val="en-US"/>
        </w:rPr>
        <w:t>2020)</w:t>
      </w:r>
      <w:r>
        <w:rPr>
          <w:lang w:val="en-US"/>
        </w:rPr>
        <w:fldChar w:fldCharType="end"/>
      </w:r>
      <w:r>
        <w:rPr>
          <w:lang w:val="en-US"/>
        </w:rPr>
        <w:t xml:space="preserve"> yang menyatakan bahwa perilaku keuangan tidak memiliki hubungan yang signifikan terhadap kesejahteraan keuangan.</w:t>
      </w:r>
    </w:p>
    <w:p w14:paraId="0DC98ABF" w14:textId="77777777" w:rsidR="00AD3310" w:rsidRDefault="00AD3310" w:rsidP="00AD3310">
      <w:pPr>
        <w:spacing w:after="0" w:line="240" w:lineRule="auto"/>
        <w:rPr>
          <w:lang w:val="en-US"/>
        </w:rPr>
      </w:pPr>
      <w:r>
        <w:rPr>
          <w:lang w:val="en-US"/>
        </w:rPr>
        <w:t xml:space="preserve">      Teknologi keuangan memiliki pengaruh terhadap perencanaan keuangan dan kesejahteraan </w:t>
      </w:r>
      <w:r>
        <w:rPr>
          <w:lang w:val="en-US"/>
        </w:rPr>
        <w:fldChar w:fldCharType="begin" w:fldLock="1"/>
      </w:r>
      <w:r>
        <w:rPr>
          <w:lang w:val="en-US"/>
        </w:rPr>
        <w:instrText>ADDIN CSL_CITATION {"citationItems":[{"id":"ITEM-1","itemData":{"DOI":"10.1080/1351847X.2020.1717569","ISSN":"14664364","abstract":"A growing body of evidence suggests that financial literacy plays an important role in financial well-being, and that differences in financial knowledge acquired early in life can explain a significant part of financial and more general well-being in adult life. Financial technology (FinTech) is revolutionising the financial services industry at an unrivalled pace. Views differ regarding the likely impact that FinTech is likely to have on personal financial planning, well-being and societal welfare. In an era of mounting student debt, increased (digital) financial inclusion, and threats arising from instances of (online) financial fraud, financial education and enlightened financial advising appropriate policy interventions that enhance financial and overall well-being. This special issue engages in this important academic and policy agenda by presenting a set of seven new papers emanating from four parallel streams of literature related to financial literacy and responsible finance.","author":[{"dropping-particle":"","family":"Panos","given":"Georgios A.","non-dropping-particle":"","parse-names":false,"suffix":""},{"dropping-particle":"","family":"Wilson","given":"John O.S.","non-dropping-particle":"","parse-names":false,"suffix":""}],"container-title":"European Journal of Finance","id":"ITEM-1","issued":{"date-parts":[["2020"]]},"title":"Financial literacy and responsible finance in the FinTech era: capabilities and challenges","type":"article"},"uris":["http://www.mendeley.com/documents/?uuid=6fba2448-9747-4465-95fc-62efc17c28df"]}],"mendeley":{"formattedCitation":"(Panos &amp; Wilson, 2020)","plainTextFormattedCitation":"(Panos &amp; Wilson, 2020)","previouslyFormattedCitation":"(Panos &amp; Wilson, 2020)"},"properties":{"noteIndex":0},"schema":"https://github.com/citation-style-language/schema/raw/master/csl-citation.json"}</w:instrText>
      </w:r>
      <w:r>
        <w:rPr>
          <w:lang w:val="en-US"/>
        </w:rPr>
        <w:fldChar w:fldCharType="separate"/>
      </w:r>
      <w:r w:rsidRPr="000B35F6">
        <w:rPr>
          <w:noProof/>
          <w:lang w:val="en-US"/>
        </w:rPr>
        <w:t>(Panos &amp; Wilson, 2020)</w:t>
      </w:r>
      <w:r>
        <w:rPr>
          <w:lang w:val="en-US"/>
        </w:rPr>
        <w:fldChar w:fldCharType="end"/>
      </w:r>
      <w:r>
        <w:rPr>
          <w:lang w:val="en-US"/>
        </w:rPr>
        <w:t xml:space="preserve"> . Sebagaimana dikatakan oleh</w:t>
      </w:r>
      <w:r>
        <w:rPr>
          <w:lang w:val="en-US"/>
        </w:rPr>
        <w:fldChar w:fldCharType="begin" w:fldLock="1"/>
      </w:r>
      <w:r>
        <w:rPr>
          <w:lang w:val="en-US"/>
        </w:rPr>
        <w:instrText>ADDIN CSL_CITATION {"citationItems":[{"id":"ITEM-1","itemData":{"ISSN":"1939-8654","abstract":"Purpose: High-dose-rate brachytherapy (HDR) and supplemental external beam radiotherapy (EBRT) is associated with a high disease control rate for men with intermediate and high-risk prostate cancer. The value of routine post radiotherapy biopsy to predict disease control is unknown. Our purpose was to determine the association between post-treatment biopsy results and probability of biochemical disease-free survival in men treated with HDR + EBRT. Materials and Methods: Two sequential prospective clinical trials were undertaken in men with intermediate-risk prostate cancer (T1-T2 with either Gleason 7 and PSA &lt;20 or Gleason 6 and PSA 10-20). No androgen deprivation therapy was allowed, and prostate volume was limited to 60 cc. All patients had HDR (either two fractions of 10 Gy as two insertions one week apart, or 15 Gy as a single fraction) followed by EBRT (either 45 Gy in 25 fractions or 37.5 Gy in 15 fractions, respectively). HDR catheters were inserted under transrectal ultrasound guidance, and planning performed with CT-based inverse optimization. EBRT was delivered using 3D conformal radiotherapy to prostate and base of seminal vesicles. Both study groups were well matched, and were followed prospectively with regular PSA readings and prostate biopsy at 2 years. A general linear mixed model of PSA over time was used to characterize PSA changes by treatment groups. Biochemical failure was defined using the nadir + 2 definition, and estimated using Kaplan-Meier curves. Biopsies were reported as follows: positive5malignant cells without radiation effect, negative5no malignant cells seen, indeterminate5malignant cells with extensive radiation effect. Fisher exact test was performed to investigate any relationships between HDR treatment (single vs. two fractions) and biopsy results. Results: A total of 187 patients were enrolled in the clinical trials, of which 62 were treated with 10 Gy x 2 and 125 with 15 Gy x 1. The median followup for all patients was 4.1 years (range 0.1-7.6). Median PSA fell to a nadir of 0.06 at 66 months, with no difference in PSA change over time by treatment group (p=0.1616). Biopsy at 2-years was performed in 111 patients of which 82 (74%) were benign, 17 (15%) indeterminate and 12 (11%) malignant. The \"benign\" biopsy rate was identical in both treatment cohorts - 73% and 74%, respectively. There was no association between biopsy results and PSA changes over time. Biochemical failure occurred in 10 patients (5.6%) of which …","author":[{"dropping-particle":"","family":"Hadad","given":"M. Muliaman","non-dropping-particle":"","parse-names":false,"suffix":""}],"container-title":"ibs.ac.id","id":"ITEM-1","issued":{"date-parts":[["2017"]]},"title":"Financial Technology ( FinTech ) di Indonesia","type":"report"},"uris":["http://www.mendeley.com/documents/?uuid=8fa2a1ef-9d6f-4689-b10a-0330ec61391c"]}],"mendeley":{"formattedCitation":"(Hadad, 2017)","manualFormatting":" Hadad (2017)","plainTextFormattedCitation":"(Hadad, 2017)","previouslyFormattedCitation":"(Hadad, 2017)"},"properties":{"noteIndex":0},"schema":"https://github.com/citation-style-language/schema/raw/master/csl-citation.json"}</w:instrText>
      </w:r>
      <w:r>
        <w:rPr>
          <w:lang w:val="en-US"/>
        </w:rPr>
        <w:fldChar w:fldCharType="separate"/>
      </w:r>
      <w:r>
        <w:rPr>
          <w:noProof/>
          <w:lang w:val="en-US"/>
        </w:rPr>
        <w:t xml:space="preserve"> </w:t>
      </w:r>
      <w:r w:rsidRPr="000B35F6">
        <w:rPr>
          <w:noProof/>
          <w:lang w:val="en-US"/>
        </w:rPr>
        <w:t xml:space="preserve">Hadad </w:t>
      </w:r>
      <w:r>
        <w:rPr>
          <w:noProof/>
          <w:lang w:val="en-US"/>
        </w:rPr>
        <w:t>(</w:t>
      </w:r>
      <w:r w:rsidRPr="000B35F6">
        <w:rPr>
          <w:noProof/>
          <w:lang w:val="en-US"/>
        </w:rPr>
        <w:t>2017)</w:t>
      </w:r>
      <w:r>
        <w:rPr>
          <w:lang w:val="en-US"/>
        </w:rPr>
        <w:fldChar w:fldCharType="end"/>
      </w:r>
      <w:r>
        <w:rPr>
          <w:lang w:val="en-US"/>
        </w:rPr>
        <w:t xml:space="preserve"> bahwa teknologi keuangan berperan sebagai pendorong pemerataan tingkat kesejahteraan masyarakat </w:t>
      </w:r>
      <w:r>
        <w:t>dan juga berperan sebagai pendorong distribusi pembiayaan nasional.</w:t>
      </w:r>
      <w:r w:rsidRPr="005C632C">
        <w:t xml:space="preserve"> </w:t>
      </w:r>
      <w:r>
        <w:t>Namun Uly</w:t>
      </w:r>
      <w:r>
        <w:rPr>
          <w:lang w:val="en-US"/>
        </w:rPr>
        <w:t xml:space="preserve"> dikutip dari </w:t>
      </w:r>
      <w:r>
        <w:rPr>
          <w:lang w:val="en-US"/>
        </w:rPr>
        <w:fldChar w:fldCharType="begin" w:fldLock="1"/>
      </w:r>
      <w:r>
        <w:rPr>
          <w:lang w:val="en-US"/>
        </w:rPr>
        <w:instrText>ADDIN CSL_CITATION {"citationItems":[{"id":"ITEM-1","itemData":{"author":[{"dropping-particle":"","family":"Rahmadalisa","given":"Lara","non-dropping-particle":"","parse-names":false,"suffix":""}],"id":"ITEM-1","issued":{"date-parts":[["2018"]]},"title":"Literasi dan implementasi fintech di kota padang","type":"article-journal"},"uris":["http://www.mendeley.com/documents/?uuid=4c75d947-651b-4dbb-9ea5-478455e0eb49"]}],"mendeley":{"formattedCitation":"(Rahmadalisa, 2018)","manualFormatting":"Rahmadalisa (2018)","plainTextFormattedCitation":"(Rahmadalisa, 2018)","previouslyFormattedCitation":"(Rahmadalisa, 2018)"},"properties":{"noteIndex":0},"schema":"https://github.com/citation-style-language/schema/raw/master/csl-citation.json"}</w:instrText>
      </w:r>
      <w:r>
        <w:rPr>
          <w:lang w:val="en-US"/>
        </w:rPr>
        <w:fldChar w:fldCharType="separate"/>
      </w:r>
      <w:r w:rsidRPr="0085496F">
        <w:rPr>
          <w:noProof/>
          <w:lang w:val="en-US"/>
        </w:rPr>
        <w:t>Rahmadalisa</w:t>
      </w:r>
      <w:r>
        <w:rPr>
          <w:noProof/>
          <w:lang w:val="en-US"/>
        </w:rPr>
        <w:t xml:space="preserve"> (</w:t>
      </w:r>
      <w:r w:rsidRPr="0085496F">
        <w:rPr>
          <w:noProof/>
          <w:lang w:val="en-US"/>
        </w:rPr>
        <w:t>2018)</w:t>
      </w:r>
      <w:r>
        <w:rPr>
          <w:lang w:val="en-US"/>
        </w:rPr>
        <w:fldChar w:fldCharType="end"/>
      </w:r>
      <w:r>
        <w:rPr>
          <w:lang w:val="en-US"/>
        </w:rPr>
        <w:t xml:space="preserve"> </w:t>
      </w:r>
      <w:r>
        <w:t>melihat dari sisi yang berbeda yaitu tantangan yang akan dihadapi kedepan yang dapat dilihat dari adanya resiko pencucian uang</w:t>
      </w:r>
      <w:r>
        <w:rPr>
          <w:lang w:val="en-US"/>
        </w:rPr>
        <w:t xml:space="preserve">. Untuk itu masyarakat diharapkan mampu mempersiapkan dirinya untuk menghadapi perubahan ekonomi di era digital saat ini. </w:t>
      </w:r>
    </w:p>
    <w:p w14:paraId="07DC710B" w14:textId="37C92F4F" w:rsidR="00AD3310" w:rsidRDefault="00AD3310" w:rsidP="00AD3310">
      <w:pPr>
        <w:spacing w:after="0" w:line="240" w:lineRule="auto"/>
        <w:rPr>
          <w:b/>
          <w:bCs/>
          <w:lang w:val="en-US"/>
        </w:rPr>
      </w:pPr>
      <w:r>
        <w:rPr>
          <w:lang w:val="en-US"/>
        </w:rPr>
        <w:t xml:space="preserve">      Desa Donoharjo adalah sebuah desa yang terletak di Kecamatan Ngaglik, Kabupaten Sleman, Provinsi Yogyakarta.  Berdasarkan data dari </w:t>
      </w:r>
      <w:r>
        <w:rPr>
          <w:lang w:val="en-US"/>
        </w:rPr>
        <w:fldChar w:fldCharType="begin" w:fldLock="1"/>
      </w:r>
      <w:r>
        <w:rPr>
          <w:lang w:val="en-US"/>
        </w:rPr>
        <w:instrText>ADDIN CSL_CITATION {"citationItems":[{"id":"ITEM-1","itemData":{"author":[{"dropping-particle":"","family":"BPS","given":"","non-dropping-particle":"","parse-names":false,"suffix":""}],"id":"ITEM-1","issued":{"date-parts":[["2017"]]},"title":"KECAMATAN NGAGLIK DALAM ANGKA 2017 NGAGLIK DISTRICT IN FIGURES 2017","type":"report"},"uris":["http://www.mendeley.com/documents/?uuid=2d4f0330-630e-4df9-a959-6e52edf539d2"]}],"mendeley":{"formattedCitation":"(BPS, 2017)","manualFormatting":"BPS (2017)","plainTextFormattedCitation":"(BPS, 2017)","previouslyFormattedCitation":"(BPS, 2017)"},"properties":{"noteIndex":0},"schema":"https://github.com/citation-style-language/schema/raw/master/csl-citation.json"}</w:instrText>
      </w:r>
      <w:r>
        <w:rPr>
          <w:lang w:val="en-US"/>
        </w:rPr>
        <w:fldChar w:fldCharType="separate"/>
      </w:r>
      <w:r w:rsidRPr="007D7E2A">
        <w:rPr>
          <w:noProof/>
          <w:lang w:val="en-US"/>
        </w:rPr>
        <w:t xml:space="preserve">BPS </w:t>
      </w:r>
      <w:r>
        <w:rPr>
          <w:noProof/>
          <w:lang w:val="en-US"/>
        </w:rPr>
        <w:t>(</w:t>
      </w:r>
      <w:r w:rsidRPr="007D7E2A">
        <w:rPr>
          <w:noProof/>
          <w:lang w:val="en-US"/>
        </w:rPr>
        <w:t>2017)</w:t>
      </w:r>
      <w:r>
        <w:rPr>
          <w:lang w:val="en-US"/>
        </w:rPr>
        <w:fldChar w:fldCharType="end"/>
      </w:r>
      <w:r>
        <w:rPr>
          <w:lang w:val="en-US"/>
        </w:rPr>
        <w:t xml:space="preserve"> sebanyak 10,6 persen KK di Desa Donoharjo masih terjerat kemiskinan. Hal ini </w:t>
      </w:r>
      <w:r>
        <w:rPr>
          <w:lang w:val="en-US"/>
        </w:rPr>
        <w:lastRenderedPageBreak/>
        <w:t xml:space="preserve">belum sesuai dengan target yang ditetapkan oleh pemerintah sebesar 8,5 persen  sampai dengan 9 persen </w:t>
      </w:r>
      <w:r>
        <w:rPr>
          <w:lang w:val="en-US"/>
        </w:rPr>
        <w:fldChar w:fldCharType="begin" w:fldLock="1"/>
      </w:r>
      <w:r w:rsidR="00D95269">
        <w:rPr>
          <w:lang w:val="en-US"/>
        </w:rPr>
        <w:instrText>ADDIN CSL_CITATION {"citationItems":[{"id":"ITEM-1","itemData":{"abstract":"Sesuai amanat Undang-Undang (UU) No. 25/2004 tentang Sistem Perencanaan Pembangunan Nasional (SPPN), Rencana Kerja Pemerintah (RKP) tahun 2018 merupakan penjabaran tahun keempat pelaksanaan Peraturan Presiden (Perpres) No. 2/2015 tentang Rencana Pembangunan Jangka Menengah Nasional (RPJMN) 2015-2019 yang memuat sasaran, arah kebijakan, dan strategi pembangunan. Penyusunan RKP merupakan upaya menjaga kesinambungan pembangunan terencana dan sistematis yang dilaksanakan terutama oleh Pemerintah, dengan memanfaatkan berbagai sumber daya yang tersedia secara optimal, efisien, efektif, transparan, dan akuntabel untuk mewujudkan visi misi Presiden Republik Indonesia. Dokumen RKP tahun 2018 disusun dengan tema “Memacu Investasi dan Infrastruktur untuk Pertumbuhan dan Pemerataan”.","author":[{"dropping-particle":"","family":"BAPPENAS","given":"","non-dropping-particle":"","parse-names":false,"suffix":""}],"container-title":"Pemerataan Pembangunan untuk Pertumbuhan Berkualitas","id":"ITEM-1","issued":{"date-parts":[["2019"]]},"title":"Rencana Kerja Pemerintah Tahun 2019","type":"article-journal"},"uris":["http://www.mendeley.com/documents/?uuid=38a7d6c9-9593-4e2b-9890-cc636e57333f"]}],"mendeley":{"formattedCitation":"(BAPPENAS, 2019)","plainTextFormattedCitation":"(BAPPENAS, 2019)","previouslyFormattedCitation":"(BAPPENAS, 2019)"},"properties":{"noteIndex":0},"schema":"https://github.com/citation-style-language/schema/raw/master/csl-citation.json"}</w:instrText>
      </w:r>
      <w:r>
        <w:rPr>
          <w:lang w:val="en-US"/>
        </w:rPr>
        <w:fldChar w:fldCharType="separate"/>
      </w:r>
      <w:r w:rsidRPr="007D7E2A">
        <w:rPr>
          <w:noProof/>
          <w:lang w:val="en-US"/>
        </w:rPr>
        <w:t>(BAPPENAS, 2019)</w:t>
      </w:r>
      <w:r>
        <w:rPr>
          <w:lang w:val="en-US"/>
        </w:rPr>
        <w:fldChar w:fldCharType="end"/>
      </w:r>
      <w:r>
        <w:rPr>
          <w:lang w:val="en-US"/>
        </w:rPr>
        <w:t>.</w:t>
      </w:r>
    </w:p>
    <w:p w14:paraId="1A30B4DE" w14:textId="77777777" w:rsidR="00AD3310" w:rsidRDefault="00AD3310" w:rsidP="00AD3310">
      <w:pPr>
        <w:spacing w:after="0" w:line="240" w:lineRule="auto"/>
        <w:rPr>
          <w:b/>
          <w:bCs/>
          <w:lang w:val="en-US"/>
        </w:rPr>
      </w:pPr>
    </w:p>
    <w:p w14:paraId="3EBB3193" w14:textId="71C47E5D" w:rsidR="00AD3310" w:rsidRPr="00AD3310" w:rsidRDefault="00AD3310" w:rsidP="00AD3310">
      <w:pPr>
        <w:spacing w:after="0" w:line="240" w:lineRule="auto"/>
        <w:rPr>
          <w:b/>
          <w:bCs/>
          <w:lang w:val="en-US"/>
        </w:rPr>
      </w:pPr>
      <w:r>
        <w:rPr>
          <w:b/>
          <w:bCs/>
          <w:lang w:val="en-US"/>
        </w:rPr>
        <w:t>RUMUSAN MASALAH</w:t>
      </w:r>
    </w:p>
    <w:p w14:paraId="2E69BA4E" w14:textId="77777777" w:rsidR="00AD3310" w:rsidRDefault="00AD3310" w:rsidP="00AD3310">
      <w:pPr>
        <w:pStyle w:val="ListParagraph"/>
        <w:numPr>
          <w:ilvl w:val="0"/>
          <w:numId w:val="4"/>
        </w:numPr>
        <w:spacing w:after="0" w:line="240" w:lineRule="auto"/>
        <w:rPr>
          <w:lang w:val="en-US"/>
        </w:rPr>
      </w:pPr>
      <w:r w:rsidRPr="007D7E2A">
        <w:rPr>
          <w:lang w:val="en-US"/>
        </w:rPr>
        <w:t>Apa</w:t>
      </w:r>
      <w:r>
        <w:rPr>
          <w:lang w:val="en-US"/>
        </w:rPr>
        <w:t>kah literasi keuangan berpengaruh positif terhadap kesejahteraan keuangan generasi z di Desa Donoharjo?</w:t>
      </w:r>
    </w:p>
    <w:p w14:paraId="291D1D60" w14:textId="77777777" w:rsidR="00AD3310" w:rsidRDefault="00AD3310" w:rsidP="00AD3310">
      <w:pPr>
        <w:pStyle w:val="ListParagraph"/>
        <w:numPr>
          <w:ilvl w:val="0"/>
          <w:numId w:val="4"/>
        </w:numPr>
        <w:spacing w:after="0" w:line="240" w:lineRule="auto"/>
        <w:rPr>
          <w:lang w:val="en-US"/>
        </w:rPr>
      </w:pPr>
      <w:r w:rsidRPr="007D7E2A">
        <w:rPr>
          <w:lang w:val="en-US"/>
        </w:rPr>
        <w:t>Apa</w:t>
      </w:r>
      <w:r>
        <w:rPr>
          <w:lang w:val="en-US"/>
        </w:rPr>
        <w:t>kah perilaku keuangan berpengaruh positif terhadap kesejahteraan keuangan generasi z di Desa Donoharjo?</w:t>
      </w:r>
    </w:p>
    <w:p w14:paraId="5CFCB9F3" w14:textId="77777777" w:rsidR="00AD3310" w:rsidRDefault="00AD3310" w:rsidP="00AD3310">
      <w:pPr>
        <w:pStyle w:val="ListParagraph"/>
        <w:numPr>
          <w:ilvl w:val="0"/>
          <w:numId w:val="4"/>
        </w:numPr>
        <w:spacing w:after="0" w:line="240" w:lineRule="auto"/>
        <w:rPr>
          <w:lang w:val="en-US"/>
        </w:rPr>
      </w:pPr>
      <w:r w:rsidRPr="007D7E2A">
        <w:rPr>
          <w:lang w:val="en-US"/>
        </w:rPr>
        <w:t>Apa</w:t>
      </w:r>
      <w:r>
        <w:rPr>
          <w:lang w:val="en-US"/>
        </w:rPr>
        <w:t>kah teknologi keuangan berpengaruh positif terhadap kesejahteraan keuangan generasi z di Desa Donoharjo?</w:t>
      </w:r>
    </w:p>
    <w:p w14:paraId="394D618C" w14:textId="77777777" w:rsidR="00AD3310" w:rsidRPr="00AD3310" w:rsidRDefault="00AD3310" w:rsidP="00AD3310">
      <w:pPr>
        <w:spacing w:after="0" w:line="360" w:lineRule="auto"/>
        <w:rPr>
          <w:b/>
          <w:bCs/>
          <w:lang w:val="en-US"/>
        </w:rPr>
      </w:pPr>
    </w:p>
    <w:p w14:paraId="4E94E6BD" w14:textId="20DF21B2" w:rsidR="00AD3310" w:rsidRPr="00AD3310" w:rsidRDefault="00AD3310" w:rsidP="00D574A9">
      <w:pPr>
        <w:spacing w:after="0" w:line="240" w:lineRule="auto"/>
        <w:rPr>
          <w:b/>
          <w:bCs/>
          <w:lang w:val="en-US"/>
        </w:rPr>
      </w:pPr>
      <w:r w:rsidRPr="00AD3310">
        <w:rPr>
          <w:b/>
          <w:bCs/>
          <w:lang w:val="en-US"/>
        </w:rPr>
        <w:t>LANDASAN TEORI</w:t>
      </w:r>
    </w:p>
    <w:p w14:paraId="7F598EE1" w14:textId="2D270FD3" w:rsidR="00BC578E" w:rsidRDefault="00AD3310" w:rsidP="00BC578E">
      <w:pPr>
        <w:spacing w:after="0" w:line="240" w:lineRule="auto"/>
        <w:rPr>
          <w:lang w:val="en-US"/>
        </w:rPr>
      </w:pPr>
      <w:r>
        <w:rPr>
          <w:b/>
          <w:bCs/>
          <w:lang w:val="en-US"/>
        </w:rPr>
        <w:t xml:space="preserve">      </w:t>
      </w:r>
      <w:r>
        <w:rPr>
          <w:lang w:val="en-US"/>
        </w:rPr>
        <w:t xml:space="preserve">Teori perkembangan masa hidup atau </w:t>
      </w:r>
      <w:r>
        <w:rPr>
          <w:i/>
          <w:iCs/>
          <w:lang w:val="en-US"/>
        </w:rPr>
        <w:t>life – span development</w:t>
      </w:r>
      <w:r>
        <w:rPr>
          <w:lang w:val="en-US"/>
        </w:rPr>
        <w:t xml:space="preserve"> adalah</w:t>
      </w:r>
      <w:r w:rsidRPr="0085496F">
        <w:t xml:space="preserve"> </w:t>
      </w:r>
      <w:r w:rsidRPr="0085496F">
        <w:rPr>
          <w:lang w:val="en-US"/>
        </w:rPr>
        <w:t>studi ilmiah</w:t>
      </w:r>
      <w:r>
        <w:rPr>
          <w:lang w:val="en-US"/>
        </w:rPr>
        <w:t xml:space="preserve"> yang mempelajari tentang bagaimana proses setiap individu berubah atau berkembang baik secara fisik, psikologi, kehidupan sosial, ternasuk dampak dari hubungan dengan keluarga dan teman sebaya </w:t>
      </w:r>
      <w:r>
        <w:rPr>
          <w:lang w:val="en-US"/>
        </w:rPr>
        <w:fldChar w:fldCharType="begin" w:fldLock="1"/>
      </w:r>
      <w:r>
        <w:rPr>
          <w:lang w:val="en-US"/>
        </w:rPr>
        <w:instrText>ADDIN CSL_CITATION {"citationItems":[{"id":"ITEM-1","itemData":{"ISBN":"9780470880166","ISSN":"1554-0138","PMID":"19400620","abstract":"(from the cover) The doubling of our average life span since the turn of the 20th century is considered by many scholars to be one of the most important changes in human existence. Handbook of LIfe-Span Development is the only volume to fully address, through a multidisciplinary perspective, the biological, cognitive, and psychological development that occurs from infancy through old age, and how the sociocultural and institutional factors interface with these changes. Edited by leading research scholars in the field of life-span development, the volume also includes contributions of specialists in behavioral genetics, socioemotional selectivity theory, neuroscience, ecological models, and more. It examines the dynamics of close relationships and informal ties among the elderly population, child-parent attachment relationships as a life-span phenomenon, developmental tasks across the life span, continuity and discontinuity in temperament and personality, the sociocultural context of cognition across the life span, and variability in approaches to social problem solving from early to later life. Given the number of recent demographic shifts, it also explores issues related to fertility, life expectancy, environmental contexts, technology, immigration, and public policy. Key features include the following: Integrates the full life span from infancy through old age in each chapter; Considers multidisciplinary perspectives that address personal relationships, cognitive development, and social, emotional, and physical health across the life span; Situates life-span development in ecological contexts (e.g., socioeconomic, neighborhood, and immigration status); Provides a concise but thorough resource for graduate seminars in life-span-related studies; Highlights future issues in all areas of life-span study. (PsycINFO Database Record (c) 2014 APA, all rights reserved)","author":[{"dropping-particle":"","family":"Martha","given":"Lally.","non-dropping-particle":"","parse-names":false,"suffix":""},{"dropping-particle":"","family":"Suzanne","given":"Valentine-French.","non-dropping-particle":"","parse-names":false,"suffix":""}],"container-title":"PsycCRITIQUES","id":"ITEM-1","issued":{"date-parts":[["2017"]]},"title":"LIFESPAN DEVELOPMENT: A Psychological Perspective.","type":"article-journal"},"uris":["http://www.mendeley.com/documents/?uuid=f475cb11-8866-40c7-b775-af65d0057af4"]}],"mendeley":{"formattedCitation":"(Martha &amp; Suzanne, 2017)","plainTextFormattedCitation":"(Martha &amp; Suzanne, 2017)","previouslyFormattedCitation":"(Martha &amp; Suzanne, 2017)"},"properties":{"noteIndex":0},"schema":"https://github.com/citation-style-language/schema/raw/master/csl-citation.json"}</w:instrText>
      </w:r>
      <w:r>
        <w:rPr>
          <w:lang w:val="en-US"/>
        </w:rPr>
        <w:fldChar w:fldCharType="separate"/>
      </w:r>
      <w:r w:rsidRPr="0085496F">
        <w:rPr>
          <w:noProof/>
          <w:lang w:val="en-US"/>
        </w:rPr>
        <w:t>(Martha &amp; Suzanne, 2017)</w:t>
      </w:r>
      <w:r>
        <w:rPr>
          <w:lang w:val="en-US"/>
        </w:rPr>
        <w:fldChar w:fldCharType="end"/>
      </w:r>
      <w:r>
        <w:rPr>
          <w:lang w:val="en-US"/>
        </w:rPr>
        <w:t>.</w:t>
      </w:r>
      <w:r w:rsidR="00BC578E" w:rsidRPr="00BC578E">
        <w:rPr>
          <w:lang w:val="en-US"/>
        </w:rPr>
        <w:t xml:space="preserve"> </w:t>
      </w:r>
      <w:r w:rsidR="00BC578E">
        <w:rPr>
          <w:lang w:val="en-US"/>
        </w:rPr>
        <w:fldChar w:fldCharType="begin" w:fldLock="1"/>
      </w:r>
      <w:r w:rsidR="00BC578E">
        <w:rPr>
          <w:lang w:val="en-US"/>
        </w:rPr>
        <w:instrText>ADDIN CSL_CITATION {"citationItems":[{"id":"ITEM-1","itemData":{"ISBN":"9780073532097","abstract":"(from the preface) This edition of Life-Span Development presents the latest, most contemporary research on each period of the human life span and includes more than 2,100 citations from the twenty-first century. The new research material includes: (1) Paul Baltes' (2003; Baltes &amp; Smith, 2003) most recent ideas about aging with important new material on the very different characteristics of the young old and oldest old (chapter 1). (2) The new field of evolutionary developmental psychology (Bjorklund &amp; Pellegrini, 2002) and the epigenetic view of heredity and environment (Gottlieb, 2004) (chapter 3). (3) A new section on the biological foundations and environmental experiences involved in infant emotion, including early development of the brain and its link to emotion (Lewis &amp; Steiben, 2004; Thompson, Easterbrooks, &amp; Walker, 2003) (chapter 7). (4) Gender differences in prosocial behavior (Eisenberg &amp; Morris, 2004) (chapter 11). (5) New section on development of the brain in adolescence (Keating, 2003/2Q04) (chapter 13). (6) New section on falling out of love (chapter 15). (7) New section on stress and disease (chapter 16). (8) New coverage of the increasingly discussed mitochondrial theory of aging (chapter 18). (PsycINFO Database Record (c) 2012 APA, all rights reserved).","author":[{"dropping-particle":"","family":"John W. Santrock","given":"","non-dropping-particle":"","parse-names":false,"suffix":""}],"container-title":"McGraw-Hill","id":"ITEM-1","issued":{"date-parts":[["2017"]]},"title":"LIFE-SPAN Development (13th ed.)","type":"book"},"uris":["http://www.mendeley.com/documents/?uuid=4cb1baa1-c809-4375-bceb-af4b69a43917"]}],"mendeley":{"formattedCitation":"(John W. Santrock, 2017)","manualFormatting":"John W. Santrock (2017)","plainTextFormattedCitation":"(John W. Santrock, 2017)","previouslyFormattedCitation":"(John W. Santrock, 2017)"},"properties":{"noteIndex":0},"schema":"https://github.com/citation-style-language/schema/raw/master/csl-citation.json"}</w:instrText>
      </w:r>
      <w:r w:rsidR="00BC578E">
        <w:rPr>
          <w:lang w:val="en-US"/>
        </w:rPr>
        <w:fldChar w:fldCharType="separate"/>
      </w:r>
      <w:r w:rsidR="00BC578E" w:rsidRPr="0085496F">
        <w:rPr>
          <w:noProof/>
          <w:lang w:val="en-US"/>
        </w:rPr>
        <w:t>John W. Santrock</w:t>
      </w:r>
      <w:r w:rsidR="00BC578E">
        <w:rPr>
          <w:noProof/>
          <w:lang w:val="en-US"/>
        </w:rPr>
        <w:t xml:space="preserve"> (</w:t>
      </w:r>
      <w:r w:rsidR="00BC578E" w:rsidRPr="0085496F">
        <w:rPr>
          <w:noProof/>
          <w:lang w:val="en-US"/>
        </w:rPr>
        <w:t>2017)</w:t>
      </w:r>
      <w:r w:rsidR="00BC578E">
        <w:rPr>
          <w:lang w:val="en-US"/>
        </w:rPr>
        <w:fldChar w:fldCharType="end"/>
      </w:r>
      <w:r w:rsidR="00BC578E">
        <w:rPr>
          <w:lang w:val="en-US"/>
        </w:rPr>
        <w:t xml:space="preserve"> menjelaskan bahwa perkembangan merupakan hasil dari interaksi antar 3 sistem yaitu :</w:t>
      </w:r>
    </w:p>
    <w:p w14:paraId="29CB4ED7" w14:textId="77777777" w:rsidR="00BC578E" w:rsidRDefault="00BC578E" w:rsidP="00BC578E">
      <w:pPr>
        <w:pStyle w:val="ListParagraph"/>
        <w:numPr>
          <w:ilvl w:val="0"/>
          <w:numId w:val="5"/>
        </w:numPr>
        <w:spacing w:after="0" w:line="240" w:lineRule="auto"/>
        <w:rPr>
          <w:lang w:val="en-US"/>
        </w:rPr>
      </w:pPr>
      <w:r w:rsidRPr="005F17B1">
        <w:rPr>
          <w:lang w:val="en-US"/>
        </w:rPr>
        <w:t xml:space="preserve">Pengaruh tingkat usia normatif adalah pengaruh biologis dan lingkungan yang </w:t>
      </w:r>
      <w:r>
        <w:rPr>
          <w:lang w:val="en-US"/>
        </w:rPr>
        <w:t>s</w:t>
      </w:r>
      <w:r w:rsidRPr="005F17B1">
        <w:rPr>
          <w:lang w:val="en-US"/>
        </w:rPr>
        <w:t xml:space="preserve">ama bagi orang-orang dalam suatu kelompok usia tertentu.  </w:t>
      </w:r>
    </w:p>
    <w:p w14:paraId="779C66BE" w14:textId="77777777" w:rsidR="00BC578E" w:rsidRDefault="00BC578E" w:rsidP="00BC578E">
      <w:pPr>
        <w:pStyle w:val="ListParagraph"/>
        <w:numPr>
          <w:ilvl w:val="0"/>
          <w:numId w:val="5"/>
        </w:numPr>
        <w:spacing w:after="0" w:line="240" w:lineRule="auto"/>
        <w:rPr>
          <w:lang w:val="en-US"/>
        </w:rPr>
      </w:pPr>
      <w:r w:rsidRPr="005F17B1">
        <w:rPr>
          <w:lang w:val="en-US"/>
        </w:rPr>
        <w:t>Pengaruh tingkat sejarah normatif adalah p</w:t>
      </w:r>
      <w:r>
        <w:rPr>
          <w:lang w:val="en-US"/>
        </w:rPr>
        <w:t>engaruh biologis dan lingkungan.</w:t>
      </w:r>
    </w:p>
    <w:p w14:paraId="461E82A8" w14:textId="77777777" w:rsidR="00BC578E" w:rsidRDefault="00BC578E" w:rsidP="00BC578E">
      <w:pPr>
        <w:pStyle w:val="ListParagraph"/>
        <w:numPr>
          <w:ilvl w:val="0"/>
          <w:numId w:val="5"/>
        </w:numPr>
        <w:spacing w:after="0" w:line="240" w:lineRule="auto"/>
        <w:rPr>
          <w:lang w:val="en-US"/>
        </w:rPr>
      </w:pPr>
      <w:r w:rsidRPr="005F17B1">
        <w:rPr>
          <w:lang w:val="en-US"/>
        </w:rPr>
        <w:t xml:space="preserve">Pengaruh peristiwa-peristiwa kehidupan non normatif adalah peristiwa yang tidak biasa, tetapi memiliki pengaruh penting bagi kehidupan individu.  </w:t>
      </w:r>
    </w:p>
    <w:p w14:paraId="262129D2" w14:textId="20FBE467" w:rsidR="00BC578E" w:rsidRDefault="00BC578E" w:rsidP="00BC578E">
      <w:pPr>
        <w:pStyle w:val="ListParagraph"/>
        <w:spacing w:after="0" w:line="240" w:lineRule="auto"/>
        <w:ind w:left="0"/>
        <w:rPr>
          <w:lang w:val="en-US"/>
        </w:rPr>
      </w:pPr>
      <w:r>
        <w:rPr>
          <w:b/>
          <w:bCs/>
          <w:lang w:val="en-US"/>
        </w:rPr>
        <w:t xml:space="preserve">      </w:t>
      </w:r>
      <w:r>
        <w:rPr>
          <w:lang w:val="en-US"/>
        </w:rPr>
        <w:t>Kesejahteraan keuangan adalah sebuah kondisi yang menggambarkan tujuan keuangan, kepuasan terhadap keuangan</w:t>
      </w:r>
      <w:r w:rsidRPr="0085496F">
        <w:rPr>
          <w:lang w:val="en-US"/>
        </w:rPr>
        <w:t>, perilaku keuangan,</w:t>
      </w:r>
      <w:r>
        <w:rPr>
          <w:lang w:val="en-US"/>
        </w:rPr>
        <w:t xml:space="preserve"> literasi</w:t>
      </w:r>
      <w:r w:rsidRPr="0085496F">
        <w:rPr>
          <w:lang w:val="en-US"/>
        </w:rPr>
        <w:t xml:space="preserve"> keuangan, </w:t>
      </w:r>
      <w:r>
        <w:rPr>
          <w:lang w:val="en-US"/>
        </w:rPr>
        <w:t xml:space="preserve">dan kendali terhadap keuangan pribadi </w:t>
      </w:r>
      <w:r>
        <w:rPr>
          <w:lang w:val="en-US"/>
        </w:rPr>
        <w:fldChar w:fldCharType="begin" w:fldLock="1"/>
      </w:r>
      <w:r>
        <w:rPr>
          <w:lang w:val="en-US"/>
        </w:rPr>
        <w:instrText>ADDIN CSL_CITATION {"citationItems":[{"id":"ITEM-1","itemData":{"DOI":"10.1007/s40894-016-0052-x","ISSN":"23638354","abstract":"The financial crisis of 2008 has led to an increase in the number of studies on the financial condition of the younger generations. The current review maps the literature on the financial well-being of emerging adults in different disciplines (i.e., Economics, Sociology, Psychology) to systematically summarize and organize the scientific knowledge about their financial well-being by identifying this construct’s definition, components, predictors, and outcomes. Electronic databases were searched for English-language studies that measured the financial well-being (or its synonyms) variable and referred to emerging adults (18–29 years). A total of 44 records were found eligible. The mapping of the coded data was organized into five sections: (1) publication, (2) research aim, (3) the financial well-being construct, (4) data collection, and (5) the relationships among variables. The collected information revealed that financial well-being is a complex and multidimensional construct, as emphasized in financial well-being’s definition and components. The hierarchical relationship between financial well-being, financial wellness, financial health, financial satisfaction, and income satisfaction was clarified. The predictors of financial well-being were organized into 10 different categories and located in 4 quadrants generated by two axes: level (individual vs contextual) and domain (financial vs non-financial). Finally, research gaps and future research directions were described.","author":[{"dropping-particle":"","family":"Sorgente","given":"Angela","non-dropping-particle":"","parse-names":false,"suffix":""},{"dropping-particle":"","family":"Lanz","given":"Margherita","non-dropping-particle":"","parse-names":false,"suffix":""}],"container-title":"Adolescent Research Review","id":"ITEM-1","issued":{"date-parts":[["2017"]]},"title":"Emerging Adults’ Financial Well-being: A Scoping Review","type":"article"},"uris":["http://www.mendeley.com/documents/?uuid=cb1d9623-133b-466c-b63c-8b51d617ee3b"]}],"mendeley":{"formattedCitation":"(Sorgente &amp; Lanz, 2017)","plainTextFormattedCitation":"(Sorgente &amp; Lanz, 2017)","previouslyFormattedCitation":"(Sorgente &amp; Lanz, 2017)"},"properties":{"noteIndex":0},"schema":"https://github.com/citation-style-language/schema/raw/master/csl-citation.json"}</w:instrText>
      </w:r>
      <w:r>
        <w:rPr>
          <w:lang w:val="en-US"/>
        </w:rPr>
        <w:fldChar w:fldCharType="separate"/>
      </w:r>
      <w:r w:rsidRPr="0085496F">
        <w:rPr>
          <w:noProof/>
          <w:lang w:val="en-US"/>
        </w:rPr>
        <w:t>(Sorgente &amp; Lanz, 2017)</w:t>
      </w:r>
      <w:r>
        <w:rPr>
          <w:lang w:val="en-US"/>
        </w:rPr>
        <w:fldChar w:fldCharType="end"/>
      </w:r>
      <w:r>
        <w:rPr>
          <w:lang w:val="en-US"/>
        </w:rPr>
        <w:t xml:space="preserve">. </w:t>
      </w:r>
      <w:r>
        <w:rPr>
          <w:lang w:val="en-US"/>
        </w:rPr>
        <w:fldChar w:fldCharType="begin" w:fldLock="1"/>
      </w:r>
      <w:r>
        <w:rPr>
          <w:lang w:val="en-US"/>
        </w:rPr>
        <w:instrText>ADDIN CSL_CITATION {"citationItems":[{"id":"ITEM-1","itemData":{"abstract":"Money matters. It can determine, how we live, how stressed we feel and what options are available to us, now and in the future. The ability to manage money and cope with unexpected financial shocks is important for individuals, households and the economy. Around the world, programs are attempting to improve financial capability, inclusion and resilience as a way to improve financial wellbeing. These efforts are occurring across Australia, such as the National Financial Literacy Strategy and the Financial Inclusion Action Plan. But what does financial wellbeing mean? Definitions of financial wellbeing have begun to emerge internationally. This project, commissioned by Financial Literacy Australia, looks at financial wellbeing in the Australian context. It provides a definition that aims to be relevant to Australians of different ages, and meaningful to organisations that work to improve financial outcomes. The project asked: What is financial wellbeing, and what are its different parts? What are the factors that influence financial wellbeing? Where does financial capability fit in? How can we measure financial wellbeing? The study used data from an international literature review; focus groups and interviews with 72 people; a survey of 821 people living in Australia aged 18 and over; and consultations with experts in the field.","author":[{"dropping-particle":"","family":"Muir","given":"Kristy","non-dropping-particle":"","parse-names":false,"suffix":""},{"dropping-particle":"","family":"Hamilton","given":"Myra","non-dropping-particle":"","parse-names":false,"suffix":""},{"dropping-particle":"","family":"Noone","given":"Jack H.","non-dropping-particle":"","parse-names":false,"suffix":""},{"dropping-particle":"","family":"Marjolin","given":"Axelle","non-dropping-particle":"","parse-names":false,"suffix":""},{"dropping-particle":"","family":"Salignac","given":"Fanny","non-dropping-particle":"","parse-names":false,"suffix":""},{"dropping-particle":"","family":"Saunders","given":"Peter","non-dropping-particle":"","parse-names":false,"suffix":""}],"container-title":"Centre for Social Impact &amp; Social Policy Research Centre","id":"ITEM-1","issued":{"date-parts":[["2017"]]},"title":"Exploring Financial Wellbeing in the Australian Context","type":"article-journal"},"uris":["http://www.mendeley.com/documents/?uuid=bca3a3c6-134d-49b8-bcd5-fc5a449e13fa"]}],"mendeley":{"formattedCitation":"(Muir et al., 2017)","manualFormatting":"Muir et al., (2017)","plainTextFormattedCitation":"(Muir et al., 2017)","previouslyFormattedCitation":"(Muir et al., 2017)"},"properties":{"noteIndex":0},"schema":"https://github.com/citation-style-language/schema/raw/master/csl-citation.json"}</w:instrText>
      </w:r>
      <w:r>
        <w:rPr>
          <w:lang w:val="en-US"/>
        </w:rPr>
        <w:fldChar w:fldCharType="separate"/>
      </w:r>
      <w:r w:rsidRPr="0085496F">
        <w:rPr>
          <w:noProof/>
          <w:lang w:val="en-US"/>
        </w:rPr>
        <w:t xml:space="preserve">Muir et al., </w:t>
      </w:r>
      <w:r>
        <w:rPr>
          <w:noProof/>
          <w:lang w:val="en-US"/>
        </w:rPr>
        <w:t>(</w:t>
      </w:r>
      <w:r w:rsidRPr="0085496F">
        <w:rPr>
          <w:noProof/>
          <w:lang w:val="en-US"/>
        </w:rPr>
        <w:t>2017)</w:t>
      </w:r>
      <w:r>
        <w:rPr>
          <w:lang w:val="en-US"/>
        </w:rPr>
        <w:fldChar w:fldCharType="end"/>
      </w:r>
      <w:r>
        <w:rPr>
          <w:lang w:val="en-US"/>
        </w:rPr>
        <w:t xml:space="preserve"> kesejahteraan keuangan merupakan keadaan dimana seseorang sudah merasa aman secara finansial baik dimasa kini atau dimasa yang akan datang.</w:t>
      </w:r>
      <w:r w:rsidRPr="006D1C61">
        <w:rPr>
          <w:lang w:val="en-US"/>
        </w:rPr>
        <w:t xml:space="preserve">. Selain itu, </w:t>
      </w:r>
      <w:r>
        <w:rPr>
          <w:lang w:val="en-US"/>
        </w:rPr>
        <w:fldChar w:fldCharType="begin" w:fldLock="1"/>
      </w:r>
      <w:r>
        <w:rPr>
          <w:lang w:val="en-US"/>
        </w:rPr>
        <w:instrText>ADDIN CSL_CITATION {"citationItems":[{"id":"ITEM-1","itemData":{"DOI":"10.15405/epsbs.2016.02.49","abstract":"The article analyzes the term structure of the \" wellbeing \" concept and describes the various approaches to its definition (theoretical, statistical). Special attention is paid to the concept of financial wellbeing, the factors affecting it and its defining. The authors introduce quantitative indicators, which have a framework nature and starting with them we can speak about financial wellbeing of typical households: minimum consumer budgets that allow householders to live, to develop and to achieve their goals. This research integrates two conceptions in a model of personal well-being: theory of subjective wellbeing of theory of different forms of the capital. Personal well-being consists of physical, psychological (including emotional and mental), social and financial wellbeing. All components of wellbeing are connected with forms of capital, which belong to a person (physical health, capital, social and financial capital). Financial wellbeing defines by financial behavior and income flow generated by basic asset. Financial behavior is an outcome of financial literacy and knowledge, financial attitudes and financial management.","author":[{"dropping-particle":"","family":"Zemtsov","given":"Anatoliy A.","non-dropping-particle":"","parse-names":false,"suffix":""},{"dropping-particle":"","family":"Osipova","given":"Tatiana Yu.","non-dropping-particle":"","parse-names":false,"suffix":""}],"id":"ITEM-1","issued":{"date-parts":[["2016"]]},"title":"Financial Wellbeing as a Type of Human Wellbeing: Theoretical Review","type":"paper-conference"},"uris":["http://www.mendeley.com/documents/?uuid=b714c279-697e-4b25-a3b2-eff41c97779f"]}],"mendeley":{"formattedCitation":"(Zemtsov &amp; Osipova, 2016)","manualFormatting":"Zemtsov &amp; Osipova, (2016)","plainTextFormattedCitation":"(Zemtsov &amp; Osipova, 2016)","previouslyFormattedCitation":"(Zemtsov &amp; Osipova, 2016)"},"properties":{"noteIndex":0},"schema":"https://github.com/citation-style-language/schema/raw/master/csl-citation.json"}</w:instrText>
      </w:r>
      <w:r>
        <w:rPr>
          <w:lang w:val="en-US"/>
        </w:rPr>
        <w:fldChar w:fldCharType="separate"/>
      </w:r>
      <w:r w:rsidRPr="0085496F">
        <w:rPr>
          <w:noProof/>
          <w:lang w:val="en-US"/>
        </w:rPr>
        <w:t xml:space="preserve">Zemtsov &amp; Osipova, </w:t>
      </w:r>
      <w:r>
        <w:rPr>
          <w:noProof/>
          <w:lang w:val="en-US"/>
        </w:rPr>
        <w:t>(</w:t>
      </w:r>
      <w:r w:rsidRPr="0085496F">
        <w:rPr>
          <w:noProof/>
          <w:lang w:val="en-US"/>
        </w:rPr>
        <w:t>2016)</w:t>
      </w:r>
      <w:r>
        <w:rPr>
          <w:lang w:val="en-US"/>
        </w:rPr>
        <w:fldChar w:fldCharType="end"/>
      </w:r>
      <w:r w:rsidRPr="006D1C61">
        <w:rPr>
          <w:lang w:val="en-US"/>
        </w:rPr>
        <w:t xml:space="preserve"> menyatakan bahwa </w:t>
      </w:r>
      <w:r w:rsidRPr="006D1C61">
        <w:rPr>
          <w:i/>
          <w:iCs/>
          <w:lang w:val="en-US"/>
        </w:rPr>
        <w:t>financial well being</w:t>
      </w:r>
      <w:r w:rsidRPr="006D1C61">
        <w:rPr>
          <w:lang w:val="en-US"/>
        </w:rPr>
        <w:t xml:space="preserve"> tergantung pada perilaku keuangan dan aliran pendapatan yang dihasilkan oleh aset yang dimiliki.</w:t>
      </w:r>
      <w:r>
        <w:rPr>
          <w:lang w:val="en-US"/>
        </w:rPr>
        <w:t xml:space="preserve"> Dari penjelasan diatas dapat disimpulkan bahwa kesejahteraan keuangan adalah keadaan dimana seseorang mampu memenuhi kebutuhan pokok dan memiliki tabungan untuk masa yang akan datang. Kesejahteraan keuangan dapat terwujud apabila setiap individu melakukan pengelolaan keuangan dengan baik.</w:t>
      </w:r>
    </w:p>
    <w:p w14:paraId="0ACF2ED4" w14:textId="6B542AE1" w:rsidR="00BC578E" w:rsidRDefault="00BC578E" w:rsidP="00BC578E">
      <w:pPr>
        <w:spacing w:after="0" w:line="240" w:lineRule="auto"/>
        <w:rPr>
          <w:lang w:val="en-US"/>
        </w:rPr>
      </w:pPr>
      <w:r>
        <w:rPr>
          <w:lang w:val="en-US"/>
        </w:rPr>
        <w:t xml:space="preserve">      </w:t>
      </w:r>
      <w:r w:rsidRPr="007F021F">
        <w:rPr>
          <w:lang w:val="en-US"/>
        </w:rPr>
        <w:t xml:space="preserve">Literasi keuangan merupakan </w:t>
      </w:r>
      <w:r>
        <w:rPr>
          <w:lang w:val="en-US"/>
        </w:rPr>
        <w:t xml:space="preserve">kemampuan individu dalam mengaplikasikan kemampuan mengelola keuangan untuk menenentukan sebuah keputusan dan menilai resiko yang mungkin diterima </w:t>
      </w:r>
      <w:r>
        <w:rPr>
          <w:lang w:val="en-US"/>
        </w:rPr>
        <w:fldChar w:fldCharType="begin" w:fldLock="1"/>
      </w:r>
      <w:r>
        <w:rPr>
          <w:lang w:val="en-US"/>
        </w:rPr>
        <w:instrText>ADDIN CSL_CITATION {"citationItems":[{"id":"ITEM-1","itemData":{"DOI":"10.32812/jibeka.v13i1.111","ISSN":"0126-1258","abstract":"Literasi keuangan yang rendah akan berdampak pada pembuatan keputusan dalam kehidupan sehari-hari. Pembuatan keputusan yang salah akan berakhir pada pengelolaan ekonomi yang buruk dan tidak efektif dapat mengakibatkan perilaku masyarakat yang rentan akan krisis keuangan dan berpotensi mengalami kerugian akibat kejahatan di sektor keuangan. Tingkat literasi keuangan akan berbeda-beda sesuai dengan ciri-ciri demografinya. Wanita, kaum minoritas dan golongan berpenghasilan rendah cenderung memiliki tingkat literasi keuangan yang rendah. Begitu juga dengan usia, usia sangat menentukan sudut pandang orang terhadap sesuatu. Generasi Y adalah generasi yang lahir di rentang tahun 1980-1994 dimana generasi ini sangat erat dengan teknologi dan memiliki kebiasaan yang berbeda dengan generasi lainnya. Tujuan dari penelitian ini adalah mengukur indeks literasi keuangan pada generasi milenial. Penelitian ini menggunakan jenis penelitian deskriptif sehingga peneliti menjabarkan indeks yang telah dihitung sebelumnya. Indeks tersebut kemudian diuji pengaruhnya dengan perilaku keuangan. Hasil pengujian menunjukkan literasi keuangan dasar dan syariah berpengaruh positif signifikan terhadap perilaku keuangan. Hal tersebut dibuktikan dengan nilai t hitung kedua variabel yang lebih besar daripada t tabel (3,147&gt;1,97; 2,512&gt;1,97). Semakin seseorang paham akan konsep keuangan maka semakin ia mampu mengelola dengan baik keuangannya.","author":[{"dropping-particle":"","family":"Ningtyas","given":"Mega Noerman","non-dropping-particle":"","parse-names":false,"suffix":""}],"container-title":"Jurnal Ilmiah Bisnis dan Ekonomi Asia","id":"ITEM-1","issued":{"date-parts":[["2019"]]},"title":"Literasi Keuangan pada Generasi Milenial","type":"article-journal"},"uris":["http://www.mendeley.com/documents/?uuid=03dc5f05-6afe-4c4c-aac6-c7cf9459b035"]}],"mendeley":{"formattedCitation":"(Ningtyas, 2019)","plainTextFormattedCitation":"(Ningtyas, 2019)","previouslyFormattedCitation":"(Ningtyas, 2019)"},"properties":{"noteIndex":0},"schema":"https://github.com/citation-style-language/schema/raw/master/csl-citation.json"}</w:instrText>
      </w:r>
      <w:r>
        <w:rPr>
          <w:lang w:val="en-US"/>
        </w:rPr>
        <w:fldChar w:fldCharType="separate"/>
      </w:r>
      <w:r w:rsidRPr="0085496F">
        <w:rPr>
          <w:noProof/>
          <w:lang w:val="en-US"/>
        </w:rPr>
        <w:t>(Ningtyas, 2019)</w:t>
      </w:r>
      <w:r>
        <w:rPr>
          <w:lang w:val="en-US"/>
        </w:rPr>
        <w:fldChar w:fldCharType="end"/>
      </w:r>
      <w:r>
        <w:rPr>
          <w:lang w:val="en-US"/>
        </w:rPr>
        <w:t xml:space="preserve">. </w:t>
      </w:r>
      <w:r>
        <w:rPr>
          <w:lang w:val="en-US"/>
        </w:rPr>
        <w:fldChar w:fldCharType="begin" w:fldLock="1"/>
      </w:r>
      <w:r>
        <w:rPr>
          <w:lang w:val="en-US"/>
        </w:rPr>
        <w:instrText>ADDIN CSL_CITATION {"citationItems":[{"id":"ITEM-1","itemData":{"abstract":"Jakarta, 24 Januari 2017. Survei Nasional Literasi dan Inklusi Keuangan (SNLIK) kedua yang dilakukan Otoritas Jasa Keuangan (OJK) pada tahun 2016 menunjukkan indeks literasi keuangan sebesar 29,66% dan indeks inklusi keuangan sebesar 67,82%. Angka tersebut meningkat dibanding hasil SNLIK pada 2013, yaitu indeks literasi keuangan 21,84% dan indeks inklusi keuangan 59,74%. Dengan demikian telah terjadi peningkatan pemahaman keuangan (well literate) dari 21,84 persen menjadi 29,66 persen, serta peningkatan akses terhadap produk dan layanan jasa keuangan (inklusi keuangan) dari 59,74 persen menjadi 67,82 persen. \" Peningkatan tersebut merupakan hasil kerja keras OJK dan Industri Jasa Keuangan, yang terus berusaha secara berkesinambungan meningkatkan literasi dan inklusi keuangan di masyarakat, \" kata Kusumaningtuti S. Soetiono, Anggota Dewan Komisioner OJK Bidang Edukasi dan Perlindungan Konsumen. Menurutnya, OJK bersama IJK akan terus mendorong dan melaksanakan program literasi dan inklusi keuangan agar target indeks inklusi keuangan yang dicanangkan pemerintah melalui Peraturan Presiden Republik Indonesia Nomor 82 tahun 2016 tentang Strategi Nasional Keuangan Inklusif (SNKI) sebesar 75% pada tahun 2019 dapat tercapai. SNLIK 2016 dilakukan OJK untuk mengukur efektivitas implementasi SNLIK 2013 yang telah dilakukan dan memetakan kembali tingkat literasi dan inklusi keuangan masyarakat terkini. Survei tahun 2016 mencakup 9.680 responden di 34 provinsi yang tersebar di 64 kota/ kabupaten di Indonesia dengan mempertimbangkan gender, strata wilayah, umur, pengeluaran, pekerjaan, dan tingkat pendidikan. Survei ini untuk pertama kalinya mengukur tingkat literasi dan inklusi keuangan syariah masing-masing sebesar 8,11% dan 11,06%. Sebagai tambahan, hasil survei juga mencakup indeks literasi dan inklusi keuangan per provinsi dan per sektor jasa keuangan, baik untuk sektor jasa keuangan konvensional maupun syariah. Otoritas Jasa Keuangan sesuai amanat Undang-Undang Nomor 21 Tahun 2011 memiliki fungsi mengatur dan mengawasi industri jasa keuangan sekaligus melindungi konsumen, khususnya dalam berinteraksi dengan industri jasa keuangan. Perlindungan masyarakat dalam konteks preventif memiliki aspek literasi dan edukasi keuangan dan capacity building yang membutuhkan strategi khusus dalam implementasinya. Untuk pertama kalinya OJK melaksanakan Survei Nasional Literasi Keuangan (SNLK) pada tahun 2013, dengan hasil dari setiap 100 penduduk di Indonesia hanya 21 orang yan…","author":[{"dropping-particle":"","family":"OJK","given":"","non-dropping-particle":"","parse-names":false,"suffix":""}],"container-title":"Ojk","id":"ITEM-1","issued":{"date-parts":[["2017"]]},"title":"OJK: Indeks Literasi Dan Inklusi Keuangan Meningkat","type":"article-journal"},"uris":["http://www.mendeley.com/documents/?uuid=7a04999a-a404-4fbb-a7e8-2eb39d1697e6"]}],"mendeley":{"formattedCitation":"(OJK, 2017)","manualFormatting":"OJK (2017)","plainTextFormattedCitation":"(OJK, 2017)","previouslyFormattedCitation":"(OJK, 2017)"},"properties":{"noteIndex":0},"schema":"https://github.com/citation-style-language/schema/raw/master/csl-citation.json"}</w:instrText>
      </w:r>
      <w:r>
        <w:rPr>
          <w:lang w:val="en-US"/>
        </w:rPr>
        <w:fldChar w:fldCharType="separate"/>
      </w:r>
      <w:r w:rsidRPr="0085496F">
        <w:rPr>
          <w:noProof/>
          <w:lang w:val="en-US"/>
        </w:rPr>
        <w:t>OJK</w:t>
      </w:r>
      <w:r>
        <w:rPr>
          <w:noProof/>
          <w:lang w:val="en-US"/>
        </w:rPr>
        <w:t xml:space="preserve"> (</w:t>
      </w:r>
      <w:r w:rsidRPr="0085496F">
        <w:rPr>
          <w:noProof/>
          <w:lang w:val="en-US"/>
        </w:rPr>
        <w:t>2017)</w:t>
      </w:r>
      <w:r>
        <w:rPr>
          <w:lang w:val="en-US"/>
        </w:rPr>
        <w:fldChar w:fldCharType="end"/>
      </w:r>
      <w:r>
        <w:rPr>
          <w:lang w:val="en-US"/>
        </w:rPr>
        <w:t xml:space="preserve"> literasi keuangan merupakan pengetahuan yang mempengaruhi perilaku seseorang dalam menentukan keputusan dan cara mengelola keuangan dengan tujuan untuk mencapai kesejahteraan. </w:t>
      </w:r>
      <w:r>
        <w:rPr>
          <w:lang w:val="en-US"/>
        </w:rPr>
        <w:fldChar w:fldCharType="begin" w:fldLock="1"/>
      </w:r>
      <w:r>
        <w:rPr>
          <w:lang w:val="en-US"/>
        </w:rPr>
        <w:instrText>ADDIN CSL_CITATION {"citationItems":[{"id":"ITEM-1","itemData":{"abstract":"Abstrak Penelitian ini bertujuan untuk meneliti bagaimana tingkat literasi keuangan mahasiswa S1 dan faktor yang mempengaruhinya. Penelitian ini menggunakan kuesioner yang disebarkan sebanyak 625 kuesioner dan hanya 584 kuesioner yang dapat digunakan. Metode analisis data adalah statistik deskriptif dan uji ANOVA. Tingkat literasi keuangan adalah 48,91% berada dalam kategori rendah. Hasil pengujian menun-jukkan terdapat pengaruh antara jenis kelamin, usia, IPK, dan pendapatan orang tua. Hasil tersebut menunjukkan bahwa mahasiswa harus meningkatkan pemahaman mereka tentang personal finance khususnya dalam area investasi. Selain itu universitas dapat memberi pendidikan tentang personal finance kepada mahasiswa. Saran untuk penelitian selanjutnya adalah meneliti seluruh mahasiswa Universitas Trisakti, menggunakan metode online, menambah jumlah pertanyaan dan menambah variabel seperti pendapatan mahasiswa, kepemilikan tabungan, hutang dan pengalaman kerja mahasiswa. Kata kunci: Literasi keuangan, personal finance, jenis kelamin, usia, IPK Abstract The purpose of this research was to examine the level of financial literacy and the factors that influence undergraduate students of Faculty of Economics. This study distributed 625 questionnaires and only 584 usable questionnaires. Data analysis methods used by this research were descriptive statistics and ANOVA. The level of financial literacy was 48.91% were in the low category. The test results revealed that there was influence of gender, age, GPA, and parents income. The results showed that students should improve their understanding of personal finance, especially in the area of investment, in addition to the university to provide education about personal finance to students. Suggestions for further research was examined throughout the Trisakti University students, using online methods, increasing the number of questions and adding variables such as student income, savings and debt holdings and work experience students.","author":[{"dropping-particle":"","family":"Margaretha","given":"Farah","non-dropping-particle":"","parse-names":false,"suffix":""},{"dropping-particle":"","family":"Pambudhi","given":"Reza Arief","non-dropping-particle":"","parse-names":false,"suffix":""}],"container-title":"Tingkat Literasi Keuangan Pada Mahasiswa S-1 Fakultas Ekonomi","id":"ITEM-1","issued":{"date-parts":[["2015"]]},"title":"Tingkat Literasi Keuangan Pada Mahasiswa S-1","type":"article-journal"},"uris":["http://www.mendeley.com/documents/?uuid=4a28b1ac-ea36-4087-a5fd-f72319613c7d"]}],"mendeley":{"formattedCitation":"(Margaretha &amp; Pambudhi, 2015)","manualFormatting":"Margaretha &amp; Pambudhi, (2015)","plainTextFormattedCitation":"(Margaretha &amp; Pambudhi, 2015)","previouslyFormattedCitation":"(Margaretha &amp; Pambudhi, 2015)"},"properties":{"noteIndex":0},"schema":"https://github.com/citation-style-language/schema/raw/master/csl-citation.json"}</w:instrText>
      </w:r>
      <w:r>
        <w:rPr>
          <w:lang w:val="en-US"/>
        </w:rPr>
        <w:fldChar w:fldCharType="separate"/>
      </w:r>
      <w:r w:rsidRPr="0085496F">
        <w:rPr>
          <w:noProof/>
          <w:lang w:val="en-US"/>
        </w:rPr>
        <w:t xml:space="preserve">Margaretha &amp; Pambudhi, </w:t>
      </w:r>
      <w:r>
        <w:rPr>
          <w:noProof/>
          <w:lang w:val="en-US"/>
        </w:rPr>
        <w:t>(</w:t>
      </w:r>
      <w:r w:rsidRPr="0085496F">
        <w:rPr>
          <w:noProof/>
          <w:lang w:val="en-US"/>
        </w:rPr>
        <w:t>2015)</w:t>
      </w:r>
      <w:r>
        <w:rPr>
          <w:lang w:val="en-US"/>
        </w:rPr>
        <w:fldChar w:fldCharType="end"/>
      </w:r>
      <w:r>
        <w:rPr>
          <w:lang w:val="en-US"/>
        </w:rPr>
        <w:t xml:space="preserve"> literasi keuangan sebagai kemampuan individu untuk menilai dan membuat keputusan yang efektif terkait pengelolaan keuangan. Dari definisi diatas dapat dikatakan literasi keuangan adalah kemampuan seseorang dalam mengambil keputusan terkait keuangan dan pengelolaan keuangan yang akan berpengaruh terhadap kehidupan dimasa yang akan datang.</w:t>
      </w:r>
    </w:p>
    <w:p w14:paraId="5BD58631" w14:textId="3FE62A2E" w:rsidR="00D574A9" w:rsidRDefault="00BC578E" w:rsidP="00D574A9">
      <w:pPr>
        <w:spacing w:after="0" w:line="240" w:lineRule="auto"/>
        <w:rPr>
          <w:lang w:val="en-US"/>
        </w:rPr>
      </w:pPr>
      <w:r>
        <w:rPr>
          <w:lang w:val="en-US"/>
        </w:rPr>
        <w:lastRenderedPageBreak/>
        <w:t xml:space="preserve">      </w:t>
      </w:r>
      <w:r w:rsidRPr="00BC578E">
        <w:rPr>
          <w:lang w:val="en-US"/>
        </w:rPr>
        <w:t xml:space="preserve">Perilaku keuangan adalah proses pengambilan keputusan keuangan, keselarasan antara tujuan individu dan tujuan perusahaan </w:t>
      </w:r>
      <w:r w:rsidRPr="00BC578E">
        <w:rPr>
          <w:lang w:val="en-US"/>
        </w:rPr>
        <w:fldChar w:fldCharType="begin" w:fldLock="1"/>
      </w:r>
      <w:r w:rsidRPr="00BC578E">
        <w:rPr>
          <w:lang w:val="en-US"/>
        </w:rPr>
        <w:instrText>ADDIN CSL_CITATION {"citationItems":[{"id":"ITEM-1","itemData":{"DOI":"10.21831/nominal.v7i1.19363","ISSN":"2303-2065","abstract":"Penelitian ini bertujuan untuk mengetahui (1) pengaruh Pengetahuan Keuangan terhadap Perilaku Manajemen Keuangan pada pelaku UMKM Sentra Kerajinan Batik Kab.Bantul, (2) pengaruh Sikap Keuangan terhadap Perilaku Manajemen Keuangan pada Pelaku UMKM Sentra Kerajinan Batik Kab.Bantul, (3) pengaruh Kepribadian terhadap Perilaku Manajemen Keuangan pada Pelaku UMKM Sentra Kerajinan Batik Kab.Bantul, (4) dan pengaruh Pengetahuan Keuangan, Sikap Keuangan, dan Kepribadian terhadap Perilaku Manajemen Keuangan pada Pelaku UMKM Sentra Kerajinan Batik Kab.Bantul. Subjek penelitian ini adalah seluruh pemilik UMKM Sentra Kerajinan Batik Kab.Bantul Sebanyak 37 UMKM. Uji prasyarat analisis meliputi uji linearitas, uji multikolinearitas dan uji heteroskedastisitas. Teknik analisis data yang digunakan adalah analisis regresi linier sederhana dan analisis regresi linier berganda. Hasil penelitian menunjukkan bahwa (1) terdapat pengaruh positif Pengetahuan Keuangan terhadap Perilaku Manajemen Keuangan pada pelaku UMKM Sentra Kerajinan Batik Kab.Bantul, (2) terdapat pengaruh positif Sikap Keuangan terhadap Perilaku Manajemen Keuangan pada pelaku UMKM Sentra Kerajinan Batik Kab.Bantul, (3) terdapat pengaruh positif Kepribadian terhadap Perilaku Manajemen Keuangan pada pelaku UMKM Sentra Kerajinan Batik Kab.Bantul, (4) terdapat pengaruh positif Pengetahuan Keuangan, Sikap Keuangan, dan Kepribadian terhadap Perilaku Manajemen Keuangan pada pelaku UMKM Sentra Kerajinan Batik Kab.Bantul. Kata Kunci: Pengetahuan Keuangan, Sikap Keuangan, Kepribadian, Perilaku Manajemen Keuangan","author":[{"dropping-particle":"","family":"Humaira","given":"Iklima","non-dropping-particle":"","parse-names":false,"suffix":""},{"dropping-particle":"","family":"Sagoro","given":"Endra Murti","non-dropping-particle":"","parse-names":false,"suffix":""}],"container-title":"Nominal, Barometer Riset Akuntansi dan Manajemen","id":"ITEM-1","issue":"1","issued":{"date-parts":[["2018"]]},"title":"Pengaruh Pengetahuan Keuangan, Sikap Keuangan, Dan Kepribadian Terhadap Perilaku Manajemen Keuangan Pada Pelaku Umkm Sentra Kerajinan Batik Kabupaten Bantul","type":"article-journal","volume":"7"},"uris":["http://www.mendeley.com/documents/?uuid=6cf5ea52-1232-4ab9-b940-c8d4e13694e3"]}],"mendeley":{"formattedCitation":"(Humaira &amp; Sagoro, 2018)","plainTextFormattedCitation":"(Humaira &amp; Sagoro, 2018)","previouslyFormattedCitation":"(Humaira &amp; Sagoro, 2018)"},"properties":{"noteIndex":0},"schema":"https://github.com/citation-style-language/schema/raw/master/csl-citation.json"}</w:instrText>
      </w:r>
      <w:r w:rsidRPr="00BC578E">
        <w:rPr>
          <w:lang w:val="en-US"/>
        </w:rPr>
        <w:fldChar w:fldCharType="separate"/>
      </w:r>
      <w:r w:rsidRPr="00BC578E">
        <w:rPr>
          <w:noProof/>
          <w:lang w:val="en-US"/>
        </w:rPr>
        <w:t>(Humaira &amp; Sagoro, 2018)</w:t>
      </w:r>
      <w:r w:rsidRPr="00BC578E">
        <w:rPr>
          <w:lang w:val="en-US"/>
        </w:rPr>
        <w:fldChar w:fldCharType="end"/>
      </w:r>
      <w:r w:rsidRPr="00BC578E">
        <w:rPr>
          <w:lang w:val="en-US"/>
        </w:rPr>
        <w:t xml:space="preserve">. Perilaku keuangan adalah setiap perilaku manusia yang sesuai dengan pengelolaan keuangan </w:t>
      </w:r>
      <w:r w:rsidRPr="00BC578E">
        <w:rPr>
          <w:lang w:val="en-US"/>
        </w:rPr>
        <w:fldChar w:fldCharType="begin" w:fldLock="1"/>
      </w:r>
      <w:r w:rsidRPr="00BC578E">
        <w:rPr>
          <w:lang w:val="en-US"/>
        </w:rPr>
        <w:instrText>ADDIN CSL_CITATION {"citationItems":[{"id":"ITEM-1","itemData":{"abstract":"This study finds the impact of money attitudes on the personal financial management behavior and check the moderating effect of financial knowledge and financial self-efficacy on their relationship. The sample for this research was young adults (University students) who were also employed. From five universities where two universities were from the public sector and three were from private sector 500 respondents were selected through purposive sampling. Hierarchal Regression and factor analysis were employed to derive the results. The following are the results which are generated from this research study. Money attitudes and Financial Knowledge have a significant positive impact on the personal financial management behavior of young adults, and financial knowledge has a positive moderating impact on the relationship of money attitudes &amp; personal financial management behavior. It was found that 20.9% Personal Financial Management Behavior is explained by money attitudes at significance level of 5 %. Financial Self-efficacy has a positive impact on the personal financial management behavior and it has positive moderating impact on the relationship of money attitudes &amp; personal financial management behavior.","author":[{"dropping-particle":"","family":"Qamar","given":"Muhammad Ali Jibran","non-dropping-particle":"","parse-names":false,"suffix":""},{"dropping-particle":"","family":"Khemta","given":"Muhammad Asif Nadeem","non-dropping-particle":"","parse-names":false,"suffix":""},{"dropping-particle":"","family":"Jamil","given":"Hassan","non-dropping-particle":"","parse-names":false,"suffix":""}],"container-title":"European Online Journal of Natural and Social Sciences","id":"ITEM-1","issued":{"date-parts":[["2016"]]},"title":"How Knowledge and Financial Self-Efficacy Moderate the Relationship between Money Attitudes and Personal Financial Management Behavior","type":"article-journal"},"uris":["http://www.mendeley.com/documents/?uuid=c0f62e14-b1d0-4d76-a72c-8868909888ca"]}],"mendeley":{"formattedCitation":"(Qamar et al., 2016)","plainTextFormattedCitation":"(Qamar et al., 2016)","previouslyFormattedCitation":"(Qamar et al., 2016)"},"properties":{"noteIndex":0},"schema":"https://github.com/citation-style-language/schema/raw/master/csl-citation.json"}</w:instrText>
      </w:r>
      <w:r w:rsidRPr="00BC578E">
        <w:rPr>
          <w:lang w:val="en-US"/>
        </w:rPr>
        <w:fldChar w:fldCharType="separate"/>
      </w:r>
      <w:r w:rsidRPr="00BC578E">
        <w:rPr>
          <w:noProof/>
          <w:lang w:val="en-US"/>
        </w:rPr>
        <w:t>(Qamar et al., 2016)</w:t>
      </w:r>
      <w:r w:rsidRPr="00BC578E">
        <w:rPr>
          <w:lang w:val="en-US"/>
        </w:rPr>
        <w:fldChar w:fldCharType="end"/>
      </w:r>
      <w:r w:rsidRPr="00BC578E">
        <w:rPr>
          <w:lang w:val="en-US"/>
        </w:rPr>
        <w:t xml:space="preserve">. </w:t>
      </w:r>
      <w:r w:rsidRPr="00BC578E">
        <w:rPr>
          <w:lang w:val="en-US"/>
        </w:rPr>
        <w:fldChar w:fldCharType="begin" w:fldLock="1"/>
      </w:r>
      <w:r w:rsidRPr="00BC578E">
        <w:rPr>
          <w:lang w:val="en-US"/>
        </w:rPr>
        <w:instrText>ADDIN CSL_CITATION {"citationItems":[{"id":"ITEM-1","itemData":{"DOI":"10.12988/ref.2017.711","abstract":"The purpose of this study was to test the relationships between financial socialization, financial knowledge, financial behaviour and financial well-being of Malaysian Young Employees. A total of 391 participants aged between 20 to 40 years participated in the survey via systematic random sampling technique. Data were collected through a self-reporting mode and Pearson correlation coefficients were used in inferential statistics. The findings showed that the frequency of participants observing the behaviour of the socialization agents and interact with them, namely parents at an early stage, positively related to the acquisition of financial knowledge. However, there was no correlation in the acquisition of financial knowledge through observation and interaction with peers. But the study showed that the frequency of observing and interacting with parents and peers in terms of finance had a positive relationship to the acquisition of the financial behaviour of the participants. In addition, the statistics highlighted that there was a positive correlation between financial knowledge, financial behaviour, and financial well-being. In conclusion, this study revealed how the theory of financial socialization is effective in describing the financial well-being of young employees.","author":[{"dropping-particle":"","family":"Mohamed","given":"Nor Azman","non-dropping-particle":"","parse-names":false,"suffix":""}],"container-title":"Reports on Economics and Finance","id":"ITEM-1","issued":{"date-parts":[["2017"]]},"title":"Financial socialization: a cornerstone for young employees’ financial well-being","type":"article-journal"},"uris":["http://www.mendeley.com/documents/?uuid=358d54a3-09bd-4cbf-9aaa-1e0cf45af115"]}],"mendeley":{"formattedCitation":"(Mohamed, 2017)","manualFormatting":"Mohamed (2017)","plainTextFormattedCitation":"(Mohamed, 2017)","previouslyFormattedCitation":"(Mohamed, 2017)"},"properties":{"noteIndex":0},"schema":"https://github.com/citation-style-language/schema/raw/master/csl-citation.json"}</w:instrText>
      </w:r>
      <w:r w:rsidRPr="00BC578E">
        <w:rPr>
          <w:lang w:val="en-US"/>
        </w:rPr>
        <w:fldChar w:fldCharType="separate"/>
      </w:r>
      <w:r w:rsidRPr="00BC578E">
        <w:rPr>
          <w:noProof/>
          <w:lang w:val="en-US"/>
        </w:rPr>
        <w:t>Mohamed (2017)</w:t>
      </w:r>
      <w:r w:rsidRPr="00BC578E">
        <w:rPr>
          <w:lang w:val="en-US"/>
        </w:rPr>
        <w:fldChar w:fldCharType="end"/>
      </w:r>
      <w:r w:rsidRPr="00BC578E">
        <w:rPr>
          <w:lang w:val="en-US"/>
        </w:rPr>
        <w:t xml:space="preserve"> menyatakan bahwa perilaku keuangan sebagai proses untuk mengelola sumber keuangan seperti pengelolaan anggaran keuangan, implementasi dan evaluasi keuangan.</w:t>
      </w:r>
      <w:r>
        <w:rPr>
          <w:lang w:val="en-US"/>
        </w:rPr>
        <w:t xml:space="preserve"> </w:t>
      </w:r>
      <w:r w:rsidR="00D574A9" w:rsidRPr="00D574A9">
        <w:rPr>
          <w:lang w:val="en-US"/>
        </w:rPr>
        <w:t>Berdasarkan uraian diatas dapat disimpulkan bahwa perilaku keuangan adalah perilaku individu dalam mengelola keuangan pribadi sebagai implementasi dari pengetahuan terkait keuangan dengan tujuan untuk mencapai kesejahteraan finansial.</w:t>
      </w:r>
    </w:p>
    <w:p w14:paraId="08A0CAB2" w14:textId="19A9311D" w:rsidR="00D574A9" w:rsidRDefault="00D574A9" w:rsidP="00D574A9">
      <w:pPr>
        <w:spacing w:after="0" w:line="240" w:lineRule="auto"/>
        <w:rPr>
          <w:lang w:val="en-US"/>
        </w:rPr>
      </w:pPr>
      <w:r>
        <w:rPr>
          <w:lang w:val="en-US"/>
        </w:rPr>
        <w:t xml:space="preserve">      </w:t>
      </w:r>
      <w:r w:rsidRPr="00D574A9">
        <w:rPr>
          <w:lang w:val="en-US"/>
        </w:rPr>
        <w:t xml:space="preserve">Teknologi keuangan adalah sebuah inovasi yang menggunakan teknologi digital seperti internet, komputasi seluler, dan analisi data yang dimungkinkan untuk layanan keuangan  </w:t>
      </w:r>
      <w:r w:rsidRPr="00D574A9">
        <w:rPr>
          <w:lang w:val="en-US"/>
        </w:rPr>
        <w:fldChar w:fldCharType="begin" w:fldLock="1"/>
      </w:r>
      <w:r w:rsidRPr="00D574A9">
        <w:rPr>
          <w:lang w:val="en-US"/>
        </w:rPr>
        <w:instrText>ADDIN CSL_CITATION {"citationItems":[{"id":"ITEM-1","itemData":{"DOI":"10.1007/s12525-017-0275-0","ISSN":"14228890","abstract":"The financial sector is facing radical transformation. Leveraging digital technologies to offer innovative services, FinTech start-ups are emerging in domains such as asset management, lending, or insurance. Despite increasing investments, the FinTech phenomenon is low on theoretical insights. So far, the offerings of FinTech start-ups have been predominantly investigated from a functional perspective. As a functional perspective does not suffice to fully understand the offerings of FinTech start-ups, we propose a taxonomy of non-functional characteristics. Thereby, we restrict our analysis to consumer-oriented FinTech start-ups. Our taxonomy includes 15 dimensions structured along the perspectives interaction, data, and monetization. We demonstrate the applicability of our taxonomy by classifying the offerings of 227 FinTech start-ups and by identifying archetypes via a cluster analysis. Our taxonomy contributes to the descriptive knowledge on FinTech start-ups, enabling researchers and practitioners to analyze the service offerings of FinTech start-up in a structured manner.","author":[{"dropping-particle":"","family":"Gimpel","given":"Henner","non-dropping-particle":"","parse-names":false,"suffix":""},{"dropping-particle":"","family":"Rau","given":"Daniel","non-dropping-particle":"","parse-names":false,"suffix":""},{"dropping-particle":"","family":"Röglinger","given":"Maximilian","non-dropping-particle":"","parse-names":false,"suffix":""}],"container-title":"Electronic Markets","id":"ITEM-1","issued":{"date-parts":[["2018"]]},"title":"Understanding FinTech start-ups – a taxonomy of consumer-oriented service offerings","type":"article-journal"},"uris":["http://www.mendeley.com/documents/?uuid=a1d9230f-011b-4ddc-b872-451cb5d6eb36"]}],"mendeley":{"formattedCitation":"(Gimpel et al., 2018)","plainTextFormattedCitation":"(Gimpel et al., 2018)","previouslyFormattedCitation":"(Gimpel et al., 2018)"},"properties":{"noteIndex":0},"schema":"https://github.com/citation-style-language/schema/raw/master/csl-citation.json"}</w:instrText>
      </w:r>
      <w:r w:rsidRPr="00D574A9">
        <w:rPr>
          <w:lang w:val="en-US"/>
        </w:rPr>
        <w:fldChar w:fldCharType="separate"/>
      </w:r>
      <w:r w:rsidRPr="00D574A9">
        <w:rPr>
          <w:noProof/>
          <w:lang w:val="en-US"/>
        </w:rPr>
        <w:t>(Gimpel et al., 2018)</w:t>
      </w:r>
      <w:r w:rsidRPr="00D574A9">
        <w:rPr>
          <w:lang w:val="en-US"/>
        </w:rPr>
        <w:fldChar w:fldCharType="end"/>
      </w:r>
      <w:r w:rsidRPr="00D574A9">
        <w:rPr>
          <w:lang w:val="en-US"/>
        </w:rPr>
        <w:t xml:space="preserve">. </w:t>
      </w:r>
      <w:r w:rsidRPr="00D574A9">
        <w:rPr>
          <w:lang w:val="en-US"/>
        </w:rPr>
        <w:fldChar w:fldCharType="begin" w:fldLock="1"/>
      </w:r>
      <w:r w:rsidRPr="00D574A9">
        <w:rPr>
          <w:lang w:val="en-US"/>
        </w:rPr>
        <w:instrText>ADDIN CSL_CITATION {"citationItems":[{"id":"ITEM-1","itemData":{"DOI":"10.35808/ersj/757","ISSN":"11082976","abstract":"There is a growing competition between banks and fintech not only in advanced economies, but also in the emerging markets. However, it is yet to be observed in Latvia to the same extent. This paper aims to evaluate fintech's level of development in Latvia compared to Europe. The paper identifies financial services using innovative technologies offered by fintech companies, analyses the advantages and disadvantages of these services in comparison with services offered by the traditional financial sector companies (banks, insurance companies, institutions involved in asset management and investment, etc.), and evaluates how prepared are consumers to use fintech services. This paper documents the results of the survey aiming to clarify how well-informed consumers in Latvia are about fintech services, their convenience, speed and safety, as well as the consumers' current satisfaction with banking services. The hypothesis of this paper is that Latvian society is not ready to use services provided by fintech, but prefers banking services instead. Survey results provide some evidence in favour of this hypothesis: they show that respondents are generally unaware about fintech services in Latvia and their associated innovations and new financial products. This paper makes several recommendations for managers of fintech enterprises, association of start-up enterprises and risk capital funds as well as state institutions.","author":[{"dropping-particle":"","family":"Saksonova","given":"Svetlana","non-dropping-particle":"","parse-names":false,"suffix":""},{"dropping-particle":"","family":"Kuzmina-Merlino","given":"Irina","non-dropping-particle":"","parse-names":false,"suffix":""}],"container-title":"European Research Studies Journal","id":"ITEM-1","issued":{"date-parts":[["2017"]]},"title":"Fintech as financial innovation - The possibilities and problems of implementation","type":"article-journal"},"uris":["http://www.mendeley.com/documents/?uuid=cdc7e229-1e96-453e-a7c1-7e3759a74c6b"]}],"mendeley":{"formattedCitation":"(Saksonova &amp; Kuzmina-Merlino, 2017)","manualFormatting":"Saksonova &amp; Kuzmina-Merlino, (2017)","plainTextFormattedCitation":"(Saksonova &amp; Kuzmina-Merlino, 2017)","previouslyFormattedCitation":"(Saksonova &amp; Kuzmina-Merlino, 2017)"},"properties":{"noteIndex":0},"schema":"https://github.com/citation-style-language/schema/raw/master/csl-citation.json"}</w:instrText>
      </w:r>
      <w:r w:rsidRPr="00D574A9">
        <w:rPr>
          <w:lang w:val="en-US"/>
        </w:rPr>
        <w:fldChar w:fldCharType="separate"/>
      </w:r>
      <w:r w:rsidRPr="00D574A9">
        <w:rPr>
          <w:noProof/>
          <w:lang w:val="en-US"/>
        </w:rPr>
        <w:t>Saksonova &amp; Kuzmina-Merlino, (2017)</w:t>
      </w:r>
      <w:r w:rsidRPr="00D574A9">
        <w:rPr>
          <w:lang w:val="en-US"/>
        </w:rPr>
        <w:fldChar w:fldCharType="end"/>
      </w:r>
      <w:r w:rsidRPr="00D574A9">
        <w:rPr>
          <w:lang w:val="en-US"/>
        </w:rPr>
        <w:t xml:space="preserve"> menjelaskan bahwa teknologi keuangan adalah sebuah bentuk layanan keuangan dengan memanfaatkan perkembangan teknologi yang dapat menggeser pasar keuangan konvensional.  Dari penjelasan diatas dapat disimpulkan bahwa teknologi keuangan merupakan sebuah inovasi dalam sistem keuangan menggunakan infrastruktur telepon seluler dan internet yang berdampak pada stabilitas sistem keuangan, efisiensi, keamanan, dan kelancaran dalam sistem pembayaran.</w:t>
      </w:r>
    </w:p>
    <w:p w14:paraId="17003E38" w14:textId="05E0D098" w:rsidR="00D574A9" w:rsidRPr="00D574A9" w:rsidRDefault="00D574A9" w:rsidP="00D574A9">
      <w:pPr>
        <w:spacing w:after="0" w:line="240" w:lineRule="auto"/>
        <w:rPr>
          <w:lang w:val="en-US"/>
        </w:rPr>
      </w:pPr>
      <w:r>
        <w:rPr>
          <w:lang w:val="en-US"/>
        </w:rPr>
        <w:t xml:space="preserve">      </w:t>
      </w:r>
      <w:r w:rsidRPr="00D574A9">
        <w:rPr>
          <w:lang w:val="en-US"/>
        </w:rPr>
        <w:t xml:space="preserve">Pendapat populer tentang Gen Z percaya bahwa mereka sangat paham teknologi bahkan lebih </w:t>
      </w:r>
      <w:r w:rsidRPr="00D574A9">
        <w:rPr>
          <w:i/>
          <w:iCs/>
          <w:lang w:val="en-US"/>
        </w:rPr>
        <w:t>millenials</w:t>
      </w:r>
      <w:r w:rsidRPr="00D574A9">
        <w:rPr>
          <w:lang w:val="en-US"/>
        </w:rPr>
        <w:t xml:space="preserve"> karena </w:t>
      </w:r>
      <w:r w:rsidRPr="00D574A9">
        <w:rPr>
          <w:i/>
          <w:iCs/>
          <w:lang w:val="en-US"/>
        </w:rPr>
        <w:t xml:space="preserve">smartphone </w:t>
      </w:r>
      <w:r w:rsidRPr="00D574A9">
        <w:rPr>
          <w:lang w:val="en-US"/>
        </w:rPr>
        <w:t xml:space="preserve">dan media sosial menjadi sebuah wadah bagi mereka untuk mengenal dunia </w:t>
      </w:r>
      <w:r w:rsidRPr="00D574A9">
        <w:rPr>
          <w:lang w:val="en-US"/>
        </w:rPr>
        <w:fldChar w:fldCharType="begin" w:fldLock="1"/>
      </w:r>
      <w:r w:rsidRPr="00D574A9">
        <w:rPr>
          <w:lang w:val="en-US"/>
        </w:rPr>
        <w:instrText>ADDIN CSL_CITATION {"citationItems":[{"id":"ITEM-1","itemData":{"ISSN":"0010-0889","abstract":"Generation Y students proved to be more sophisticated in their graduate studies, perhaps because of having grown up with cable TV, satellite radio, and the Internet. In an effort to meet the educational needs of incoming Gen Z graduate students, higher education institutions now offer online learning management systems such as D2L (Desire 2 Learn) and Blackboard, which offer collaborative learning tools, activity-based learning, and interaction with materials that encourage critical reflection. Blended courses, also known as hybrid or mixed-mode courses, include traditional face-to-face instruction as well as web-based learning. [...]seat time in the classroom is reduced. According to the U.S. Department of Education's \"Evaluation of EvidenceBased Practices in Online Learning: A Meta-Analysis and Review of Online Learning Studies\" (2010), online tools in blended courses can significantly enhance student engagement and enable all students to benefit from collaborative learning. Financial aid and the FAFSA (Free Application for Federal Student Aid) are a way of life for them. Students readily search for graduate schools by location, degree program, cost, instructional modality, and other key words. Because Gen Z students utilize Internet searches more than any preceding generation has to find the graduate school of their choice, institutions must keep their websites...","author":[{"dropping-particle":"","family":"Zorn","given":"Robert","non-dropping-particle":"","parse-names":false,"suffix":""}],"container-title":"College and University","id":"ITEM-1","issued":{"date-parts":[["2017"]]},"title":"Coming in 2017: A New Generation of Graduate Students-The Z Generation","type":"article-journal"},"uris":["http://www.mendeley.com/documents/?uuid=cc88986c-e322-4d96-8dd7-b47e72f19617"]}],"mendeley":{"formattedCitation":"(Zorn, 2017)","plainTextFormattedCitation":"(Zorn, 2017)","previouslyFormattedCitation":"(Zorn, 2017)"},"properties":{"noteIndex":0},"schema":"https://github.com/citation-style-language/schema/raw/master/csl-citation.json"}</w:instrText>
      </w:r>
      <w:r w:rsidRPr="00D574A9">
        <w:rPr>
          <w:lang w:val="en-US"/>
        </w:rPr>
        <w:fldChar w:fldCharType="separate"/>
      </w:r>
      <w:r w:rsidRPr="00D574A9">
        <w:rPr>
          <w:noProof/>
          <w:lang w:val="en-US"/>
        </w:rPr>
        <w:t>(Zorn, 2017)</w:t>
      </w:r>
      <w:r w:rsidRPr="00D574A9">
        <w:rPr>
          <w:lang w:val="en-US"/>
        </w:rPr>
        <w:fldChar w:fldCharType="end"/>
      </w:r>
      <w:r w:rsidRPr="00D574A9">
        <w:rPr>
          <w:lang w:val="en-US"/>
        </w:rPr>
        <w:t xml:space="preserve">. Generasi z adalah generasi yang lahir dalam kisaran tahun 1995 – 2010 </w:t>
      </w:r>
      <w:r w:rsidRPr="00D574A9">
        <w:rPr>
          <w:lang w:val="en-US"/>
        </w:rPr>
        <w:fldChar w:fldCharType="begin" w:fldLock="1"/>
      </w:r>
      <w:r w:rsidRPr="00D574A9">
        <w:rPr>
          <w:lang w:val="en-US"/>
        </w:rPr>
        <w:instrText>ADDIN CSL_CITATION {"citationItems":[{"id":"ITEM-1","itemData":{"author":[{"dropping-particle":"","family":"Adrian","given":"Felix","non-dropping-particle":"","parse-names":false,"suffix":""}],"id":"ITEM-1","issued":{"date-parts":[["2020"]]},"title":"Karakteristik Generasi Z Di Yogyakarta Tahun 2019 Karakteristik Generasi Z Di Yogyakarta Tahun 2019","type":"article-journal"},"uris":["http://www.mendeley.com/documents/?uuid=c319cfd3-5855-4e80-979f-1154887dfbcc"]}],"mendeley":{"formattedCitation":"(Adrian, 2020)","plainTextFormattedCitation":"(Adrian, 2020)","previouslyFormattedCitation":"(Adrian, 2020)"},"properties":{"noteIndex":0},"schema":"https://github.com/citation-style-language/schema/raw/master/csl-citation.json"}</w:instrText>
      </w:r>
      <w:r w:rsidRPr="00D574A9">
        <w:rPr>
          <w:lang w:val="en-US"/>
        </w:rPr>
        <w:fldChar w:fldCharType="separate"/>
      </w:r>
      <w:r w:rsidRPr="00D574A9">
        <w:rPr>
          <w:noProof/>
          <w:lang w:val="en-US"/>
        </w:rPr>
        <w:t>(Adrian, 2020)</w:t>
      </w:r>
      <w:r w:rsidRPr="00D574A9">
        <w:rPr>
          <w:lang w:val="en-US"/>
        </w:rPr>
        <w:fldChar w:fldCharType="end"/>
      </w:r>
      <w:r w:rsidRPr="00D574A9">
        <w:rPr>
          <w:lang w:val="en-US"/>
        </w:rPr>
        <w:t>. Dari beberapa teori diatas dapat disimpulkan generasi z adalah generasi yang lahir dalam kisaran tahun 1995 – 2010 yang sejak kecil sudah akrab dengan teknologi, dan mengenal dunia melalui teknologi.</w:t>
      </w:r>
    </w:p>
    <w:p w14:paraId="2B1C6DA0" w14:textId="1226DCC1" w:rsidR="00AD3310" w:rsidRDefault="00AD3310" w:rsidP="00AD3310">
      <w:pPr>
        <w:spacing w:line="240" w:lineRule="auto"/>
        <w:rPr>
          <w:b/>
          <w:bCs/>
          <w:lang w:val="en-US"/>
        </w:rPr>
      </w:pPr>
    </w:p>
    <w:p w14:paraId="1A66A295" w14:textId="54B6124B" w:rsidR="00D574A9" w:rsidRDefault="00D574A9" w:rsidP="00D574A9">
      <w:pPr>
        <w:spacing w:line="240" w:lineRule="auto"/>
        <w:rPr>
          <w:b/>
          <w:bCs/>
          <w:lang w:val="en-US"/>
        </w:rPr>
      </w:pPr>
      <w:r>
        <w:rPr>
          <w:b/>
          <w:bCs/>
          <w:lang w:val="en-US"/>
        </w:rPr>
        <w:t>PENGEMBANGAN HIPOTESIS</w:t>
      </w:r>
    </w:p>
    <w:p w14:paraId="3A26BEF2" w14:textId="77777777" w:rsidR="00FB1A74" w:rsidRPr="00FB1A74" w:rsidRDefault="00D574A9" w:rsidP="00FB1A74">
      <w:pPr>
        <w:spacing w:line="240" w:lineRule="auto"/>
        <w:rPr>
          <w:lang w:val="en-US"/>
        </w:rPr>
      </w:pPr>
      <w:r>
        <w:rPr>
          <w:lang w:val="en-US"/>
        </w:rPr>
        <w:t xml:space="preserve">     Dalam teori </w:t>
      </w:r>
      <w:r>
        <w:rPr>
          <w:i/>
          <w:iCs/>
          <w:lang w:val="en-US"/>
        </w:rPr>
        <w:t>life span development</w:t>
      </w:r>
      <w:r>
        <w:rPr>
          <w:lang w:val="en-US"/>
        </w:rPr>
        <w:t xml:space="preserve"> menjelaskan tentang perkembangan kognitif merupakan perkembangan yang mengacu pada </w:t>
      </w:r>
      <w:r w:rsidR="00FB1A74">
        <w:rPr>
          <w:lang w:val="en-US"/>
        </w:rPr>
        <w:t xml:space="preserve">kemampuan seseorang dalam memahami sesuatu, dalam penelitian ini mewakili literasi keuangan. Semakin baik literasi keuangan akan menghasilkan keputusan dan tindakan yang memberikan efek positif terhadap kesejahteraan keuangan. Hal ini didukung oleh hasil penelitian </w:t>
      </w:r>
      <w:r w:rsidR="00FB1A74" w:rsidRPr="00FB1A74">
        <w:rPr>
          <w:lang w:val="en-US"/>
        </w:rPr>
        <w:t xml:space="preserve">Cecilia (2020), Wulansari (2019)  dan Zulfikar &amp; Bilal (2016) menyatakan bahwa literasi keuangan  berpengaruh langsung dan positif terhadap kesejahteraan keuangan. Berdasarkan penjelasan yang telah dijabarkan diatas, maka hipotesis dalam penelitian ini adalah </w:t>
      </w:r>
    </w:p>
    <w:p w14:paraId="7B781810" w14:textId="77777777" w:rsidR="00FB1A74" w:rsidRPr="00FB1A74" w:rsidRDefault="00FB1A74" w:rsidP="00FB1A74">
      <w:pPr>
        <w:spacing w:line="240" w:lineRule="auto"/>
        <w:rPr>
          <w:lang w:val="en-US"/>
        </w:rPr>
      </w:pPr>
      <w:r w:rsidRPr="00FB1A74">
        <w:rPr>
          <w:lang w:val="en-US"/>
        </w:rPr>
        <w:t>H</w:t>
      </w:r>
      <w:r w:rsidRPr="00FB1A74">
        <w:rPr>
          <w:vertAlign w:val="subscript"/>
          <w:lang w:val="en-US"/>
        </w:rPr>
        <w:t xml:space="preserve">1 </w:t>
      </w:r>
      <w:r w:rsidRPr="00FB1A74">
        <w:rPr>
          <w:lang w:val="en-US"/>
        </w:rPr>
        <w:t xml:space="preserve"> : literasi keuangan berpengaruh positif terhadap kesejahteraan keuangan generasi z di Desa Donoharjo.</w:t>
      </w:r>
    </w:p>
    <w:p w14:paraId="38A4959E" w14:textId="77777777" w:rsidR="00FB1A74" w:rsidRPr="00FB1A74" w:rsidRDefault="00FB1A74" w:rsidP="00FB1A74">
      <w:pPr>
        <w:spacing w:line="240" w:lineRule="auto"/>
        <w:rPr>
          <w:lang w:val="en-US"/>
        </w:rPr>
      </w:pPr>
      <w:r w:rsidRPr="00FB1A74">
        <w:rPr>
          <w:lang w:val="en-US"/>
        </w:rPr>
        <w:t xml:space="preserve">      Dalam teori perkembangan masa hidup hal – hal yang mempengaruhi perkembangan adalah peristiwa normatif, perkembangan kognitif, dan perkembangan sosioemosi yang akan membentuk sebuah perilaku pada individu. Dalam penelitian ini perilaku yang dimaksud adalah perilaku keuangan. Perilaku keuangan yang baik akan mengakibatkan seseorang dapat mengelola keuangan </w:t>
      </w:r>
      <w:r w:rsidRPr="00FB1A74">
        <w:rPr>
          <w:lang w:val="en-US"/>
        </w:rPr>
        <w:lastRenderedPageBreak/>
        <w:t>dengan baik. Sehingga kesejahteteraan keuangan dalam hidup setiap individu dapat terwujud. Mohammed (2017), Nurhayati (2020) dan Zemtov et al. (2016) juga menyatakan bahwa kesejahteraan keuangan dipengaruhi oleh perilaku keuangan. Berdasarkan penjelasan diatas maka  hipotesis dalam penelitian ini adalah :</w:t>
      </w:r>
    </w:p>
    <w:p w14:paraId="1D0C967B" w14:textId="77777777" w:rsidR="00FB1A74" w:rsidRPr="00FB1A74" w:rsidRDefault="00FB1A74" w:rsidP="00FB1A74">
      <w:pPr>
        <w:spacing w:line="240" w:lineRule="auto"/>
        <w:rPr>
          <w:lang w:val="en-US"/>
        </w:rPr>
      </w:pPr>
      <w:r w:rsidRPr="00FB1A74">
        <w:rPr>
          <w:lang w:val="en-US"/>
        </w:rPr>
        <w:t>H</w:t>
      </w:r>
      <w:r w:rsidRPr="00FB1A74">
        <w:rPr>
          <w:vertAlign w:val="subscript"/>
          <w:lang w:val="en-US"/>
        </w:rPr>
        <w:t xml:space="preserve">2 </w:t>
      </w:r>
      <w:r w:rsidRPr="00FB1A74">
        <w:rPr>
          <w:lang w:val="en-US"/>
        </w:rPr>
        <w:t>: perilaku keuangan berpengaruh positif terhadap kesejahteraan keuangan generasi z di Desa Donoharjo.</w:t>
      </w:r>
    </w:p>
    <w:p w14:paraId="1C4CA5AF" w14:textId="77777777" w:rsidR="00FB1A74" w:rsidRPr="00FB1A74" w:rsidRDefault="00FB1A74" w:rsidP="00FB1A74">
      <w:pPr>
        <w:spacing w:line="240" w:lineRule="auto"/>
        <w:rPr>
          <w:b/>
          <w:bCs/>
          <w:lang w:val="en-US"/>
        </w:rPr>
      </w:pPr>
      <w:r w:rsidRPr="00FB1A74">
        <w:rPr>
          <w:lang w:val="en-US"/>
        </w:rPr>
        <w:t xml:space="preserve">      Dalam teori perkembangan masa hidup terdapat peristiwa non – normatif dan perkembangan kognitif yang dapat mendorong perkembangan teknologi, yang dimaksud dalam penelitian ini adalah teknologi keuangan. Semakin mudahnya transaksi keuangan di era saat ini mengakibatkan beberapa individu menjadi berperilaku konsumtif, yang mana perilaku konsumtif ini akan mempengaruhi kesejahteraan keuangan seseorang. Dalam penelitian yang dilakukan oleh  Prima et al. (2018) dan Panos et al. (2020), teknologi keuangan memiliki pengaruh terhadap perencanaan keuangan dan kesejahteraan. Berdasarkan penjelasan diatas maka hipotesis pada penelitian ini adalah :</w:t>
      </w:r>
    </w:p>
    <w:p w14:paraId="437CECBC" w14:textId="77777777" w:rsidR="00FB1A74" w:rsidRPr="00FB1A74" w:rsidRDefault="00FB1A74" w:rsidP="00FB1A74">
      <w:pPr>
        <w:spacing w:line="240" w:lineRule="auto"/>
        <w:rPr>
          <w:lang w:val="en-US"/>
        </w:rPr>
      </w:pPr>
      <w:r w:rsidRPr="00FB1A74">
        <w:rPr>
          <w:lang w:val="en-US"/>
        </w:rPr>
        <w:t>H</w:t>
      </w:r>
      <w:r w:rsidRPr="00FB1A74">
        <w:rPr>
          <w:vertAlign w:val="subscript"/>
          <w:lang w:val="en-US"/>
        </w:rPr>
        <w:t xml:space="preserve">3 </w:t>
      </w:r>
      <w:r w:rsidRPr="00FB1A74">
        <w:rPr>
          <w:lang w:val="en-US"/>
        </w:rPr>
        <w:t>: Teknologi  keuangan berpengaruh positif terhadap kesejahteraan keuangan generasi z di Desa Donoharjo.</w:t>
      </w:r>
    </w:p>
    <w:p w14:paraId="5C281712" w14:textId="77777777" w:rsidR="00FB1A74" w:rsidRDefault="00FB1A74" w:rsidP="00FB1A74">
      <w:pPr>
        <w:spacing w:after="0" w:line="240" w:lineRule="auto"/>
        <w:rPr>
          <w:lang w:val="en-US"/>
        </w:rPr>
      </w:pPr>
    </w:p>
    <w:p w14:paraId="2B2E8640" w14:textId="090A01C2" w:rsidR="00AD3310" w:rsidRDefault="00AD3310" w:rsidP="00FB1A74">
      <w:pPr>
        <w:spacing w:after="0" w:line="240" w:lineRule="auto"/>
        <w:rPr>
          <w:b/>
          <w:bCs/>
          <w:lang w:val="en-US"/>
        </w:rPr>
      </w:pPr>
      <w:r w:rsidRPr="00FB1A74">
        <w:rPr>
          <w:b/>
          <w:bCs/>
          <w:lang w:val="en-US"/>
        </w:rPr>
        <w:t>METODE PENELITIAN</w:t>
      </w:r>
    </w:p>
    <w:p w14:paraId="5FF21863" w14:textId="32AE42F1" w:rsidR="00FB1A74" w:rsidRDefault="00FB1A74" w:rsidP="00FB1A74">
      <w:pPr>
        <w:spacing w:after="0" w:line="240" w:lineRule="auto"/>
        <w:rPr>
          <w:lang w:val="en-US"/>
        </w:rPr>
      </w:pPr>
      <w:r>
        <w:rPr>
          <w:b/>
          <w:bCs/>
          <w:lang w:val="en-US"/>
        </w:rPr>
        <w:t xml:space="preserve">      </w:t>
      </w:r>
      <w:r>
        <w:rPr>
          <w:lang w:val="en-US"/>
        </w:rPr>
        <w:t xml:space="preserve">Penelitian ini merupakan penelitian kuantitatif dengan pendekatan deskriptif dengan tujuan </w:t>
      </w:r>
      <w:r w:rsidR="008356FE">
        <w:rPr>
          <w:lang w:val="en-US"/>
        </w:rPr>
        <w:t xml:space="preserve">untuk mendeskripsikan objek penelitian ataupun hasil penelitian. Penelitian ini berlokasi di Desa Donoharjo, Kecamatan Ngaglik, Kabupaten Sleman, Yogyakarta. Populasi dalam penelitian ini adalah generasi z. sedangkan sampel yang digunakan dalam penelitian ini adalah generasi  yang berusia 20 sampai 25 tahun yang sudah bekerja. Teknik pengambilan sampel yang digunakan adalah </w:t>
      </w:r>
      <w:r w:rsidR="008356FE">
        <w:rPr>
          <w:i/>
          <w:iCs/>
          <w:lang w:val="en-US"/>
        </w:rPr>
        <w:t>conveniance</w:t>
      </w:r>
      <w:r w:rsidR="008356FE">
        <w:rPr>
          <w:lang w:val="en-US"/>
        </w:rPr>
        <w:t>, dimana pengambilan sampel dilakukan secara acak tanpa memperhatikan strata dalam populasi.</w:t>
      </w:r>
      <w:r w:rsidR="002F4BFA">
        <w:rPr>
          <w:lang w:val="en-US"/>
        </w:rPr>
        <w:t xml:space="preserve"> Data dalam penelitian ini adalah data primer yang berupa hasil penyebaran kuisioner kepada responden di Desa Donoharjo.</w:t>
      </w:r>
    </w:p>
    <w:p w14:paraId="624AF536" w14:textId="7EDD662D" w:rsidR="002F4BFA" w:rsidRDefault="002F4BFA" w:rsidP="00FB1A74">
      <w:pPr>
        <w:spacing w:after="0" w:line="240" w:lineRule="auto"/>
        <w:rPr>
          <w:lang w:val="en-US"/>
        </w:rPr>
      </w:pPr>
      <w:r>
        <w:rPr>
          <w:lang w:val="en-US"/>
        </w:rPr>
        <w:t xml:space="preserve">      Metode pengumpulan data dilakukan dengan menyebarkan kuisioner atau angket kepada responden sehingga diperoleh data tentang literasi keuangan, perilaku keuangan, teknologi keuangan dan kesejahteraan keuangan.</w:t>
      </w:r>
    </w:p>
    <w:p w14:paraId="0EA5BA59" w14:textId="06EA8E53" w:rsidR="002F4BFA" w:rsidRDefault="002F4BFA" w:rsidP="00FB1A74">
      <w:pPr>
        <w:spacing w:after="0" w:line="240" w:lineRule="auto"/>
        <w:rPr>
          <w:lang w:val="en-US"/>
        </w:rPr>
      </w:pPr>
    </w:p>
    <w:p w14:paraId="435C554A" w14:textId="77777777" w:rsidR="002F4BFA" w:rsidRDefault="002F4BFA" w:rsidP="00FB1A74">
      <w:pPr>
        <w:spacing w:after="0" w:line="240" w:lineRule="auto"/>
        <w:rPr>
          <w:b/>
          <w:bCs/>
          <w:lang w:val="en-US"/>
        </w:rPr>
      </w:pPr>
    </w:p>
    <w:p w14:paraId="2A5BA431" w14:textId="4C285BF3" w:rsidR="002F4BFA" w:rsidRDefault="002F4BFA" w:rsidP="00FB1A74">
      <w:pPr>
        <w:spacing w:after="0" w:line="240" w:lineRule="auto"/>
        <w:rPr>
          <w:b/>
          <w:bCs/>
          <w:lang w:val="en-US"/>
        </w:rPr>
      </w:pPr>
      <w:r>
        <w:rPr>
          <w:b/>
          <w:bCs/>
          <w:lang w:val="en-US"/>
        </w:rPr>
        <w:t>Definisi Operasional Variabel</w:t>
      </w:r>
    </w:p>
    <w:p w14:paraId="23B2DBE0" w14:textId="5946B319" w:rsidR="002F4BFA" w:rsidRDefault="002F4BFA" w:rsidP="00FB1A74">
      <w:pPr>
        <w:spacing w:after="0" w:line="240" w:lineRule="auto"/>
        <w:rPr>
          <w:lang w:val="en-US"/>
        </w:rPr>
      </w:pPr>
      <w:r>
        <w:rPr>
          <w:lang w:val="en-US"/>
        </w:rPr>
        <w:t xml:space="preserve">      </w:t>
      </w:r>
      <w:r w:rsidRPr="002F4BFA">
        <w:rPr>
          <w:lang w:val="en-US"/>
        </w:rPr>
        <w:t xml:space="preserve">Literasi keuangan adalah kemampuan individu dalam mengaplikasikan kemampuan mengelola keuangan untuk menenentukan sebuah keputusan dan menilai risiko yang mungkin diterima </w:t>
      </w:r>
      <w:r w:rsidRPr="002F4BFA">
        <w:rPr>
          <w:lang w:val="en-US"/>
        </w:rPr>
        <w:fldChar w:fldCharType="begin" w:fldLock="1"/>
      </w:r>
      <w:r w:rsidRPr="002F4BFA">
        <w:rPr>
          <w:lang w:val="en-US"/>
        </w:rPr>
        <w:instrText>ADDIN CSL_CITATION {"citationItems":[{"id":"ITEM-1","itemData":{"DOI":"10.32812/jibeka.v13i1.111","ISSN":"0126-1258","abstract":"Literasi keuangan yang rendah akan berdampak pada pembuatan keputusan dalam kehidupan sehari-hari. Pembuatan keputusan yang salah akan berakhir pada pengelolaan ekonomi yang buruk dan tidak efektif dapat mengakibatkan perilaku masyarakat yang rentan akan krisis keuangan dan berpotensi mengalami kerugian akibat kejahatan di sektor keuangan. Tingkat literasi keuangan akan berbeda-beda sesuai dengan ciri-ciri demografinya. Wanita, kaum minoritas dan golongan berpenghasilan rendah cenderung memiliki tingkat literasi keuangan yang rendah. Begitu juga dengan usia, usia sangat menentukan sudut pandang orang terhadap sesuatu. Generasi Y adalah generasi yang lahir di rentang tahun 1980-1994 dimana generasi ini sangat erat dengan teknologi dan memiliki kebiasaan yang berbeda dengan generasi lainnya. Tujuan dari penelitian ini adalah mengukur indeks literasi keuangan pada generasi milenial. Penelitian ini menggunakan jenis penelitian deskriptif sehingga peneliti menjabarkan indeks yang telah dihitung sebelumnya. Indeks tersebut kemudian diuji pengaruhnya dengan perilaku keuangan. Hasil pengujian menunjukkan literasi keuangan dasar dan syariah berpengaruh positif signifikan terhadap perilaku keuangan. Hal tersebut dibuktikan dengan nilai t hitung kedua variabel yang lebih besar daripada t tabel (3,147&gt;1,97; 2,512&gt;1,97). Semakin seseorang paham akan konsep keuangan maka semakin ia mampu mengelola dengan baik keuangannya.","author":[{"dropping-particle":"","family":"Ningtyas","given":"Mega Noerman","non-dropping-particle":"","parse-names":false,"suffix":""}],"container-title":"Jurnal Ilmiah Bisnis dan Ekonomi Asia","id":"ITEM-1","issued":{"date-parts":[["2019"]]},"title":"Literasi Keuangan pada Generasi Milenial","type":"article-journal"},"uris":["http://www.mendeley.com/documents/?uuid=03dc5f05-6afe-4c4c-aac6-c7cf9459b035"]}],"mendeley":{"formattedCitation":"(Ningtyas, 2019)","plainTextFormattedCitation":"(Ningtyas, 2019)","previouslyFormattedCitation":"(Ningtyas, 2019)"},"properties":{"noteIndex":0},"schema":"https://github.com/citation-style-language/schema/raw/master/csl-citation.json"}</w:instrText>
      </w:r>
      <w:r w:rsidRPr="002F4BFA">
        <w:rPr>
          <w:lang w:val="en-US"/>
        </w:rPr>
        <w:fldChar w:fldCharType="separate"/>
      </w:r>
      <w:r w:rsidRPr="002F4BFA">
        <w:rPr>
          <w:noProof/>
          <w:lang w:val="en-US"/>
        </w:rPr>
        <w:t>(Ningtyas, 2019)</w:t>
      </w:r>
      <w:r w:rsidRPr="002F4BFA">
        <w:rPr>
          <w:lang w:val="en-US"/>
        </w:rPr>
        <w:fldChar w:fldCharType="end"/>
      </w:r>
      <w:r w:rsidRPr="002F4BFA">
        <w:rPr>
          <w:lang w:val="en-US"/>
        </w:rPr>
        <w:t xml:space="preserve">. Beberapa indikator yang digunakan untuk mengetahui tingkat literasi seseorang menurut </w:t>
      </w:r>
      <w:r w:rsidRPr="002F4BFA">
        <w:rPr>
          <w:lang w:val="en-US"/>
        </w:rPr>
        <w:fldChar w:fldCharType="begin" w:fldLock="1"/>
      </w:r>
      <w:r w:rsidRPr="002F4BFA">
        <w:rPr>
          <w:lang w:val="en-US"/>
        </w:rPr>
        <w:instrText>ADDIN CSL_CITATION {"citationItems":[{"id":"ITEM-1","itemData":{"DOI":"10.25273/jap.v1i1.527","ISSN":"2302-6251","abstract":"&lt;span&gt;The purpose of this study to clarify: (1) the influence of socio-economic status of parents towards education family financial management, (2) the influence of parental socioeconomic status on cognitive aspects of financial literacy, (3) the influence of parental socioeconomic status on financial literacy aspects of attitude, (4) the effect of family financial management education to the cognitive aspects of financial literacy, (5) the effect of family financial management education for financial literacy aspect of attitude, (6) the effect of learning in higher education to cognitive aspects of financial literacy, (7) the effect of learning college for financial literacy aspect of attitude; (8) the effect of socioeconomic status of parents of student cognitive aspects of financial literacy through education family financial management; (9) the influence of socio-economic status of parents towards financial literacy aspect of student attitudes through education family financial management . Data collected using tests and questionnaires from 220 students. Data analysis techniques in this study using path analysis. The results of the study are: (1) socio-economic status of parents significant positive direct effect on education family financial management, (2) socio-economic status of parents does not directly influence the cognitive aspects of financial literacy, (3) socio-economic status of parents do not have direct the financial literacy aspect of attitude, (4) education family financial management a significant positive direct effect on the cognitive aspects of financial literacy, (5) education family financial management a significant positive direct effect on financial literacy aspect of attitude, (6) learning in higher education have direct positive significant impact on the cognitive aspects of financial literacy, (7) learning in higher education have significant positive direct effect on financial literacy aspect of attitude; (8) socio-economic status of parents significantly positive indirect effect on the cognitive aspects of financial literacy education mediated by family financial management; (9) the socioeconomic status of parents significantly positive indirect effect on the financial literacy aspect of attitude that is mediated by a family financial management education.&lt;/span&gt;","author":[{"dropping-particle":"","family":"Widyawati","given":"Irin","non-dropping-particle":"","parse-names":false,"suffix":""}],"container-title":"Assets: Jurnal Akuntansi dan Pendidikan","id":"ITEM-1","issued":{"date-parts":[["2012"]]},"title":"FAKTOR-FAKTOR YANG MEMPENGARUHI LITERASI FINANSIAL MAHASISWA FAKULTAS EKONOMI DAN BISNIS UNIVERSITAS BRAWIJAYA","type":"article-journal"},"uris":["http://www.mendeley.com/documents/?uuid=fbbcbe77-092b-481b-b7fc-5f7cd2fe2500"]}],"mendeley":{"formattedCitation":"(Widyawati, 2012)","manualFormatting":"Widyawati, (2012)","plainTextFormattedCitation":"(Widyawati, 2012)","previouslyFormattedCitation":"(Widyawati, 2012)"},"properties":{"noteIndex":0},"schema":"https://github.com/citation-style-language/schema/raw/master/csl-citation.json"}</w:instrText>
      </w:r>
      <w:r w:rsidRPr="002F4BFA">
        <w:rPr>
          <w:lang w:val="en-US"/>
        </w:rPr>
        <w:fldChar w:fldCharType="separate"/>
      </w:r>
      <w:r w:rsidRPr="002F4BFA">
        <w:rPr>
          <w:noProof/>
          <w:lang w:val="en-US"/>
        </w:rPr>
        <w:t>Widyawati, (2012)</w:t>
      </w:r>
      <w:r w:rsidRPr="002F4BFA">
        <w:rPr>
          <w:lang w:val="en-US"/>
        </w:rPr>
        <w:fldChar w:fldCharType="end"/>
      </w:r>
      <w:r w:rsidRPr="002F4BFA">
        <w:rPr>
          <w:lang w:val="en-US"/>
        </w:rPr>
        <w:t xml:space="preserve"> dikutip dari </w:t>
      </w:r>
      <w:r w:rsidRPr="002F4BFA">
        <w:rPr>
          <w:lang w:val="en-US"/>
        </w:rPr>
        <w:fldChar w:fldCharType="begin" w:fldLock="1"/>
      </w:r>
      <w:r w:rsidRPr="002F4BFA">
        <w:rPr>
          <w:lang w:val="en-US"/>
        </w:rPr>
        <w:instrText>ADDIN CSL_CITATION {"citationItems":[{"id":"ITEM-1","itemData":{"DOI":"10.34010/jipsi.v8i2.1336","ISSN":"2086-1109","abstract":"This study aims to analyze financial literacy and find out the factors that influence the financial literacy ofmicro, small and medium enterprises (MSMEs) in the city of Bandung. This study uses a quantitativeapproach to the type of verification research. Primary data is obtained through the distribution ofquestionnaires to MSMEs players in the city of Bandung. The sampling technique uses proportional randomsampling with a sample size of 30 respondents. Other data is obtained through library observation andstudy. The analysis technique used is multiple linear regression. The results showed that the financialliteracy of SMEs in the city of Bandung was in the medium category. There are several factors thatsimultaneously influence financial literacy, namely age, formal education level, and business income. Whilepartially only the formal education level and business income that influences the level of financial literacy.While age does not have an effect on the level of financial literacy.","author":[{"dropping-particle":"","family":"Suryanto","given":"Suryanto","non-dropping-particle":"","parse-names":false,"suffix":""},{"dropping-particle":"","family":"Rasmini","given":"Mas","non-dropping-particle":"","parse-names":false,"suffix":""}],"container-title":"Jurnal Ilmu Politik dan Komunikasi","id":"ITEM-1","issue":"2","issued":{"date-parts":[["2018"]]},"title":"Analisis Literasi Keuangan Dan Faktor-Faktor Yang Mempengaruhinya","type":"article-journal","volume":"8"},"uris":["http://www.mendeley.com/documents/?uuid=69ab7e0c-df41-4df5-9bb7-0fa8b08ab8bd"]}],"mendeley":{"formattedCitation":"(Suryanto &amp; Rasmini, 2018)","manualFormatting":"Suryanto &amp; Rasmini, (2018)","plainTextFormattedCitation":"(Suryanto &amp; Rasmini, 2018)","previouslyFormattedCitation":"(Suryanto &amp; Rasmini, 2018)"},"properties":{"noteIndex":0},"schema":"https://github.com/citation-style-language/schema/raw/master/csl-citation.json"}</w:instrText>
      </w:r>
      <w:r w:rsidRPr="002F4BFA">
        <w:rPr>
          <w:lang w:val="en-US"/>
        </w:rPr>
        <w:fldChar w:fldCharType="separate"/>
      </w:r>
      <w:r w:rsidRPr="002F4BFA">
        <w:rPr>
          <w:noProof/>
          <w:lang w:val="en-US"/>
        </w:rPr>
        <w:t>Suryanto &amp; Rasmini, (2018)</w:t>
      </w:r>
      <w:r w:rsidRPr="002F4BFA">
        <w:rPr>
          <w:lang w:val="en-US"/>
        </w:rPr>
        <w:fldChar w:fldCharType="end"/>
      </w:r>
      <w:r w:rsidRPr="002F4BFA">
        <w:rPr>
          <w:lang w:val="en-US"/>
        </w:rPr>
        <w:t xml:space="preserve"> adalah</w:t>
      </w:r>
      <w:r>
        <w:rPr>
          <w:lang w:val="en-US"/>
        </w:rPr>
        <w:t xml:space="preserve"> mengetahui sumber – sumber dan faktor yang mempengaruhi pendapatan, mengetahui tentang asuransi, dan mengenal jenis dan risiko investasi</w:t>
      </w:r>
    </w:p>
    <w:p w14:paraId="0851AB3D" w14:textId="2E62B145" w:rsidR="00F90D85" w:rsidRDefault="00F90D85" w:rsidP="00FB1A74">
      <w:pPr>
        <w:spacing w:after="0" w:line="240" w:lineRule="auto"/>
        <w:rPr>
          <w:lang w:val="en-US"/>
        </w:rPr>
      </w:pPr>
      <w:r>
        <w:rPr>
          <w:lang w:val="en-US"/>
        </w:rPr>
        <w:t xml:space="preserve">      </w:t>
      </w:r>
      <w:r w:rsidRPr="00F90D85">
        <w:rPr>
          <w:lang w:val="en-US"/>
        </w:rPr>
        <w:fldChar w:fldCharType="begin" w:fldLock="1"/>
      </w:r>
      <w:r w:rsidRPr="00F90D85">
        <w:rPr>
          <w:lang w:val="en-US"/>
        </w:rPr>
        <w:instrText>ADDIN CSL_CITATION {"citationItems":[{"id":"ITEM-1","itemData":{"DOI":"10.12988/ref.2017.711","abstract":"The purpose of this study was to test the relationships between financial socialization, financial knowledge, financial behaviour and financial well-being of Malaysian Young Employees. A total of 391 participants aged between 20 to 40 years participated in the survey via systematic random sampling technique. Data were collected through a self-reporting mode and Pearson correlation coefficients were used in inferential statistics. The findings showed that the frequency of participants observing the behaviour of the socialization agents and interact with them, namely parents at an early stage, positively related to the acquisition of financial knowledge. However, there was no correlation in the acquisition of financial knowledge through observation and interaction with peers. But the study showed that the frequency of observing and interacting with parents and peers in terms of finance had a positive relationship to the acquisition of the financial behaviour of the participants. In addition, the statistics highlighted that there was a positive correlation between financial knowledge, financial behaviour, and financial well-being. In conclusion, this study revealed how the theory of financial socialization is effective in describing the financial well-being of young employees.","author":[{"dropping-particle":"","family":"Mohamed","given":"Nor Azman","non-dropping-particle":"","parse-names":false,"suffix":""}],"container-title":"Reports on Economics and Finance","id":"ITEM-1","issued":{"date-parts":[["2017"]]},"title":"Financial socialization: a cornerstone for young employees’ financial well-being","type":"article-journal"},"uris":["http://www.mendeley.com/documents/?uuid=358d54a3-09bd-4cbf-9aaa-1e0cf45af115"]}],"mendeley":{"formattedCitation":"(Mohamed, 2017)","manualFormatting":"Mohamed, (2017)","plainTextFormattedCitation":"(Mohamed, 2017)","previouslyFormattedCitation":"(Mohamed, 2017)"},"properties":{"noteIndex":0},"schema":"https://github.com/citation-style-language/schema/raw/master/csl-citation.json"}</w:instrText>
      </w:r>
      <w:r w:rsidRPr="00F90D85">
        <w:rPr>
          <w:lang w:val="en-US"/>
        </w:rPr>
        <w:fldChar w:fldCharType="separate"/>
      </w:r>
      <w:r w:rsidRPr="00F90D85">
        <w:rPr>
          <w:noProof/>
          <w:lang w:val="en-US"/>
        </w:rPr>
        <w:t>Mohamed, (2017)</w:t>
      </w:r>
      <w:r w:rsidRPr="00F90D85">
        <w:rPr>
          <w:lang w:val="en-US"/>
        </w:rPr>
        <w:fldChar w:fldCharType="end"/>
      </w:r>
      <w:r w:rsidRPr="00F90D85">
        <w:rPr>
          <w:lang w:val="en-US"/>
        </w:rPr>
        <w:t xml:space="preserve"> menyatakan bahwa perilaku keuangan sebagai proses untuk mengelola sumber keuangan untuk mencapai kesuksesan finansial dibidang pengelolaan keuangan , implementasi dan evaluasi keuangan </w:t>
      </w:r>
      <w:r w:rsidRPr="00F90D85">
        <w:rPr>
          <w:lang w:val="en-US"/>
        </w:rPr>
        <w:fldChar w:fldCharType="begin" w:fldLock="1"/>
      </w:r>
      <w:r w:rsidRPr="00F90D85">
        <w:rPr>
          <w:lang w:val="en-US"/>
        </w:rPr>
        <w:instrText>ADDIN CSL_CITATION {"citationItems":[{"id":"ITEM-1","itemData":{"DOI":"10.21831/nominal.v7i1.19363","ISSN":"2303-2065","abstract":"Penelitian ini bertujuan untuk mengetahui (1) pengaruh Pengetahuan Keuangan terhadap Perilaku Manajemen Keuangan pada pelaku UMKM Sentra Kerajinan Batik Kab.Bantul, (2) pengaruh Sikap Keuangan terhadap Perilaku Manajemen Keuangan pada Pelaku UMKM Sentra Kerajinan Batik Kab.Bantul, (3) pengaruh Kepribadian terhadap Perilaku Manajemen Keuangan pada Pelaku UMKM Sentra Kerajinan Batik Kab.Bantul, (4) dan pengaruh Pengetahuan Keuangan, Sikap Keuangan, dan Kepribadian terhadap Perilaku Manajemen Keuangan pada Pelaku UMKM Sentra Kerajinan Batik Kab.Bantul. Subjek penelitian ini adalah seluruh pemilik UMKM Sentra Kerajinan Batik Kab.Bantul Sebanyak 37 UMKM. Uji prasyarat analisis meliputi uji linearitas, uji multikolinearitas dan uji heteroskedastisitas. Teknik analisis data yang digunakan adalah analisis regresi linier sederhana dan analisis regresi linier berganda. Hasil penelitian menunjukkan bahwa (1) terdapat pengaruh positif Pengetahuan Keuangan terhadap Perilaku Manajemen Keuangan pada pelaku UMKM Sentra Kerajinan Batik Kab.Bantul, (2) terdapat pengaruh positif Sikap Keuangan terhadap Perilaku Manajemen Keuangan pada pelaku UMKM Sentra Kerajinan Batik Kab.Bantul, (3) terdapat pengaruh positif Kepribadian terhadap Perilaku Manajemen Keuangan pada pelaku UMKM Sentra Kerajinan Batik Kab.Bantul, (4) terdapat pengaruh positif Pengetahuan Keuangan, Sikap Keuangan, dan Kepribadian terhadap Perilaku Manajemen Keuangan pada pelaku UMKM Sentra Kerajinan Batik Kab.Bantul. Kata Kunci: Pengetahuan Keuangan, Sikap Keuangan, Kepribadian, Perilaku Manajemen Keuangan","author":[{"dropping-particle":"","family":"Humaira","given":"Iklima","non-dropping-particle":"","parse-names":false,"suffix":""},{"dropping-particle":"","family":"Sagoro","given":"Endra Murti","non-dropping-particle":"","parse-names":false,"suffix":""}],"container-title":"Nominal, Barometer Riset Akuntansi dan Manajemen","id":"ITEM-1","issue":"1","issued":{"date-parts":[["2018"]]},"title":"Pengaruh Pengetahuan Keuangan, Sikap Keuangan, Dan Kepribadian Terhadap Perilaku Manajemen Keuangan Pada Pelaku Umkm Sentra Kerajinan Batik Kabupaten Bantul","type":"article-journal","volume":"7"},"uris":["http://www.mendeley.com/documents/?uuid=6cf5ea52-1232-4ab9-b940-c8d4e13694e3"]}],"mendeley":{"formattedCitation":"(Humaira &amp; Sagoro, 2018)","manualFormatting":"Humaira &amp; Sagoro (2018)","plainTextFormattedCitation":"(Humaira &amp; Sagoro, 2018)","previouslyFormattedCitation":"(Humaira &amp; Sagoro, 2018)"},"properties":{"noteIndex":0},"schema":"https://github.com/citation-style-language/schema/raw/master/csl-citation.json"}</w:instrText>
      </w:r>
      <w:r w:rsidRPr="00F90D85">
        <w:rPr>
          <w:lang w:val="en-US"/>
        </w:rPr>
        <w:fldChar w:fldCharType="separate"/>
      </w:r>
      <w:r w:rsidRPr="00F90D85">
        <w:rPr>
          <w:noProof/>
          <w:lang w:val="en-US"/>
        </w:rPr>
        <w:t xml:space="preserve">Humaira &amp; Sagoro </w:t>
      </w:r>
      <w:r w:rsidRPr="00F90D85">
        <w:rPr>
          <w:noProof/>
          <w:lang w:val="en-US"/>
        </w:rPr>
        <w:lastRenderedPageBreak/>
        <w:t>(2018)</w:t>
      </w:r>
      <w:r w:rsidRPr="00F90D85">
        <w:rPr>
          <w:lang w:val="en-US"/>
        </w:rPr>
        <w:fldChar w:fldCharType="end"/>
      </w:r>
      <w:r w:rsidRPr="00F90D85">
        <w:rPr>
          <w:lang w:val="en-US"/>
        </w:rPr>
        <w:t xml:space="preserve"> menyatakan indikator dari perilaku keuangan antara lain</w:t>
      </w:r>
      <w:r>
        <w:rPr>
          <w:lang w:val="en-US"/>
        </w:rPr>
        <w:t xml:space="preserve"> menyusun tujuan keuangan, menyusun anggaran keuangan, teknik dalam menyusun anggaran keuangan dan kegiatan menabung.</w:t>
      </w:r>
    </w:p>
    <w:p w14:paraId="7513CE33" w14:textId="77777777" w:rsidR="00F90D85" w:rsidRDefault="00F90D85" w:rsidP="00F90D85">
      <w:pPr>
        <w:spacing w:after="0" w:line="240" w:lineRule="auto"/>
        <w:rPr>
          <w:lang w:val="en-US"/>
        </w:rPr>
      </w:pPr>
      <w:r>
        <w:rPr>
          <w:lang w:val="en-US"/>
        </w:rPr>
        <w:t xml:space="preserve">      </w:t>
      </w:r>
      <w:r w:rsidRPr="00F90D85">
        <w:rPr>
          <w:lang w:val="en-US"/>
        </w:rPr>
        <w:t xml:space="preserve">Teknologi keuangan adalah sebuah inovasi yang menggunakan teknologi digital seperti internet, komputasi seluler, dan analisi data yang dimungkinkan untuk layanan keuangan  </w:t>
      </w:r>
      <w:r w:rsidRPr="00F90D85">
        <w:rPr>
          <w:lang w:val="en-US"/>
        </w:rPr>
        <w:fldChar w:fldCharType="begin" w:fldLock="1"/>
      </w:r>
      <w:r w:rsidRPr="00F90D85">
        <w:rPr>
          <w:lang w:val="en-US"/>
        </w:rPr>
        <w:instrText>ADDIN CSL_CITATION {"citationItems":[{"id":"ITEM-1","itemData":{"DOI":"10.1007/s12525-017-0275-0","ISSN":"14228890","abstract":"The financial sector is facing radical transformation. Leveraging digital technologies to offer innovative services, FinTech start-ups are emerging in domains such as asset management, lending, or insurance. Despite increasing investments, the FinTech phenomenon is low on theoretical insights. So far, the offerings of FinTech start-ups have been predominantly investigated from a functional perspective. As a functional perspective does not suffice to fully understand the offerings of FinTech start-ups, we propose a taxonomy of non-functional characteristics. Thereby, we restrict our analysis to consumer-oriented FinTech start-ups. Our taxonomy includes 15 dimensions structured along the perspectives interaction, data, and monetization. We demonstrate the applicability of our taxonomy by classifying the offerings of 227 FinTech start-ups and by identifying archetypes via a cluster analysis. Our taxonomy contributes to the descriptive knowledge on FinTech start-ups, enabling researchers and practitioners to analyze the service offerings of FinTech start-up in a structured manner.","author":[{"dropping-particle":"","family":"Gimpel","given":"Henner","non-dropping-particle":"","parse-names":false,"suffix":""},{"dropping-particle":"","family":"Rau","given":"Daniel","non-dropping-particle":"","parse-names":false,"suffix":""},{"dropping-particle":"","family":"Röglinger","given":"Maximilian","non-dropping-particle":"","parse-names":false,"suffix":""}],"container-title":"Electronic Markets","id":"ITEM-1","issued":{"date-parts":[["2018"]]},"title":"Understanding FinTech start-ups – a taxonomy of consumer-oriented service offerings","type":"article-journal"},"uris":["http://www.mendeley.com/documents/?uuid=a1d9230f-011b-4ddc-b872-451cb5d6eb36"]}],"mendeley":{"formattedCitation":"(Gimpel et al., 2018)","plainTextFormattedCitation":"(Gimpel et al., 2018)","previouslyFormattedCitation":"(Gimpel et al., 2018)"},"properties":{"noteIndex":0},"schema":"https://github.com/citation-style-language/schema/raw/master/csl-citation.json"}</w:instrText>
      </w:r>
      <w:r w:rsidRPr="00F90D85">
        <w:rPr>
          <w:lang w:val="en-US"/>
        </w:rPr>
        <w:fldChar w:fldCharType="separate"/>
      </w:r>
      <w:r w:rsidRPr="00F90D85">
        <w:rPr>
          <w:noProof/>
          <w:lang w:val="en-US"/>
        </w:rPr>
        <w:t>(Gimpel et al., 2018)</w:t>
      </w:r>
      <w:r w:rsidRPr="00F90D85">
        <w:rPr>
          <w:lang w:val="en-US"/>
        </w:rPr>
        <w:fldChar w:fldCharType="end"/>
      </w:r>
      <w:r w:rsidRPr="00F90D85">
        <w:rPr>
          <w:lang w:val="en-US"/>
        </w:rPr>
        <w:t xml:space="preserve">. Berikut ini adalah beberapa indikator yang digunakan dalam teknologi keuangan menurut </w:t>
      </w:r>
      <w:r w:rsidRPr="00F90D85">
        <w:rPr>
          <w:lang w:val="en-US"/>
        </w:rPr>
        <w:fldChar w:fldCharType="begin" w:fldLock="1"/>
      </w:r>
      <w:r w:rsidRPr="00F90D85">
        <w:rPr>
          <w:lang w:val="en-US"/>
        </w:rPr>
        <w:instrText>ADDIN CSL_CITATION {"citationItems":[{"id":"ITEM-1","itemData":{"abstract":"… mempunyai arti inovasi dalam layanan keuangan. FinTech membantu masyarakat menjadi lebih mudah dalam mengakses produk keuangan dan literasi keuangan … Segmen pasar terbesar FinTech adalah segmen pembayaran digital dengan nilai transaksi sebesar …","author":[{"dropping-particle":"","family":"Silalahi","given":"Rizal","non-dropping-particle":"","parse-names":false,"suffix":""},{"dropping-particle":"","family":"Pramedia","given":"Dynda Puspa","non-dropping-particle":"","parse-names":false,"suffix":""}],"container-title":"Jurnal Ekonomi dan Perbankan Syariah","id":"ITEM-1","issued":{"date-parts":[["2018"]]},"title":"Analisis Faktor Keberhasilan Fintech Payment Dengan Menggunakan Model DeLone dan McLean","type":"article-journal"},"uris":["http://www.mendeley.com/documents/?uuid=27cb79f6-cade-4c52-98c2-c088560745ee"]}],"mendeley":{"formattedCitation":"(Silalahi &amp; Pramedia, 2018)","manualFormatting":"Silalahi &amp; Pramedia, (2018)","plainTextFormattedCitation":"(Silalahi &amp; Pramedia, 2018)","previouslyFormattedCitation":"(Silalahi &amp; Pramedia, 2018)"},"properties":{"noteIndex":0},"schema":"https://github.com/citation-style-language/schema/raw/master/csl-citation.json"}</w:instrText>
      </w:r>
      <w:r w:rsidRPr="00F90D85">
        <w:rPr>
          <w:lang w:val="en-US"/>
        </w:rPr>
        <w:fldChar w:fldCharType="separate"/>
      </w:r>
      <w:r w:rsidRPr="00F90D85">
        <w:rPr>
          <w:noProof/>
          <w:lang w:val="en-US"/>
        </w:rPr>
        <w:t>Silalahi &amp; Pramedia, (2018)</w:t>
      </w:r>
      <w:r w:rsidRPr="00F90D85">
        <w:rPr>
          <w:lang w:val="en-US"/>
        </w:rPr>
        <w:fldChar w:fldCharType="end"/>
      </w:r>
      <w:r w:rsidRPr="00F90D85">
        <w:rPr>
          <w:lang w:val="en-US"/>
        </w:rPr>
        <w:t xml:space="preserve"> </w:t>
      </w:r>
      <w:r>
        <w:rPr>
          <w:lang w:val="en-US"/>
        </w:rPr>
        <w:t>yaitu kualitas layanan, intensitas penggunaan, kepuasan pengguna dan manfaat bersih.</w:t>
      </w:r>
    </w:p>
    <w:p w14:paraId="1B37779D" w14:textId="57BE4C7F" w:rsidR="00F90D85" w:rsidRDefault="00C24560" w:rsidP="00FD4C79">
      <w:pPr>
        <w:spacing w:line="240" w:lineRule="auto"/>
        <w:rPr>
          <w:lang w:val="en-US"/>
        </w:rPr>
      </w:pPr>
      <w:r>
        <w:rPr>
          <w:lang w:val="en-US"/>
        </w:rPr>
        <w:t xml:space="preserve">      </w:t>
      </w:r>
      <w:r w:rsidRPr="00C24560">
        <w:rPr>
          <w:lang w:val="en-US"/>
        </w:rPr>
        <w:fldChar w:fldCharType="begin" w:fldLock="1"/>
      </w:r>
      <w:r w:rsidRPr="00C24560">
        <w:rPr>
          <w:lang w:val="en-US"/>
        </w:rPr>
        <w:instrText>ADDIN CSL_CITATION {"citationItems":[{"id":"ITEM-1","itemData":{"abstract":"Money matters. It can determine, how we live, how stressed we feel and what options are available to us, now and in the future. The ability to manage money and cope with unexpected financial shocks is important for individuals, households and the economy. Around the world, programs are attempting to improve financial capability, inclusion and resilience as a way to improve financial wellbeing. These efforts are occurring across Australia, such as the National Financial Literacy Strategy and the Financial Inclusion Action Plan. But what does financial wellbeing mean? Definitions of financial wellbeing have begun to emerge internationally. This project, commissioned by Financial Literacy Australia, looks at financial wellbeing in the Australian context. It provides a definition that aims to be relevant to Australians of different ages, and meaningful to organisations that work to improve financial outcomes. The project asked: What is financial wellbeing, and what are its different parts? What are the factors that influence financial wellbeing? Where does financial capability fit in? How can we measure financial wellbeing? The study used data from an international literature review; focus groups and interviews with 72 people; a survey of 821 people living in Australia aged 18 and over; and consultations with experts in the field.","author":[{"dropping-particle":"","family":"Muir","given":"Kristy","non-dropping-particle":"","parse-names":false,"suffix":""},{"dropping-particle":"","family":"Hamilton","given":"Myra","non-dropping-particle":"","parse-names":false,"suffix":""},{"dropping-particle":"","family":"Noone","given":"Jack H.","non-dropping-particle":"","parse-names":false,"suffix":""},{"dropping-particle":"","family":"Marjolin","given":"Axelle","non-dropping-particle":"","parse-names":false,"suffix":""},{"dropping-particle":"","family":"Salignac","given":"Fanny","non-dropping-particle":"","parse-names":false,"suffix":""},{"dropping-particle":"","family":"Saunders","given":"Peter","non-dropping-particle":"","parse-names":false,"suffix":""}],"container-title":"Centre for Social Impact &amp; Social Policy Research Centre","id":"ITEM-1","issued":{"date-parts":[["2017"]]},"title":"Exploring Financial Wellbeing in the Australian Context","type":"article-journal"},"uris":["http://www.mendeley.com/documents/?uuid=bca3a3c6-134d-49b8-bcd5-fc5a449e13fa"]}],"mendeley":{"formattedCitation":"(Muir et al., 2017)","manualFormatting":"Muir et al., (2017)","plainTextFormattedCitation":"(Muir et al., 2017)","previouslyFormattedCitation":"(Muir et al., 2017)"},"properties":{"noteIndex":0},"schema":"https://github.com/citation-style-language/schema/raw/master/csl-citation.json"}</w:instrText>
      </w:r>
      <w:r w:rsidRPr="00C24560">
        <w:rPr>
          <w:lang w:val="en-US"/>
        </w:rPr>
        <w:fldChar w:fldCharType="separate"/>
      </w:r>
      <w:r w:rsidRPr="00C24560">
        <w:rPr>
          <w:noProof/>
          <w:lang w:val="en-US"/>
        </w:rPr>
        <w:t>Muir et al., (2017)</w:t>
      </w:r>
      <w:r w:rsidRPr="00C24560">
        <w:rPr>
          <w:lang w:val="en-US"/>
        </w:rPr>
        <w:fldChar w:fldCharType="end"/>
      </w:r>
      <w:r w:rsidRPr="00C24560">
        <w:rPr>
          <w:lang w:val="en-US"/>
        </w:rPr>
        <w:t xml:space="preserve"> menyatakan kesejahteraan keuangan merupakan keadaan ketika seseorang mampu memenuhi seluruh kebutuhan serta memiliki uang yang tersisa, dapat mengendalikan keuangan mereka dan merasa aman secara finansial, sekarang dan dimasa depan. Beberapa indikator kesejahteraan keuangan menurut </w:t>
      </w:r>
      <w:r w:rsidRPr="00C24560">
        <w:rPr>
          <w:lang w:val="en-US"/>
        </w:rPr>
        <w:fldChar w:fldCharType="begin" w:fldLock="1"/>
      </w:r>
      <w:r w:rsidRPr="00C24560">
        <w:rPr>
          <w:lang w:val="en-US"/>
        </w:rPr>
        <w:instrText>ADDIN CSL_CITATION {"citationItems":[{"id":"ITEM-1","itemData":{"DOI":"10.1108/20463161211240124","ISSN":"2046-3162","abstract":"Purpose - The purpose of this paper is to examine the relationships between personal and family backgrounds, academic ability, childhood consumer experience, financial socialization, financial literacy, and perceived financial well-being of college students. Design/methodology/approach - Data were collected using a multi-stage sampling technique from 11 public and private universities across Malaysia and the sample consists of 2,219 college students. Structural equation modelling was utilized to test the hypotheses. Findings - Childhood consumer experiences such as savings habits contribute to students' financial well-being (money saved, current financial situation, and financial management skills). Financial socialization agents, for example, through parents and religion sources could increase college students' financial well-being. Financial literacy was related to financial well-being. There were important differences between the Malay and Chinese ethnic groups in Malaysia. Research limitations/implications - Overall, implications and recommendations for future research, teaching, and public policy are also provided for parents, college administrators, counselors and educators. Originality/value - This research provides meaningful information about how various factors (childhood experience, financial socialization, and financial literacy) predict students' financial well-being. [{PUBLICATION} {ABSTRACT]}","author":[{"dropping-particle":"","family":"Fazli Sabri","given":"Mohamad","non-dropping-particle":"","parse-names":false,"suffix":""},{"dropping-particle":"","family":"Cook","given":"Christine C.","non-dropping-particle":"","parse-names":false,"suffix":""},{"dropping-particle":"","family":"Gudmunson","given":"Clinton G.","non-dropping-particle":"","parse-names":false,"suffix":""}],"container-title":"Asian Education and Development Studies","id":"ITEM-1","issued":{"date-parts":[["2015"]]},"title":"Financial well‐being of Malaysian college students","type":"article-journal"},"uris":["http://www.mendeley.com/documents/?uuid=a0ecdceb-f00f-4c58-abc7-551176da6222"]}],"mendeley":{"formattedCitation":"(Fazli Sabri et al., 2015)","manualFormatting":"Fazli Sabri et al., (2012)","plainTextFormattedCitation":"(Fazli Sabri et al., 2015)","previouslyFormattedCitation":"(Fazli Sabri et al., 2015)"},"properties":{"noteIndex":0},"schema":"https://github.com/citation-style-language/schema/raw/master/csl-citation.json"}</w:instrText>
      </w:r>
      <w:r w:rsidRPr="00C24560">
        <w:rPr>
          <w:lang w:val="en-US"/>
        </w:rPr>
        <w:fldChar w:fldCharType="separate"/>
      </w:r>
      <w:r w:rsidRPr="00C24560">
        <w:rPr>
          <w:noProof/>
          <w:lang w:val="en-US"/>
        </w:rPr>
        <w:t>Fazli Sabri et al., (2012)</w:t>
      </w:r>
      <w:r w:rsidRPr="00C24560">
        <w:rPr>
          <w:lang w:val="en-US"/>
        </w:rPr>
        <w:fldChar w:fldCharType="end"/>
      </w:r>
      <w:r w:rsidRPr="00C24560">
        <w:rPr>
          <w:lang w:val="en-US"/>
        </w:rPr>
        <w:t xml:space="preserve"> dikutip dari </w:t>
      </w:r>
      <w:r w:rsidRPr="00C24560">
        <w:rPr>
          <w:lang w:val="en-US"/>
        </w:rPr>
        <w:fldChar w:fldCharType="begin" w:fldLock="1"/>
      </w:r>
      <w:r w:rsidRPr="00C24560">
        <w:rPr>
          <w:lang w:val="en-US"/>
        </w:rPr>
        <w:instrText>ADDIN CSL_CITATION {"citationItems":[{"id":"ITEM-1","itemData":{"author":[{"dropping-particle":"","family":"Wulansari","given":"Novi","non-dropping-particle":"","parse-names":false,"suffix":""}],"id":"ITEM-1","issued":{"date-parts":[["2019"]]},"publisher":"UNIVERSITAS NEGERI SEMARANG","title":"PENGARUH PENDAPATAN, LITERASI KEUANGAN, DAN SIKAP KEUANGAN TERHADAP KESEJAHTERAAN KEUANGAN KELUARGA DESA KETANJUNG KECAMATAN KARANGANYAR KABUPATEN DEMAK MELALUI PERILAKU KEUANGAN SEBAGAI VARIABEL INTERVENING","type":"thesis"},"uris":["http://www.mendeley.com/documents/?uuid=517709fa-d77e-4e0a-a23e-d4d1695b7d8e"]}],"mendeley":{"formattedCitation":"(Wulansari, 2019)","plainTextFormattedCitation":"(Wulansari, 2019)","previouslyFormattedCitation":"(Wulansari, 2019)"},"properties":{"noteIndex":0},"schema":"https://github.com/citation-style-language/schema/raw/master/csl-citation.json"}</w:instrText>
      </w:r>
      <w:r w:rsidRPr="00C24560">
        <w:rPr>
          <w:lang w:val="en-US"/>
        </w:rPr>
        <w:fldChar w:fldCharType="separate"/>
      </w:r>
      <w:r w:rsidRPr="00C24560">
        <w:rPr>
          <w:noProof/>
          <w:lang w:val="en-US"/>
        </w:rPr>
        <w:t>(Wulansari, 2019)</w:t>
      </w:r>
      <w:r w:rsidRPr="00C24560">
        <w:rPr>
          <w:lang w:val="en-US"/>
        </w:rPr>
        <w:fldChar w:fldCharType="end"/>
      </w:r>
      <w:r w:rsidRPr="00C24560">
        <w:rPr>
          <w:lang w:val="en-US"/>
        </w:rPr>
        <w:t xml:space="preserve"> </w:t>
      </w:r>
      <w:r>
        <w:rPr>
          <w:lang w:val="en-US"/>
        </w:rPr>
        <w:t xml:space="preserve">adalah </w:t>
      </w:r>
      <w:r w:rsidRPr="00C24560">
        <w:rPr>
          <w:i/>
          <w:iCs/>
          <w:lang w:val="en-US"/>
        </w:rPr>
        <w:t xml:space="preserve">Money </w:t>
      </w:r>
      <w:r>
        <w:rPr>
          <w:i/>
          <w:iCs/>
          <w:lang w:val="en-US"/>
        </w:rPr>
        <w:t>saved,</w:t>
      </w:r>
      <w:r>
        <w:rPr>
          <w:lang w:val="en-US"/>
        </w:rPr>
        <w:t xml:space="preserve"> </w:t>
      </w:r>
      <w:r w:rsidRPr="00C24560">
        <w:rPr>
          <w:i/>
          <w:iCs/>
          <w:lang w:val="en-US"/>
        </w:rPr>
        <w:t>Current Financial Situation</w:t>
      </w:r>
      <w:r>
        <w:rPr>
          <w:i/>
          <w:iCs/>
          <w:lang w:val="en-US"/>
        </w:rPr>
        <w:t xml:space="preserve">, </w:t>
      </w:r>
      <w:r>
        <w:rPr>
          <w:lang w:val="en-US"/>
        </w:rPr>
        <w:t xml:space="preserve">dan </w:t>
      </w:r>
      <w:r w:rsidRPr="00C24560">
        <w:rPr>
          <w:i/>
          <w:iCs/>
          <w:lang w:val="en-US"/>
        </w:rPr>
        <w:t>Financial Management Skills.</w:t>
      </w:r>
    </w:p>
    <w:p w14:paraId="7B204469" w14:textId="66ED0257" w:rsidR="00C24560" w:rsidRDefault="00C24560" w:rsidP="00F90D85">
      <w:pPr>
        <w:spacing w:after="0" w:line="240" w:lineRule="auto"/>
        <w:rPr>
          <w:b/>
          <w:bCs/>
          <w:lang w:val="en-US"/>
        </w:rPr>
      </w:pPr>
      <w:r>
        <w:rPr>
          <w:b/>
          <w:bCs/>
          <w:lang w:val="en-US"/>
        </w:rPr>
        <w:t>Metode Analisis Data</w:t>
      </w:r>
    </w:p>
    <w:p w14:paraId="2D7FC29C" w14:textId="6AFC19DC" w:rsidR="00C24560" w:rsidRDefault="00C24560" w:rsidP="00F90D85">
      <w:pPr>
        <w:spacing w:after="0" w:line="240" w:lineRule="auto"/>
        <w:rPr>
          <w:lang w:val="en-US"/>
        </w:rPr>
      </w:pPr>
      <w:r>
        <w:rPr>
          <w:lang w:val="en-US"/>
        </w:rPr>
        <w:t xml:space="preserve">      Penelitian ini menyajikan uji instrument penelitian yang bertujuan untuk menguji ketepatan data dan konsistensi serta stabilitas data atau temuan. Uji instrumen yang dilakukan yaitu uji validitas dan uji reliabilitas. Untuk mengetahui tingkat validitas dari instrument penelitian peneliti menggunakan rumus korelasi </w:t>
      </w:r>
      <w:r>
        <w:rPr>
          <w:i/>
          <w:iCs/>
          <w:lang w:val="en-US"/>
        </w:rPr>
        <w:t>product moment</w:t>
      </w:r>
      <w:r>
        <w:rPr>
          <w:lang w:val="en-US"/>
        </w:rPr>
        <w:t xml:space="preserve"> dengan bantuan program SPSS versi 21.0</w:t>
      </w:r>
      <w:r w:rsidR="00D95269">
        <w:rPr>
          <w:lang w:val="en-US"/>
        </w:rPr>
        <w:t xml:space="preserve">. Kriteria pengujian valid tidaknya tiap butir soal adalah jika nilai </w:t>
      </w:r>
      <w:r w:rsidR="00D95269">
        <w:rPr>
          <w:i/>
          <w:iCs/>
          <w:lang w:val="en-US"/>
        </w:rPr>
        <w:t>signifikansi</w:t>
      </w:r>
      <w:r w:rsidR="00D95269">
        <w:rPr>
          <w:lang w:val="en-US"/>
        </w:rPr>
        <w:t xml:space="preserve"> &lt; 0,05 maka butir soal dinyatakan valid </w:t>
      </w:r>
      <w:r w:rsidR="00D95269">
        <w:rPr>
          <w:lang w:val="en-US"/>
        </w:rPr>
        <w:fldChar w:fldCharType="begin" w:fldLock="1"/>
      </w:r>
      <w:r w:rsidR="002A7429">
        <w:rPr>
          <w:lang w:val="en-US"/>
        </w:rPr>
        <w:instrText>ADDIN CSL_CITATION {"citationItems":[{"id":"ITEM-1","itemData":{"ISBN":"979-8433-64-0","abstract":"Menurut Sugiyono (2003:15). Penelitian deskriptif adalah penelitian yang dilakukan untuk mengetahuinilai variabel mandiri, baik satu variabel atau lebih (independen) tanpa membuat perbandingan atau menghubungkan antara variabel satu dengan variabel yang lain, data kualitatif adalah data yang dinyatakan dalam bentuk kata, kalimat, dan gambar.","author":[{"dropping-particle":"","family":"Sugiyono","given":"","non-dropping-particle":"","parse-names":false,"suffix":""}],"container-title":"Ke-26","id":"ITEM-1","issued":{"date-parts":[["2018"]]},"title":"Metode Penelitian Kuantitatif,Kualitatif dan R&amp;D","type":"article"},"uris":["http://www.mendeley.com/documents/?uuid=0d982967-61ae-4057-8052-6a21e11ca1ea"]}],"mendeley":{"formattedCitation":"(Sugiyono, 2018)","plainTextFormattedCitation":"(Sugiyono, 2018)","previouslyFormattedCitation":"(Sugiyono, 2018)"},"properties":{"noteIndex":0},"schema":"https://github.com/citation-style-language/schema/raw/master/csl-citation.json"}</w:instrText>
      </w:r>
      <w:r w:rsidR="00D95269">
        <w:rPr>
          <w:lang w:val="en-US"/>
        </w:rPr>
        <w:fldChar w:fldCharType="separate"/>
      </w:r>
      <w:r w:rsidR="00D95269" w:rsidRPr="00D95269">
        <w:rPr>
          <w:noProof/>
          <w:lang w:val="en-US"/>
        </w:rPr>
        <w:t>(Sugiyono, 2018)</w:t>
      </w:r>
      <w:r w:rsidR="00D95269">
        <w:rPr>
          <w:lang w:val="en-US"/>
        </w:rPr>
        <w:fldChar w:fldCharType="end"/>
      </w:r>
      <w:r w:rsidR="00D95269">
        <w:rPr>
          <w:lang w:val="en-US"/>
        </w:rPr>
        <w:t xml:space="preserve">. </w:t>
      </w:r>
    </w:p>
    <w:p w14:paraId="26BC0392" w14:textId="2D734BC4" w:rsidR="00D95269" w:rsidRDefault="00D95269" w:rsidP="00F90D85">
      <w:pPr>
        <w:spacing w:after="0" w:line="240" w:lineRule="auto"/>
        <w:rPr>
          <w:lang w:val="en-US"/>
        </w:rPr>
      </w:pPr>
      <w:r>
        <w:rPr>
          <w:lang w:val="en-US"/>
        </w:rPr>
        <w:t xml:space="preserve">     Uji reliabilitas dilakukan untuk mengetahui derajat konsistensi dan stabilitas data. Dengan bantuan program SPSS versi 21.0 metode yang digunakan adalah teknik </w:t>
      </w:r>
      <w:r>
        <w:rPr>
          <w:i/>
          <w:iCs/>
          <w:lang w:val="en-US"/>
        </w:rPr>
        <w:t>Alpha Cronbach</w:t>
      </w:r>
      <w:r>
        <w:rPr>
          <w:lang w:val="en-US"/>
        </w:rPr>
        <w:t xml:space="preserve">. Dengan kriteria jika nilai </w:t>
      </w:r>
      <w:r>
        <w:rPr>
          <w:i/>
          <w:iCs/>
          <w:lang w:val="en-US"/>
        </w:rPr>
        <w:t>alpha cronbach</w:t>
      </w:r>
      <w:r>
        <w:rPr>
          <w:lang w:val="en-US"/>
        </w:rPr>
        <w:t xml:space="preserve"> &gt; 0,60 maka data dinyatakan reliabel. Namun apabila nilai </w:t>
      </w:r>
      <w:r>
        <w:rPr>
          <w:i/>
          <w:iCs/>
          <w:lang w:val="en-US"/>
        </w:rPr>
        <w:t xml:space="preserve">alpha cronbach </w:t>
      </w:r>
      <w:r>
        <w:rPr>
          <w:lang w:val="en-US"/>
        </w:rPr>
        <w:t>&lt; 0,6 maka data dinyatakan tidak reliabel.</w:t>
      </w:r>
    </w:p>
    <w:p w14:paraId="3B2E774B" w14:textId="5DF1FC77" w:rsidR="00D95269" w:rsidRDefault="00D95269" w:rsidP="00F90D85">
      <w:pPr>
        <w:spacing w:after="0" w:line="240" w:lineRule="auto"/>
        <w:rPr>
          <w:lang w:val="en-US"/>
        </w:rPr>
      </w:pPr>
      <w:r>
        <w:rPr>
          <w:lang w:val="en-US"/>
        </w:rPr>
        <w:t xml:space="preserve">      Uji asumsi klasik</w:t>
      </w:r>
      <w:r w:rsidR="005D10A7">
        <w:rPr>
          <w:lang w:val="en-US"/>
        </w:rPr>
        <w:t xml:space="preserve"> yang digunakan dalam penelitian ini antara lain : uji normalitas yang bertujuan untuk mengetahui apakah variabel independen maupun dependen mempunyai disttribusi yang normal atau tidak. Uji statistik yang digunakan adalah </w:t>
      </w:r>
      <w:r w:rsidR="005D10A7">
        <w:rPr>
          <w:i/>
          <w:iCs/>
          <w:lang w:val="en-US"/>
        </w:rPr>
        <w:t xml:space="preserve">kolmogorov – smirnov. </w:t>
      </w:r>
      <w:r w:rsidR="005D10A7">
        <w:rPr>
          <w:lang w:val="en-US"/>
        </w:rPr>
        <w:t xml:space="preserve">Data yang berdistribusi normal memiliki nilai signifikansi </w:t>
      </w:r>
      <w:r w:rsidR="005D10A7">
        <w:rPr>
          <w:i/>
          <w:iCs/>
          <w:lang w:val="en-US"/>
        </w:rPr>
        <w:t xml:space="preserve">Asymp Sig. </w:t>
      </w:r>
      <w:r w:rsidR="005D10A7">
        <w:rPr>
          <w:lang w:val="en-US"/>
        </w:rPr>
        <w:t xml:space="preserve">(2 - </w:t>
      </w:r>
      <w:r w:rsidR="005D10A7">
        <w:rPr>
          <w:i/>
          <w:iCs/>
          <w:lang w:val="en-US"/>
        </w:rPr>
        <w:t>tailed</w:t>
      </w:r>
      <w:r w:rsidR="005D10A7">
        <w:rPr>
          <w:lang w:val="en-US"/>
        </w:rPr>
        <w:t>) &gt; 0,05 (</w:t>
      </w:r>
      <w:r w:rsidR="005D10A7">
        <w:rPr>
          <w:lang w:val="en-US"/>
        </w:rPr>
        <w:fldChar w:fldCharType="begin" w:fldLock="1"/>
      </w:r>
      <w:r w:rsidR="005D10A7">
        <w:rPr>
          <w:lang w:val="en-US"/>
        </w:rPr>
        <w:instrText>ADDIN CSL_CITATION {"citationItems":[{"id":"ITEM-1","itemData":{"ISBN":"979-704-015-1","abstract":"The cost of mechanical ventilation (MV) is high. Efforts to reduce this cost, as long as they are not detrimental for the patients, are needed. MV with heat and moisture exchangers (HME) changed every 48 h is safe, efficient, and cost-effective. Preliminary reports suggest that the life span of these filters may be prolonged. We determined prospectively whether a hygroscopic and hydrophobic HME (Hygrobac-Dar; Mallinckrodt) provided safe and efficient heating and humidification of the inspired gases when changed only once a week. Patients who were considered to require mechanical ventilation for more than 48 h were included in the study. HMEs were initially set for 7 d. Efficient airway heating and humidification were assessed by clinical parameters (number of tracheal suctionings and instillations required, peak airway pressures) and hygrometric measurements performed by psychrometry. Resistance was measured from Day 0 to Day 7. Bacterial colonization of circuits and HMEs was studied. A total of 377 days of mechanical ventilation with 60 HMEs was studied. Clinical parameters and hygrometric measurements did not change between Day 0 and Day 7. Mean absolute humidity was 30.3 +/- 1.3 mg H(2)O/L on Day 0 and 30.8 +/- 1.5 mg H(2)O/L on Day 7 (p = 0.7). Endotracheal tube occlusion never occurred. Three HMEs were replaced prematurely because of insufficient absolute humidity. This rare event occurred only in patients with COPD and after the third day of use. In addition, the absolute humidity delivered by the HMEs was significantly lower in patients with COPD than in the rest of the population. Resistance did not change from Day 0 to Day 7 (2.4 +/- 0.3 versus 2.7 +/- 0.3 cm H(2)O/L/s; p = 0.4). Bacterial samples of both circuits and ventilator sides of HMEs were sterile in most cases. We conclude that mechanical ventilation can be safely conducted in non-COPD patients using an HME changed only once a week, leading to substantial cost savings (about $110,000 per year if these findings were applied to the university-affiliated hospitals in Paris)","author":[{"dropping-particle":"","family":"Ghozali","given":"Imam","non-dropping-particle":"","parse-names":false,"suffix":""}],"container-title":"(Edisi 9). Semarang: Badan Penerbit Universitas Diponegoro","id":"ITEM-1","issued":{"date-parts":[["2018"]]},"title":"Aplikasi Analisis Multivariate dengan Program IBM SPSS. Yogyakarta: Universitas Diponegoro","type":"article-journal"},"uris":["http://www.mendeley.com/documents/?uuid=cbae6e9c-3770-4468-b583-e2f13f519b34"]}],"mendeley":{"formattedCitation":"(Ghozali, 2018)","manualFormatting":"Ghozali, 2018)","plainTextFormattedCitation":"(Ghozali, 2018)","previouslyFormattedCitation":"(Ghozali, 2018)"},"properties":{"noteIndex":0},"schema":"https://github.com/citation-style-language/schema/raw/master/csl-citation.json"}</w:instrText>
      </w:r>
      <w:r w:rsidR="005D10A7">
        <w:rPr>
          <w:lang w:val="en-US"/>
        </w:rPr>
        <w:fldChar w:fldCharType="separate"/>
      </w:r>
      <w:r w:rsidR="005D10A7" w:rsidRPr="00DE4A14">
        <w:rPr>
          <w:noProof/>
          <w:lang w:val="en-US"/>
        </w:rPr>
        <w:t>Ghozali, 2018)</w:t>
      </w:r>
      <w:r w:rsidR="005D10A7">
        <w:rPr>
          <w:lang w:val="en-US"/>
        </w:rPr>
        <w:fldChar w:fldCharType="end"/>
      </w:r>
      <w:r w:rsidR="005D10A7">
        <w:rPr>
          <w:lang w:val="en-US"/>
        </w:rPr>
        <w:t>.</w:t>
      </w:r>
    </w:p>
    <w:p w14:paraId="276F494F" w14:textId="0879B40C" w:rsidR="005D10A7" w:rsidRDefault="005D10A7" w:rsidP="00F90D85">
      <w:pPr>
        <w:spacing w:after="0" w:line="240" w:lineRule="auto"/>
        <w:rPr>
          <w:lang w:val="en-US"/>
        </w:rPr>
      </w:pPr>
      <w:r>
        <w:rPr>
          <w:lang w:val="en-US"/>
        </w:rPr>
        <w:t xml:space="preserve">      </w:t>
      </w:r>
      <w:r w:rsidRPr="005D10A7">
        <w:rPr>
          <w:lang w:val="en-US"/>
        </w:rPr>
        <w:t>Uji multikolinearitas bertujuan untuk mengetahui ada tidaknya korelasi dari setiap variabel independen (</w:t>
      </w:r>
      <w:r w:rsidRPr="005D10A7">
        <w:rPr>
          <w:lang w:val="en-US"/>
        </w:rPr>
        <w:fldChar w:fldCharType="begin" w:fldLock="1"/>
      </w:r>
      <w:r w:rsidRPr="005D10A7">
        <w:rPr>
          <w:lang w:val="en-US"/>
        </w:rPr>
        <w:instrText>ADDIN CSL_CITATION {"citationItems":[{"id":"ITEM-1","itemData":{"ISBN":"979-704-015-1","abstract":"The cost of mechanical ventilation (MV) is high. Efforts to reduce this cost, as long as they are not detrimental for the patients, are needed. MV with heat and moisture exchangers (HME) changed every 48 h is safe, efficient, and cost-effective. Preliminary reports suggest that the life span of these filters may be prolonged. We determined prospectively whether a hygroscopic and hydrophobic HME (Hygrobac-Dar; Mallinckrodt) provided safe and efficient heating and humidification of the inspired gases when changed only once a week. Patients who were considered to require mechanical ventilation for more than 48 h were included in the study. HMEs were initially set for 7 d. Efficient airway heating and humidification were assessed by clinical parameters (number of tracheal suctionings and instillations required, peak airway pressures) and hygrometric measurements performed by psychrometry. Resistance was measured from Day 0 to Day 7. Bacterial colonization of circuits and HMEs was studied. A total of 377 days of mechanical ventilation with 60 HMEs was studied. Clinical parameters and hygrometric measurements did not change between Day 0 and Day 7. Mean absolute humidity was 30.3 +/- 1.3 mg H(2)O/L on Day 0 and 30.8 +/- 1.5 mg H(2)O/L on Day 7 (p = 0.7). Endotracheal tube occlusion never occurred. Three HMEs were replaced prematurely because of insufficient absolute humidity. This rare event occurred only in patients with COPD and after the third day of use. In addition, the absolute humidity delivered by the HMEs was significantly lower in patients with COPD than in the rest of the population. Resistance did not change from Day 0 to Day 7 (2.4 +/- 0.3 versus 2.7 +/- 0.3 cm H(2)O/L/s; p = 0.4). Bacterial samples of both circuits and ventilator sides of HMEs were sterile in most cases. We conclude that mechanical ventilation can be safely conducted in non-COPD patients using an HME changed only once a week, leading to substantial cost savings (about $110,000 per year if these findings were applied to the university-affiliated hospitals in Paris)","author":[{"dropping-particle":"","family":"Ghozali","given":"Imam","non-dropping-particle":"","parse-names":false,"suffix":""}],"container-title":"(Edisi 9). Semarang: Badan Penerbit Universitas Diponegoro","id":"ITEM-1","issued":{"date-parts":[["2018"]]},"title":"Aplikasi Analisis Multivariate dengan Program IBM SPSS. Yogyakarta: Universitas Diponegoro","type":"article-journal"},"uris":["http://www.mendeley.com/documents/?uuid=cbae6e9c-3770-4468-b583-e2f13f519b34"]}],"mendeley":{"formattedCitation":"(Ghozali, 2018)","manualFormatting":"Ghozali, 2018)","plainTextFormattedCitation":"(Ghozali, 2018)","previouslyFormattedCitation":"(Ghozali, 2018)"},"properties":{"noteIndex":0},"schema":"https://github.com/citation-style-language/schema/raw/master/csl-citation.json"}</w:instrText>
      </w:r>
      <w:r w:rsidRPr="005D10A7">
        <w:rPr>
          <w:lang w:val="en-US"/>
        </w:rPr>
        <w:fldChar w:fldCharType="separate"/>
      </w:r>
      <w:r w:rsidRPr="005D10A7">
        <w:rPr>
          <w:noProof/>
          <w:lang w:val="en-US"/>
        </w:rPr>
        <w:t>Ghozali, 2018)</w:t>
      </w:r>
      <w:r w:rsidRPr="005D10A7">
        <w:rPr>
          <w:lang w:val="en-US"/>
        </w:rPr>
        <w:fldChar w:fldCharType="end"/>
      </w:r>
      <w:r w:rsidRPr="005D10A7">
        <w:rPr>
          <w:lang w:val="en-US"/>
        </w:rPr>
        <w:t xml:space="preserve">. Model regresi yang terbebas dari multikolinear merupakan model regresi yang baik. Untuk mendeteksi multikolinearitas dapat dilakukan dengan mencari besarnya </w:t>
      </w:r>
      <w:r w:rsidRPr="005D10A7">
        <w:rPr>
          <w:i/>
          <w:iCs/>
          <w:lang w:val="en-US"/>
        </w:rPr>
        <w:t xml:space="preserve">variance inflation factor </w:t>
      </w:r>
      <w:r w:rsidRPr="005D10A7">
        <w:rPr>
          <w:lang w:val="en-US"/>
        </w:rPr>
        <w:t xml:space="preserve">dan nilai </w:t>
      </w:r>
      <w:r w:rsidRPr="005D10A7">
        <w:rPr>
          <w:i/>
          <w:iCs/>
          <w:lang w:val="en-US"/>
        </w:rPr>
        <w:t>tolerance.</w:t>
      </w:r>
      <w:r w:rsidRPr="005D10A7">
        <w:rPr>
          <w:lang w:val="en-US"/>
        </w:rPr>
        <w:t xml:space="preserve"> Jika nilai VIF kurang dari 10 dan nilai </w:t>
      </w:r>
      <w:r w:rsidRPr="005D10A7">
        <w:rPr>
          <w:i/>
          <w:iCs/>
          <w:lang w:val="en-US"/>
        </w:rPr>
        <w:t>tolerance</w:t>
      </w:r>
      <w:r w:rsidRPr="005D10A7">
        <w:rPr>
          <w:lang w:val="en-US"/>
        </w:rPr>
        <w:t xml:space="preserve"> lebih dari dari 0,1 maka model regresi bebas dari multikolinear</w:t>
      </w:r>
      <w:r>
        <w:rPr>
          <w:lang w:val="en-US"/>
        </w:rPr>
        <w:t>.</w:t>
      </w:r>
    </w:p>
    <w:p w14:paraId="3FFCF119" w14:textId="1A2E3E15" w:rsidR="005D10A7" w:rsidRPr="00D95269" w:rsidRDefault="005D10A7" w:rsidP="00F90D85">
      <w:pPr>
        <w:spacing w:after="0" w:line="240" w:lineRule="auto"/>
        <w:rPr>
          <w:lang w:val="en-US"/>
        </w:rPr>
      </w:pPr>
      <w:r>
        <w:rPr>
          <w:lang w:val="en-US"/>
        </w:rPr>
        <w:t xml:space="preserve">      </w:t>
      </w:r>
      <w:r w:rsidRPr="008A1CFB">
        <w:rPr>
          <w:lang w:val="en-US"/>
        </w:rPr>
        <w:t>Uji heteroskedastisitas dilakukan untuk menguji ketidaksamaan jenis dalam model regresi dari satu pengamatan ke pengamatan lain</w:t>
      </w:r>
      <w:r>
        <w:rPr>
          <w:lang w:val="en-US"/>
        </w:rPr>
        <w:t xml:space="preserve">. Deteksi heteroskedastisitas dapat dilakukan dengan melihat grafik </w:t>
      </w:r>
      <w:r>
        <w:rPr>
          <w:i/>
          <w:iCs/>
          <w:lang w:val="en-US"/>
        </w:rPr>
        <w:t xml:space="preserve">scatter plot </w:t>
      </w:r>
      <w:r>
        <w:rPr>
          <w:lang w:val="en-US"/>
        </w:rPr>
        <w:t>antara ZPRED dan SRESID. Jika tidak ada pola yang jelas atau tidak teratur</w:t>
      </w:r>
      <w:r w:rsidR="00AB401D">
        <w:rPr>
          <w:lang w:val="en-US"/>
        </w:rPr>
        <w:t xml:space="preserve"> dan titik – titik menyebar diatas dan dibawah angak 0 pada sumbu Y maka dikatakan tidak terjadi heteroskedastisitas</w:t>
      </w:r>
      <w:r>
        <w:rPr>
          <w:lang w:val="en-US"/>
        </w:rPr>
        <w:t>(</w:t>
      </w:r>
      <w:r>
        <w:rPr>
          <w:lang w:val="en-US"/>
        </w:rPr>
        <w:fldChar w:fldCharType="begin" w:fldLock="1"/>
      </w:r>
      <w:r>
        <w:rPr>
          <w:lang w:val="en-US"/>
        </w:rPr>
        <w:instrText>ADDIN CSL_CITATION {"citationItems":[{"id":"ITEM-1","itemData":{"ISBN":"979-704-015-1","abstract":"The cost of mechanical ventilation (MV) is high. Efforts to reduce this cost, as long as they are not detrimental for the patients, are needed. MV with heat and moisture exchangers (HME) changed every 48 h is safe, efficient, and cost-effective. Preliminary reports suggest that the life span of these filters may be prolonged. We determined prospectively whether a hygroscopic and hydrophobic HME (Hygrobac-Dar; Mallinckrodt) provided safe and efficient heating and humidification of the inspired gases when changed only once a week. Patients who were considered to require mechanical ventilation for more than 48 h were included in the study. HMEs were initially set for 7 d. Efficient airway heating and humidification were assessed by clinical parameters (number of tracheal suctionings and instillations required, peak airway pressures) and hygrometric measurements performed by psychrometry. Resistance was measured from Day 0 to Day 7. Bacterial colonization of circuits and HMEs was studied. A total of 377 days of mechanical ventilation with 60 HMEs was studied. Clinical parameters and hygrometric measurements did not change between Day 0 and Day 7. Mean absolute humidity was 30.3 +/- 1.3 mg H(2)O/L on Day 0 and 30.8 +/- 1.5 mg H(2)O/L on Day 7 (p = 0.7). Endotracheal tube occlusion never occurred. Three HMEs were replaced prematurely because of insufficient absolute humidity. This rare event occurred only in patients with COPD and after the third day of use. In addition, the absolute humidity delivered by the HMEs was significantly lower in patients with COPD than in the rest of the population. Resistance did not change from Day 0 to Day 7 (2.4 +/- 0.3 versus 2.7 +/- 0.3 cm H(2)O/L/s; p = 0.4). Bacterial samples of both circuits and ventilator sides of HMEs were sterile in most cases. We conclude that mechanical ventilation can be safely conducted in non-COPD patients using an HME changed only once a week, leading to substantial cost savings (about $110,000 per year if these findings were applied to the university-affiliated hospitals in Paris)","author":[{"dropping-particle":"","family":"Ghozali","given":"Imam","non-dropping-particle":"","parse-names":false,"suffix":""}],"container-title":"(Edisi 9). Semarang: Badan Penerbit Universitas Diponegoro","id":"ITEM-1","issued":{"date-parts":[["2018"]]},"title":"Aplikasi Analisis Multivariate dengan Program IBM SPSS. Yogyakarta: Universitas Diponegoro","type":"article-journal"},"uris":["http://www.mendeley.com/documents/?uuid=cbae6e9c-3770-4468-b583-e2f13f519b34"]}],"mendeley":{"formattedCitation":"(Ghozali, 2018)","manualFormatting":"Ghozali, 2018)","plainTextFormattedCitation":"(Ghozali, 2018)","previouslyFormattedCitation":"(Ghozali, 2018)"},"properties":{"noteIndex":0},"schema":"https://github.com/citation-style-language/schema/raw/master/csl-citation.json"}</w:instrText>
      </w:r>
      <w:r>
        <w:rPr>
          <w:lang w:val="en-US"/>
        </w:rPr>
        <w:fldChar w:fldCharType="separate"/>
      </w:r>
      <w:r w:rsidRPr="00DE4A14">
        <w:rPr>
          <w:noProof/>
          <w:lang w:val="en-US"/>
        </w:rPr>
        <w:t>Ghozali, 2018)</w:t>
      </w:r>
      <w:r>
        <w:rPr>
          <w:lang w:val="en-US"/>
        </w:rPr>
        <w:fldChar w:fldCharType="end"/>
      </w:r>
      <w:r w:rsidRPr="008A1CFB">
        <w:rPr>
          <w:lang w:val="en-US"/>
        </w:rPr>
        <w:t>.</w:t>
      </w:r>
    </w:p>
    <w:p w14:paraId="09F80E39" w14:textId="47DB97FC" w:rsidR="00D95269" w:rsidRDefault="00AB401D" w:rsidP="00F90D85">
      <w:pPr>
        <w:spacing w:after="0" w:line="240" w:lineRule="auto"/>
        <w:rPr>
          <w:lang w:val="en-US"/>
        </w:rPr>
      </w:pPr>
      <w:r>
        <w:rPr>
          <w:lang w:val="en-US"/>
        </w:rPr>
        <w:lastRenderedPageBreak/>
        <w:t xml:space="preserve">      </w:t>
      </w:r>
      <w:r w:rsidR="00482EF9">
        <w:rPr>
          <w:lang w:val="en-US"/>
        </w:rPr>
        <w:t>Uji hipotesis</w:t>
      </w:r>
      <w:r>
        <w:rPr>
          <w:lang w:val="en-US"/>
        </w:rPr>
        <w:t xml:space="preserve"> yang digunakan adalah metode regresi linear berganda dengan variabel dependen (terikat) adalah kesejahteraan keuangan dan variabel independen (bebas) adalah literasi keuangan, perilaku keuangan dan teknologi keuangan. Regres</w:t>
      </w:r>
      <w:r w:rsidR="002A7429">
        <w:rPr>
          <w:lang w:val="en-US"/>
        </w:rPr>
        <w:t xml:space="preserve">i adalah alat analisis yang digunakan untuk mengetahui hubunga positif atau negatif dari setiap variabel </w:t>
      </w:r>
      <w:r w:rsidR="002A7429">
        <w:rPr>
          <w:lang w:val="en-US"/>
        </w:rPr>
        <w:fldChar w:fldCharType="begin" w:fldLock="1"/>
      </w:r>
      <w:r w:rsidR="00AB622F">
        <w:rPr>
          <w:lang w:val="en-US"/>
        </w:rPr>
        <w:instrText>ADDIN CSL_CITATION {"citationItems":[{"id":"ITEM-1","itemData":{"ISBN":"979-8433-64-0","abstract":"Menurut Sugiyono (2003:15). Penelitian deskriptif adalah penelitian yang dilakukan untuk mengetahuinilai variabel mandiri, baik satu variabel atau lebih (independen) tanpa membuat perbandingan atau menghubungkan antara variabel satu dengan variabel yang lain, data kualitatif adalah data yang dinyatakan dalam bentuk kata, kalimat, dan gambar.","author":[{"dropping-particle":"","family":"Sugiyono","given":"","non-dropping-particle":"","parse-names":false,"suffix":""}],"container-title":"Ke-26","id":"ITEM-1","issued":{"date-parts":[["2018"]]},"title":"Metode Penelitian Kuantitatif,Kualitatif dan R&amp;D","type":"article"},"uris":["http://www.mendeley.com/documents/?uuid=0d982967-61ae-4057-8052-6a21e11ca1ea"]}],"mendeley":{"formattedCitation":"(Sugiyono, 2018)","plainTextFormattedCitation":"(Sugiyono, 2018)","previouslyFormattedCitation":"(Sugiyono, 2018)"},"properties":{"noteIndex":0},"schema":"https://github.com/citation-style-language/schema/raw/master/csl-citation.json"}</w:instrText>
      </w:r>
      <w:r w:rsidR="002A7429">
        <w:rPr>
          <w:lang w:val="en-US"/>
        </w:rPr>
        <w:fldChar w:fldCharType="separate"/>
      </w:r>
      <w:r w:rsidR="002A7429" w:rsidRPr="002A7429">
        <w:rPr>
          <w:noProof/>
          <w:lang w:val="en-US"/>
        </w:rPr>
        <w:t>(Sugiyono, 2018)</w:t>
      </w:r>
      <w:r w:rsidR="002A7429">
        <w:rPr>
          <w:lang w:val="en-US"/>
        </w:rPr>
        <w:fldChar w:fldCharType="end"/>
      </w:r>
      <w:r w:rsidR="002A7429">
        <w:rPr>
          <w:lang w:val="en-US"/>
        </w:rPr>
        <w:t>. Persamaan regresi yang digunakan dalam penelitian ini adalah sebagai berikut :</w:t>
      </w:r>
    </w:p>
    <w:p w14:paraId="4CB0A802" w14:textId="6CB0C4AB" w:rsidR="002A7429" w:rsidRPr="002A7429" w:rsidRDefault="002A7429" w:rsidP="002A7429">
      <w:pPr>
        <w:spacing w:after="0" w:line="240" w:lineRule="auto"/>
        <w:ind w:right="1416"/>
        <w:rPr>
          <w:rFonts w:eastAsiaTheme="minorEastAsia"/>
          <w:lang w:val="en-US"/>
        </w:rPr>
      </w:pPr>
      <m:oMathPara>
        <m:oMath>
          <m:r>
            <w:rPr>
              <w:rFonts w:ascii="Cambria Math" w:hAnsi="Cambria Math"/>
              <w:lang w:val="en-US"/>
            </w:rPr>
            <m:t>Y= a+</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1</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2</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2</m:t>
              </m:r>
            </m:sub>
          </m:sSub>
          <m:r>
            <w:rPr>
              <w:rFonts w:ascii="Cambria Math" w:hAnsi="Cambria Math"/>
              <w:lang w:val="en-US"/>
            </w:rPr>
            <m:t xml:space="preserve">+ </m:t>
          </m:r>
          <m:sSub>
            <m:sSubPr>
              <m:ctrlPr>
                <w:rPr>
                  <w:rFonts w:ascii="Cambria Math" w:hAnsi="Cambria Math"/>
                  <w:i/>
                  <w:lang w:val="en-US"/>
                </w:rPr>
              </m:ctrlPr>
            </m:sSubPr>
            <m:e>
              <m:r>
                <w:rPr>
                  <w:rFonts w:ascii="Cambria Math" w:hAnsi="Cambria Math"/>
                  <w:lang w:val="en-US"/>
                </w:rPr>
                <m:t>b</m:t>
              </m:r>
            </m:e>
            <m:sub>
              <m:r>
                <w:rPr>
                  <w:rFonts w:ascii="Cambria Math" w:hAnsi="Cambria Math"/>
                  <w:lang w:val="en-US"/>
                </w:rPr>
                <m:t>3</m:t>
              </m:r>
            </m:sub>
          </m:sSub>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3</m:t>
              </m:r>
            </m:sub>
          </m:sSub>
          <m:r>
            <w:rPr>
              <w:rFonts w:ascii="Cambria Math" w:hAnsi="Cambria Math"/>
              <w:lang w:val="en-US"/>
            </w:rPr>
            <m:t xml:space="preserve"> </m:t>
          </m:r>
        </m:oMath>
      </m:oMathPara>
    </w:p>
    <w:p w14:paraId="3DCC1E10" w14:textId="6256364D" w:rsidR="002A7429" w:rsidRDefault="002A7429" w:rsidP="002A7429">
      <w:pPr>
        <w:spacing w:after="0" w:line="240" w:lineRule="auto"/>
        <w:ind w:right="-1"/>
        <w:rPr>
          <w:rFonts w:eastAsiaTheme="minorEastAsia"/>
          <w:lang w:val="en-US"/>
        </w:rPr>
      </w:pPr>
      <w:r>
        <w:rPr>
          <w:rFonts w:eastAsiaTheme="minorEastAsia"/>
          <w:lang w:val="en-US"/>
        </w:rPr>
        <w:t xml:space="preserve">      Uji t digunakan untuk mengetahui bagaimana hubungan variabel independen secara parsial terhadap variabel dependen. Ketentuan yang digunakan dalam penelitian ini adalah </w:t>
      </w:r>
      <m:oMath>
        <m:r>
          <w:rPr>
            <w:rFonts w:ascii="Cambria Math" w:hAnsi="Cambria Math"/>
            <w:lang w:val="en-US"/>
          </w:rPr>
          <m:t>a</m:t>
        </m:r>
      </m:oMath>
      <w:r>
        <w:rPr>
          <w:rFonts w:eastAsiaTheme="minorEastAsia"/>
          <w:lang w:val="en-US"/>
        </w:rPr>
        <w:t xml:space="preserve"> = 0,05</w:t>
      </w:r>
      <w:r w:rsidR="00674C6D">
        <w:rPr>
          <w:rFonts w:eastAsiaTheme="minorEastAsia"/>
          <w:lang w:val="en-US"/>
        </w:rPr>
        <w:t>, jadi jika</w:t>
      </w:r>
      <w:r>
        <w:rPr>
          <w:rFonts w:eastAsiaTheme="minorEastAsia"/>
          <w:lang w:val="en-US"/>
        </w:rPr>
        <w:t xml:space="preserve"> nilai signifikansi &lt; 0,05</w:t>
      </w:r>
      <w:r w:rsidR="00674C6D">
        <w:rPr>
          <w:rFonts w:eastAsiaTheme="minorEastAsia"/>
          <w:lang w:val="en-US"/>
        </w:rPr>
        <w:t xml:space="preserve"> maka variabel independen berpengaruh signifikan terhadap variabel dependen. Sebaliknya jika nilai signifikansi &gt; 0,05 maka variabel independen tidak berpengaruh signifikan terhadap variabel dependen.</w:t>
      </w:r>
    </w:p>
    <w:p w14:paraId="206E1B70" w14:textId="77777777" w:rsidR="00674C6D" w:rsidRPr="002A7429" w:rsidRDefault="00674C6D" w:rsidP="002A7429">
      <w:pPr>
        <w:spacing w:after="0" w:line="240" w:lineRule="auto"/>
        <w:ind w:right="-1"/>
        <w:rPr>
          <w:rFonts w:eastAsiaTheme="minorEastAsia"/>
          <w:lang w:val="en-US"/>
        </w:rPr>
      </w:pPr>
    </w:p>
    <w:p w14:paraId="366972E6" w14:textId="56D2EA62" w:rsidR="00AD3310" w:rsidRDefault="00AD3310" w:rsidP="00674C6D">
      <w:pPr>
        <w:spacing w:after="0" w:line="240" w:lineRule="auto"/>
        <w:rPr>
          <w:b/>
          <w:bCs/>
          <w:lang w:val="en-US"/>
        </w:rPr>
      </w:pPr>
      <w:r w:rsidRPr="00674C6D">
        <w:rPr>
          <w:b/>
          <w:bCs/>
          <w:lang w:val="en-US"/>
        </w:rPr>
        <w:t>HASIL DAN PEMBAHASAN</w:t>
      </w:r>
    </w:p>
    <w:p w14:paraId="7476873E" w14:textId="5431BE94" w:rsidR="00674C6D" w:rsidRDefault="00DA2CC2" w:rsidP="00674C6D">
      <w:pPr>
        <w:spacing w:after="0" w:line="240" w:lineRule="auto"/>
        <w:rPr>
          <w:b/>
          <w:bCs/>
          <w:lang w:val="en-US"/>
        </w:rPr>
      </w:pPr>
      <w:r>
        <w:rPr>
          <w:b/>
          <w:bCs/>
          <w:lang w:val="en-US"/>
        </w:rPr>
        <w:t>Analisis Data</w:t>
      </w:r>
    </w:p>
    <w:p w14:paraId="27B6F081" w14:textId="4C9814EF" w:rsidR="004A2055" w:rsidRDefault="00674C6D" w:rsidP="00674C6D">
      <w:pPr>
        <w:spacing w:after="0" w:line="240" w:lineRule="auto"/>
        <w:rPr>
          <w:lang w:val="en-US"/>
        </w:rPr>
      </w:pPr>
      <w:r>
        <w:rPr>
          <w:b/>
          <w:bCs/>
          <w:lang w:val="en-US"/>
        </w:rPr>
        <w:t xml:space="preserve">      </w:t>
      </w:r>
      <w:r>
        <w:rPr>
          <w:lang w:val="en-US"/>
        </w:rPr>
        <w:t>Untuk melakukan uji instrument penelitian ini, maka peneliti membagikan kuisioner kepada beberapa teman yang sudah bekerja dan berusia 20 sampai 25 tahun</w:t>
      </w:r>
      <w:r w:rsidR="004A2055">
        <w:rPr>
          <w:lang w:val="en-US"/>
        </w:rPr>
        <w:t>. Pemilihan responden pada uji instrumen ini dikarenakan responden memiliki kriteria yang sama dengan objek penelitian yaitu generasi z yang berusia 20 sampai 25 tahun di Desa Donoharjo. Berikut ini adalah hasil uji validitas dan reliabilitas yang telah dilakukan :</w:t>
      </w:r>
    </w:p>
    <w:p w14:paraId="0167EA06" w14:textId="77777777" w:rsidR="00FD4C79" w:rsidRDefault="00FD4C79" w:rsidP="00674C6D">
      <w:pPr>
        <w:spacing w:after="0" w:line="240" w:lineRule="auto"/>
        <w:rPr>
          <w:lang w:val="en-US"/>
        </w:rPr>
      </w:pPr>
    </w:p>
    <w:p w14:paraId="0A50F323" w14:textId="51C1D902" w:rsidR="004A2055" w:rsidRDefault="004A2055" w:rsidP="004A2055">
      <w:pPr>
        <w:spacing w:after="0" w:line="240" w:lineRule="auto"/>
        <w:jc w:val="center"/>
        <w:rPr>
          <w:b/>
          <w:bCs/>
          <w:lang w:val="en-US"/>
        </w:rPr>
      </w:pPr>
      <w:r>
        <w:rPr>
          <w:b/>
          <w:bCs/>
          <w:lang w:val="en-US"/>
        </w:rPr>
        <w:t>Tabel 1. Hasil Uji Validitas Variabel Literasi Keuangan</w:t>
      </w:r>
    </w:p>
    <w:tbl>
      <w:tblPr>
        <w:tblW w:w="7849" w:type="dxa"/>
        <w:tblLook w:val="04A0" w:firstRow="1" w:lastRow="0" w:firstColumn="1" w:lastColumn="0" w:noHBand="0" w:noVBand="1"/>
      </w:tblPr>
      <w:tblGrid>
        <w:gridCol w:w="570"/>
        <w:gridCol w:w="5631"/>
        <w:gridCol w:w="1736"/>
      </w:tblGrid>
      <w:tr w:rsidR="004A2055" w:rsidRPr="004A2055" w14:paraId="155D329C" w14:textId="77777777" w:rsidTr="00FD4C79">
        <w:trPr>
          <w:trHeight w:val="277"/>
        </w:trPr>
        <w:tc>
          <w:tcPr>
            <w:tcW w:w="479" w:type="dxa"/>
            <w:tcBorders>
              <w:top w:val="single" w:sz="4" w:space="0" w:color="auto"/>
              <w:left w:val="nil"/>
              <w:bottom w:val="single" w:sz="4" w:space="0" w:color="auto"/>
              <w:right w:val="nil"/>
            </w:tcBorders>
            <w:shd w:val="clear" w:color="auto" w:fill="auto"/>
            <w:noWrap/>
            <w:vAlign w:val="center"/>
            <w:hideMark/>
          </w:tcPr>
          <w:p w14:paraId="4C480813" w14:textId="0E2372CE"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No.</w:t>
            </w:r>
          </w:p>
        </w:tc>
        <w:tc>
          <w:tcPr>
            <w:tcW w:w="5633" w:type="dxa"/>
            <w:tcBorders>
              <w:top w:val="single" w:sz="4" w:space="0" w:color="auto"/>
              <w:left w:val="nil"/>
              <w:bottom w:val="single" w:sz="4" w:space="0" w:color="auto"/>
              <w:right w:val="nil"/>
            </w:tcBorders>
            <w:shd w:val="clear" w:color="auto" w:fill="auto"/>
            <w:noWrap/>
            <w:vAlign w:val="center"/>
            <w:hideMark/>
          </w:tcPr>
          <w:p w14:paraId="026AA3F6"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Pertanyaan</w:t>
            </w:r>
          </w:p>
        </w:tc>
        <w:tc>
          <w:tcPr>
            <w:tcW w:w="1737" w:type="dxa"/>
            <w:tcBorders>
              <w:top w:val="single" w:sz="4" w:space="0" w:color="auto"/>
              <w:left w:val="nil"/>
              <w:bottom w:val="single" w:sz="4" w:space="0" w:color="auto"/>
              <w:right w:val="nil"/>
            </w:tcBorders>
            <w:shd w:val="clear" w:color="auto" w:fill="auto"/>
            <w:noWrap/>
            <w:vAlign w:val="bottom"/>
            <w:hideMark/>
          </w:tcPr>
          <w:p w14:paraId="5020CCCA"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Nilai Signifikansi</w:t>
            </w:r>
          </w:p>
        </w:tc>
      </w:tr>
      <w:tr w:rsidR="004A2055" w:rsidRPr="004A2055" w14:paraId="6A29060C" w14:textId="77777777" w:rsidTr="00FD4C79">
        <w:trPr>
          <w:trHeight w:val="277"/>
        </w:trPr>
        <w:tc>
          <w:tcPr>
            <w:tcW w:w="479" w:type="dxa"/>
            <w:tcBorders>
              <w:top w:val="nil"/>
              <w:left w:val="nil"/>
              <w:bottom w:val="nil"/>
              <w:right w:val="nil"/>
            </w:tcBorders>
            <w:shd w:val="clear" w:color="auto" w:fill="auto"/>
            <w:noWrap/>
            <w:vAlign w:val="bottom"/>
            <w:hideMark/>
          </w:tcPr>
          <w:p w14:paraId="336B5141"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1</w:t>
            </w:r>
          </w:p>
        </w:tc>
        <w:tc>
          <w:tcPr>
            <w:tcW w:w="5633" w:type="dxa"/>
            <w:tcBorders>
              <w:top w:val="nil"/>
              <w:left w:val="nil"/>
              <w:bottom w:val="nil"/>
              <w:right w:val="nil"/>
            </w:tcBorders>
            <w:shd w:val="clear" w:color="auto" w:fill="auto"/>
            <w:vAlign w:val="center"/>
            <w:hideMark/>
          </w:tcPr>
          <w:p w14:paraId="37190880" w14:textId="77777777" w:rsidR="004A2055" w:rsidRPr="004A2055" w:rsidRDefault="004A2055" w:rsidP="004A2055">
            <w:pPr>
              <w:spacing w:after="0" w:line="240" w:lineRule="auto"/>
              <w:jc w:val="left"/>
              <w:rPr>
                <w:rFonts w:eastAsia="Times New Roman" w:cs="Times New Roman"/>
                <w:color w:val="000000"/>
                <w:szCs w:val="24"/>
                <w:lang w:eastAsia="id-ID"/>
              </w:rPr>
            </w:pPr>
            <w:r w:rsidRPr="004A2055">
              <w:rPr>
                <w:rFonts w:eastAsia="Times New Roman" w:cs="Times New Roman"/>
                <w:color w:val="000000"/>
                <w:szCs w:val="24"/>
                <w:lang w:val="en-US" w:eastAsia="id-ID"/>
              </w:rPr>
              <w:t>Saya mengetahui  macam – macam sumber pendapatan.</w:t>
            </w:r>
          </w:p>
        </w:tc>
        <w:tc>
          <w:tcPr>
            <w:tcW w:w="1737" w:type="dxa"/>
            <w:tcBorders>
              <w:top w:val="nil"/>
              <w:left w:val="nil"/>
              <w:bottom w:val="nil"/>
              <w:right w:val="nil"/>
            </w:tcBorders>
            <w:shd w:val="clear" w:color="auto" w:fill="auto"/>
            <w:noWrap/>
            <w:vAlign w:val="center"/>
            <w:hideMark/>
          </w:tcPr>
          <w:p w14:paraId="5667E0D4"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0,001</w:t>
            </w:r>
          </w:p>
        </w:tc>
      </w:tr>
      <w:tr w:rsidR="004A2055" w:rsidRPr="004A2055" w14:paraId="17873FEB" w14:textId="77777777" w:rsidTr="00FD4C79">
        <w:trPr>
          <w:trHeight w:val="263"/>
        </w:trPr>
        <w:tc>
          <w:tcPr>
            <w:tcW w:w="479" w:type="dxa"/>
            <w:tcBorders>
              <w:top w:val="nil"/>
              <w:left w:val="nil"/>
              <w:bottom w:val="nil"/>
              <w:right w:val="nil"/>
            </w:tcBorders>
            <w:shd w:val="clear" w:color="auto" w:fill="auto"/>
            <w:noWrap/>
            <w:vAlign w:val="bottom"/>
            <w:hideMark/>
          </w:tcPr>
          <w:p w14:paraId="42D9DCD1"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2</w:t>
            </w:r>
          </w:p>
        </w:tc>
        <w:tc>
          <w:tcPr>
            <w:tcW w:w="5633" w:type="dxa"/>
            <w:tcBorders>
              <w:top w:val="nil"/>
              <w:left w:val="nil"/>
              <w:bottom w:val="nil"/>
              <w:right w:val="nil"/>
            </w:tcBorders>
            <w:shd w:val="clear" w:color="auto" w:fill="auto"/>
            <w:vAlign w:val="center"/>
            <w:hideMark/>
          </w:tcPr>
          <w:p w14:paraId="3AF90B54" w14:textId="77777777" w:rsidR="004A2055" w:rsidRPr="004A2055" w:rsidRDefault="004A2055" w:rsidP="004A2055">
            <w:pPr>
              <w:spacing w:after="0" w:line="240" w:lineRule="auto"/>
              <w:rPr>
                <w:rFonts w:eastAsia="Times New Roman" w:cs="Times New Roman"/>
                <w:color w:val="000000"/>
                <w:szCs w:val="24"/>
                <w:lang w:eastAsia="id-ID"/>
              </w:rPr>
            </w:pPr>
            <w:r w:rsidRPr="004A2055">
              <w:rPr>
                <w:rFonts w:eastAsia="Times New Roman" w:cs="Times New Roman"/>
                <w:color w:val="000000"/>
                <w:szCs w:val="24"/>
                <w:lang w:val="en-US" w:eastAsia="id-ID"/>
              </w:rPr>
              <w:t>Saya mengetahui faktor – faktor yang mempengaruhi pendapatan</w:t>
            </w:r>
          </w:p>
        </w:tc>
        <w:tc>
          <w:tcPr>
            <w:tcW w:w="1737" w:type="dxa"/>
            <w:tcBorders>
              <w:top w:val="nil"/>
              <w:left w:val="nil"/>
              <w:bottom w:val="nil"/>
              <w:right w:val="nil"/>
            </w:tcBorders>
            <w:shd w:val="clear" w:color="auto" w:fill="auto"/>
            <w:noWrap/>
            <w:vAlign w:val="center"/>
            <w:hideMark/>
          </w:tcPr>
          <w:p w14:paraId="7F346157"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0,000</w:t>
            </w:r>
          </w:p>
        </w:tc>
      </w:tr>
      <w:tr w:rsidR="004A2055" w:rsidRPr="004A2055" w14:paraId="0E215107" w14:textId="77777777" w:rsidTr="00FD4C79">
        <w:trPr>
          <w:trHeight w:val="277"/>
        </w:trPr>
        <w:tc>
          <w:tcPr>
            <w:tcW w:w="479" w:type="dxa"/>
            <w:tcBorders>
              <w:top w:val="nil"/>
              <w:left w:val="nil"/>
              <w:bottom w:val="nil"/>
              <w:right w:val="nil"/>
            </w:tcBorders>
            <w:shd w:val="clear" w:color="auto" w:fill="auto"/>
            <w:noWrap/>
            <w:vAlign w:val="bottom"/>
            <w:hideMark/>
          </w:tcPr>
          <w:p w14:paraId="3AABD0D8"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3</w:t>
            </w:r>
          </w:p>
        </w:tc>
        <w:tc>
          <w:tcPr>
            <w:tcW w:w="5633" w:type="dxa"/>
            <w:tcBorders>
              <w:top w:val="nil"/>
              <w:left w:val="nil"/>
              <w:bottom w:val="nil"/>
              <w:right w:val="nil"/>
            </w:tcBorders>
            <w:shd w:val="clear" w:color="auto" w:fill="auto"/>
            <w:vAlign w:val="center"/>
            <w:hideMark/>
          </w:tcPr>
          <w:p w14:paraId="6C77CA54" w14:textId="77777777" w:rsidR="004A2055" w:rsidRPr="004A2055" w:rsidRDefault="004A2055" w:rsidP="004A2055">
            <w:pPr>
              <w:spacing w:after="0" w:line="240" w:lineRule="auto"/>
              <w:rPr>
                <w:rFonts w:eastAsia="Times New Roman" w:cs="Times New Roman"/>
                <w:color w:val="000000"/>
                <w:szCs w:val="24"/>
                <w:lang w:eastAsia="id-ID"/>
              </w:rPr>
            </w:pPr>
            <w:r w:rsidRPr="004A2055">
              <w:rPr>
                <w:rFonts w:eastAsia="Times New Roman" w:cs="Times New Roman"/>
                <w:color w:val="000000"/>
                <w:szCs w:val="24"/>
                <w:lang w:val="en-US" w:eastAsia="id-ID"/>
              </w:rPr>
              <w:t>Saya mengetahui manfaat asuransi</w:t>
            </w:r>
          </w:p>
        </w:tc>
        <w:tc>
          <w:tcPr>
            <w:tcW w:w="1737" w:type="dxa"/>
            <w:tcBorders>
              <w:top w:val="nil"/>
              <w:left w:val="nil"/>
              <w:bottom w:val="nil"/>
              <w:right w:val="nil"/>
            </w:tcBorders>
            <w:shd w:val="clear" w:color="auto" w:fill="auto"/>
            <w:noWrap/>
            <w:vAlign w:val="center"/>
            <w:hideMark/>
          </w:tcPr>
          <w:p w14:paraId="4A99ECE1"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0,005</w:t>
            </w:r>
          </w:p>
        </w:tc>
      </w:tr>
      <w:tr w:rsidR="004A2055" w:rsidRPr="004A2055" w14:paraId="1D21E381" w14:textId="77777777" w:rsidTr="00FD4C79">
        <w:trPr>
          <w:trHeight w:val="263"/>
        </w:trPr>
        <w:tc>
          <w:tcPr>
            <w:tcW w:w="479" w:type="dxa"/>
            <w:tcBorders>
              <w:top w:val="nil"/>
              <w:left w:val="nil"/>
              <w:bottom w:val="nil"/>
              <w:right w:val="nil"/>
            </w:tcBorders>
            <w:shd w:val="clear" w:color="auto" w:fill="auto"/>
            <w:noWrap/>
            <w:vAlign w:val="bottom"/>
            <w:hideMark/>
          </w:tcPr>
          <w:p w14:paraId="2F2E327D"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4</w:t>
            </w:r>
          </w:p>
        </w:tc>
        <w:tc>
          <w:tcPr>
            <w:tcW w:w="5633" w:type="dxa"/>
            <w:tcBorders>
              <w:top w:val="nil"/>
              <w:left w:val="nil"/>
              <w:bottom w:val="nil"/>
              <w:right w:val="nil"/>
            </w:tcBorders>
            <w:shd w:val="clear" w:color="auto" w:fill="auto"/>
            <w:vAlign w:val="center"/>
            <w:hideMark/>
          </w:tcPr>
          <w:p w14:paraId="1A53C10D" w14:textId="77777777" w:rsidR="004A2055" w:rsidRPr="004A2055" w:rsidRDefault="004A2055" w:rsidP="004A2055">
            <w:pPr>
              <w:spacing w:after="0" w:line="240" w:lineRule="auto"/>
              <w:rPr>
                <w:rFonts w:eastAsia="Times New Roman" w:cs="Times New Roman"/>
                <w:color w:val="000000"/>
                <w:szCs w:val="24"/>
                <w:lang w:eastAsia="id-ID"/>
              </w:rPr>
            </w:pPr>
            <w:r w:rsidRPr="004A2055">
              <w:rPr>
                <w:rFonts w:eastAsia="Times New Roman" w:cs="Times New Roman"/>
                <w:color w:val="000000"/>
                <w:szCs w:val="24"/>
                <w:lang w:val="en-US" w:eastAsia="id-ID"/>
              </w:rPr>
              <w:t>Saya mengetahui cara membuat polis asuransi</w:t>
            </w:r>
          </w:p>
        </w:tc>
        <w:tc>
          <w:tcPr>
            <w:tcW w:w="1737" w:type="dxa"/>
            <w:tcBorders>
              <w:top w:val="nil"/>
              <w:left w:val="nil"/>
              <w:bottom w:val="nil"/>
              <w:right w:val="nil"/>
            </w:tcBorders>
            <w:shd w:val="clear" w:color="auto" w:fill="auto"/>
            <w:noWrap/>
            <w:vAlign w:val="center"/>
            <w:hideMark/>
          </w:tcPr>
          <w:p w14:paraId="1A21C8D2"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0,000</w:t>
            </w:r>
          </w:p>
        </w:tc>
      </w:tr>
      <w:tr w:rsidR="004A2055" w:rsidRPr="004A2055" w14:paraId="2F96B95B" w14:textId="77777777" w:rsidTr="00FD4C79">
        <w:trPr>
          <w:trHeight w:val="277"/>
        </w:trPr>
        <w:tc>
          <w:tcPr>
            <w:tcW w:w="479" w:type="dxa"/>
            <w:tcBorders>
              <w:top w:val="nil"/>
              <w:left w:val="nil"/>
              <w:bottom w:val="nil"/>
              <w:right w:val="nil"/>
            </w:tcBorders>
            <w:shd w:val="clear" w:color="auto" w:fill="auto"/>
            <w:noWrap/>
            <w:vAlign w:val="bottom"/>
            <w:hideMark/>
          </w:tcPr>
          <w:p w14:paraId="38217CB8"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5</w:t>
            </w:r>
          </w:p>
        </w:tc>
        <w:tc>
          <w:tcPr>
            <w:tcW w:w="5633" w:type="dxa"/>
            <w:tcBorders>
              <w:top w:val="nil"/>
              <w:left w:val="nil"/>
              <w:bottom w:val="nil"/>
              <w:right w:val="nil"/>
            </w:tcBorders>
            <w:shd w:val="clear" w:color="auto" w:fill="auto"/>
            <w:vAlign w:val="center"/>
            <w:hideMark/>
          </w:tcPr>
          <w:p w14:paraId="77BA62CD" w14:textId="77777777" w:rsidR="004A2055" w:rsidRPr="004A2055" w:rsidRDefault="004A2055" w:rsidP="004A2055">
            <w:pPr>
              <w:spacing w:after="0" w:line="240" w:lineRule="auto"/>
              <w:rPr>
                <w:rFonts w:eastAsia="Times New Roman" w:cs="Times New Roman"/>
                <w:color w:val="000000"/>
                <w:szCs w:val="24"/>
                <w:lang w:eastAsia="id-ID"/>
              </w:rPr>
            </w:pPr>
            <w:r w:rsidRPr="004A2055">
              <w:rPr>
                <w:rFonts w:eastAsia="Times New Roman" w:cs="Times New Roman"/>
                <w:color w:val="000000"/>
                <w:szCs w:val="24"/>
                <w:lang w:val="en-US" w:eastAsia="id-ID"/>
              </w:rPr>
              <w:t>Saya mengetahui tentang premi asuransi</w:t>
            </w:r>
          </w:p>
        </w:tc>
        <w:tc>
          <w:tcPr>
            <w:tcW w:w="1737" w:type="dxa"/>
            <w:tcBorders>
              <w:top w:val="nil"/>
              <w:left w:val="nil"/>
              <w:bottom w:val="nil"/>
              <w:right w:val="nil"/>
            </w:tcBorders>
            <w:shd w:val="clear" w:color="auto" w:fill="auto"/>
            <w:noWrap/>
            <w:vAlign w:val="center"/>
            <w:hideMark/>
          </w:tcPr>
          <w:p w14:paraId="446D4902"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0,001</w:t>
            </w:r>
          </w:p>
        </w:tc>
      </w:tr>
      <w:tr w:rsidR="004A2055" w:rsidRPr="004A2055" w14:paraId="2F9882F9" w14:textId="77777777" w:rsidTr="00FD4C79">
        <w:trPr>
          <w:trHeight w:val="277"/>
        </w:trPr>
        <w:tc>
          <w:tcPr>
            <w:tcW w:w="479" w:type="dxa"/>
            <w:tcBorders>
              <w:top w:val="nil"/>
              <w:left w:val="nil"/>
              <w:bottom w:val="nil"/>
              <w:right w:val="nil"/>
            </w:tcBorders>
            <w:shd w:val="clear" w:color="auto" w:fill="auto"/>
            <w:noWrap/>
            <w:vAlign w:val="bottom"/>
            <w:hideMark/>
          </w:tcPr>
          <w:p w14:paraId="4451938D"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6</w:t>
            </w:r>
          </w:p>
        </w:tc>
        <w:tc>
          <w:tcPr>
            <w:tcW w:w="5633" w:type="dxa"/>
            <w:tcBorders>
              <w:top w:val="nil"/>
              <w:left w:val="nil"/>
              <w:bottom w:val="nil"/>
              <w:right w:val="nil"/>
            </w:tcBorders>
            <w:shd w:val="clear" w:color="auto" w:fill="auto"/>
            <w:vAlign w:val="center"/>
            <w:hideMark/>
          </w:tcPr>
          <w:p w14:paraId="08966A9B" w14:textId="77777777" w:rsidR="004A2055" w:rsidRPr="004A2055" w:rsidRDefault="004A2055" w:rsidP="004A2055">
            <w:pPr>
              <w:spacing w:after="0" w:line="240" w:lineRule="auto"/>
              <w:rPr>
                <w:rFonts w:eastAsia="Times New Roman" w:cs="Times New Roman"/>
                <w:color w:val="000000"/>
                <w:szCs w:val="24"/>
                <w:lang w:eastAsia="id-ID"/>
              </w:rPr>
            </w:pPr>
            <w:r w:rsidRPr="004A2055">
              <w:rPr>
                <w:rFonts w:eastAsia="Times New Roman" w:cs="Times New Roman"/>
                <w:color w:val="000000"/>
                <w:szCs w:val="24"/>
                <w:lang w:val="en-US" w:eastAsia="id-ID"/>
              </w:rPr>
              <w:t>Saya mengetahui investasi jangka pendek</w:t>
            </w:r>
          </w:p>
        </w:tc>
        <w:tc>
          <w:tcPr>
            <w:tcW w:w="1737" w:type="dxa"/>
            <w:tcBorders>
              <w:top w:val="nil"/>
              <w:left w:val="nil"/>
              <w:bottom w:val="nil"/>
              <w:right w:val="nil"/>
            </w:tcBorders>
            <w:shd w:val="clear" w:color="auto" w:fill="auto"/>
            <w:noWrap/>
            <w:vAlign w:val="center"/>
            <w:hideMark/>
          </w:tcPr>
          <w:p w14:paraId="0D8482BF"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0,000</w:t>
            </w:r>
          </w:p>
        </w:tc>
      </w:tr>
      <w:tr w:rsidR="004A2055" w:rsidRPr="004A2055" w14:paraId="33BD2D6B" w14:textId="77777777" w:rsidTr="00FD4C79">
        <w:trPr>
          <w:trHeight w:val="277"/>
        </w:trPr>
        <w:tc>
          <w:tcPr>
            <w:tcW w:w="479" w:type="dxa"/>
            <w:tcBorders>
              <w:top w:val="nil"/>
              <w:left w:val="nil"/>
              <w:bottom w:val="nil"/>
              <w:right w:val="nil"/>
            </w:tcBorders>
            <w:shd w:val="clear" w:color="auto" w:fill="auto"/>
            <w:noWrap/>
            <w:vAlign w:val="bottom"/>
            <w:hideMark/>
          </w:tcPr>
          <w:p w14:paraId="08E55D08"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7</w:t>
            </w:r>
          </w:p>
        </w:tc>
        <w:tc>
          <w:tcPr>
            <w:tcW w:w="5633" w:type="dxa"/>
            <w:tcBorders>
              <w:top w:val="nil"/>
              <w:left w:val="nil"/>
              <w:bottom w:val="nil"/>
              <w:right w:val="nil"/>
            </w:tcBorders>
            <w:shd w:val="clear" w:color="auto" w:fill="auto"/>
            <w:vAlign w:val="center"/>
            <w:hideMark/>
          </w:tcPr>
          <w:p w14:paraId="622EB5D3" w14:textId="77777777" w:rsidR="004A2055" w:rsidRPr="004A2055" w:rsidRDefault="004A2055" w:rsidP="004A2055">
            <w:pPr>
              <w:spacing w:after="0" w:line="240" w:lineRule="auto"/>
              <w:rPr>
                <w:rFonts w:eastAsia="Times New Roman" w:cs="Times New Roman"/>
                <w:color w:val="000000"/>
                <w:szCs w:val="24"/>
                <w:lang w:eastAsia="id-ID"/>
              </w:rPr>
            </w:pPr>
            <w:r w:rsidRPr="004A2055">
              <w:rPr>
                <w:rFonts w:eastAsia="Times New Roman" w:cs="Times New Roman"/>
                <w:color w:val="000000"/>
                <w:szCs w:val="24"/>
                <w:lang w:val="en-US" w:eastAsia="id-ID"/>
              </w:rPr>
              <w:t>Saya mengetahui investasi jangka panjang</w:t>
            </w:r>
          </w:p>
        </w:tc>
        <w:tc>
          <w:tcPr>
            <w:tcW w:w="1737" w:type="dxa"/>
            <w:tcBorders>
              <w:top w:val="nil"/>
              <w:left w:val="nil"/>
              <w:bottom w:val="nil"/>
              <w:right w:val="nil"/>
            </w:tcBorders>
            <w:shd w:val="clear" w:color="auto" w:fill="auto"/>
            <w:noWrap/>
            <w:vAlign w:val="center"/>
            <w:hideMark/>
          </w:tcPr>
          <w:p w14:paraId="35024927"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0,001</w:t>
            </w:r>
          </w:p>
        </w:tc>
      </w:tr>
      <w:tr w:rsidR="004A2055" w:rsidRPr="004A2055" w14:paraId="3FC735F8" w14:textId="77777777" w:rsidTr="00FD4C79">
        <w:trPr>
          <w:trHeight w:val="277"/>
        </w:trPr>
        <w:tc>
          <w:tcPr>
            <w:tcW w:w="479" w:type="dxa"/>
            <w:tcBorders>
              <w:top w:val="nil"/>
              <w:left w:val="nil"/>
              <w:bottom w:val="single" w:sz="4" w:space="0" w:color="auto"/>
              <w:right w:val="nil"/>
            </w:tcBorders>
            <w:shd w:val="clear" w:color="auto" w:fill="auto"/>
            <w:noWrap/>
            <w:vAlign w:val="bottom"/>
            <w:hideMark/>
          </w:tcPr>
          <w:p w14:paraId="7B8429F3" w14:textId="77777777" w:rsidR="004A2055" w:rsidRPr="004A2055" w:rsidRDefault="004A2055" w:rsidP="00FD4C79">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8</w:t>
            </w:r>
          </w:p>
        </w:tc>
        <w:tc>
          <w:tcPr>
            <w:tcW w:w="5633" w:type="dxa"/>
            <w:tcBorders>
              <w:top w:val="nil"/>
              <w:left w:val="nil"/>
              <w:bottom w:val="single" w:sz="4" w:space="0" w:color="auto"/>
              <w:right w:val="nil"/>
            </w:tcBorders>
            <w:shd w:val="clear" w:color="auto" w:fill="auto"/>
            <w:vAlign w:val="center"/>
            <w:hideMark/>
          </w:tcPr>
          <w:p w14:paraId="184A4571" w14:textId="77777777" w:rsidR="004A2055" w:rsidRPr="004A2055" w:rsidRDefault="004A2055" w:rsidP="004A2055">
            <w:pPr>
              <w:spacing w:after="0" w:line="240" w:lineRule="auto"/>
              <w:rPr>
                <w:rFonts w:eastAsia="Times New Roman" w:cs="Times New Roman"/>
                <w:color w:val="000000"/>
                <w:szCs w:val="24"/>
                <w:lang w:eastAsia="id-ID"/>
              </w:rPr>
            </w:pPr>
            <w:r w:rsidRPr="004A2055">
              <w:rPr>
                <w:rFonts w:eastAsia="Times New Roman" w:cs="Times New Roman"/>
                <w:color w:val="000000"/>
                <w:szCs w:val="24"/>
                <w:lang w:val="en-US" w:eastAsia="id-ID"/>
              </w:rPr>
              <w:t>Saya mengetahui risiko investasi</w:t>
            </w:r>
          </w:p>
        </w:tc>
        <w:tc>
          <w:tcPr>
            <w:tcW w:w="1737" w:type="dxa"/>
            <w:tcBorders>
              <w:top w:val="nil"/>
              <w:left w:val="nil"/>
              <w:bottom w:val="single" w:sz="4" w:space="0" w:color="auto"/>
              <w:right w:val="nil"/>
            </w:tcBorders>
            <w:shd w:val="clear" w:color="auto" w:fill="auto"/>
            <w:noWrap/>
            <w:vAlign w:val="center"/>
            <w:hideMark/>
          </w:tcPr>
          <w:p w14:paraId="7456C4C2" w14:textId="77777777" w:rsidR="004A2055" w:rsidRPr="004A2055" w:rsidRDefault="004A2055" w:rsidP="004A2055">
            <w:pPr>
              <w:spacing w:after="0" w:line="240" w:lineRule="auto"/>
              <w:jc w:val="center"/>
              <w:rPr>
                <w:rFonts w:eastAsia="Times New Roman" w:cs="Times New Roman"/>
                <w:color w:val="000000"/>
                <w:szCs w:val="24"/>
                <w:lang w:eastAsia="id-ID"/>
              </w:rPr>
            </w:pPr>
            <w:r w:rsidRPr="004A2055">
              <w:rPr>
                <w:rFonts w:eastAsia="Times New Roman" w:cs="Times New Roman"/>
                <w:color w:val="000000"/>
                <w:szCs w:val="24"/>
                <w:lang w:eastAsia="id-ID"/>
              </w:rPr>
              <w:t>0,000</w:t>
            </w:r>
          </w:p>
        </w:tc>
      </w:tr>
    </w:tbl>
    <w:p w14:paraId="14AEF01B" w14:textId="3A89870B" w:rsidR="004A2055" w:rsidRDefault="00FD4C79" w:rsidP="00FD4C79">
      <w:pPr>
        <w:spacing w:after="0" w:line="240" w:lineRule="auto"/>
        <w:rPr>
          <w:lang w:val="en-US"/>
        </w:rPr>
      </w:pPr>
      <w:r>
        <w:rPr>
          <w:lang w:val="en-US"/>
        </w:rPr>
        <w:t>Sumber : Data Olahan (2020)</w:t>
      </w:r>
    </w:p>
    <w:p w14:paraId="490E81D8" w14:textId="59AC9D1F" w:rsidR="00FD4C79" w:rsidRDefault="00FD4C79" w:rsidP="00FD4C79">
      <w:pPr>
        <w:spacing w:after="0" w:line="240" w:lineRule="auto"/>
        <w:rPr>
          <w:lang w:val="en-US"/>
        </w:rPr>
      </w:pPr>
    </w:p>
    <w:p w14:paraId="4E14A70C" w14:textId="095949B6" w:rsidR="00AB622F" w:rsidRDefault="00AB622F" w:rsidP="00FD4C79">
      <w:pPr>
        <w:spacing w:after="0" w:line="240" w:lineRule="auto"/>
        <w:rPr>
          <w:lang w:val="en-US"/>
        </w:rPr>
      </w:pPr>
    </w:p>
    <w:p w14:paraId="416D7022" w14:textId="1E7397DA" w:rsidR="00AB622F" w:rsidRDefault="00AB622F" w:rsidP="00FD4C79">
      <w:pPr>
        <w:spacing w:after="0" w:line="240" w:lineRule="auto"/>
        <w:rPr>
          <w:lang w:val="en-US"/>
        </w:rPr>
      </w:pPr>
    </w:p>
    <w:p w14:paraId="53955552" w14:textId="22F6FD70" w:rsidR="00AB622F" w:rsidRDefault="00AB622F" w:rsidP="00FD4C79">
      <w:pPr>
        <w:spacing w:after="0" w:line="240" w:lineRule="auto"/>
        <w:rPr>
          <w:lang w:val="en-US"/>
        </w:rPr>
      </w:pPr>
    </w:p>
    <w:p w14:paraId="78657293" w14:textId="66E956C7" w:rsidR="00AB622F" w:rsidRDefault="00AB622F" w:rsidP="00FD4C79">
      <w:pPr>
        <w:spacing w:after="0" w:line="240" w:lineRule="auto"/>
        <w:rPr>
          <w:lang w:val="en-US"/>
        </w:rPr>
      </w:pPr>
    </w:p>
    <w:p w14:paraId="20B3075B" w14:textId="0F2DF997" w:rsidR="00AB622F" w:rsidRDefault="00AB622F" w:rsidP="00FD4C79">
      <w:pPr>
        <w:spacing w:after="0" w:line="240" w:lineRule="auto"/>
        <w:rPr>
          <w:lang w:val="en-US"/>
        </w:rPr>
      </w:pPr>
    </w:p>
    <w:p w14:paraId="71CCCCED" w14:textId="58DE8D58" w:rsidR="00AB622F" w:rsidRDefault="00AB622F" w:rsidP="00FD4C79">
      <w:pPr>
        <w:spacing w:after="0" w:line="240" w:lineRule="auto"/>
        <w:rPr>
          <w:lang w:val="en-US"/>
        </w:rPr>
      </w:pPr>
    </w:p>
    <w:p w14:paraId="6CE13C83" w14:textId="17DB5BBD" w:rsidR="00AB622F" w:rsidRDefault="00AB622F" w:rsidP="00FD4C79">
      <w:pPr>
        <w:spacing w:after="0" w:line="240" w:lineRule="auto"/>
        <w:rPr>
          <w:lang w:val="en-US"/>
        </w:rPr>
      </w:pPr>
    </w:p>
    <w:p w14:paraId="555B15BC" w14:textId="225DB05B" w:rsidR="00AB622F" w:rsidRDefault="00AB622F" w:rsidP="00FD4C79">
      <w:pPr>
        <w:spacing w:after="0" w:line="240" w:lineRule="auto"/>
        <w:rPr>
          <w:lang w:val="en-US"/>
        </w:rPr>
      </w:pPr>
    </w:p>
    <w:p w14:paraId="7F434B7A" w14:textId="77777777" w:rsidR="00AB622F" w:rsidRDefault="00AB622F" w:rsidP="00FD4C79">
      <w:pPr>
        <w:spacing w:after="0" w:line="240" w:lineRule="auto"/>
        <w:rPr>
          <w:lang w:val="en-US"/>
        </w:rPr>
      </w:pPr>
    </w:p>
    <w:p w14:paraId="4C06C08F" w14:textId="7FA8D349" w:rsidR="00FD4C79" w:rsidRPr="00FD4C79" w:rsidRDefault="00FD4C79" w:rsidP="00FD4C79">
      <w:pPr>
        <w:spacing w:after="0" w:line="240" w:lineRule="auto"/>
        <w:jc w:val="center"/>
        <w:rPr>
          <w:b/>
          <w:bCs/>
          <w:lang w:val="en-US"/>
        </w:rPr>
      </w:pPr>
      <w:r>
        <w:rPr>
          <w:b/>
          <w:bCs/>
          <w:lang w:val="en-US"/>
        </w:rPr>
        <w:lastRenderedPageBreak/>
        <w:t>Tabel 2. Hasil Uji Validitas Variabel Perilaku Keuangan</w:t>
      </w:r>
    </w:p>
    <w:tbl>
      <w:tblPr>
        <w:tblW w:w="7749" w:type="dxa"/>
        <w:tblLook w:val="04A0" w:firstRow="1" w:lastRow="0" w:firstColumn="1" w:lastColumn="0" w:noHBand="0" w:noVBand="1"/>
      </w:tblPr>
      <w:tblGrid>
        <w:gridCol w:w="570"/>
        <w:gridCol w:w="5649"/>
        <w:gridCol w:w="1627"/>
      </w:tblGrid>
      <w:tr w:rsidR="00FD4C79" w:rsidRPr="00FD4C79" w14:paraId="5DAEF4BD" w14:textId="77777777" w:rsidTr="00FD4C79">
        <w:trPr>
          <w:trHeight w:val="537"/>
        </w:trPr>
        <w:tc>
          <w:tcPr>
            <w:tcW w:w="473" w:type="dxa"/>
            <w:tcBorders>
              <w:top w:val="single" w:sz="4" w:space="0" w:color="auto"/>
              <w:left w:val="nil"/>
              <w:bottom w:val="single" w:sz="4" w:space="0" w:color="auto"/>
              <w:right w:val="nil"/>
            </w:tcBorders>
            <w:shd w:val="clear" w:color="auto" w:fill="auto"/>
            <w:noWrap/>
            <w:vAlign w:val="center"/>
            <w:hideMark/>
          </w:tcPr>
          <w:p w14:paraId="239500DD" w14:textId="0A898974"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No.</w:t>
            </w:r>
          </w:p>
        </w:tc>
        <w:tc>
          <w:tcPr>
            <w:tcW w:w="5649" w:type="dxa"/>
            <w:tcBorders>
              <w:top w:val="single" w:sz="4" w:space="0" w:color="auto"/>
              <w:left w:val="nil"/>
              <w:bottom w:val="single" w:sz="4" w:space="0" w:color="auto"/>
              <w:right w:val="nil"/>
            </w:tcBorders>
            <w:shd w:val="clear" w:color="auto" w:fill="auto"/>
            <w:noWrap/>
            <w:vAlign w:val="center"/>
            <w:hideMark/>
          </w:tcPr>
          <w:p w14:paraId="264EE88A"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Pertanyaan</w:t>
            </w:r>
          </w:p>
        </w:tc>
        <w:tc>
          <w:tcPr>
            <w:tcW w:w="1627" w:type="dxa"/>
            <w:tcBorders>
              <w:top w:val="single" w:sz="4" w:space="0" w:color="auto"/>
              <w:left w:val="nil"/>
              <w:bottom w:val="single" w:sz="4" w:space="0" w:color="auto"/>
              <w:right w:val="nil"/>
            </w:tcBorders>
            <w:shd w:val="clear" w:color="auto" w:fill="auto"/>
            <w:noWrap/>
            <w:vAlign w:val="bottom"/>
            <w:hideMark/>
          </w:tcPr>
          <w:p w14:paraId="3C3BD032"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Nilai Signifikansi</w:t>
            </w:r>
          </w:p>
        </w:tc>
      </w:tr>
      <w:tr w:rsidR="00FD4C79" w:rsidRPr="00FD4C79" w14:paraId="7AE7233D" w14:textId="77777777" w:rsidTr="00FD4C79">
        <w:trPr>
          <w:trHeight w:val="406"/>
        </w:trPr>
        <w:tc>
          <w:tcPr>
            <w:tcW w:w="473" w:type="dxa"/>
            <w:tcBorders>
              <w:top w:val="nil"/>
              <w:left w:val="nil"/>
              <w:bottom w:val="nil"/>
              <w:right w:val="nil"/>
            </w:tcBorders>
            <w:shd w:val="clear" w:color="auto" w:fill="auto"/>
            <w:noWrap/>
            <w:vAlign w:val="bottom"/>
            <w:hideMark/>
          </w:tcPr>
          <w:p w14:paraId="1BEFEA0D"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1</w:t>
            </w:r>
          </w:p>
        </w:tc>
        <w:tc>
          <w:tcPr>
            <w:tcW w:w="5649" w:type="dxa"/>
            <w:tcBorders>
              <w:top w:val="nil"/>
              <w:left w:val="nil"/>
              <w:bottom w:val="nil"/>
              <w:right w:val="nil"/>
            </w:tcBorders>
            <w:shd w:val="clear" w:color="auto" w:fill="auto"/>
            <w:vAlign w:val="center"/>
            <w:hideMark/>
          </w:tcPr>
          <w:p w14:paraId="5DF2C412" w14:textId="77777777" w:rsidR="00FD4C79" w:rsidRPr="00FD4C79" w:rsidRDefault="00FD4C79" w:rsidP="00FD4C79">
            <w:pPr>
              <w:spacing w:after="0" w:line="240" w:lineRule="auto"/>
              <w:rPr>
                <w:rFonts w:eastAsia="Times New Roman" w:cs="Times New Roman"/>
                <w:color w:val="000000"/>
                <w:szCs w:val="24"/>
                <w:lang w:eastAsia="id-ID"/>
              </w:rPr>
            </w:pPr>
            <w:r w:rsidRPr="00FD4C79">
              <w:rPr>
                <w:rFonts w:eastAsia="Times New Roman" w:cs="Times New Roman"/>
                <w:color w:val="000000"/>
                <w:szCs w:val="24"/>
                <w:lang w:val="en-US" w:eastAsia="id-ID"/>
              </w:rPr>
              <w:t>Saya menyusun tujuan keuangan (jangka panjang, jangka menengah, jangka pendek)</w:t>
            </w:r>
          </w:p>
        </w:tc>
        <w:tc>
          <w:tcPr>
            <w:tcW w:w="1627" w:type="dxa"/>
            <w:tcBorders>
              <w:top w:val="nil"/>
              <w:left w:val="nil"/>
              <w:bottom w:val="nil"/>
              <w:right w:val="nil"/>
            </w:tcBorders>
            <w:shd w:val="clear" w:color="auto" w:fill="auto"/>
            <w:noWrap/>
            <w:vAlign w:val="center"/>
            <w:hideMark/>
          </w:tcPr>
          <w:p w14:paraId="4558CE17"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0,001</w:t>
            </w:r>
          </w:p>
        </w:tc>
      </w:tr>
      <w:tr w:rsidR="00FD4C79" w:rsidRPr="00FD4C79" w14:paraId="61D51ED5" w14:textId="77777777" w:rsidTr="00FD4C79">
        <w:trPr>
          <w:trHeight w:val="387"/>
        </w:trPr>
        <w:tc>
          <w:tcPr>
            <w:tcW w:w="473" w:type="dxa"/>
            <w:tcBorders>
              <w:top w:val="nil"/>
              <w:left w:val="nil"/>
              <w:bottom w:val="nil"/>
              <w:right w:val="nil"/>
            </w:tcBorders>
            <w:shd w:val="clear" w:color="auto" w:fill="auto"/>
            <w:noWrap/>
            <w:vAlign w:val="bottom"/>
            <w:hideMark/>
          </w:tcPr>
          <w:p w14:paraId="103FE807"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2</w:t>
            </w:r>
          </w:p>
        </w:tc>
        <w:tc>
          <w:tcPr>
            <w:tcW w:w="5649" w:type="dxa"/>
            <w:tcBorders>
              <w:top w:val="nil"/>
              <w:left w:val="nil"/>
              <w:bottom w:val="nil"/>
              <w:right w:val="nil"/>
            </w:tcBorders>
            <w:shd w:val="clear" w:color="auto" w:fill="auto"/>
            <w:vAlign w:val="center"/>
            <w:hideMark/>
          </w:tcPr>
          <w:p w14:paraId="7EB51A99" w14:textId="77777777" w:rsidR="00FD4C79" w:rsidRPr="00FD4C79" w:rsidRDefault="00FD4C79" w:rsidP="00FD4C79">
            <w:pPr>
              <w:spacing w:after="0" w:line="240" w:lineRule="auto"/>
              <w:rPr>
                <w:rFonts w:eastAsia="Times New Roman" w:cs="Times New Roman"/>
                <w:color w:val="000000"/>
                <w:szCs w:val="24"/>
                <w:lang w:eastAsia="id-ID"/>
              </w:rPr>
            </w:pPr>
            <w:r w:rsidRPr="00FD4C79">
              <w:rPr>
                <w:rFonts w:eastAsia="Times New Roman" w:cs="Times New Roman"/>
                <w:color w:val="000000"/>
                <w:szCs w:val="24"/>
                <w:lang w:val="en-US" w:eastAsia="id-ID"/>
              </w:rPr>
              <w:t>Saya menyusun anggaran pengeluaran dan belanja (harian, bulanan, tahunan)</w:t>
            </w:r>
          </w:p>
        </w:tc>
        <w:tc>
          <w:tcPr>
            <w:tcW w:w="1627" w:type="dxa"/>
            <w:tcBorders>
              <w:top w:val="nil"/>
              <w:left w:val="nil"/>
              <w:bottom w:val="nil"/>
              <w:right w:val="nil"/>
            </w:tcBorders>
            <w:shd w:val="clear" w:color="auto" w:fill="auto"/>
            <w:noWrap/>
            <w:vAlign w:val="center"/>
            <w:hideMark/>
          </w:tcPr>
          <w:p w14:paraId="04CA596B"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0,000</w:t>
            </w:r>
          </w:p>
        </w:tc>
      </w:tr>
      <w:tr w:rsidR="00FD4C79" w:rsidRPr="00FD4C79" w14:paraId="11F9B5C8" w14:textId="77777777" w:rsidTr="00FD4C79">
        <w:trPr>
          <w:trHeight w:val="406"/>
        </w:trPr>
        <w:tc>
          <w:tcPr>
            <w:tcW w:w="473" w:type="dxa"/>
            <w:tcBorders>
              <w:top w:val="nil"/>
              <w:left w:val="nil"/>
              <w:bottom w:val="nil"/>
              <w:right w:val="nil"/>
            </w:tcBorders>
            <w:shd w:val="clear" w:color="auto" w:fill="auto"/>
            <w:noWrap/>
            <w:vAlign w:val="bottom"/>
            <w:hideMark/>
          </w:tcPr>
          <w:p w14:paraId="480CBDBA"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3</w:t>
            </w:r>
          </w:p>
        </w:tc>
        <w:tc>
          <w:tcPr>
            <w:tcW w:w="5649" w:type="dxa"/>
            <w:tcBorders>
              <w:top w:val="nil"/>
              <w:left w:val="nil"/>
              <w:bottom w:val="nil"/>
              <w:right w:val="nil"/>
            </w:tcBorders>
            <w:shd w:val="clear" w:color="auto" w:fill="auto"/>
            <w:vAlign w:val="center"/>
            <w:hideMark/>
          </w:tcPr>
          <w:p w14:paraId="2BD75513" w14:textId="77777777" w:rsidR="00FD4C79" w:rsidRPr="00FD4C79" w:rsidRDefault="00FD4C79" w:rsidP="00FD4C79">
            <w:pPr>
              <w:spacing w:after="0" w:line="240" w:lineRule="auto"/>
              <w:rPr>
                <w:rFonts w:eastAsia="Times New Roman" w:cs="Times New Roman"/>
                <w:color w:val="000000"/>
                <w:szCs w:val="24"/>
                <w:lang w:eastAsia="id-ID"/>
              </w:rPr>
            </w:pPr>
            <w:r w:rsidRPr="00FD4C79">
              <w:rPr>
                <w:rFonts w:eastAsia="Times New Roman" w:cs="Times New Roman"/>
                <w:color w:val="000000"/>
                <w:szCs w:val="24"/>
                <w:lang w:val="en-US" w:eastAsia="id-ID"/>
              </w:rPr>
              <w:t>Saya menetapkan anggaran belanja maksimal pada alokasi keuangan.</w:t>
            </w:r>
          </w:p>
        </w:tc>
        <w:tc>
          <w:tcPr>
            <w:tcW w:w="1627" w:type="dxa"/>
            <w:tcBorders>
              <w:top w:val="nil"/>
              <w:left w:val="nil"/>
              <w:bottom w:val="nil"/>
              <w:right w:val="nil"/>
            </w:tcBorders>
            <w:shd w:val="clear" w:color="auto" w:fill="auto"/>
            <w:noWrap/>
            <w:vAlign w:val="center"/>
            <w:hideMark/>
          </w:tcPr>
          <w:p w14:paraId="7EE77ED5"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0,000</w:t>
            </w:r>
          </w:p>
        </w:tc>
      </w:tr>
      <w:tr w:rsidR="00FD4C79" w:rsidRPr="00FD4C79" w14:paraId="2F3CA936" w14:textId="77777777" w:rsidTr="00FD4C79">
        <w:trPr>
          <w:trHeight w:val="387"/>
        </w:trPr>
        <w:tc>
          <w:tcPr>
            <w:tcW w:w="473" w:type="dxa"/>
            <w:tcBorders>
              <w:top w:val="nil"/>
              <w:left w:val="nil"/>
              <w:bottom w:val="nil"/>
              <w:right w:val="nil"/>
            </w:tcBorders>
            <w:shd w:val="clear" w:color="auto" w:fill="auto"/>
            <w:noWrap/>
            <w:vAlign w:val="bottom"/>
            <w:hideMark/>
          </w:tcPr>
          <w:p w14:paraId="33BF6BA2"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4</w:t>
            </w:r>
          </w:p>
        </w:tc>
        <w:tc>
          <w:tcPr>
            <w:tcW w:w="5649" w:type="dxa"/>
            <w:tcBorders>
              <w:top w:val="nil"/>
              <w:left w:val="nil"/>
              <w:bottom w:val="nil"/>
              <w:right w:val="nil"/>
            </w:tcBorders>
            <w:shd w:val="clear" w:color="auto" w:fill="auto"/>
            <w:vAlign w:val="center"/>
            <w:hideMark/>
          </w:tcPr>
          <w:p w14:paraId="5191059C" w14:textId="77777777" w:rsidR="00FD4C79" w:rsidRPr="00FD4C79" w:rsidRDefault="00FD4C79" w:rsidP="00FD4C79">
            <w:pPr>
              <w:spacing w:after="0" w:line="240" w:lineRule="auto"/>
              <w:rPr>
                <w:rFonts w:eastAsia="Times New Roman" w:cs="Times New Roman"/>
                <w:color w:val="000000"/>
                <w:szCs w:val="24"/>
                <w:lang w:eastAsia="id-ID"/>
              </w:rPr>
            </w:pPr>
            <w:r w:rsidRPr="00FD4C79">
              <w:rPr>
                <w:rFonts w:eastAsia="Times New Roman" w:cs="Times New Roman"/>
                <w:color w:val="000000"/>
                <w:szCs w:val="24"/>
                <w:lang w:val="en-US" w:eastAsia="id-ID"/>
              </w:rPr>
              <w:t>Saya mendahulukan kebutuhan yang paling utama terlebih dahulu dalam anggaran belanja.</w:t>
            </w:r>
          </w:p>
        </w:tc>
        <w:tc>
          <w:tcPr>
            <w:tcW w:w="1627" w:type="dxa"/>
            <w:tcBorders>
              <w:top w:val="nil"/>
              <w:left w:val="nil"/>
              <w:bottom w:val="nil"/>
              <w:right w:val="nil"/>
            </w:tcBorders>
            <w:shd w:val="clear" w:color="auto" w:fill="auto"/>
            <w:noWrap/>
            <w:vAlign w:val="center"/>
            <w:hideMark/>
          </w:tcPr>
          <w:p w14:paraId="439110C2"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0,000</w:t>
            </w:r>
          </w:p>
        </w:tc>
      </w:tr>
      <w:tr w:rsidR="00FD4C79" w:rsidRPr="00FD4C79" w14:paraId="51181CBC" w14:textId="77777777" w:rsidTr="00FD4C79">
        <w:trPr>
          <w:trHeight w:val="406"/>
        </w:trPr>
        <w:tc>
          <w:tcPr>
            <w:tcW w:w="473" w:type="dxa"/>
            <w:tcBorders>
              <w:top w:val="nil"/>
              <w:left w:val="nil"/>
              <w:bottom w:val="nil"/>
              <w:right w:val="nil"/>
            </w:tcBorders>
            <w:shd w:val="clear" w:color="auto" w:fill="auto"/>
            <w:noWrap/>
            <w:vAlign w:val="bottom"/>
            <w:hideMark/>
          </w:tcPr>
          <w:p w14:paraId="45344213"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5</w:t>
            </w:r>
          </w:p>
        </w:tc>
        <w:tc>
          <w:tcPr>
            <w:tcW w:w="5649" w:type="dxa"/>
            <w:tcBorders>
              <w:top w:val="nil"/>
              <w:left w:val="nil"/>
              <w:bottom w:val="nil"/>
              <w:right w:val="nil"/>
            </w:tcBorders>
            <w:shd w:val="clear" w:color="auto" w:fill="auto"/>
            <w:vAlign w:val="center"/>
            <w:hideMark/>
          </w:tcPr>
          <w:p w14:paraId="00D7BB5B" w14:textId="77777777" w:rsidR="00FD4C79" w:rsidRPr="00FD4C79" w:rsidRDefault="00FD4C79" w:rsidP="00FD4C79">
            <w:pPr>
              <w:spacing w:after="0" w:line="240" w:lineRule="auto"/>
              <w:rPr>
                <w:rFonts w:eastAsia="Times New Roman" w:cs="Times New Roman"/>
                <w:color w:val="000000"/>
                <w:szCs w:val="24"/>
                <w:lang w:eastAsia="id-ID"/>
              </w:rPr>
            </w:pPr>
            <w:r w:rsidRPr="00FD4C79">
              <w:rPr>
                <w:rFonts w:eastAsia="Times New Roman" w:cs="Times New Roman"/>
                <w:color w:val="000000"/>
                <w:szCs w:val="24"/>
                <w:lang w:val="en-US" w:eastAsia="id-ID"/>
              </w:rPr>
              <w:t>Saya menabung secara periodik atau rutin</w:t>
            </w:r>
          </w:p>
        </w:tc>
        <w:tc>
          <w:tcPr>
            <w:tcW w:w="1627" w:type="dxa"/>
            <w:tcBorders>
              <w:top w:val="nil"/>
              <w:left w:val="nil"/>
              <w:bottom w:val="nil"/>
              <w:right w:val="nil"/>
            </w:tcBorders>
            <w:shd w:val="clear" w:color="auto" w:fill="auto"/>
            <w:noWrap/>
            <w:vAlign w:val="center"/>
            <w:hideMark/>
          </w:tcPr>
          <w:p w14:paraId="6F3B4D79"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0,005</w:t>
            </w:r>
          </w:p>
        </w:tc>
      </w:tr>
      <w:tr w:rsidR="00FD4C79" w:rsidRPr="00FD4C79" w14:paraId="60A9E438" w14:textId="77777777" w:rsidTr="00FD4C79">
        <w:trPr>
          <w:trHeight w:val="406"/>
        </w:trPr>
        <w:tc>
          <w:tcPr>
            <w:tcW w:w="473" w:type="dxa"/>
            <w:tcBorders>
              <w:top w:val="nil"/>
              <w:left w:val="nil"/>
              <w:bottom w:val="single" w:sz="4" w:space="0" w:color="auto"/>
              <w:right w:val="nil"/>
            </w:tcBorders>
            <w:shd w:val="clear" w:color="auto" w:fill="auto"/>
            <w:noWrap/>
            <w:vAlign w:val="bottom"/>
            <w:hideMark/>
          </w:tcPr>
          <w:p w14:paraId="25132E64"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6</w:t>
            </w:r>
          </w:p>
        </w:tc>
        <w:tc>
          <w:tcPr>
            <w:tcW w:w="5649" w:type="dxa"/>
            <w:tcBorders>
              <w:top w:val="nil"/>
              <w:left w:val="nil"/>
              <w:bottom w:val="single" w:sz="4" w:space="0" w:color="auto"/>
              <w:right w:val="nil"/>
            </w:tcBorders>
            <w:shd w:val="clear" w:color="auto" w:fill="auto"/>
            <w:vAlign w:val="center"/>
            <w:hideMark/>
          </w:tcPr>
          <w:p w14:paraId="6BE780DA" w14:textId="77777777" w:rsidR="00FD4C79" w:rsidRPr="00FD4C79" w:rsidRDefault="00FD4C79" w:rsidP="00FD4C79">
            <w:pPr>
              <w:spacing w:after="0" w:line="240" w:lineRule="auto"/>
              <w:rPr>
                <w:rFonts w:eastAsia="Times New Roman" w:cs="Times New Roman"/>
                <w:color w:val="000000"/>
                <w:szCs w:val="24"/>
                <w:lang w:eastAsia="id-ID"/>
              </w:rPr>
            </w:pPr>
            <w:r w:rsidRPr="00FD4C79">
              <w:rPr>
                <w:rFonts w:eastAsia="Times New Roman" w:cs="Times New Roman"/>
                <w:color w:val="000000"/>
                <w:szCs w:val="24"/>
                <w:lang w:val="en-US" w:eastAsia="id-ID"/>
              </w:rPr>
              <w:t>Saya menabungkan segera uang sisa atau pendapatan tidak terduga.</w:t>
            </w:r>
          </w:p>
        </w:tc>
        <w:tc>
          <w:tcPr>
            <w:tcW w:w="1627" w:type="dxa"/>
            <w:tcBorders>
              <w:top w:val="nil"/>
              <w:left w:val="nil"/>
              <w:bottom w:val="single" w:sz="4" w:space="0" w:color="auto"/>
              <w:right w:val="nil"/>
            </w:tcBorders>
            <w:shd w:val="clear" w:color="auto" w:fill="auto"/>
            <w:noWrap/>
            <w:vAlign w:val="center"/>
            <w:hideMark/>
          </w:tcPr>
          <w:p w14:paraId="2B4712D3" w14:textId="77777777" w:rsidR="00FD4C79" w:rsidRPr="00FD4C79" w:rsidRDefault="00FD4C79" w:rsidP="00FD4C79">
            <w:pPr>
              <w:spacing w:after="0" w:line="240" w:lineRule="auto"/>
              <w:jc w:val="center"/>
              <w:rPr>
                <w:rFonts w:eastAsia="Times New Roman" w:cs="Times New Roman"/>
                <w:color w:val="000000"/>
                <w:szCs w:val="24"/>
                <w:lang w:eastAsia="id-ID"/>
              </w:rPr>
            </w:pPr>
            <w:r w:rsidRPr="00FD4C79">
              <w:rPr>
                <w:rFonts w:eastAsia="Times New Roman" w:cs="Times New Roman"/>
                <w:color w:val="000000"/>
                <w:szCs w:val="24"/>
                <w:lang w:eastAsia="id-ID"/>
              </w:rPr>
              <w:t>0,000</w:t>
            </w:r>
          </w:p>
        </w:tc>
      </w:tr>
    </w:tbl>
    <w:p w14:paraId="57427866" w14:textId="06D37803" w:rsidR="00FD4C79" w:rsidRDefault="00FD4C79" w:rsidP="00FD4C79">
      <w:pPr>
        <w:spacing w:after="0" w:line="240" w:lineRule="auto"/>
        <w:rPr>
          <w:lang w:val="en-US"/>
        </w:rPr>
      </w:pPr>
      <w:r>
        <w:rPr>
          <w:lang w:val="en-US"/>
        </w:rPr>
        <w:t>Sumber : Data Olahan (2020)</w:t>
      </w:r>
    </w:p>
    <w:p w14:paraId="79AFC60E" w14:textId="373296F0" w:rsidR="00FD4C79" w:rsidRDefault="00FD4C79" w:rsidP="00FD4C79">
      <w:pPr>
        <w:spacing w:after="0" w:line="240" w:lineRule="auto"/>
        <w:rPr>
          <w:lang w:val="en-US"/>
        </w:rPr>
      </w:pPr>
    </w:p>
    <w:p w14:paraId="547C2EC2" w14:textId="7FFFBC68" w:rsidR="00FD4C79" w:rsidRPr="00FD4C79" w:rsidRDefault="00FD4C79" w:rsidP="00FD4C79">
      <w:pPr>
        <w:spacing w:after="0" w:line="240" w:lineRule="auto"/>
        <w:jc w:val="center"/>
        <w:rPr>
          <w:b/>
          <w:bCs/>
          <w:lang w:val="en-US"/>
        </w:rPr>
      </w:pPr>
      <w:r>
        <w:rPr>
          <w:b/>
          <w:bCs/>
          <w:lang w:val="en-US"/>
        </w:rPr>
        <w:t>Tabel 3. Hasil Uji Validitas Variabel Teknologi Keuangan</w:t>
      </w:r>
    </w:p>
    <w:tbl>
      <w:tblPr>
        <w:tblW w:w="7845" w:type="dxa"/>
        <w:tblLook w:val="04A0" w:firstRow="1" w:lastRow="0" w:firstColumn="1" w:lastColumn="0" w:noHBand="0" w:noVBand="1"/>
      </w:tblPr>
      <w:tblGrid>
        <w:gridCol w:w="570"/>
        <w:gridCol w:w="5814"/>
        <w:gridCol w:w="1461"/>
      </w:tblGrid>
      <w:tr w:rsidR="000F2CA0" w:rsidRPr="000F2CA0" w14:paraId="30C6DC82" w14:textId="77777777" w:rsidTr="000F2CA0">
        <w:trPr>
          <w:trHeight w:val="309"/>
        </w:trPr>
        <w:tc>
          <w:tcPr>
            <w:tcW w:w="570" w:type="dxa"/>
            <w:tcBorders>
              <w:top w:val="single" w:sz="4" w:space="0" w:color="auto"/>
              <w:left w:val="nil"/>
              <w:bottom w:val="single" w:sz="4" w:space="0" w:color="auto"/>
              <w:right w:val="nil"/>
            </w:tcBorders>
            <w:shd w:val="clear" w:color="auto" w:fill="auto"/>
            <w:noWrap/>
            <w:vAlign w:val="center"/>
            <w:hideMark/>
          </w:tcPr>
          <w:p w14:paraId="3688529E" w14:textId="2F95C806"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No.</w:t>
            </w:r>
          </w:p>
        </w:tc>
        <w:tc>
          <w:tcPr>
            <w:tcW w:w="5814" w:type="dxa"/>
            <w:tcBorders>
              <w:top w:val="single" w:sz="4" w:space="0" w:color="auto"/>
              <w:left w:val="nil"/>
              <w:bottom w:val="single" w:sz="4" w:space="0" w:color="auto"/>
              <w:right w:val="nil"/>
            </w:tcBorders>
            <w:shd w:val="clear" w:color="auto" w:fill="auto"/>
            <w:noWrap/>
            <w:vAlign w:val="center"/>
            <w:hideMark/>
          </w:tcPr>
          <w:p w14:paraId="26D63CDC"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Pertanyaan</w:t>
            </w:r>
          </w:p>
        </w:tc>
        <w:tc>
          <w:tcPr>
            <w:tcW w:w="1461" w:type="dxa"/>
            <w:tcBorders>
              <w:top w:val="single" w:sz="4" w:space="0" w:color="auto"/>
              <w:left w:val="nil"/>
              <w:bottom w:val="single" w:sz="4" w:space="0" w:color="auto"/>
              <w:right w:val="nil"/>
            </w:tcBorders>
            <w:shd w:val="clear" w:color="auto" w:fill="auto"/>
            <w:noWrap/>
            <w:vAlign w:val="bottom"/>
            <w:hideMark/>
          </w:tcPr>
          <w:p w14:paraId="03E98603"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Nilai Signifikansi</w:t>
            </w:r>
          </w:p>
        </w:tc>
      </w:tr>
      <w:tr w:rsidR="000F2CA0" w:rsidRPr="000F2CA0" w14:paraId="23675D32" w14:textId="77777777" w:rsidTr="000F2CA0">
        <w:trPr>
          <w:trHeight w:val="309"/>
        </w:trPr>
        <w:tc>
          <w:tcPr>
            <w:tcW w:w="570" w:type="dxa"/>
            <w:tcBorders>
              <w:top w:val="nil"/>
              <w:left w:val="nil"/>
              <w:bottom w:val="nil"/>
              <w:right w:val="nil"/>
            </w:tcBorders>
            <w:shd w:val="clear" w:color="auto" w:fill="auto"/>
            <w:noWrap/>
            <w:vAlign w:val="bottom"/>
            <w:hideMark/>
          </w:tcPr>
          <w:p w14:paraId="580642A3"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1</w:t>
            </w:r>
          </w:p>
        </w:tc>
        <w:tc>
          <w:tcPr>
            <w:tcW w:w="5814" w:type="dxa"/>
            <w:tcBorders>
              <w:top w:val="nil"/>
              <w:left w:val="nil"/>
              <w:bottom w:val="nil"/>
              <w:right w:val="nil"/>
            </w:tcBorders>
            <w:shd w:val="clear" w:color="auto" w:fill="auto"/>
            <w:vAlign w:val="center"/>
            <w:hideMark/>
          </w:tcPr>
          <w:p w14:paraId="03375823"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dapat mengakses produk dan jasa keuangan digital kapan saja dan dimana saja.</w:t>
            </w:r>
          </w:p>
        </w:tc>
        <w:tc>
          <w:tcPr>
            <w:tcW w:w="1461" w:type="dxa"/>
            <w:tcBorders>
              <w:top w:val="nil"/>
              <w:left w:val="nil"/>
              <w:bottom w:val="nil"/>
              <w:right w:val="nil"/>
            </w:tcBorders>
            <w:shd w:val="clear" w:color="auto" w:fill="auto"/>
            <w:noWrap/>
            <w:vAlign w:val="center"/>
            <w:hideMark/>
          </w:tcPr>
          <w:p w14:paraId="7D3CDFEC"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r w:rsidR="000F2CA0" w:rsidRPr="000F2CA0" w14:paraId="5ED52082" w14:textId="77777777" w:rsidTr="000F2CA0">
        <w:trPr>
          <w:trHeight w:val="294"/>
        </w:trPr>
        <w:tc>
          <w:tcPr>
            <w:tcW w:w="570" w:type="dxa"/>
            <w:tcBorders>
              <w:top w:val="nil"/>
              <w:left w:val="nil"/>
              <w:bottom w:val="nil"/>
              <w:right w:val="nil"/>
            </w:tcBorders>
            <w:shd w:val="clear" w:color="auto" w:fill="auto"/>
            <w:noWrap/>
            <w:vAlign w:val="bottom"/>
            <w:hideMark/>
          </w:tcPr>
          <w:p w14:paraId="4F6F0654"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2</w:t>
            </w:r>
          </w:p>
        </w:tc>
        <w:tc>
          <w:tcPr>
            <w:tcW w:w="5814" w:type="dxa"/>
            <w:tcBorders>
              <w:top w:val="nil"/>
              <w:left w:val="nil"/>
              <w:bottom w:val="nil"/>
              <w:right w:val="nil"/>
            </w:tcBorders>
            <w:shd w:val="clear" w:color="auto" w:fill="auto"/>
            <w:vAlign w:val="center"/>
            <w:hideMark/>
          </w:tcPr>
          <w:p w14:paraId="7152A313"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dapat dengan mudah mendapat layanan dari teknologi keuangan.</w:t>
            </w:r>
          </w:p>
        </w:tc>
        <w:tc>
          <w:tcPr>
            <w:tcW w:w="1461" w:type="dxa"/>
            <w:tcBorders>
              <w:top w:val="nil"/>
              <w:left w:val="nil"/>
              <w:bottom w:val="nil"/>
              <w:right w:val="nil"/>
            </w:tcBorders>
            <w:shd w:val="clear" w:color="auto" w:fill="auto"/>
            <w:noWrap/>
            <w:vAlign w:val="center"/>
            <w:hideMark/>
          </w:tcPr>
          <w:p w14:paraId="0A46F296"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0,024</w:t>
            </w:r>
          </w:p>
        </w:tc>
      </w:tr>
      <w:tr w:rsidR="000F2CA0" w:rsidRPr="000F2CA0" w14:paraId="77919061" w14:textId="77777777" w:rsidTr="000F2CA0">
        <w:trPr>
          <w:trHeight w:val="309"/>
        </w:trPr>
        <w:tc>
          <w:tcPr>
            <w:tcW w:w="570" w:type="dxa"/>
            <w:tcBorders>
              <w:top w:val="nil"/>
              <w:left w:val="nil"/>
              <w:bottom w:val="nil"/>
              <w:right w:val="nil"/>
            </w:tcBorders>
            <w:shd w:val="clear" w:color="auto" w:fill="auto"/>
            <w:noWrap/>
            <w:vAlign w:val="bottom"/>
            <w:hideMark/>
          </w:tcPr>
          <w:p w14:paraId="314D0806"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3</w:t>
            </w:r>
          </w:p>
        </w:tc>
        <w:tc>
          <w:tcPr>
            <w:tcW w:w="5814" w:type="dxa"/>
            <w:tcBorders>
              <w:top w:val="nil"/>
              <w:left w:val="nil"/>
              <w:bottom w:val="nil"/>
              <w:right w:val="nil"/>
            </w:tcBorders>
            <w:shd w:val="clear" w:color="auto" w:fill="auto"/>
            <w:vAlign w:val="center"/>
            <w:hideMark/>
          </w:tcPr>
          <w:p w14:paraId="73399E20"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menikmati produk dan layanan jasa keuangan digital</w:t>
            </w:r>
          </w:p>
        </w:tc>
        <w:tc>
          <w:tcPr>
            <w:tcW w:w="1461" w:type="dxa"/>
            <w:tcBorders>
              <w:top w:val="nil"/>
              <w:left w:val="nil"/>
              <w:bottom w:val="nil"/>
              <w:right w:val="nil"/>
            </w:tcBorders>
            <w:shd w:val="clear" w:color="auto" w:fill="auto"/>
            <w:noWrap/>
            <w:vAlign w:val="center"/>
            <w:hideMark/>
          </w:tcPr>
          <w:p w14:paraId="04742A90"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r w:rsidR="000F2CA0" w:rsidRPr="000F2CA0" w14:paraId="7EACEEDC" w14:textId="77777777" w:rsidTr="000F2CA0">
        <w:trPr>
          <w:trHeight w:val="294"/>
        </w:trPr>
        <w:tc>
          <w:tcPr>
            <w:tcW w:w="570" w:type="dxa"/>
            <w:tcBorders>
              <w:top w:val="nil"/>
              <w:left w:val="nil"/>
              <w:bottom w:val="single" w:sz="4" w:space="0" w:color="auto"/>
              <w:right w:val="nil"/>
            </w:tcBorders>
            <w:shd w:val="clear" w:color="auto" w:fill="auto"/>
            <w:noWrap/>
            <w:vAlign w:val="bottom"/>
            <w:hideMark/>
          </w:tcPr>
          <w:p w14:paraId="265CD0AD"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4</w:t>
            </w:r>
          </w:p>
        </w:tc>
        <w:tc>
          <w:tcPr>
            <w:tcW w:w="5814" w:type="dxa"/>
            <w:tcBorders>
              <w:top w:val="nil"/>
              <w:left w:val="nil"/>
              <w:bottom w:val="single" w:sz="4" w:space="0" w:color="auto"/>
              <w:right w:val="nil"/>
            </w:tcBorders>
            <w:shd w:val="clear" w:color="auto" w:fill="auto"/>
            <w:vAlign w:val="center"/>
            <w:hideMark/>
          </w:tcPr>
          <w:p w14:paraId="51BE4501"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 xml:space="preserve">Saya merasakan manfaat besar atas produk dan jasa keuangan digital </w:t>
            </w:r>
          </w:p>
        </w:tc>
        <w:tc>
          <w:tcPr>
            <w:tcW w:w="1461" w:type="dxa"/>
            <w:tcBorders>
              <w:top w:val="nil"/>
              <w:left w:val="nil"/>
              <w:bottom w:val="single" w:sz="4" w:space="0" w:color="auto"/>
              <w:right w:val="nil"/>
            </w:tcBorders>
            <w:shd w:val="clear" w:color="auto" w:fill="auto"/>
            <w:noWrap/>
            <w:vAlign w:val="center"/>
            <w:hideMark/>
          </w:tcPr>
          <w:p w14:paraId="0B6A0E22"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bl>
    <w:p w14:paraId="188BC9E7" w14:textId="77777777" w:rsidR="000F2CA0" w:rsidRDefault="000F2CA0" w:rsidP="000F2CA0">
      <w:pPr>
        <w:spacing w:after="0" w:line="240" w:lineRule="auto"/>
        <w:rPr>
          <w:lang w:val="en-US"/>
        </w:rPr>
      </w:pPr>
      <w:r>
        <w:rPr>
          <w:lang w:val="en-US"/>
        </w:rPr>
        <w:t>Sumber : Data Olahan (2020)</w:t>
      </w:r>
    </w:p>
    <w:p w14:paraId="2AD55074" w14:textId="73F66127" w:rsidR="00FD4C79" w:rsidRDefault="00FD4C79" w:rsidP="00FD4C79">
      <w:pPr>
        <w:spacing w:after="0" w:line="240" w:lineRule="auto"/>
        <w:rPr>
          <w:lang w:val="en-US"/>
        </w:rPr>
      </w:pPr>
    </w:p>
    <w:p w14:paraId="0B526F06" w14:textId="0A0E3B75" w:rsidR="000F2CA0" w:rsidRPr="00FD4C79" w:rsidRDefault="000F2CA0" w:rsidP="000F2CA0">
      <w:pPr>
        <w:spacing w:after="0" w:line="240" w:lineRule="auto"/>
        <w:jc w:val="center"/>
        <w:rPr>
          <w:b/>
          <w:bCs/>
          <w:lang w:val="en-US"/>
        </w:rPr>
      </w:pPr>
      <w:r>
        <w:rPr>
          <w:b/>
          <w:bCs/>
          <w:lang w:val="en-US"/>
        </w:rPr>
        <w:t>Tabel 4. Hasil Uji Validitas Variabel Kesejahteraan Keuangan</w:t>
      </w:r>
    </w:p>
    <w:tbl>
      <w:tblPr>
        <w:tblW w:w="7828" w:type="dxa"/>
        <w:tblLook w:val="04A0" w:firstRow="1" w:lastRow="0" w:firstColumn="1" w:lastColumn="0" w:noHBand="0" w:noVBand="1"/>
      </w:tblPr>
      <w:tblGrid>
        <w:gridCol w:w="570"/>
        <w:gridCol w:w="5800"/>
        <w:gridCol w:w="1458"/>
      </w:tblGrid>
      <w:tr w:rsidR="000F2CA0" w:rsidRPr="000F2CA0" w14:paraId="55D334A0" w14:textId="77777777" w:rsidTr="000F2CA0">
        <w:trPr>
          <w:trHeight w:val="281"/>
        </w:trPr>
        <w:tc>
          <w:tcPr>
            <w:tcW w:w="570" w:type="dxa"/>
            <w:tcBorders>
              <w:top w:val="single" w:sz="4" w:space="0" w:color="auto"/>
              <w:left w:val="nil"/>
              <w:bottom w:val="single" w:sz="4" w:space="0" w:color="auto"/>
              <w:right w:val="nil"/>
            </w:tcBorders>
            <w:shd w:val="clear" w:color="auto" w:fill="auto"/>
            <w:noWrap/>
            <w:vAlign w:val="center"/>
            <w:hideMark/>
          </w:tcPr>
          <w:p w14:paraId="5AE5354A" w14:textId="463A159C"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No.</w:t>
            </w:r>
          </w:p>
        </w:tc>
        <w:tc>
          <w:tcPr>
            <w:tcW w:w="5800" w:type="dxa"/>
            <w:tcBorders>
              <w:top w:val="single" w:sz="4" w:space="0" w:color="auto"/>
              <w:left w:val="nil"/>
              <w:bottom w:val="single" w:sz="4" w:space="0" w:color="auto"/>
              <w:right w:val="nil"/>
            </w:tcBorders>
            <w:shd w:val="clear" w:color="auto" w:fill="auto"/>
            <w:noWrap/>
            <w:vAlign w:val="center"/>
            <w:hideMark/>
          </w:tcPr>
          <w:p w14:paraId="263A4D00"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Pertanyaan</w:t>
            </w:r>
          </w:p>
        </w:tc>
        <w:tc>
          <w:tcPr>
            <w:tcW w:w="1458" w:type="dxa"/>
            <w:tcBorders>
              <w:top w:val="single" w:sz="4" w:space="0" w:color="auto"/>
              <w:left w:val="nil"/>
              <w:bottom w:val="single" w:sz="4" w:space="0" w:color="auto"/>
              <w:right w:val="nil"/>
            </w:tcBorders>
            <w:shd w:val="clear" w:color="auto" w:fill="auto"/>
            <w:noWrap/>
            <w:vAlign w:val="bottom"/>
            <w:hideMark/>
          </w:tcPr>
          <w:p w14:paraId="25A8BFCF"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Nilai Signifikansi</w:t>
            </w:r>
          </w:p>
        </w:tc>
      </w:tr>
      <w:tr w:rsidR="000F2CA0" w:rsidRPr="000F2CA0" w14:paraId="4528A7D0" w14:textId="77777777" w:rsidTr="000F2CA0">
        <w:trPr>
          <w:trHeight w:val="281"/>
        </w:trPr>
        <w:tc>
          <w:tcPr>
            <w:tcW w:w="570" w:type="dxa"/>
            <w:tcBorders>
              <w:top w:val="nil"/>
              <w:left w:val="nil"/>
              <w:bottom w:val="nil"/>
              <w:right w:val="nil"/>
            </w:tcBorders>
            <w:shd w:val="clear" w:color="auto" w:fill="auto"/>
            <w:noWrap/>
            <w:vAlign w:val="center"/>
            <w:hideMark/>
          </w:tcPr>
          <w:p w14:paraId="2296C275"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1</w:t>
            </w:r>
          </w:p>
        </w:tc>
        <w:tc>
          <w:tcPr>
            <w:tcW w:w="5800" w:type="dxa"/>
            <w:tcBorders>
              <w:top w:val="nil"/>
              <w:left w:val="nil"/>
              <w:bottom w:val="nil"/>
              <w:right w:val="nil"/>
            </w:tcBorders>
            <w:shd w:val="clear" w:color="auto" w:fill="auto"/>
            <w:vAlign w:val="center"/>
            <w:hideMark/>
          </w:tcPr>
          <w:p w14:paraId="0CAEBE4D"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merasa puas dengan keputusan keuangan saya.</w:t>
            </w:r>
          </w:p>
        </w:tc>
        <w:tc>
          <w:tcPr>
            <w:tcW w:w="1458" w:type="dxa"/>
            <w:tcBorders>
              <w:top w:val="nil"/>
              <w:left w:val="nil"/>
              <w:bottom w:val="nil"/>
              <w:right w:val="nil"/>
            </w:tcBorders>
            <w:shd w:val="clear" w:color="auto" w:fill="auto"/>
            <w:noWrap/>
            <w:vAlign w:val="center"/>
            <w:hideMark/>
          </w:tcPr>
          <w:p w14:paraId="26C74181"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r w:rsidR="000F2CA0" w:rsidRPr="000F2CA0" w14:paraId="4A250EFA" w14:textId="77777777" w:rsidTr="000F2CA0">
        <w:trPr>
          <w:trHeight w:val="268"/>
        </w:trPr>
        <w:tc>
          <w:tcPr>
            <w:tcW w:w="570" w:type="dxa"/>
            <w:tcBorders>
              <w:top w:val="nil"/>
              <w:left w:val="nil"/>
              <w:bottom w:val="nil"/>
              <w:right w:val="nil"/>
            </w:tcBorders>
            <w:shd w:val="clear" w:color="auto" w:fill="auto"/>
            <w:noWrap/>
            <w:vAlign w:val="center"/>
            <w:hideMark/>
          </w:tcPr>
          <w:p w14:paraId="43BAA802"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2</w:t>
            </w:r>
          </w:p>
        </w:tc>
        <w:tc>
          <w:tcPr>
            <w:tcW w:w="5800" w:type="dxa"/>
            <w:tcBorders>
              <w:top w:val="nil"/>
              <w:left w:val="nil"/>
              <w:bottom w:val="nil"/>
              <w:right w:val="nil"/>
            </w:tcBorders>
            <w:shd w:val="clear" w:color="auto" w:fill="auto"/>
            <w:vAlign w:val="center"/>
            <w:hideMark/>
          </w:tcPr>
          <w:p w14:paraId="6ACC3F92"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merasa bahagia dengan keputusan keuangan yang saya buat.</w:t>
            </w:r>
          </w:p>
        </w:tc>
        <w:tc>
          <w:tcPr>
            <w:tcW w:w="1458" w:type="dxa"/>
            <w:tcBorders>
              <w:top w:val="nil"/>
              <w:left w:val="nil"/>
              <w:bottom w:val="nil"/>
              <w:right w:val="nil"/>
            </w:tcBorders>
            <w:shd w:val="clear" w:color="auto" w:fill="auto"/>
            <w:noWrap/>
            <w:vAlign w:val="center"/>
            <w:hideMark/>
          </w:tcPr>
          <w:p w14:paraId="38AFC4FE"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r w:rsidR="000F2CA0" w:rsidRPr="000F2CA0" w14:paraId="66F59EFC" w14:textId="77777777" w:rsidTr="000F2CA0">
        <w:trPr>
          <w:trHeight w:val="563"/>
        </w:trPr>
        <w:tc>
          <w:tcPr>
            <w:tcW w:w="570" w:type="dxa"/>
            <w:tcBorders>
              <w:top w:val="nil"/>
              <w:left w:val="nil"/>
              <w:bottom w:val="nil"/>
              <w:right w:val="nil"/>
            </w:tcBorders>
            <w:shd w:val="clear" w:color="auto" w:fill="auto"/>
            <w:noWrap/>
            <w:vAlign w:val="center"/>
            <w:hideMark/>
          </w:tcPr>
          <w:p w14:paraId="0ABC6A56"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3</w:t>
            </w:r>
          </w:p>
        </w:tc>
        <w:tc>
          <w:tcPr>
            <w:tcW w:w="5800" w:type="dxa"/>
            <w:tcBorders>
              <w:top w:val="nil"/>
              <w:left w:val="nil"/>
              <w:bottom w:val="nil"/>
              <w:right w:val="nil"/>
            </w:tcBorders>
            <w:shd w:val="clear" w:color="auto" w:fill="auto"/>
            <w:vAlign w:val="center"/>
            <w:hideMark/>
          </w:tcPr>
          <w:p w14:paraId="79480CBA"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tidak memiliki tekanan psikologis atas konsekuensi dari keputusan keuangan saya.</w:t>
            </w:r>
          </w:p>
        </w:tc>
        <w:tc>
          <w:tcPr>
            <w:tcW w:w="1458" w:type="dxa"/>
            <w:tcBorders>
              <w:top w:val="nil"/>
              <w:left w:val="nil"/>
              <w:bottom w:val="nil"/>
              <w:right w:val="nil"/>
            </w:tcBorders>
            <w:shd w:val="clear" w:color="auto" w:fill="auto"/>
            <w:noWrap/>
            <w:vAlign w:val="center"/>
            <w:hideMark/>
          </w:tcPr>
          <w:p w14:paraId="5C1D3135"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0,009</w:t>
            </w:r>
          </w:p>
        </w:tc>
      </w:tr>
      <w:tr w:rsidR="000F2CA0" w:rsidRPr="000F2CA0" w14:paraId="2FD7681C" w14:textId="77777777" w:rsidTr="000F2CA0">
        <w:trPr>
          <w:trHeight w:val="268"/>
        </w:trPr>
        <w:tc>
          <w:tcPr>
            <w:tcW w:w="570" w:type="dxa"/>
            <w:tcBorders>
              <w:top w:val="nil"/>
              <w:left w:val="nil"/>
              <w:bottom w:val="nil"/>
              <w:right w:val="nil"/>
            </w:tcBorders>
            <w:shd w:val="clear" w:color="auto" w:fill="auto"/>
            <w:noWrap/>
            <w:vAlign w:val="center"/>
            <w:hideMark/>
          </w:tcPr>
          <w:p w14:paraId="77E1167D"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4</w:t>
            </w:r>
          </w:p>
        </w:tc>
        <w:tc>
          <w:tcPr>
            <w:tcW w:w="5800" w:type="dxa"/>
            <w:tcBorders>
              <w:top w:val="nil"/>
              <w:left w:val="nil"/>
              <w:bottom w:val="nil"/>
              <w:right w:val="nil"/>
            </w:tcBorders>
            <w:shd w:val="clear" w:color="auto" w:fill="auto"/>
            <w:vAlign w:val="center"/>
            <w:hideMark/>
          </w:tcPr>
          <w:p w14:paraId="1128BDA9"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memiliki simpanan dana darurat</w:t>
            </w:r>
          </w:p>
        </w:tc>
        <w:tc>
          <w:tcPr>
            <w:tcW w:w="1458" w:type="dxa"/>
            <w:tcBorders>
              <w:top w:val="nil"/>
              <w:left w:val="nil"/>
              <w:bottom w:val="nil"/>
              <w:right w:val="nil"/>
            </w:tcBorders>
            <w:shd w:val="clear" w:color="auto" w:fill="auto"/>
            <w:noWrap/>
            <w:vAlign w:val="center"/>
            <w:hideMark/>
          </w:tcPr>
          <w:p w14:paraId="6300C6CC"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r w:rsidR="000F2CA0" w:rsidRPr="000F2CA0" w14:paraId="38FA4391" w14:textId="77777777" w:rsidTr="000F2CA0">
        <w:trPr>
          <w:trHeight w:val="281"/>
        </w:trPr>
        <w:tc>
          <w:tcPr>
            <w:tcW w:w="570" w:type="dxa"/>
            <w:tcBorders>
              <w:top w:val="nil"/>
              <w:left w:val="nil"/>
              <w:bottom w:val="nil"/>
              <w:right w:val="nil"/>
            </w:tcBorders>
            <w:shd w:val="clear" w:color="auto" w:fill="auto"/>
            <w:noWrap/>
            <w:vAlign w:val="center"/>
            <w:hideMark/>
          </w:tcPr>
          <w:p w14:paraId="75C1D881"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5</w:t>
            </w:r>
          </w:p>
        </w:tc>
        <w:tc>
          <w:tcPr>
            <w:tcW w:w="5800" w:type="dxa"/>
            <w:tcBorders>
              <w:top w:val="nil"/>
              <w:left w:val="nil"/>
              <w:bottom w:val="nil"/>
              <w:right w:val="nil"/>
            </w:tcBorders>
            <w:shd w:val="clear" w:color="auto" w:fill="auto"/>
            <w:vAlign w:val="center"/>
            <w:hideMark/>
          </w:tcPr>
          <w:p w14:paraId="289BC101"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memiliki tabungan untuk kehidupan dimasa tua</w:t>
            </w:r>
          </w:p>
        </w:tc>
        <w:tc>
          <w:tcPr>
            <w:tcW w:w="1458" w:type="dxa"/>
            <w:tcBorders>
              <w:top w:val="nil"/>
              <w:left w:val="nil"/>
              <w:bottom w:val="nil"/>
              <w:right w:val="nil"/>
            </w:tcBorders>
            <w:shd w:val="clear" w:color="auto" w:fill="auto"/>
            <w:noWrap/>
            <w:vAlign w:val="center"/>
            <w:hideMark/>
          </w:tcPr>
          <w:p w14:paraId="7A480BD1"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0,024</w:t>
            </w:r>
          </w:p>
        </w:tc>
      </w:tr>
      <w:tr w:rsidR="000F2CA0" w:rsidRPr="000F2CA0" w14:paraId="7EDAEBFF" w14:textId="77777777" w:rsidTr="000F2CA0">
        <w:trPr>
          <w:trHeight w:val="281"/>
        </w:trPr>
        <w:tc>
          <w:tcPr>
            <w:tcW w:w="570" w:type="dxa"/>
            <w:tcBorders>
              <w:top w:val="nil"/>
              <w:left w:val="nil"/>
              <w:bottom w:val="nil"/>
              <w:right w:val="nil"/>
            </w:tcBorders>
            <w:shd w:val="clear" w:color="auto" w:fill="auto"/>
            <w:noWrap/>
            <w:vAlign w:val="center"/>
            <w:hideMark/>
          </w:tcPr>
          <w:p w14:paraId="73FEE837"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6</w:t>
            </w:r>
          </w:p>
        </w:tc>
        <w:tc>
          <w:tcPr>
            <w:tcW w:w="5800" w:type="dxa"/>
            <w:tcBorders>
              <w:top w:val="nil"/>
              <w:left w:val="nil"/>
              <w:bottom w:val="nil"/>
              <w:right w:val="nil"/>
            </w:tcBorders>
            <w:shd w:val="clear" w:color="auto" w:fill="auto"/>
            <w:vAlign w:val="center"/>
            <w:hideMark/>
          </w:tcPr>
          <w:p w14:paraId="151F7E51"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menyisihkan pendapatan saya untuk berinvestasi</w:t>
            </w:r>
          </w:p>
        </w:tc>
        <w:tc>
          <w:tcPr>
            <w:tcW w:w="1458" w:type="dxa"/>
            <w:tcBorders>
              <w:top w:val="nil"/>
              <w:left w:val="nil"/>
              <w:bottom w:val="nil"/>
              <w:right w:val="nil"/>
            </w:tcBorders>
            <w:shd w:val="clear" w:color="auto" w:fill="auto"/>
            <w:noWrap/>
            <w:vAlign w:val="center"/>
            <w:hideMark/>
          </w:tcPr>
          <w:p w14:paraId="743DB879"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r w:rsidR="000F2CA0" w:rsidRPr="000F2CA0" w14:paraId="0D8112BB" w14:textId="77777777" w:rsidTr="000F2CA0">
        <w:trPr>
          <w:trHeight w:val="563"/>
        </w:trPr>
        <w:tc>
          <w:tcPr>
            <w:tcW w:w="570" w:type="dxa"/>
            <w:tcBorders>
              <w:top w:val="nil"/>
              <w:left w:val="nil"/>
              <w:bottom w:val="nil"/>
              <w:right w:val="nil"/>
            </w:tcBorders>
            <w:shd w:val="clear" w:color="auto" w:fill="auto"/>
            <w:noWrap/>
            <w:vAlign w:val="center"/>
            <w:hideMark/>
          </w:tcPr>
          <w:p w14:paraId="2F9C8129"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7</w:t>
            </w:r>
          </w:p>
        </w:tc>
        <w:tc>
          <w:tcPr>
            <w:tcW w:w="5800" w:type="dxa"/>
            <w:tcBorders>
              <w:top w:val="nil"/>
              <w:left w:val="nil"/>
              <w:bottom w:val="nil"/>
              <w:right w:val="nil"/>
            </w:tcBorders>
            <w:shd w:val="clear" w:color="auto" w:fill="auto"/>
            <w:vAlign w:val="center"/>
            <w:hideMark/>
          </w:tcPr>
          <w:p w14:paraId="2213CE8C"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melakukan usaha kecil – kecilan dirumah (</w:t>
            </w:r>
            <w:r w:rsidRPr="000F2CA0">
              <w:rPr>
                <w:rFonts w:eastAsia="Times New Roman" w:cs="Times New Roman"/>
                <w:i/>
                <w:iCs/>
                <w:color w:val="000000"/>
                <w:szCs w:val="24"/>
                <w:lang w:val="en-US" w:eastAsia="id-ID"/>
              </w:rPr>
              <w:t>online shop</w:t>
            </w:r>
            <w:r w:rsidRPr="000F2CA0">
              <w:rPr>
                <w:rFonts w:eastAsia="Times New Roman" w:cs="Times New Roman"/>
                <w:color w:val="000000"/>
                <w:szCs w:val="24"/>
                <w:lang w:val="en-US" w:eastAsia="id-ID"/>
              </w:rPr>
              <w:t xml:space="preserve"> dan sebagainya)</w:t>
            </w:r>
          </w:p>
        </w:tc>
        <w:tc>
          <w:tcPr>
            <w:tcW w:w="1458" w:type="dxa"/>
            <w:tcBorders>
              <w:top w:val="nil"/>
              <w:left w:val="nil"/>
              <w:bottom w:val="nil"/>
              <w:right w:val="nil"/>
            </w:tcBorders>
            <w:shd w:val="clear" w:color="auto" w:fill="auto"/>
            <w:noWrap/>
            <w:vAlign w:val="center"/>
            <w:hideMark/>
          </w:tcPr>
          <w:p w14:paraId="6CE7A3BA"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0,001</w:t>
            </w:r>
          </w:p>
        </w:tc>
      </w:tr>
      <w:tr w:rsidR="000F2CA0" w:rsidRPr="000F2CA0" w14:paraId="000072A1" w14:textId="77777777" w:rsidTr="000F2CA0">
        <w:trPr>
          <w:trHeight w:val="281"/>
        </w:trPr>
        <w:tc>
          <w:tcPr>
            <w:tcW w:w="570" w:type="dxa"/>
            <w:tcBorders>
              <w:top w:val="nil"/>
              <w:left w:val="nil"/>
              <w:bottom w:val="single" w:sz="4" w:space="0" w:color="auto"/>
              <w:right w:val="nil"/>
            </w:tcBorders>
            <w:shd w:val="clear" w:color="auto" w:fill="auto"/>
            <w:noWrap/>
            <w:vAlign w:val="center"/>
            <w:hideMark/>
          </w:tcPr>
          <w:p w14:paraId="2BB842A9"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8</w:t>
            </w:r>
          </w:p>
        </w:tc>
        <w:tc>
          <w:tcPr>
            <w:tcW w:w="5800" w:type="dxa"/>
            <w:tcBorders>
              <w:top w:val="nil"/>
              <w:left w:val="nil"/>
              <w:bottom w:val="single" w:sz="4" w:space="0" w:color="auto"/>
              <w:right w:val="nil"/>
            </w:tcBorders>
            <w:shd w:val="clear" w:color="auto" w:fill="auto"/>
            <w:vAlign w:val="center"/>
            <w:hideMark/>
          </w:tcPr>
          <w:p w14:paraId="56E2261C" w14:textId="77777777" w:rsidR="000F2CA0" w:rsidRPr="000F2CA0" w:rsidRDefault="000F2CA0" w:rsidP="000F2CA0">
            <w:pPr>
              <w:spacing w:after="0" w:line="240" w:lineRule="auto"/>
              <w:rPr>
                <w:rFonts w:eastAsia="Times New Roman" w:cs="Times New Roman"/>
                <w:color w:val="000000"/>
                <w:szCs w:val="24"/>
                <w:lang w:eastAsia="id-ID"/>
              </w:rPr>
            </w:pPr>
            <w:r w:rsidRPr="000F2CA0">
              <w:rPr>
                <w:rFonts w:eastAsia="Times New Roman" w:cs="Times New Roman"/>
                <w:color w:val="000000"/>
                <w:szCs w:val="24"/>
                <w:lang w:val="en-US" w:eastAsia="id-ID"/>
              </w:rPr>
              <w:t>Saya melanjutkan pendidikan atau kursus untuk menambah keterampilan.</w:t>
            </w:r>
          </w:p>
        </w:tc>
        <w:tc>
          <w:tcPr>
            <w:tcW w:w="1458" w:type="dxa"/>
            <w:tcBorders>
              <w:top w:val="nil"/>
              <w:left w:val="nil"/>
              <w:bottom w:val="single" w:sz="4" w:space="0" w:color="auto"/>
              <w:right w:val="nil"/>
            </w:tcBorders>
            <w:shd w:val="clear" w:color="auto" w:fill="auto"/>
            <w:noWrap/>
            <w:vAlign w:val="center"/>
            <w:hideMark/>
          </w:tcPr>
          <w:p w14:paraId="3CDCDC69" w14:textId="77777777" w:rsidR="000F2CA0" w:rsidRPr="000F2CA0" w:rsidRDefault="000F2CA0" w:rsidP="000F2CA0">
            <w:pPr>
              <w:spacing w:after="0" w:line="240" w:lineRule="auto"/>
              <w:jc w:val="center"/>
              <w:rPr>
                <w:rFonts w:eastAsia="Times New Roman" w:cs="Times New Roman"/>
                <w:color w:val="000000"/>
                <w:szCs w:val="24"/>
                <w:lang w:eastAsia="id-ID"/>
              </w:rPr>
            </w:pPr>
            <w:r w:rsidRPr="000F2CA0">
              <w:rPr>
                <w:rFonts w:eastAsia="Times New Roman" w:cs="Times New Roman"/>
                <w:color w:val="000000"/>
                <w:szCs w:val="24"/>
                <w:lang w:eastAsia="id-ID"/>
              </w:rPr>
              <w:t>0,000</w:t>
            </w:r>
          </w:p>
        </w:tc>
      </w:tr>
    </w:tbl>
    <w:p w14:paraId="4DFA0303" w14:textId="23E77D90" w:rsidR="000F2CA0" w:rsidRPr="00FD4C79" w:rsidRDefault="000F2CA0" w:rsidP="00FD4C79">
      <w:pPr>
        <w:spacing w:after="0" w:line="240" w:lineRule="auto"/>
        <w:rPr>
          <w:lang w:val="en-US"/>
        </w:rPr>
      </w:pPr>
      <w:r>
        <w:rPr>
          <w:lang w:val="en-US"/>
        </w:rPr>
        <w:t>Sumber : Data Olahan (2020)</w:t>
      </w:r>
    </w:p>
    <w:p w14:paraId="2818603A" w14:textId="77777777" w:rsidR="00AB622F" w:rsidRDefault="00AB622F" w:rsidP="000F2CA0">
      <w:pPr>
        <w:pStyle w:val="ListParagraph"/>
        <w:spacing w:after="0" w:line="240" w:lineRule="auto"/>
        <w:ind w:left="360"/>
        <w:jc w:val="center"/>
        <w:rPr>
          <w:b/>
          <w:bCs/>
          <w:lang w:val="en-US"/>
        </w:rPr>
      </w:pPr>
    </w:p>
    <w:p w14:paraId="7B806FE0" w14:textId="53B37EE8" w:rsidR="00AD3310" w:rsidRDefault="000F2CA0" w:rsidP="000F2CA0">
      <w:pPr>
        <w:pStyle w:val="ListParagraph"/>
        <w:spacing w:after="0" w:line="240" w:lineRule="auto"/>
        <w:ind w:left="360"/>
        <w:jc w:val="center"/>
        <w:rPr>
          <w:b/>
          <w:bCs/>
          <w:lang w:val="en-US"/>
        </w:rPr>
      </w:pPr>
      <w:r>
        <w:rPr>
          <w:b/>
          <w:bCs/>
          <w:lang w:val="en-US"/>
        </w:rPr>
        <w:lastRenderedPageBreak/>
        <w:t>Tabel 5. Hasil Uji Reliabilitas</w:t>
      </w:r>
    </w:p>
    <w:tbl>
      <w:tblPr>
        <w:tblW w:w="7780" w:type="dxa"/>
        <w:tblLook w:val="04A0" w:firstRow="1" w:lastRow="0" w:firstColumn="1" w:lastColumn="0" w:noHBand="0" w:noVBand="1"/>
      </w:tblPr>
      <w:tblGrid>
        <w:gridCol w:w="2263"/>
        <w:gridCol w:w="1701"/>
        <w:gridCol w:w="1560"/>
        <w:gridCol w:w="2256"/>
      </w:tblGrid>
      <w:tr w:rsidR="000F2CA0" w:rsidRPr="00A5390F" w14:paraId="7727109B" w14:textId="77777777" w:rsidTr="000F2CA0">
        <w:trPr>
          <w:trHeight w:val="645"/>
        </w:trPr>
        <w:tc>
          <w:tcPr>
            <w:tcW w:w="2263" w:type="dxa"/>
            <w:tcBorders>
              <w:top w:val="single" w:sz="4" w:space="0" w:color="auto"/>
              <w:bottom w:val="single" w:sz="4" w:space="0" w:color="auto"/>
            </w:tcBorders>
            <w:shd w:val="clear" w:color="auto" w:fill="auto"/>
            <w:vAlign w:val="center"/>
            <w:hideMark/>
          </w:tcPr>
          <w:p w14:paraId="59C5D6E3"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val="en-US" w:eastAsia="id-ID"/>
              </w:rPr>
              <w:t>Variabel</w:t>
            </w:r>
          </w:p>
        </w:tc>
        <w:tc>
          <w:tcPr>
            <w:tcW w:w="1701" w:type="dxa"/>
            <w:tcBorders>
              <w:top w:val="single" w:sz="4" w:space="0" w:color="auto"/>
              <w:bottom w:val="single" w:sz="4" w:space="0" w:color="auto"/>
            </w:tcBorders>
            <w:shd w:val="clear" w:color="auto" w:fill="auto"/>
            <w:vAlign w:val="center"/>
            <w:hideMark/>
          </w:tcPr>
          <w:p w14:paraId="15D19929" w14:textId="77777777" w:rsidR="000F2CA0" w:rsidRPr="00A5390F" w:rsidRDefault="000F2CA0" w:rsidP="000F2CA0">
            <w:pPr>
              <w:spacing w:after="0" w:line="240" w:lineRule="auto"/>
              <w:jc w:val="center"/>
              <w:rPr>
                <w:rFonts w:eastAsia="Times New Roman" w:cs="Times New Roman"/>
                <w:i/>
                <w:iCs/>
                <w:color w:val="000000"/>
                <w:szCs w:val="24"/>
                <w:lang w:eastAsia="id-ID"/>
              </w:rPr>
            </w:pPr>
            <w:r w:rsidRPr="00A5390F">
              <w:rPr>
                <w:rFonts w:eastAsia="Times New Roman" w:cs="Times New Roman"/>
                <w:i/>
                <w:iCs/>
                <w:color w:val="000000"/>
                <w:szCs w:val="24"/>
                <w:lang w:val="en-US" w:eastAsia="id-ID"/>
              </w:rPr>
              <w:t>cronbach’s alpha</w:t>
            </w:r>
          </w:p>
        </w:tc>
        <w:tc>
          <w:tcPr>
            <w:tcW w:w="1560" w:type="dxa"/>
            <w:tcBorders>
              <w:top w:val="single" w:sz="4" w:space="0" w:color="auto"/>
              <w:bottom w:val="single" w:sz="4" w:space="0" w:color="auto"/>
            </w:tcBorders>
            <w:shd w:val="clear" w:color="auto" w:fill="auto"/>
            <w:vAlign w:val="center"/>
            <w:hideMark/>
          </w:tcPr>
          <w:p w14:paraId="24ED7371"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val="en-US" w:eastAsia="id-ID"/>
              </w:rPr>
              <w:t>Batas Reliabilitas</w:t>
            </w:r>
          </w:p>
        </w:tc>
        <w:tc>
          <w:tcPr>
            <w:tcW w:w="2256" w:type="dxa"/>
            <w:tcBorders>
              <w:top w:val="single" w:sz="4" w:space="0" w:color="auto"/>
              <w:bottom w:val="single" w:sz="4" w:space="0" w:color="auto"/>
            </w:tcBorders>
            <w:shd w:val="clear" w:color="auto" w:fill="auto"/>
            <w:vAlign w:val="center"/>
            <w:hideMark/>
          </w:tcPr>
          <w:p w14:paraId="44727CB5"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val="en-US" w:eastAsia="id-ID"/>
              </w:rPr>
              <w:t>Keterangan</w:t>
            </w:r>
          </w:p>
        </w:tc>
      </w:tr>
      <w:tr w:rsidR="000F2CA0" w:rsidRPr="00A5390F" w14:paraId="4FEC7E2C" w14:textId="77777777" w:rsidTr="000F2CA0">
        <w:trPr>
          <w:trHeight w:val="300"/>
        </w:trPr>
        <w:tc>
          <w:tcPr>
            <w:tcW w:w="2263" w:type="dxa"/>
            <w:tcBorders>
              <w:top w:val="single" w:sz="4" w:space="0" w:color="auto"/>
            </w:tcBorders>
            <w:shd w:val="clear" w:color="auto" w:fill="auto"/>
            <w:hideMark/>
          </w:tcPr>
          <w:p w14:paraId="30B4F6E2" w14:textId="77777777" w:rsidR="000F2CA0" w:rsidRPr="00A5390F" w:rsidRDefault="000F2CA0" w:rsidP="000F2CA0">
            <w:pPr>
              <w:spacing w:after="0" w:line="240" w:lineRule="auto"/>
              <w:jc w:val="left"/>
              <w:rPr>
                <w:rFonts w:eastAsia="Times New Roman" w:cs="Times New Roman"/>
                <w:color w:val="000000"/>
                <w:szCs w:val="24"/>
                <w:lang w:eastAsia="id-ID"/>
              </w:rPr>
            </w:pPr>
            <w:r w:rsidRPr="00A5390F">
              <w:rPr>
                <w:rFonts w:eastAsia="Times New Roman" w:cs="Times New Roman"/>
                <w:color w:val="000000"/>
                <w:szCs w:val="24"/>
                <w:lang w:eastAsia="id-ID"/>
              </w:rPr>
              <w:t>Literasi Keuangan</w:t>
            </w:r>
          </w:p>
        </w:tc>
        <w:tc>
          <w:tcPr>
            <w:tcW w:w="1701" w:type="dxa"/>
            <w:tcBorders>
              <w:top w:val="single" w:sz="4" w:space="0" w:color="auto"/>
            </w:tcBorders>
            <w:shd w:val="clear" w:color="auto" w:fill="auto"/>
            <w:noWrap/>
            <w:vAlign w:val="bottom"/>
            <w:hideMark/>
          </w:tcPr>
          <w:p w14:paraId="296FF739"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0,863</w:t>
            </w:r>
          </w:p>
        </w:tc>
        <w:tc>
          <w:tcPr>
            <w:tcW w:w="1560" w:type="dxa"/>
            <w:tcBorders>
              <w:top w:val="single" w:sz="4" w:space="0" w:color="auto"/>
            </w:tcBorders>
            <w:shd w:val="clear" w:color="auto" w:fill="auto"/>
            <w:noWrap/>
            <w:vAlign w:val="bottom"/>
            <w:hideMark/>
          </w:tcPr>
          <w:p w14:paraId="476C053F"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0,60</w:t>
            </w:r>
          </w:p>
        </w:tc>
        <w:tc>
          <w:tcPr>
            <w:tcW w:w="2256" w:type="dxa"/>
            <w:tcBorders>
              <w:top w:val="single" w:sz="4" w:space="0" w:color="auto"/>
            </w:tcBorders>
            <w:shd w:val="clear" w:color="auto" w:fill="auto"/>
            <w:noWrap/>
            <w:vAlign w:val="bottom"/>
            <w:hideMark/>
          </w:tcPr>
          <w:p w14:paraId="16121CED"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Reliabel</w:t>
            </w:r>
          </w:p>
        </w:tc>
      </w:tr>
      <w:tr w:rsidR="000F2CA0" w:rsidRPr="00A5390F" w14:paraId="5B0CDFE1" w14:textId="77777777" w:rsidTr="000F2CA0">
        <w:trPr>
          <w:trHeight w:val="300"/>
        </w:trPr>
        <w:tc>
          <w:tcPr>
            <w:tcW w:w="2263" w:type="dxa"/>
            <w:shd w:val="clear" w:color="auto" w:fill="auto"/>
            <w:hideMark/>
          </w:tcPr>
          <w:p w14:paraId="3EB1422A" w14:textId="77777777" w:rsidR="000F2CA0" w:rsidRPr="00A5390F" w:rsidRDefault="000F2CA0" w:rsidP="000F2CA0">
            <w:pPr>
              <w:spacing w:after="0" w:line="240" w:lineRule="auto"/>
              <w:jc w:val="left"/>
              <w:rPr>
                <w:rFonts w:eastAsia="Times New Roman" w:cs="Times New Roman"/>
                <w:color w:val="000000"/>
                <w:szCs w:val="24"/>
                <w:lang w:eastAsia="id-ID"/>
              </w:rPr>
            </w:pPr>
            <w:r w:rsidRPr="00A5390F">
              <w:rPr>
                <w:rFonts w:eastAsia="Times New Roman" w:cs="Times New Roman"/>
                <w:color w:val="000000"/>
                <w:szCs w:val="24"/>
                <w:lang w:eastAsia="id-ID"/>
              </w:rPr>
              <w:t>Perilaku Keuangan</w:t>
            </w:r>
          </w:p>
        </w:tc>
        <w:tc>
          <w:tcPr>
            <w:tcW w:w="1701" w:type="dxa"/>
            <w:shd w:val="clear" w:color="auto" w:fill="auto"/>
            <w:noWrap/>
            <w:vAlign w:val="bottom"/>
            <w:hideMark/>
          </w:tcPr>
          <w:p w14:paraId="3144197A"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0,860</w:t>
            </w:r>
          </w:p>
        </w:tc>
        <w:tc>
          <w:tcPr>
            <w:tcW w:w="1560" w:type="dxa"/>
            <w:shd w:val="clear" w:color="auto" w:fill="auto"/>
            <w:noWrap/>
            <w:vAlign w:val="bottom"/>
            <w:hideMark/>
          </w:tcPr>
          <w:p w14:paraId="1C923D75"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0,60</w:t>
            </w:r>
          </w:p>
        </w:tc>
        <w:tc>
          <w:tcPr>
            <w:tcW w:w="2256" w:type="dxa"/>
            <w:shd w:val="clear" w:color="auto" w:fill="auto"/>
            <w:noWrap/>
            <w:vAlign w:val="bottom"/>
            <w:hideMark/>
          </w:tcPr>
          <w:p w14:paraId="314C66B4"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Reliabel</w:t>
            </w:r>
          </w:p>
        </w:tc>
      </w:tr>
      <w:tr w:rsidR="000F2CA0" w:rsidRPr="00A5390F" w14:paraId="17991850" w14:textId="77777777" w:rsidTr="000F2CA0">
        <w:trPr>
          <w:trHeight w:val="300"/>
        </w:trPr>
        <w:tc>
          <w:tcPr>
            <w:tcW w:w="2263" w:type="dxa"/>
            <w:shd w:val="clear" w:color="auto" w:fill="auto"/>
            <w:hideMark/>
          </w:tcPr>
          <w:p w14:paraId="17F5A870" w14:textId="77777777" w:rsidR="000F2CA0" w:rsidRPr="00A5390F" w:rsidRDefault="000F2CA0" w:rsidP="000F2CA0">
            <w:pPr>
              <w:spacing w:after="0" w:line="240" w:lineRule="auto"/>
              <w:jc w:val="left"/>
              <w:rPr>
                <w:rFonts w:eastAsia="Times New Roman" w:cs="Times New Roman"/>
                <w:color w:val="000000"/>
                <w:szCs w:val="24"/>
                <w:lang w:eastAsia="id-ID"/>
              </w:rPr>
            </w:pPr>
            <w:r w:rsidRPr="00A5390F">
              <w:rPr>
                <w:rFonts w:eastAsia="Times New Roman" w:cs="Times New Roman"/>
                <w:color w:val="000000"/>
                <w:szCs w:val="24"/>
                <w:lang w:eastAsia="id-ID"/>
              </w:rPr>
              <w:t>Teknologi Keuangan</w:t>
            </w:r>
          </w:p>
        </w:tc>
        <w:tc>
          <w:tcPr>
            <w:tcW w:w="1701" w:type="dxa"/>
            <w:shd w:val="clear" w:color="auto" w:fill="auto"/>
            <w:noWrap/>
            <w:vAlign w:val="bottom"/>
            <w:hideMark/>
          </w:tcPr>
          <w:p w14:paraId="464B812B"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0,828</w:t>
            </w:r>
          </w:p>
        </w:tc>
        <w:tc>
          <w:tcPr>
            <w:tcW w:w="1560" w:type="dxa"/>
            <w:shd w:val="clear" w:color="auto" w:fill="auto"/>
            <w:noWrap/>
            <w:vAlign w:val="bottom"/>
            <w:hideMark/>
          </w:tcPr>
          <w:p w14:paraId="59A7161A"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0,60</w:t>
            </w:r>
          </w:p>
        </w:tc>
        <w:tc>
          <w:tcPr>
            <w:tcW w:w="2256" w:type="dxa"/>
            <w:shd w:val="clear" w:color="auto" w:fill="auto"/>
            <w:noWrap/>
            <w:vAlign w:val="bottom"/>
            <w:hideMark/>
          </w:tcPr>
          <w:p w14:paraId="7A07C838"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Reliabel</w:t>
            </w:r>
          </w:p>
        </w:tc>
      </w:tr>
      <w:tr w:rsidR="000F2CA0" w:rsidRPr="00A5390F" w14:paraId="15226AEE" w14:textId="77777777" w:rsidTr="000F2CA0">
        <w:trPr>
          <w:trHeight w:val="480"/>
        </w:trPr>
        <w:tc>
          <w:tcPr>
            <w:tcW w:w="2263" w:type="dxa"/>
            <w:tcBorders>
              <w:bottom w:val="single" w:sz="4" w:space="0" w:color="auto"/>
            </w:tcBorders>
            <w:shd w:val="clear" w:color="auto" w:fill="auto"/>
            <w:hideMark/>
          </w:tcPr>
          <w:p w14:paraId="6746743A" w14:textId="77777777" w:rsidR="000F2CA0" w:rsidRPr="00A5390F" w:rsidRDefault="000F2CA0" w:rsidP="000F2CA0">
            <w:pPr>
              <w:spacing w:after="0" w:line="240" w:lineRule="auto"/>
              <w:jc w:val="left"/>
              <w:rPr>
                <w:rFonts w:eastAsia="Times New Roman" w:cs="Times New Roman"/>
                <w:color w:val="000000"/>
                <w:szCs w:val="24"/>
                <w:lang w:eastAsia="id-ID"/>
              </w:rPr>
            </w:pPr>
            <w:r w:rsidRPr="00A5390F">
              <w:rPr>
                <w:rFonts w:eastAsia="Times New Roman" w:cs="Times New Roman"/>
                <w:color w:val="000000"/>
                <w:szCs w:val="24"/>
                <w:lang w:eastAsia="id-ID"/>
              </w:rPr>
              <w:t>Kesejahteraan Keuangan</w:t>
            </w:r>
          </w:p>
        </w:tc>
        <w:tc>
          <w:tcPr>
            <w:tcW w:w="1701" w:type="dxa"/>
            <w:tcBorders>
              <w:bottom w:val="single" w:sz="4" w:space="0" w:color="auto"/>
            </w:tcBorders>
            <w:shd w:val="clear" w:color="auto" w:fill="auto"/>
            <w:noWrap/>
            <w:vAlign w:val="center"/>
            <w:hideMark/>
          </w:tcPr>
          <w:p w14:paraId="14E5B3A2"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0,809</w:t>
            </w:r>
          </w:p>
        </w:tc>
        <w:tc>
          <w:tcPr>
            <w:tcW w:w="1560" w:type="dxa"/>
            <w:tcBorders>
              <w:bottom w:val="single" w:sz="4" w:space="0" w:color="auto"/>
            </w:tcBorders>
            <w:shd w:val="clear" w:color="auto" w:fill="auto"/>
            <w:noWrap/>
            <w:vAlign w:val="center"/>
            <w:hideMark/>
          </w:tcPr>
          <w:p w14:paraId="4B290A2B"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0,60</w:t>
            </w:r>
          </w:p>
        </w:tc>
        <w:tc>
          <w:tcPr>
            <w:tcW w:w="2256" w:type="dxa"/>
            <w:tcBorders>
              <w:bottom w:val="single" w:sz="4" w:space="0" w:color="auto"/>
            </w:tcBorders>
            <w:shd w:val="clear" w:color="auto" w:fill="auto"/>
            <w:noWrap/>
            <w:vAlign w:val="center"/>
            <w:hideMark/>
          </w:tcPr>
          <w:p w14:paraId="0077F5EE" w14:textId="77777777" w:rsidR="000F2CA0" w:rsidRPr="00A5390F" w:rsidRDefault="000F2CA0" w:rsidP="000F2CA0">
            <w:pPr>
              <w:spacing w:after="0" w:line="240" w:lineRule="auto"/>
              <w:jc w:val="center"/>
              <w:rPr>
                <w:rFonts w:eastAsia="Times New Roman" w:cs="Times New Roman"/>
                <w:color w:val="000000"/>
                <w:szCs w:val="24"/>
                <w:lang w:eastAsia="id-ID"/>
              </w:rPr>
            </w:pPr>
            <w:r w:rsidRPr="00A5390F">
              <w:rPr>
                <w:rFonts w:eastAsia="Times New Roman" w:cs="Times New Roman"/>
                <w:color w:val="000000"/>
                <w:szCs w:val="24"/>
                <w:lang w:eastAsia="id-ID"/>
              </w:rPr>
              <w:t>Reliabel</w:t>
            </w:r>
          </w:p>
        </w:tc>
      </w:tr>
    </w:tbl>
    <w:p w14:paraId="646CDA2B" w14:textId="315D88B9" w:rsidR="000F2CA0" w:rsidRDefault="000F2CA0" w:rsidP="000F2CA0">
      <w:pPr>
        <w:spacing w:after="0" w:line="240" w:lineRule="auto"/>
        <w:rPr>
          <w:lang w:val="en-US"/>
        </w:rPr>
      </w:pPr>
      <w:r>
        <w:rPr>
          <w:lang w:val="en-US"/>
        </w:rPr>
        <w:t>Sumber : Data Olahan (2020)</w:t>
      </w:r>
    </w:p>
    <w:p w14:paraId="7955D96F" w14:textId="2B5FA121" w:rsidR="00DA2CC2" w:rsidRDefault="00DA2CC2" w:rsidP="000F2CA0">
      <w:pPr>
        <w:spacing w:line="240" w:lineRule="auto"/>
        <w:rPr>
          <w:b/>
          <w:bCs/>
          <w:lang w:val="en-US"/>
        </w:rPr>
      </w:pPr>
    </w:p>
    <w:p w14:paraId="6C796CC9" w14:textId="3857FC55" w:rsidR="00DA2CC2" w:rsidRPr="00DA2CC2" w:rsidRDefault="00DA2CC2" w:rsidP="00DA2CC2">
      <w:pPr>
        <w:spacing w:line="240" w:lineRule="auto"/>
        <w:jc w:val="center"/>
        <w:rPr>
          <w:b/>
          <w:bCs/>
          <w:lang w:val="en-US"/>
        </w:rPr>
      </w:pPr>
      <w:bookmarkStart w:id="0" w:name="_Toc58391283"/>
      <w:r w:rsidRPr="00DA2CC2">
        <w:rPr>
          <w:b/>
          <w:bCs/>
          <w:lang w:val="en-US"/>
        </w:rPr>
        <w:t xml:space="preserve">Tabel </w:t>
      </w:r>
      <w:r>
        <w:rPr>
          <w:b/>
          <w:bCs/>
          <w:lang w:val="en-US"/>
        </w:rPr>
        <w:t>6.</w:t>
      </w:r>
      <w:r w:rsidRPr="00DA2CC2">
        <w:rPr>
          <w:b/>
          <w:bCs/>
          <w:lang w:val="en-US"/>
        </w:rPr>
        <w:t xml:space="preserve"> Hasil Uji Normalitas</w:t>
      </w:r>
      <w:bookmarkEnd w:id="0"/>
    </w:p>
    <w:tbl>
      <w:tblPr>
        <w:tblW w:w="8080" w:type="dxa"/>
        <w:tblLook w:val="04A0" w:firstRow="1" w:lastRow="0" w:firstColumn="1" w:lastColumn="0" w:noHBand="0" w:noVBand="1"/>
      </w:tblPr>
      <w:tblGrid>
        <w:gridCol w:w="2720"/>
        <w:gridCol w:w="1528"/>
        <w:gridCol w:w="1692"/>
        <w:gridCol w:w="2140"/>
      </w:tblGrid>
      <w:tr w:rsidR="00DA2CC2" w:rsidRPr="00DA2CC2" w14:paraId="25616CE4" w14:textId="77777777" w:rsidTr="004104CF">
        <w:trPr>
          <w:trHeight w:val="300"/>
        </w:trPr>
        <w:tc>
          <w:tcPr>
            <w:tcW w:w="2720" w:type="dxa"/>
            <w:tcBorders>
              <w:top w:val="single" w:sz="4" w:space="0" w:color="auto"/>
              <w:bottom w:val="single" w:sz="4" w:space="0" w:color="auto"/>
            </w:tcBorders>
            <w:shd w:val="clear" w:color="auto" w:fill="auto"/>
            <w:noWrap/>
            <w:vAlign w:val="bottom"/>
            <w:hideMark/>
          </w:tcPr>
          <w:p w14:paraId="094F58AE" w14:textId="77777777" w:rsidR="00DA2CC2" w:rsidRPr="00DA2CC2" w:rsidRDefault="00DA2CC2" w:rsidP="00DA2CC2">
            <w:pPr>
              <w:spacing w:line="240" w:lineRule="auto"/>
              <w:rPr>
                <w:i/>
                <w:iCs/>
              </w:rPr>
            </w:pPr>
            <w:r w:rsidRPr="00DA2CC2">
              <w:rPr>
                <w:i/>
                <w:iCs/>
              </w:rPr>
              <w:t>Kolmogorove – Smirnov</w:t>
            </w:r>
          </w:p>
        </w:tc>
        <w:tc>
          <w:tcPr>
            <w:tcW w:w="1528" w:type="dxa"/>
            <w:tcBorders>
              <w:top w:val="single" w:sz="4" w:space="0" w:color="auto"/>
              <w:bottom w:val="single" w:sz="4" w:space="0" w:color="auto"/>
            </w:tcBorders>
            <w:shd w:val="clear" w:color="auto" w:fill="auto"/>
            <w:hideMark/>
          </w:tcPr>
          <w:p w14:paraId="4409AFDA" w14:textId="77777777" w:rsidR="00DA2CC2" w:rsidRPr="00DA2CC2" w:rsidRDefault="00DA2CC2" w:rsidP="00DA2CC2">
            <w:pPr>
              <w:spacing w:line="240" w:lineRule="auto"/>
              <w:rPr>
                <w:i/>
                <w:iCs/>
              </w:rPr>
            </w:pPr>
            <w:r w:rsidRPr="00DA2CC2">
              <w:rPr>
                <w:i/>
                <w:iCs/>
              </w:rPr>
              <w:t>Asymp. Sig.</w:t>
            </w:r>
          </w:p>
        </w:tc>
        <w:tc>
          <w:tcPr>
            <w:tcW w:w="1692" w:type="dxa"/>
            <w:tcBorders>
              <w:top w:val="single" w:sz="4" w:space="0" w:color="auto"/>
              <w:bottom w:val="single" w:sz="4" w:space="0" w:color="auto"/>
            </w:tcBorders>
            <w:shd w:val="clear" w:color="auto" w:fill="auto"/>
            <w:hideMark/>
          </w:tcPr>
          <w:p w14:paraId="42AC1137" w14:textId="77777777" w:rsidR="00DA2CC2" w:rsidRPr="00DA2CC2" w:rsidRDefault="00DA2CC2" w:rsidP="00DA2CC2">
            <w:pPr>
              <w:spacing w:line="240" w:lineRule="auto"/>
            </w:pPr>
            <w:r w:rsidRPr="00DA2CC2">
              <w:t>Kriteria</w:t>
            </w:r>
          </w:p>
        </w:tc>
        <w:tc>
          <w:tcPr>
            <w:tcW w:w="2140" w:type="dxa"/>
            <w:tcBorders>
              <w:top w:val="single" w:sz="4" w:space="0" w:color="auto"/>
              <w:bottom w:val="single" w:sz="4" w:space="0" w:color="auto"/>
            </w:tcBorders>
            <w:shd w:val="clear" w:color="auto" w:fill="auto"/>
            <w:noWrap/>
            <w:vAlign w:val="bottom"/>
            <w:hideMark/>
          </w:tcPr>
          <w:p w14:paraId="5E1D4EB5" w14:textId="77777777" w:rsidR="00DA2CC2" w:rsidRPr="00DA2CC2" w:rsidRDefault="00DA2CC2" w:rsidP="00DA2CC2">
            <w:pPr>
              <w:spacing w:line="240" w:lineRule="auto"/>
            </w:pPr>
            <w:r w:rsidRPr="00DA2CC2">
              <w:t>Keterangan</w:t>
            </w:r>
          </w:p>
        </w:tc>
      </w:tr>
      <w:tr w:rsidR="00DA2CC2" w:rsidRPr="00DA2CC2" w14:paraId="34667525" w14:textId="77777777" w:rsidTr="004104CF">
        <w:trPr>
          <w:trHeight w:val="300"/>
        </w:trPr>
        <w:tc>
          <w:tcPr>
            <w:tcW w:w="2720" w:type="dxa"/>
            <w:tcBorders>
              <w:top w:val="single" w:sz="4" w:space="0" w:color="auto"/>
              <w:bottom w:val="single" w:sz="4" w:space="0" w:color="auto"/>
            </w:tcBorders>
            <w:shd w:val="clear" w:color="auto" w:fill="auto"/>
            <w:noWrap/>
            <w:vAlign w:val="bottom"/>
            <w:hideMark/>
          </w:tcPr>
          <w:p w14:paraId="259B3953" w14:textId="77777777" w:rsidR="00DA2CC2" w:rsidRPr="00DA2CC2" w:rsidRDefault="00DA2CC2" w:rsidP="00DA2CC2">
            <w:pPr>
              <w:spacing w:line="240" w:lineRule="auto"/>
              <w:rPr>
                <w:lang w:val="en-US"/>
              </w:rPr>
            </w:pPr>
            <w:r w:rsidRPr="00DA2CC2">
              <w:t>0,730</w:t>
            </w:r>
          </w:p>
        </w:tc>
        <w:tc>
          <w:tcPr>
            <w:tcW w:w="1528" w:type="dxa"/>
            <w:tcBorders>
              <w:top w:val="single" w:sz="4" w:space="0" w:color="auto"/>
              <w:bottom w:val="single" w:sz="4" w:space="0" w:color="auto"/>
            </w:tcBorders>
            <w:shd w:val="clear" w:color="auto" w:fill="auto"/>
            <w:noWrap/>
            <w:vAlign w:val="bottom"/>
            <w:hideMark/>
          </w:tcPr>
          <w:p w14:paraId="4EF2FE77" w14:textId="77777777" w:rsidR="00DA2CC2" w:rsidRPr="00DA2CC2" w:rsidRDefault="00DA2CC2" w:rsidP="00DA2CC2">
            <w:pPr>
              <w:spacing w:line="240" w:lineRule="auto"/>
              <w:rPr>
                <w:lang w:val="en-US"/>
              </w:rPr>
            </w:pPr>
            <w:r w:rsidRPr="00DA2CC2">
              <w:t>0,661</w:t>
            </w:r>
          </w:p>
        </w:tc>
        <w:tc>
          <w:tcPr>
            <w:tcW w:w="1692" w:type="dxa"/>
            <w:tcBorders>
              <w:top w:val="single" w:sz="4" w:space="0" w:color="auto"/>
              <w:bottom w:val="single" w:sz="4" w:space="0" w:color="auto"/>
            </w:tcBorders>
            <w:shd w:val="clear" w:color="auto" w:fill="auto"/>
            <w:noWrap/>
            <w:vAlign w:val="bottom"/>
            <w:hideMark/>
          </w:tcPr>
          <w:p w14:paraId="5B1908D9" w14:textId="77777777" w:rsidR="00DA2CC2" w:rsidRPr="00DA2CC2" w:rsidRDefault="00DA2CC2" w:rsidP="00DA2CC2">
            <w:pPr>
              <w:spacing w:line="240" w:lineRule="auto"/>
            </w:pPr>
            <w:r w:rsidRPr="00DA2CC2">
              <w:t>0,05</w:t>
            </w:r>
          </w:p>
        </w:tc>
        <w:tc>
          <w:tcPr>
            <w:tcW w:w="2140" w:type="dxa"/>
            <w:tcBorders>
              <w:top w:val="single" w:sz="4" w:space="0" w:color="auto"/>
              <w:bottom w:val="single" w:sz="4" w:space="0" w:color="auto"/>
            </w:tcBorders>
            <w:shd w:val="clear" w:color="auto" w:fill="auto"/>
            <w:noWrap/>
            <w:vAlign w:val="bottom"/>
            <w:hideMark/>
          </w:tcPr>
          <w:p w14:paraId="6A756311" w14:textId="77777777" w:rsidR="00DA2CC2" w:rsidRPr="00DA2CC2" w:rsidRDefault="00DA2CC2" w:rsidP="00DA2CC2">
            <w:pPr>
              <w:spacing w:line="240" w:lineRule="auto"/>
              <w:rPr>
                <w:lang w:val="en-US"/>
              </w:rPr>
            </w:pPr>
            <w:r w:rsidRPr="00DA2CC2">
              <w:t>Berdistriusi Norma</w:t>
            </w:r>
            <w:r w:rsidRPr="00DA2CC2">
              <w:rPr>
                <w:lang w:val="en-US"/>
              </w:rPr>
              <w:t>l</w:t>
            </w:r>
          </w:p>
        </w:tc>
      </w:tr>
    </w:tbl>
    <w:p w14:paraId="59A8CA7B" w14:textId="77777777" w:rsidR="00DA2CC2" w:rsidRPr="00DA2CC2" w:rsidRDefault="00DA2CC2" w:rsidP="00DA2CC2">
      <w:pPr>
        <w:spacing w:line="240" w:lineRule="auto"/>
        <w:rPr>
          <w:lang w:val="en-US"/>
        </w:rPr>
      </w:pPr>
      <w:r w:rsidRPr="00DA2CC2">
        <w:rPr>
          <w:lang w:val="en-US"/>
        </w:rPr>
        <w:t>Sumber : Data Olahan (2020)</w:t>
      </w:r>
    </w:p>
    <w:p w14:paraId="3B6CB9CF" w14:textId="22781BE7" w:rsidR="00DA2CC2" w:rsidRDefault="00DA2CC2" w:rsidP="00DA2CC2">
      <w:pPr>
        <w:spacing w:line="240" w:lineRule="auto"/>
        <w:rPr>
          <w:lang w:val="en-US"/>
        </w:rPr>
      </w:pPr>
      <w:r w:rsidRPr="00DA2CC2">
        <w:rPr>
          <w:lang w:val="en-US"/>
        </w:rPr>
        <w:t xml:space="preserve">      Berdasarkan tabel </w:t>
      </w:r>
      <w:r>
        <w:rPr>
          <w:lang w:val="en-US"/>
        </w:rPr>
        <w:t>6.</w:t>
      </w:r>
      <w:r w:rsidRPr="00DA2CC2">
        <w:rPr>
          <w:lang w:val="en-US"/>
        </w:rPr>
        <w:t xml:space="preserve"> menunjukkan bahwa nilai yang dihasilkan pada </w:t>
      </w:r>
      <w:r w:rsidRPr="00DA2CC2">
        <w:rPr>
          <w:i/>
          <w:iCs/>
        </w:rPr>
        <w:t>Asymp. Sig.</w:t>
      </w:r>
      <w:r w:rsidRPr="00DA2CC2">
        <w:rPr>
          <w:i/>
          <w:iCs/>
          <w:lang w:val="en-US"/>
        </w:rPr>
        <w:t xml:space="preserve"> </w:t>
      </w:r>
      <w:r w:rsidRPr="00DA2CC2">
        <w:rPr>
          <w:lang w:val="en-US"/>
        </w:rPr>
        <w:t xml:space="preserve">sebesar 0,661. Berdasarkan hasil signifikasi yang lebih besar daripada 0,05 maka dikatakan data berdistribusi normal. </w:t>
      </w:r>
    </w:p>
    <w:p w14:paraId="4F7F8688" w14:textId="5E0609A2" w:rsidR="00DA2CC2" w:rsidRPr="00DA2CC2" w:rsidRDefault="00DA2CC2" w:rsidP="00DA2CC2">
      <w:pPr>
        <w:spacing w:line="240" w:lineRule="auto"/>
        <w:jc w:val="center"/>
        <w:rPr>
          <w:b/>
          <w:lang w:val="en-US"/>
        </w:rPr>
      </w:pPr>
      <w:bookmarkStart w:id="1" w:name="_Toc58391284"/>
      <w:r w:rsidRPr="00DA2CC2">
        <w:rPr>
          <w:b/>
          <w:lang w:val="en-US"/>
        </w:rPr>
        <w:t xml:space="preserve">Tabel </w:t>
      </w:r>
      <w:r>
        <w:rPr>
          <w:b/>
          <w:lang w:val="en-US"/>
        </w:rPr>
        <w:t>7.</w:t>
      </w:r>
      <w:r w:rsidRPr="00DA2CC2">
        <w:rPr>
          <w:b/>
          <w:lang w:val="en-US"/>
        </w:rPr>
        <w:t xml:space="preserve"> Hasil Uji Multikolinearitas</w:t>
      </w:r>
      <w:bookmarkEnd w:id="1"/>
    </w:p>
    <w:tbl>
      <w:tblPr>
        <w:tblW w:w="8100" w:type="dxa"/>
        <w:jc w:val="center"/>
        <w:tblLook w:val="04A0" w:firstRow="1" w:lastRow="0" w:firstColumn="1" w:lastColumn="0" w:noHBand="0" w:noVBand="1"/>
      </w:tblPr>
      <w:tblGrid>
        <w:gridCol w:w="2317"/>
        <w:gridCol w:w="1444"/>
        <w:gridCol w:w="1164"/>
        <w:gridCol w:w="3175"/>
      </w:tblGrid>
      <w:tr w:rsidR="00DA2CC2" w:rsidRPr="00DA2CC2" w14:paraId="74154088" w14:textId="77777777" w:rsidTr="00DA2CC2">
        <w:trPr>
          <w:trHeight w:val="359"/>
          <w:jc w:val="center"/>
        </w:trPr>
        <w:tc>
          <w:tcPr>
            <w:tcW w:w="2317" w:type="dxa"/>
            <w:tcBorders>
              <w:top w:val="single" w:sz="4" w:space="0" w:color="auto"/>
              <w:bottom w:val="single" w:sz="4" w:space="0" w:color="auto"/>
            </w:tcBorders>
            <w:shd w:val="clear" w:color="auto" w:fill="auto"/>
            <w:noWrap/>
            <w:vAlign w:val="center"/>
            <w:hideMark/>
          </w:tcPr>
          <w:p w14:paraId="6A58DC5B" w14:textId="77777777" w:rsidR="00DA2CC2" w:rsidRPr="00DA2CC2" w:rsidRDefault="00DA2CC2" w:rsidP="00DA2CC2">
            <w:pPr>
              <w:spacing w:line="240" w:lineRule="auto"/>
              <w:jc w:val="center"/>
            </w:pPr>
            <w:r w:rsidRPr="00DA2CC2">
              <w:t>Variabel</w:t>
            </w:r>
          </w:p>
        </w:tc>
        <w:tc>
          <w:tcPr>
            <w:tcW w:w="1444" w:type="dxa"/>
            <w:tcBorders>
              <w:top w:val="single" w:sz="4" w:space="0" w:color="auto"/>
              <w:bottom w:val="single" w:sz="4" w:space="0" w:color="auto"/>
            </w:tcBorders>
            <w:shd w:val="clear" w:color="auto" w:fill="auto"/>
            <w:noWrap/>
            <w:vAlign w:val="center"/>
            <w:hideMark/>
          </w:tcPr>
          <w:p w14:paraId="6E0A7DCD" w14:textId="77777777" w:rsidR="00DA2CC2" w:rsidRPr="00DA2CC2" w:rsidRDefault="00DA2CC2" w:rsidP="00DA2CC2">
            <w:pPr>
              <w:spacing w:line="240" w:lineRule="auto"/>
              <w:jc w:val="center"/>
              <w:rPr>
                <w:i/>
                <w:iCs/>
              </w:rPr>
            </w:pPr>
            <w:r w:rsidRPr="00DA2CC2">
              <w:rPr>
                <w:i/>
                <w:iCs/>
              </w:rPr>
              <w:t>Tolerance</w:t>
            </w:r>
          </w:p>
        </w:tc>
        <w:tc>
          <w:tcPr>
            <w:tcW w:w="1164" w:type="dxa"/>
            <w:tcBorders>
              <w:top w:val="single" w:sz="4" w:space="0" w:color="auto"/>
              <w:bottom w:val="single" w:sz="4" w:space="0" w:color="auto"/>
            </w:tcBorders>
            <w:shd w:val="clear" w:color="auto" w:fill="auto"/>
            <w:noWrap/>
            <w:vAlign w:val="center"/>
            <w:hideMark/>
          </w:tcPr>
          <w:p w14:paraId="23890D26" w14:textId="77777777" w:rsidR="00DA2CC2" w:rsidRPr="00DA2CC2" w:rsidRDefault="00DA2CC2" w:rsidP="00DA2CC2">
            <w:pPr>
              <w:spacing w:line="240" w:lineRule="auto"/>
              <w:jc w:val="center"/>
              <w:rPr>
                <w:i/>
                <w:iCs/>
              </w:rPr>
            </w:pPr>
            <w:r w:rsidRPr="00DA2CC2">
              <w:rPr>
                <w:i/>
                <w:iCs/>
              </w:rPr>
              <w:t>VIF</w:t>
            </w:r>
          </w:p>
        </w:tc>
        <w:tc>
          <w:tcPr>
            <w:tcW w:w="3175" w:type="dxa"/>
            <w:tcBorders>
              <w:top w:val="single" w:sz="4" w:space="0" w:color="auto"/>
              <w:bottom w:val="single" w:sz="4" w:space="0" w:color="auto"/>
            </w:tcBorders>
            <w:shd w:val="clear" w:color="auto" w:fill="auto"/>
            <w:noWrap/>
            <w:vAlign w:val="center"/>
            <w:hideMark/>
          </w:tcPr>
          <w:p w14:paraId="5BCA1F07" w14:textId="77777777" w:rsidR="00DA2CC2" w:rsidRPr="00DA2CC2" w:rsidRDefault="00DA2CC2" w:rsidP="00DA2CC2">
            <w:pPr>
              <w:spacing w:line="240" w:lineRule="auto"/>
              <w:jc w:val="center"/>
            </w:pPr>
            <w:r w:rsidRPr="00DA2CC2">
              <w:t>Keterangan</w:t>
            </w:r>
          </w:p>
        </w:tc>
      </w:tr>
      <w:tr w:rsidR="00DA2CC2" w:rsidRPr="00DA2CC2" w14:paraId="36F798C9" w14:textId="77777777" w:rsidTr="00DA2CC2">
        <w:trPr>
          <w:trHeight w:val="284"/>
          <w:jc w:val="center"/>
        </w:trPr>
        <w:tc>
          <w:tcPr>
            <w:tcW w:w="2317" w:type="dxa"/>
            <w:tcBorders>
              <w:top w:val="single" w:sz="4" w:space="0" w:color="auto"/>
              <w:bottom w:val="single" w:sz="4" w:space="0" w:color="auto"/>
            </w:tcBorders>
            <w:shd w:val="clear" w:color="auto" w:fill="auto"/>
            <w:noWrap/>
            <w:vAlign w:val="center"/>
            <w:hideMark/>
          </w:tcPr>
          <w:p w14:paraId="6E599E4F" w14:textId="77777777" w:rsidR="00DA2CC2" w:rsidRPr="00DA2CC2" w:rsidRDefault="00DA2CC2" w:rsidP="00DA2CC2">
            <w:pPr>
              <w:spacing w:line="240" w:lineRule="auto"/>
              <w:jc w:val="center"/>
            </w:pPr>
            <w:r w:rsidRPr="00DA2CC2">
              <w:t>Literasi Keuangan</w:t>
            </w:r>
          </w:p>
        </w:tc>
        <w:tc>
          <w:tcPr>
            <w:tcW w:w="1444" w:type="dxa"/>
            <w:tcBorders>
              <w:top w:val="single" w:sz="4" w:space="0" w:color="auto"/>
              <w:bottom w:val="single" w:sz="4" w:space="0" w:color="auto"/>
            </w:tcBorders>
            <w:shd w:val="clear" w:color="auto" w:fill="auto"/>
            <w:noWrap/>
            <w:vAlign w:val="center"/>
            <w:hideMark/>
          </w:tcPr>
          <w:p w14:paraId="7F1B351B" w14:textId="77777777" w:rsidR="00DA2CC2" w:rsidRPr="00DA2CC2" w:rsidRDefault="00DA2CC2" w:rsidP="00DA2CC2">
            <w:pPr>
              <w:spacing w:line="240" w:lineRule="auto"/>
              <w:jc w:val="center"/>
              <w:rPr>
                <w:lang w:val="en-US"/>
              </w:rPr>
            </w:pPr>
            <w:r w:rsidRPr="00DA2CC2">
              <w:rPr>
                <w:lang w:val="en-US"/>
              </w:rPr>
              <w:t>0</w:t>
            </w:r>
            <w:r w:rsidRPr="00DA2CC2">
              <w:t>,99</w:t>
            </w:r>
            <w:r w:rsidRPr="00DA2CC2">
              <w:rPr>
                <w:lang w:val="en-US"/>
              </w:rPr>
              <w:t>3</w:t>
            </w:r>
          </w:p>
        </w:tc>
        <w:tc>
          <w:tcPr>
            <w:tcW w:w="1164" w:type="dxa"/>
            <w:tcBorders>
              <w:top w:val="single" w:sz="4" w:space="0" w:color="auto"/>
              <w:bottom w:val="single" w:sz="4" w:space="0" w:color="auto"/>
            </w:tcBorders>
            <w:shd w:val="clear" w:color="auto" w:fill="auto"/>
            <w:noWrap/>
            <w:vAlign w:val="center"/>
            <w:hideMark/>
          </w:tcPr>
          <w:p w14:paraId="51D1491D" w14:textId="77777777" w:rsidR="00DA2CC2" w:rsidRPr="00DA2CC2" w:rsidRDefault="00DA2CC2" w:rsidP="00DA2CC2">
            <w:pPr>
              <w:spacing w:line="240" w:lineRule="auto"/>
              <w:jc w:val="center"/>
              <w:rPr>
                <w:lang w:val="en-US"/>
              </w:rPr>
            </w:pPr>
            <w:r w:rsidRPr="00DA2CC2">
              <w:rPr>
                <w:lang w:val="en-US"/>
              </w:rPr>
              <w:t>1,007</w:t>
            </w:r>
          </w:p>
        </w:tc>
        <w:tc>
          <w:tcPr>
            <w:tcW w:w="3175" w:type="dxa"/>
            <w:tcBorders>
              <w:top w:val="single" w:sz="4" w:space="0" w:color="auto"/>
              <w:bottom w:val="single" w:sz="4" w:space="0" w:color="auto"/>
            </w:tcBorders>
            <w:shd w:val="clear" w:color="auto" w:fill="auto"/>
            <w:noWrap/>
            <w:vAlign w:val="center"/>
            <w:hideMark/>
          </w:tcPr>
          <w:p w14:paraId="64EEC48F" w14:textId="77777777" w:rsidR="00DA2CC2" w:rsidRPr="00DA2CC2" w:rsidRDefault="00DA2CC2" w:rsidP="00DA2CC2">
            <w:pPr>
              <w:spacing w:line="240" w:lineRule="auto"/>
              <w:jc w:val="center"/>
            </w:pPr>
            <w:r w:rsidRPr="00DA2CC2">
              <w:t>Tidak terjadi Multikolinearitas</w:t>
            </w:r>
          </w:p>
        </w:tc>
      </w:tr>
      <w:tr w:rsidR="00DA2CC2" w:rsidRPr="00DA2CC2" w14:paraId="5F450BCE" w14:textId="77777777" w:rsidTr="00DA2CC2">
        <w:trPr>
          <w:trHeight w:val="284"/>
          <w:jc w:val="center"/>
        </w:trPr>
        <w:tc>
          <w:tcPr>
            <w:tcW w:w="2317" w:type="dxa"/>
            <w:tcBorders>
              <w:top w:val="single" w:sz="4" w:space="0" w:color="auto"/>
              <w:bottom w:val="single" w:sz="4" w:space="0" w:color="auto"/>
            </w:tcBorders>
            <w:shd w:val="clear" w:color="auto" w:fill="auto"/>
            <w:noWrap/>
            <w:vAlign w:val="center"/>
            <w:hideMark/>
          </w:tcPr>
          <w:p w14:paraId="53AD3401" w14:textId="77777777" w:rsidR="00DA2CC2" w:rsidRPr="00DA2CC2" w:rsidRDefault="00DA2CC2" w:rsidP="00DA2CC2">
            <w:pPr>
              <w:spacing w:line="240" w:lineRule="auto"/>
              <w:jc w:val="center"/>
            </w:pPr>
            <w:r w:rsidRPr="00DA2CC2">
              <w:t>Perilaku Keuangan</w:t>
            </w:r>
          </w:p>
        </w:tc>
        <w:tc>
          <w:tcPr>
            <w:tcW w:w="1444" w:type="dxa"/>
            <w:tcBorders>
              <w:top w:val="single" w:sz="4" w:space="0" w:color="auto"/>
              <w:bottom w:val="single" w:sz="4" w:space="0" w:color="auto"/>
            </w:tcBorders>
            <w:shd w:val="clear" w:color="auto" w:fill="auto"/>
            <w:noWrap/>
            <w:vAlign w:val="center"/>
            <w:hideMark/>
          </w:tcPr>
          <w:p w14:paraId="36B0F42A" w14:textId="77777777" w:rsidR="00DA2CC2" w:rsidRPr="00DA2CC2" w:rsidRDefault="00DA2CC2" w:rsidP="00DA2CC2">
            <w:pPr>
              <w:spacing w:line="240" w:lineRule="auto"/>
              <w:jc w:val="center"/>
              <w:rPr>
                <w:lang w:val="en-US"/>
              </w:rPr>
            </w:pPr>
            <w:r w:rsidRPr="00DA2CC2">
              <w:t>0,9</w:t>
            </w:r>
            <w:r w:rsidRPr="00DA2CC2">
              <w:rPr>
                <w:lang w:val="en-US"/>
              </w:rPr>
              <w:t>88</w:t>
            </w:r>
          </w:p>
        </w:tc>
        <w:tc>
          <w:tcPr>
            <w:tcW w:w="1164" w:type="dxa"/>
            <w:tcBorders>
              <w:top w:val="single" w:sz="4" w:space="0" w:color="auto"/>
              <w:bottom w:val="single" w:sz="4" w:space="0" w:color="auto"/>
            </w:tcBorders>
            <w:shd w:val="clear" w:color="auto" w:fill="auto"/>
            <w:noWrap/>
            <w:vAlign w:val="center"/>
            <w:hideMark/>
          </w:tcPr>
          <w:p w14:paraId="3D93B504" w14:textId="77777777" w:rsidR="00DA2CC2" w:rsidRPr="00DA2CC2" w:rsidRDefault="00DA2CC2" w:rsidP="00DA2CC2">
            <w:pPr>
              <w:spacing w:line="240" w:lineRule="auto"/>
              <w:jc w:val="center"/>
            </w:pPr>
            <w:r w:rsidRPr="00DA2CC2">
              <w:t>1,012</w:t>
            </w:r>
          </w:p>
        </w:tc>
        <w:tc>
          <w:tcPr>
            <w:tcW w:w="3175" w:type="dxa"/>
            <w:tcBorders>
              <w:top w:val="single" w:sz="4" w:space="0" w:color="auto"/>
              <w:bottom w:val="single" w:sz="4" w:space="0" w:color="auto"/>
            </w:tcBorders>
            <w:shd w:val="clear" w:color="auto" w:fill="auto"/>
            <w:noWrap/>
            <w:vAlign w:val="center"/>
            <w:hideMark/>
          </w:tcPr>
          <w:p w14:paraId="66943869" w14:textId="77777777" w:rsidR="00DA2CC2" w:rsidRPr="00DA2CC2" w:rsidRDefault="00DA2CC2" w:rsidP="00DA2CC2">
            <w:pPr>
              <w:spacing w:line="240" w:lineRule="auto"/>
              <w:jc w:val="center"/>
            </w:pPr>
            <w:r w:rsidRPr="00DA2CC2">
              <w:t>Tidak terjadi Multikolinearitas</w:t>
            </w:r>
          </w:p>
        </w:tc>
      </w:tr>
      <w:tr w:rsidR="00DA2CC2" w:rsidRPr="00DA2CC2" w14:paraId="697EA5D3" w14:textId="77777777" w:rsidTr="00DA2CC2">
        <w:trPr>
          <w:trHeight w:val="284"/>
          <w:jc w:val="center"/>
        </w:trPr>
        <w:tc>
          <w:tcPr>
            <w:tcW w:w="2317" w:type="dxa"/>
            <w:tcBorders>
              <w:top w:val="single" w:sz="4" w:space="0" w:color="auto"/>
              <w:bottom w:val="single" w:sz="4" w:space="0" w:color="auto"/>
            </w:tcBorders>
            <w:shd w:val="clear" w:color="auto" w:fill="auto"/>
            <w:noWrap/>
            <w:vAlign w:val="center"/>
            <w:hideMark/>
          </w:tcPr>
          <w:p w14:paraId="76E2BABE" w14:textId="77777777" w:rsidR="00DA2CC2" w:rsidRPr="00DA2CC2" w:rsidRDefault="00DA2CC2" w:rsidP="00DA2CC2">
            <w:pPr>
              <w:spacing w:line="240" w:lineRule="auto"/>
              <w:jc w:val="center"/>
            </w:pPr>
            <w:r w:rsidRPr="00DA2CC2">
              <w:t>Teknologi Keuangan</w:t>
            </w:r>
          </w:p>
        </w:tc>
        <w:tc>
          <w:tcPr>
            <w:tcW w:w="1444" w:type="dxa"/>
            <w:tcBorders>
              <w:top w:val="single" w:sz="4" w:space="0" w:color="auto"/>
              <w:bottom w:val="single" w:sz="4" w:space="0" w:color="auto"/>
            </w:tcBorders>
            <w:shd w:val="clear" w:color="auto" w:fill="auto"/>
            <w:noWrap/>
            <w:vAlign w:val="center"/>
            <w:hideMark/>
          </w:tcPr>
          <w:p w14:paraId="73231437" w14:textId="77777777" w:rsidR="00DA2CC2" w:rsidRPr="00DA2CC2" w:rsidRDefault="00DA2CC2" w:rsidP="00DA2CC2">
            <w:pPr>
              <w:spacing w:line="240" w:lineRule="auto"/>
              <w:jc w:val="center"/>
              <w:rPr>
                <w:lang w:val="en-US"/>
              </w:rPr>
            </w:pPr>
            <w:r w:rsidRPr="00DA2CC2">
              <w:t>0,</w:t>
            </w:r>
            <w:r w:rsidRPr="00DA2CC2">
              <w:rPr>
                <w:lang w:val="en-US"/>
              </w:rPr>
              <w:t>985</w:t>
            </w:r>
          </w:p>
        </w:tc>
        <w:tc>
          <w:tcPr>
            <w:tcW w:w="1164" w:type="dxa"/>
            <w:tcBorders>
              <w:top w:val="single" w:sz="4" w:space="0" w:color="auto"/>
              <w:bottom w:val="single" w:sz="4" w:space="0" w:color="auto"/>
            </w:tcBorders>
            <w:shd w:val="clear" w:color="auto" w:fill="auto"/>
            <w:noWrap/>
            <w:vAlign w:val="center"/>
            <w:hideMark/>
          </w:tcPr>
          <w:p w14:paraId="23CB724D" w14:textId="77777777" w:rsidR="00DA2CC2" w:rsidRPr="00DA2CC2" w:rsidRDefault="00DA2CC2" w:rsidP="00DA2CC2">
            <w:pPr>
              <w:spacing w:line="240" w:lineRule="auto"/>
              <w:jc w:val="center"/>
              <w:rPr>
                <w:lang w:val="en-US"/>
              </w:rPr>
            </w:pPr>
            <w:r w:rsidRPr="00DA2CC2">
              <w:t>1,0</w:t>
            </w:r>
            <w:r w:rsidRPr="00DA2CC2">
              <w:rPr>
                <w:lang w:val="en-US"/>
              </w:rPr>
              <w:t>15</w:t>
            </w:r>
          </w:p>
        </w:tc>
        <w:tc>
          <w:tcPr>
            <w:tcW w:w="3175" w:type="dxa"/>
            <w:tcBorders>
              <w:top w:val="single" w:sz="4" w:space="0" w:color="auto"/>
              <w:bottom w:val="single" w:sz="4" w:space="0" w:color="auto"/>
            </w:tcBorders>
            <w:shd w:val="clear" w:color="auto" w:fill="auto"/>
            <w:noWrap/>
            <w:vAlign w:val="center"/>
            <w:hideMark/>
          </w:tcPr>
          <w:p w14:paraId="4EECB23D" w14:textId="77777777" w:rsidR="00DA2CC2" w:rsidRPr="00DA2CC2" w:rsidRDefault="00DA2CC2" w:rsidP="00DA2CC2">
            <w:pPr>
              <w:spacing w:line="240" w:lineRule="auto"/>
              <w:jc w:val="center"/>
            </w:pPr>
            <w:r w:rsidRPr="00DA2CC2">
              <w:t>Tidak terjadi Multikolinearitas</w:t>
            </w:r>
          </w:p>
        </w:tc>
      </w:tr>
    </w:tbl>
    <w:p w14:paraId="3AAC7D6C" w14:textId="77777777" w:rsidR="00DA2CC2" w:rsidRPr="00DA2CC2" w:rsidRDefault="00DA2CC2" w:rsidP="00DA2CC2">
      <w:pPr>
        <w:spacing w:line="240" w:lineRule="auto"/>
        <w:rPr>
          <w:lang w:val="en-US"/>
        </w:rPr>
      </w:pPr>
      <w:r w:rsidRPr="00DA2CC2">
        <w:rPr>
          <w:lang w:val="en-US"/>
        </w:rPr>
        <w:t>Sumber : Data Olahan (2020)</w:t>
      </w:r>
    </w:p>
    <w:p w14:paraId="0654760C" w14:textId="0AB80269" w:rsidR="00DA2CC2" w:rsidRDefault="00DA2CC2" w:rsidP="00DA2CC2">
      <w:pPr>
        <w:spacing w:line="240" w:lineRule="auto"/>
        <w:rPr>
          <w:lang w:val="en-US"/>
        </w:rPr>
      </w:pPr>
      <w:r w:rsidRPr="00DA2CC2">
        <w:rPr>
          <w:lang w:val="en-US"/>
        </w:rPr>
        <w:t xml:space="preserve">       Model regresi bebas dari multikolinearitas jika nilai </w:t>
      </w:r>
      <w:r w:rsidRPr="00DA2CC2">
        <w:rPr>
          <w:i/>
          <w:iCs/>
          <w:lang w:val="en-US"/>
        </w:rPr>
        <w:t xml:space="preserve">tolerance </w:t>
      </w:r>
      <w:r w:rsidRPr="00DA2CC2">
        <w:rPr>
          <w:lang w:val="en-US"/>
        </w:rPr>
        <w:t xml:space="preserve">lebih besar dari 0,1 dan nilai </w:t>
      </w:r>
      <w:r w:rsidRPr="00DA2CC2">
        <w:rPr>
          <w:i/>
          <w:iCs/>
          <w:lang w:val="en-US"/>
        </w:rPr>
        <w:t>VIF</w:t>
      </w:r>
      <w:r w:rsidRPr="00DA2CC2">
        <w:rPr>
          <w:lang w:val="en-US"/>
        </w:rPr>
        <w:t xml:space="preserve"> kurang dari 10. Berdasarkan tabel 4.6 didapatkan nilai </w:t>
      </w:r>
      <w:r w:rsidRPr="00DA2CC2">
        <w:rPr>
          <w:i/>
          <w:iCs/>
          <w:lang w:val="en-US"/>
        </w:rPr>
        <w:t xml:space="preserve">tolerance </w:t>
      </w:r>
      <w:r w:rsidRPr="00DA2CC2">
        <w:rPr>
          <w:lang w:val="en-US"/>
        </w:rPr>
        <w:t xml:space="preserve">lebih besar dari 0,1 dan nilai </w:t>
      </w:r>
      <w:r w:rsidRPr="00DA2CC2">
        <w:rPr>
          <w:i/>
          <w:iCs/>
          <w:lang w:val="en-US"/>
        </w:rPr>
        <w:t xml:space="preserve">VIF </w:t>
      </w:r>
      <w:r w:rsidRPr="00DA2CC2">
        <w:rPr>
          <w:lang w:val="en-US"/>
        </w:rPr>
        <w:t>kurang dari 10, maka dapat disimpulkan bahwa data tidak mengalami multikolinearitas.</w:t>
      </w:r>
    </w:p>
    <w:p w14:paraId="6C13A13E" w14:textId="5DDCCB73" w:rsidR="00DA2CC2" w:rsidRPr="00DA2CC2" w:rsidRDefault="000D64BD" w:rsidP="00DA2CC2">
      <w:pPr>
        <w:rPr>
          <w:lang w:val="en-US"/>
        </w:rPr>
      </w:pPr>
      <w:r w:rsidRPr="00AA225A">
        <w:rPr>
          <w:rFonts w:cs="Times New Roman"/>
          <w:noProof/>
          <w:szCs w:val="24"/>
        </w:rPr>
        <w:lastRenderedPageBreak/>
        <w:drawing>
          <wp:anchor distT="0" distB="0" distL="114300" distR="114300" simplePos="0" relativeHeight="251659264" behindDoc="0" locked="0" layoutInCell="1" allowOverlap="1" wp14:anchorId="4234B4AA" wp14:editId="45E53E5D">
            <wp:simplePos x="0" y="0"/>
            <wp:positionH relativeFrom="margin">
              <wp:posOffset>388620</wp:posOffset>
            </wp:positionH>
            <wp:positionV relativeFrom="paragraph">
              <wp:posOffset>2540</wp:posOffset>
            </wp:positionV>
            <wp:extent cx="4406265" cy="2599055"/>
            <wp:effectExtent l="0" t="0" r="0" b="0"/>
            <wp:wrapTight wrapText="bothSides">
              <wp:wrapPolygon edited="0">
                <wp:start x="0" y="0"/>
                <wp:lineTo x="0" y="21373"/>
                <wp:lineTo x="21479" y="21373"/>
                <wp:lineTo x="2147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06265" cy="2599055"/>
                    </a:xfrm>
                    <a:prstGeom prst="rect">
                      <a:avLst/>
                    </a:prstGeom>
                  </pic:spPr>
                </pic:pic>
              </a:graphicData>
            </a:graphic>
            <wp14:sizeRelH relativeFrom="margin">
              <wp14:pctWidth>0</wp14:pctWidth>
            </wp14:sizeRelH>
            <wp14:sizeRelV relativeFrom="margin">
              <wp14:pctHeight>0</wp14:pctHeight>
            </wp14:sizeRelV>
          </wp:anchor>
        </w:drawing>
      </w:r>
    </w:p>
    <w:p w14:paraId="38AF45E3" w14:textId="3718F3E0" w:rsidR="00DA2CC2" w:rsidRDefault="00DA2CC2" w:rsidP="00DA2CC2">
      <w:pPr>
        <w:rPr>
          <w:b/>
          <w:bCs/>
          <w:lang w:val="en-US"/>
        </w:rPr>
      </w:pPr>
    </w:p>
    <w:p w14:paraId="5350AD1E" w14:textId="590E4272" w:rsidR="00DA2CC2" w:rsidRDefault="00DA2CC2" w:rsidP="00DA2CC2">
      <w:pPr>
        <w:rPr>
          <w:lang w:val="en-US"/>
        </w:rPr>
      </w:pPr>
    </w:p>
    <w:p w14:paraId="7969692A" w14:textId="7B42F011" w:rsidR="00DA2CC2" w:rsidRPr="00DA2CC2" w:rsidRDefault="00DA2CC2" w:rsidP="00DA2CC2">
      <w:pPr>
        <w:spacing w:line="240" w:lineRule="auto"/>
        <w:jc w:val="center"/>
        <w:rPr>
          <w:b/>
          <w:iCs/>
          <w:lang w:val="en-US"/>
        </w:rPr>
      </w:pPr>
      <w:bookmarkStart w:id="2" w:name="_Toc58391368"/>
      <w:bookmarkStart w:id="3" w:name="_Toc58392297"/>
      <w:r w:rsidRPr="00DA2CC2">
        <w:rPr>
          <w:b/>
          <w:iCs/>
          <w:lang w:val="en-US"/>
        </w:rPr>
        <w:t>Gambar 1</w:t>
      </w:r>
      <w:r>
        <w:rPr>
          <w:b/>
          <w:iCs/>
          <w:lang w:val="en-US"/>
        </w:rPr>
        <w:t>.</w:t>
      </w:r>
      <w:r w:rsidRPr="00DA2CC2">
        <w:rPr>
          <w:b/>
          <w:iCs/>
          <w:lang w:val="en-US"/>
        </w:rPr>
        <w:t xml:space="preserve"> Hasil Uji Hetero</w:t>
      </w:r>
      <w:r>
        <w:rPr>
          <w:b/>
          <w:iCs/>
          <w:lang w:val="en-US"/>
        </w:rPr>
        <w:t>s</w:t>
      </w:r>
      <w:r w:rsidRPr="00DA2CC2">
        <w:rPr>
          <w:b/>
          <w:iCs/>
          <w:lang w:val="en-US"/>
        </w:rPr>
        <w:t>kedastisitas</w:t>
      </w:r>
      <w:bookmarkEnd w:id="2"/>
      <w:bookmarkEnd w:id="3"/>
    </w:p>
    <w:p w14:paraId="5BF45C74" w14:textId="77777777" w:rsidR="00DA2CC2" w:rsidRPr="00DA2CC2" w:rsidRDefault="00DA2CC2" w:rsidP="00482EF9">
      <w:pPr>
        <w:spacing w:line="240" w:lineRule="auto"/>
        <w:rPr>
          <w:i/>
          <w:iCs/>
          <w:lang w:val="en-US"/>
        </w:rPr>
      </w:pPr>
      <w:r w:rsidRPr="00DA2CC2">
        <w:rPr>
          <w:i/>
          <w:iCs/>
          <w:lang w:val="en-US"/>
        </w:rPr>
        <w:t>Sumber : Data Olahan (2020)</w:t>
      </w:r>
    </w:p>
    <w:p w14:paraId="58BB7A9A" w14:textId="35B8C8F6" w:rsidR="00DA2CC2" w:rsidRDefault="00DA2CC2" w:rsidP="00482EF9">
      <w:pPr>
        <w:spacing w:line="240" w:lineRule="auto"/>
        <w:rPr>
          <w:lang w:val="en-US"/>
        </w:rPr>
      </w:pPr>
      <w:r w:rsidRPr="00DA2CC2">
        <w:rPr>
          <w:b/>
          <w:bCs/>
          <w:lang w:val="en-US"/>
        </w:rPr>
        <w:t xml:space="preserve">      </w:t>
      </w:r>
      <w:r>
        <w:rPr>
          <w:lang w:val="en-US"/>
        </w:rPr>
        <w:t xml:space="preserve">Berdasarkan hasil uji heteroskedastisitas menggunakan grafik </w:t>
      </w:r>
      <w:r w:rsidRPr="00DA2CC2">
        <w:rPr>
          <w:i/>
          <w:iCs/>
          <w:lang w:val="en-US"/>
        </w:rPr>
        <w:t>scatter plot</w:t>
      </w:r>
      <w:r>
        <w:rPr>
          <w:i/>
          <w:iCs/>
          <w:lang w:val="en-US"/>
        </w:rPr>
        <w:t xml:space="preserve"> </w:t>
      </w:r>
      <w:r>
        <w:rPr>
          <w:lang w:val="en-US"/>
        </w:rPr>
        <w:t>yang ditunjukan pada gambar 1 dapat dilihat bahwa titik data menyebar diatas dan dibawah atau disekitar angka 0</w:t>
      </w:r>
      <w:r w:rsidR="00167EF9">
        <w:rPr>
          <w:lang w:val="en-US"/>
        </w:rPr>
        <w:t xml:space="preserve"> dan titik menyebar atau tidak membuat pola tertentu. Dengan demikian dapat disimpulkan bahwa dalam penelitian ini tidak terjadi heteroskedastisitas.</w:t>
      </w:r>
    </w:p>
    <w:p w14:paraId="0D025193" w14:textId="7B3604BF" w:rsidR="00482EF9" w:rsidRPr="00482EF9" w:rsidRDefault="00482EF9" w:rsidP="00482EF9">
      <w:pPr>
        <w:spacing w:line="240" w:lineRule="auto"/>
        <w:jc w:val="center"/>
        <w:rPr>
          <w:b/>
          <w:lang w:val="en-US"/>
        </w:rPr>
      </w:pPr>
      <w:r w:rsidRPr="00DA2CC2">
        <w:rPr>
          <w:b/>
          <w:lang w:val="en-US"/>
        </w:rPr>
        <w:t xml:space="preserve">Tabel </w:t>
      </w:r>
      <w:r>
        <w:rPr>
          <w:b/>
          <w:lang w:val="en-US"/>
        </w:rPr>
        <w:t>8</w:t>
      </w:r>
      <w:r>
        <w:rPr>
          <w:b/>
          <w:lang w:val="en-US"/>
        </w:rPr>
        <w:t>.</w:t>
      </w:r>
      <w:r w:rsidRPr="00DA2CC2">
        <w:rPr>
          <w:b/>
          <w:lang w:val="en-US"/>
        </w:rPr>
        <w:t xml:space="preserve"> Hasil Uj</w:t>
      </w:r>
      <w:r>
        <w:rPr>
          <w:b/>
          <w:lang w:val="en-US"/>
        </w:rPr>
        <w:t>i Regresi Berganda</w:t>
      </w:r>
    </w:p>
    <w:tbl>
      <w:tblPr>
        <w:tblW w:w="7178" w:type="dxa"/>
        <w:tblLook w:val="04A0" w:firstRow="1" w:lastRow="0" w:firstColumn="1" w:lastColumn="0" w:noHBand="0" w:noVBand="1"/>
      </w:tblPr>
      <w:tblGrid>
        <w:gridCol w:w="317"/>
        <w:gridCol w:w="1057"/>
        <w:gridCol w:w="998"/>
        <w:gridCol w:w="948"/>
        <w:gridCol w:w="1277"/>
        <w:gridCol w:w="667"/>
        <w:gridCol w:w="653"/>
        <w:gridCol w:w="1017"/>
        <w:gridCol w:w="673"/>
      </w:tblGrid>
      <w:tr w:rsidR="00482EF9" w:rsidRPr="00482EF9" w14:paraId="0201023E" w14:textId="77777777" w:rsidTr="00482EF9">
        <w:trPr>
          <w:trHeight w:val="319"/>
        </w:trPr>
        <w:tc>
          <w:tcPr>
            <w:tcW w:w="7178" w:type="dxa"/>
            <w:gridSpan w:val="9"/>
            <w:tcBorders>
              <w:top w:val="nil"/>
              <w:left w:val="nil"/>
              <w:bottom w:val="nil"/>
              <w:right w:val="nil"/>
            </w:tcBorders>
            <w:shd w:val="clear" w:color="auto" w:fill="auto"/>
            <w:vAlign w:val="center"/>
            <w:hideMark/>
          </w:tcPr>
          <w:p w14:paraId="069E4D1D" w14:textId="77777777" w:rsidR="00482EF9" w:rsidRPr="00482EF9" w:rsidRDefault="00482EF9" w:rsidP="00482EF9">
            <w:pPr>
              <w:spacing w:after="0" w:line="240" w:lineRule="auto"/>
              <w:jc w:val="center"/>
              <w:rPr>
                <w:rFonts w:ascii="Arial Bold" w:eastAsia="Times New Roman" w:hAnsi="Arial Bold" w:cs="Calibri"/>
                <w:b/>
                <w:bCs/>
                <w:color w:val="000000"/>
                <w:sz w:val="18"/>
                <w:szCs w:val="18"/>
                <w:lang w:eastAsia="id-ID"/>
              </w:rPr>
            </w:pPr>
            <w:r w:rsidRPr="00482EF9">
              <w:rPr>
                <w:rFonts w:ascii="Arial Bold" w:eastAsia="Times New Roman" w:hAnsi="Arial Bold" w:cs="Calibri"/>
                <w:color w:val="000000"/>
                <w:sz w:val="18"/>
                <w:szCs w:val="18"/>
                <w:lang w:eastAsia="id-ID"/>
              </w:rPr>
              <w:t>Coefficients</w:t>
            </w:r>
            <w:r w:rsidRPr="00482EF9">
              <w:rPr>
                <w:rFonts w:ascii="Arial Bold" w:eastAsia="Times New Roman" w:hAnsi="Arial Bold" w:cs="Calibri"/>
                <w:color w:val="000000"/>
                <w:sz w:val="18"/>
                <w:szCs w:val="18"/>
                <w:vertAlign w:val="superscript"/>
                <w:lang w:eastAsia="id-ID"/>
              </w:rPr>
              <w:t>a</w:t>
            </w:r>
          </w:p>
        </w:tc>
      </w:tr>
      <w:tr w:rsidR="00482EF9" w:rsidRPr="00482EF9" w14:paraId="4DDD76EE" w14:textId="77777777" w:rsidTr="00482EF9">
        <w:trPr>
          <w:trHeight w:val="496"/>
        </w:trPr>
        <w:tc>
          <w:tcPr>
            <w:tcW w:w="1504" w:type="dxa"/>
            <w:gridSpan w:val="2"/>
            <w:vMerge w:val="restart"/>
            <w:tcBorders>
              <w:top w:val="single" w:sz="4" w:space="0" w:color="auto"/>
              <w:left w:val="nil"/>
              <w:bottom w:val="single" w:sz="4" w:space="0" w:color="000000"/>
              <w:right w:val="nil"/>
            </w:tcBorders>
            <w:shd w:val="clear" w:color="auto" w:fill="auto"/>
            <w:vAlign w:val="bottom"/>
            <w:hideMark/>
          </w:tcPr>
          <w:p w14:paraId="7BBFBA8B"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Model</w:t>
            </w:r>
          </w:p>
        </w:tc>
        <w:tc>
          <w:tcPr>
            <w:tcW w:w="1947" w:type="dxa"/>
            <w:gridSpan w:val="2"/>
            <w:tcBorders>
              <w:top w:val="single" w:sz="4" w:space="0" w:color="auto"/>
              <w:left w:val="nil"/>
              <w:bottom w:val="single" w:sz="4" w:space="0" w:color="auto"/>
              <w:right w:val="nil"/>
            </w:tcBorders>
            <w:shd w:val="clear" w:color="auto" w:fill="auto"/>
            <w:vAlign w:val="bottom"/>
            <w:hideMark/>
          </w:tcPr>
          <w:p w14:paraId="05646548"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Unstandardized Coefficients</w:t>
            </w:r>
          </w:p>
        </w:tc>
        <w:tc>
          <w:tcPr>
            <w:tcW w:w="987" w:type="dxa"/>
            <w:tcBorders>
              <w:top w:val="single" w:sz="4" w:space="0" w:color="auto"/>
              <w:left w:val="nil"/>
              <w:bottom w:val="single" w:sz="4" w:space="0" w:color="auto"/>
              <w:right w:val="nil"/>
            </w:tcBorders>
            <w:shd w:val="clear" w:color="auto" w:fill="auto"/>
            <w:vAlign w:val="bottom"/>
            <w:hideMark/>
          </w:tcPr>
          <w:p w14:paraId="778E2C3B"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Standardized Coefficients</w:t>
            </w:r>
          </w:p>
        </w:tc>
        <w:tc>
          <w:tcPr>
            <w:tcW w:w="661" w:type="dxa"/>
            <w:vMerge w:val="restart"/>
            <w:tcBorders>
              <w:top w:val="single" w:sz="4" w:space="0" w:color="auto"/>
              <w:left w:val="nil"/>
              <w:bottom w:val="single" w:sz="4" w:space="0" w:color="000000"/>
              <w:right w:val="nil"/>
            </w:tcBorders>
            <w:shd w:val="clear" w:color="auto" w:fill="auto"/>
            <w:vAlign w:val="center"/>
            <w:hideMark/>
          </w:tcPr>
          <w:p w14:paraId="2443D2AA"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t</w:t>
            </w:r>
          </w:p>
        </w:tc>
        <w:tc>
          <w:tcPr>
            <w:tcW w:w="653" w:type="dxa"/>
            <w:vMerge w:val="restart"/>
            <w:tcBorders>
              <w:top w:val="single" w:sz="4" w:space="0" w:color="auto"/>
              <w:left w:val="nil"/>
              <w:bottom w:val="single" w:sz="4" w:space="0" w:color="000000"/>
              <w:right w:val="nil"/>
            </w:tcBorders>
            <w:shd w:val="clear" w:color="auto" w:fill="auto"/>
            <w:vAlign w:val="center"/>
            <w:hideMark/>
          </w:tcPr>
          <w:p w14:paraId="58F587B7"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Sig.</w:t>
            </w:r>
          </w:p>
        </w:tc>
        <w:tc>
          <w:tcPr>
            <w:tcW w:w="1424" w:type="dxa"/>
            <w:gridSpan w:val="2"/>
            <w:tcBorders>
              <w:top w:val="single" w:sz="4" w:space="0" w:color="auto"/>
              <w:left w:val="nil"/>
              <w:bottom w:val="single" w:sz="4" w:space="0" w:color="auto"/>
              <w:right w:val="nil"/>
            </w:tcBorders>
            <w:shd w:val="clear" w:color="auto" w:fill="auto"/>
            <w:vAlign w:val="bottom"/>
            <w:hideMark/>
          </w:tcPr>
          <w:p w14:paraId="5E646E04"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Collinearity Statistics</w:t>
            </w:r>
          </w:p>
        </w:tc>
      </w:tr>
      <w:tr w:rsidR="00482EF9" w:rsidRPr="00482EF9" w14:paraId="601C7C30" w14:textId="77777777" w:rsidTr="00482EF9">
        <w:trPr>
          <w:trHeight w:val="266"/>
        </w:trPr>
        <w:tc>
          <w:tcPr>
            <w:tcW w:w="1504" w:type="dxa"/>
            <w:gridSpan w:val="2"/>
            <w:vMerge/>
            <w:tcBorders>
              <w:top w:val="single" w:sz="4" w:space="0" w:color="auto"/>
              <w:left w:val="nil"/>
              <w:bottom w:val="single" w:sz="4" w:space="0" w:color="000000"/>
              <w:right w:val="nil"/>
            </w:tcBorders>
            <w:vAlign w:val="center"/>
            <w:hideMark/>
          </w:tcPr>
          <w:p w14:paraId="44285C61"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p>
        </w:tc>
        <w:tc>
          <w:tcPr>
            <w:tcW w:w="998" w:type="dxa"/>
            <w:tcBorders>
              <w:top w:val="nil"/>
              <w:left w:val="nil"/>
              <w:bottom w:val="single" w:sz="4" w:space="0" w:color="auto"/>
              <w:right w:val="nil"/>
            </w:tcBorders>
            <w:shd w:val="clear" w:color="auto" w:fill="auto"/>
            <w:vAlign w:val="bottom"/>
            <w:hideMark/>
          </w:tcPr>
          <w:p w14:paraId="5B6CDFDC"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B</w:t>
            </w:r>
          </w:p>
        </w:tc>
        <w:tc>
          <w:tcPr>
            <w:tcW w:w="948" w:type="dxa"/>
            <w:tcBorders>
              <w:top w:val="nil"/>
              <w:left w:val="nil"/>
              <w:bottom w:val="single" w:sz="4" w:space="0" w:color="auto"/>
              <w:right w:val="nil"/>
            </w:tcBorders>
            <w:shd w:val="clear" w:color="auto" w:fill="auto"/>
            <w:vAlign w:val="bottom"/>
            <w:hideMark/>
          </w:tcPr>
          <w:p w14:paraId="7AD4E6F7"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Std. Error</w:t>
            </w:r>
          </w:p>
        </w:tc>
        <w:tc>
          <w:tcPr>
            <w:tcW w:w="987" w:type="dxa"/>
            <w:tcBorders>
              <w:top w:val="nil"/>
              <w:left w:val="nil"/>
              <w:bottom w:val="single" w:sz="4" w:space="0" w:color="auto"/>
              <w:right w:val="nil"/>
            </w:tcBorders>
            <w:shd w:val="clear" w:color="auto" w:fill="auto"/>
            <w:vAlign w:val="bottom"/>
            <w:hideMark/>
          </w:tcPr>
          <w:p w14:paraId="54AD8F16"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Beta</w:t>
            </w:r>
          </w:p>
        </w:tc>
        <w:tc>
          <w:tcPr>
            <w:tcW w:w="661" w:type="dxa"/>
            <w:vMerge/>
            <w:tcBorders>
              <w:top w:val="single" w:sz="4" w:space="0" w:color="auto"/>
              <w:left w:val="nil"/>
              <w:bottom w:val="single" w:sz="4" w:space="0" w:color="000000"/>
              <w:right w:val="nil"/>
            </w:tcBorders>
            <w:vAlign w:val="center"/>
            <w:hideMark/>
          </w:tcPr>
          <w:p w14:paraId="2157147D"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p>
        </w:tc>
        <w:tc>
          <w:tcPr>
            <w:tcW w:w="653" w:type="dxa"/>
            <w:vMerge/>
            <w:tcBorders>
              <w:top w:val="single" w:sz="4" w:space="0" w:color="auto"/>
              <w:left w:val="nil"/>
              <w:bottom w:val="single" w:sz="4" w:space="0" w:color="000000"/>
              <w:right w:val="nil"/>
            </w:tcBorders>
            <w:vAlign w:val="center"/>
            <w:hideMark/>
          </w:tcPr>
          <w:p w14:paraId="24B9BC8E"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p>
        </w:tc>
        <w:tc>
          <w:tcPr>
            <w:tcW w:w="750" w:type="dxa"/>
            <w:tcBorders>
              <w:top w:val="nil"/>
              <w:left w:val="nil"/>
              <w:bottom w:val="single" w:sz="4" w:space="0" w:color="auto"/>
              <w:right w:val="nil"/>
            </w:tcBorders>
            <w:shd w:val="clear" w:color="auto" w:fill="auto"/>
            <w:vAlign w:val="bottom"/>
            <w:hideMark/>
          </w:tcPr>
          <w:p w14:paraId="04834F75"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Tolerance</w:t>
            </w:r>
          </w:p>
        </w:tc>
        <w:tc>
          <w:tcPr>
            <w:tcW w:w="673" w:type="dxa"/>
            <w:tcBorders>
              <w:top w:val="nil"/>
              <w:left w:val="nil"/>
              <w:bottom w:val="single" w:sz="4" w:space="0" w:color="auto"/>
              <w:right w:val="nil"/>
            </w:tcBorders>
            <w:shd w:val="clear" w:color="auto" w:fill="auto"/>
            <w:vAlign w:val="bottom"/>
            <w:hideMark/>
          </w:tcPr>
          <w:p w14:paraId="3C8BF400" w14:textId="77777777" w:rsidR="00482EF9" w:rsidRPr="00482EF9" w:rsidRDefault="00482EF9" w:rsidP="00482EF9">
            <w:pPr>
              <w:spacing w:after="0" w:line="240" w:lineRule="auto"/>
              <w:jc w:val="center"/>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VIF</w:t>
            </w:r>
          </w:p>
        </w:tc>
      </w:tr>
      <w:tr w:rsidR="00482EF9" w:rsidRPr="00482EF9" w14:paraId="1C941A1A" w14:textId="77777777" w:rsidTr="00482EF9">
        <w:trPr>
          <w:trHeight w:val="266"/>
        </w:trPr>
        <w:tc>
          <w:tcPr>
            <w:tcW w:w="209" w:type="dxa"/>
            <w:vMerge w:val="restart"/>
            <w:tcBorders>
              <w:top w:val="nil"/>
              <w:left w:val="nil"/>
              <w:bottom w:val="single" w:sz="4" w:space="0" w:color="000000"/>
              <w:right w:val="nil"/>
            </w:tcBorders>
            <w:shd w:val="clear" w:color="auto" w:fill="auto"/>
            <w:noWrap/>
            <w:hideMark/>
          </w:tcPr>
          <w:p w14:paraId="3FD5359F"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w:t>
            </w:r>
          </w:p>
        </w:tc>
        <w:tc>
          <w:tcPr>
            <w:tcW w:w="1295" w:type="dxa"/>
            <w:tcBorders>
              <w:top w:val="nil"/>
              <w:left w:val="nil"/>
              <w:bottom w:val="nil"/>
              <w:right w:val="nil"/>
            </w:tcBorders>
            <w:shd w:val="clear" w:color="auto" w:fill="auto"/>
            <w:hideMark/>
          </w:tcPr>
          <w:p w14:paraId="7176FC16"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(Constant)</w:t>
            </w:r>
          </w:p>
        </w:tc>
        <w:tc>
          <w:tcPr>
            <w:tcW w:w="998" w:type="dxa"/>
            <w:tcBorders>
              <w:top w:val="nil"/>
              <w:left w:val="nil"/>
              <w:bottom w:val="nil"/>
              <w:right w:val="nil"/>
            </w:tcBorders>
            <w:shd w:val="clear" w:color="auto" w:fill="auto"/>
            <w:noWrap/>
            <w:vAlign w:val="center"/>
            <w:hideMark/>
          </w:tcPr>
          <w:p w14:paraId="7CB1C456"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12,509</w:t>
            </w:r>
          </w:p>
        </w:tc>
        <w:tc>
          <w:tcPr>
            <w:tcW w:w="948" w:type="dxa"/>
            <w:tcBorders>
              <w:top w:val="nil"/>
              <w:left w:val="nil"/>
              <w:bottom w:val="nil"/>
              <w:right w:val="nil"/>
            </w:tcBorders>
            <w:shd w:val="clear" w:color="auto" w:fill="auto"/>
            <w:noWrap/>
            <w:vAlign w:val="center"/>
            <w:hideMark/>
          </w:tcPr>
          <w:p w14:paraId="4AC60A42"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1,693</w:t>
            </w:r>
          </w:p>
        </w:tc>
        <w:tc>
          <w:tcPr>
            <w:tcW w:w="987" w:type="dxa"/>
            <w:tcBorders>
              <w:top w:val="nil"/>
              <w:left w:val="nil"/>
              <w:bottom w:val="nil"/>
              <w:right w:val="nil"/>
            </w:tcBorders>
            <w:shd w:val="clear" w:color="auto" w:fill="auto"/>
            <w:vAlign w:val="center"/>
            <w:hideMark/>
          </w:tcPr>
          <w:p w14:paraId="2A8458EC"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 </w:t>
            </w:r>
          </w:p>
        </w:tc>
        <w:tc>
          <w:tcPr>
            <w:tcW w:w="661" w:type="dxa"/>
            <w:tcBorders>
              <w:top w:val="nil"/>
              <w:left w:val="nil"/>
              <w:bottom w:val="nil"/>
              <w:right w:val="nil"/>
            </w:tcBorders>
            <w:shd w:val="clear" w:color="auto" w:fill="auto"/>
            <w:noWrap/>
            <w:vAlign w:val="center"/>
            <w:hideMark/>
          </w:tcPr>
          <w:p w14:paraId="3254327F"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7,390</w:t>
            </w:r>
          </w:p>
        </w:tc>
        <w:tc>
          <w:tcPr>
            <w:tcW w:w="653" w:type="dxa"/>
            <w:tcBorders>
              <w:top w:val="nil"/>
              <w:left w:val="nil"/>
              <w:bottom w:val="nil"/>
              <w:right w:val="nil"/>
            </w:tcBorders>
            <w:shd w:val="clear" w:color="auto" w:fill="auto"/>
            <w:noWrap/>
            <w:vAlign w:val="center"/>
            <w:hideMark/>
          </w:tcPr>
          <w:p w14:paraId="63220707"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,000</w:t>
            </w:r>
          </w:p>
        </w:tc>
        <w:tc>
          <w:tcPr>
            <w:tcW w:w="750" w:type="dxa"/>
            <w:tcBorders>
              <w:top w:val="nil"/>
              <w:left w:val="nil"/>
              <w:bottom w:val="nil"/>
              <w:right w:val="nil"/>
            </w:tcBorders>
            <w:shd w:val="clear" w:color="auto" w:fill="auto"/>
            <w:vAlign w:val="center"/>
            <w:hideMark/>
          </w:tcPr>
          <w:p w14:paraId="2B749007"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 </w:t>
            </w:r>
          </w:p>
        </w:tc>
        <w:tc>
          <w:tcPr>
            <w:tcW w:w="673" w:type="dxa"/>
            <w:tcBorders>
              <w:top w:val="nil"/>
              <w:left w:val="nil"/>
              <w:bottom w:val="nil"/>
              <w:right w:val="nil"/>
            </w:tcBorders>
            <w:shd w:val="clear" w:color="auto" w:fill="auto"/>
            <w:vAlign w:val="center"/>
            <w:hideMark/>
          </w:tcPr>
          <w:p w14:paraId="31C63961"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 </w:t>
            </w:r>
          </w:p>
        </w:tc>
      </w:tr>
      <w:tr w:rsidR="00482EF9" w:rsidRPr="00482EF9" w14:paraId="62868A34" w14:textId="77777777" w:rsidTr="00482EF9">
        <w:trPr>
          <w:trHeight w:val="266"/>
        </w:trPr>
        <w:tc>
          <w:tcPr>
            <w:tcW w:w="209" w:type="dxa"/>
            <w:vMerge/>
            <w:tcBorders>
              <w:top w:val="nil"/>
              <w:left w:val="nil"/>
              <w:bottom w:val="single" w:sz="4" w:space="0" w:color="000000"/>
              <w:right w:val="nil"/>
            </w:tcBorders>
            <w:vAlign w:val="center"/>
            <w:hideMark/>
          </w:tcPr>
          <w:p w14:paraId="78BA2571"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p>
        </w:tc>
        <w:tc>
          <w:tcPr>
            <w:tcW w:w="1295" w:type="dxa"/>
            <w:tcBorders>
              <w:top w:val="nil"/>
              <w:left w:val="nil"/>
              <w:bottom w:val="nil"/>
              <w:right w:val="nil"/>
            </w:tcBorders>
            <w:shd w:val="clear" w:color="auto" w:fill="auto"/>
            <w:hideMark/>
          </w:tcPr>
          <w:p w14:paraId="183B63A1"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x1</w:t>
            </w:r>
          </w:p>
        </w:tc>
        <w:tc>
          <w:tcPr>
            <w:tcW w:w="998" w:type="dxa"/>
            <w:tcBorders>
              <w:top w:val="nil"/>
              <w:left w:val="nil"/>
              <w:bottom w:val="nil"/>
              <w:right w:val="nil"/>
            </w:tcBorders>
            <w:shd w:val="clear" w:color="auto" w:fill="auto"/>
            <w:noWrap/>
            <w:vAlign w:val="center"/>
            <w:hideMark/>
          </w:tcPr>
          <w:p w14:paraId="3969C977"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,146</w:t>
            </w:r>
          </w:p>
        </w:tc>
        <w:tc>
          <w:tcPr>
            <w:tcW w:w="948" w:type="dxa"/>
            <w:tcBorders>
              <w:top w:val="nil"/>
              <w:left w:val="nil"/>
              <w:bottom w:val="nil"/>
              <w:right w:val="nil"/>
            </w:tcBorders>
            <w:shd w:val="clear" w:color="auto" w:fill="auto"/>
            <w:noWrap/>
            <w:vAlign w:val="center"/>
            <w:hideMark/>
          </w:tcPr>
          <w:p w14:paraId="2A62B9FE"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,043</w:t>
            </w:r>
          </w:p>
        </w:tc>
        <w:tc>
          <w:tcPr>
            <w:tcW w:w="987" w:type="dxa"/>
            <w:tcBorders>
              <w:top w:val="nil"/>
              <w:left w:val="nil"/>
              <w:bottom w:val="nil"/>
              <w:right w:val="nil"/>
            </w:tcBorders>
            <w:shd w:val="clear" w:color="auto" w:fill="auto"/>
            <w:noWrap/>
            <w:vAlign w:val="center"/>
            <w:hideMark/>
          </w:tcPr>
          <w:p w14:paraId="2885FDFF"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,184</w:t>
            </w:r>
          </w:p>
        </w:tc>
        <w:tc>
          <w:tcPr>
            <w:tcW w:w="661" w:type="dxa"/>
            <w:tcBorders>
              <w:top w:val="nil"/>
              <w:left w:val="nil"/>
              <w:bottom w:val="nil"/>
              <w:right w:val="nil"/>
            </w:tcBorders>
            <w:shd w:val="clear" w:color="auto" w:fill="auto"/>
            <w:noWrap/>
            <w:vAlign w:val="center"/>
            <w:hideMark/>
          </w:tcPr>
          <w:p w14:paraId="376DE65F"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3,367</w:t>
            </w:r>
          </w:p>
        </w:tc>
        <w:tc>
          <w:tcPr>
            <w:tcW w:w="653" w:type="dxa"/>
            <w:tcBorders>
              <w:top w:val="nil"/>
              <w:left w:val="nil"/>
              <w:bottom w:val="nil"/>
              <w:right w:val="nil"/>
            </w:tcBorders>
            <w:shd w:val="clear" w:color="auto" w:fill="auto"/>
            <w:noWrap/>
            <w:vAlign w:val="center"/>
            <w:hideMark/>
          </w:tcPr>
          <w:p w14:paraId="0E2B8FF9"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,001</w:t>
            </w:r>
          </w:p>
        </w:tc>
        <w:tc>
          <w:tcPr>
            <w:tcW w:w="750" w:type="dxa"/>
            <w:tcBorders>
              <w:top w:val="nil"/>
              <w:left w:val="nil"/>
              <w:bottom w:val="nil"/>
              <w:right w:val="nil"/>
            </w:tcBorders>
            <w:shd w:val="clear" w:color="auto" w:fill="auto"/>
            <w:noWrap/>
            <w:vAlign w:val="center"/>
            <w:hideMark/>
          </w:tcPr>
          <w:p w14:paraId="383F058B"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,993</w:t>
            </w:r>
          </w:p>
        </w:tc>
        <w:tc>
          <w:tcPr>
            <w:tcW w:w="673" w:type="dxa"/>
            <w:tcBorders>
              <w:top w:val="nil"/>
              <w:left w:val="nil"/>
              <w:bottom w:val="nil"/>
              <w:right w:val="nil"/>
            </w:tcBorders>
            <w:shd w:val="clear" w:color="auto" w:fill="auto"/>
            <w:noWrap/>
            <w:vAlign w:val="center"/>
            <w:hideMark/>
          </w:tcPr>
          <w:p w14:paraId="64C48747"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1,007</w:t>
            </w:r>
          </w:p>
        </w:tc>
      </w:tr>
      <w:tr w:rsidR="00482EF9" w:rsidRPr="00482EF9" w14:paraId="1EE9686A" w14:textId="77777777" w:rsidTr="00482EF9">
        <w:trPr>
          <w:trHeight w:val="266"/>
        </w:trPr>
        <w:tc>
          <w:tcPr>
            <w:tcW w:w="209" w:type="dxa"/>
            <w:vMerge/>
            <w:tcBorders>
              <w:top w:val="nil"/>
              <w:left w:val="nil"/>
              <w:bottom w:val="single" w:sz="4" w:space="0" w:color="000000"/>
              <w:right w:val="nil"/>
            </w:tcBorders>
            <w:vAlign w:val="center"/>
            <w:hideMark/>
          </w:tcPr>
          <w:p w14:paraId="5E70DDCE"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p>
        </w:tc>
        <w:tc>
          <w:tcPr>
            <w:tcW w:w="1295" w:type="dxa"/>
            <w:tcBorders>
              <w:top w:val="nil"/>
              <w:left w:val="nil"/>
              <w:bottom w:val="nil"/>
              <w:right w:val="nil"/>
            </w:tcBorders>
            <w:shd w:val="clear" w:color="auto" w:fill="auto"/>
            <w:hideMark/>
          </w:tcPr>
          <w:p w14:paraId="2AFA1DC6"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x2</w:t>
            </w:r>
          </w:p>
        </w:tc>
        <w:tc>
          <w:tcPr>
            <w:tcW w:w="998" w:type="dxa"/>
            <w:tcBorders>
              <w:top w:val="nil"/>
              <w:left w:val="nil"/>
              <w:bottom w:val="nil"/>
              <w:right w:val="nil"/>
            </w:tcBorders>
            <w:shd w:val="clear" w:color="auto" w:fill="auto"/>
            <w:noWrap/>
            <w:vAlign w:val="center"/>
            <w:hideMark/>
          </w:tcPr>
          <w:p w14:paraId="58550B05"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,137</w:t>
            </w:r>
          </w:p>
        </w:tc>
        <w:tc>
          <w:tcPr>
            <w:tcW w:w="948" w:type="dxa"/>
            <w:tcBorders>
              <w:top w:val="nil"/>
              <w:left w:val="nil"/>
              <w:bottom w:val="nil"/>
              <w:right w:val="nil"/>
            </w:tcBorders>
            <w:shd w:val="clear" w:color="auto" w:fill="auto"/>
            <w:noWrap/>
            <w:vAlign w:val="center"/>
            <w:hideMark/>
          </w:tcPr>
          <w:p w14:paraId="5194B3B4"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,069</w:t>
            </w:r>
          </w:p>
        </w:tc>
        <w:tc>
          <w:tcPr>
            <w:tcW w:w="987" w:type="dxa"/>
            <w:tcBorders>
              <w:top w:val="nil"/>
              <w:left w:val="nil"/>
              <w:bottom w:val="nil"/>
              <w:right w:val="nil"/>
            </w:tcBorders>
            <w:shd w:val="clear" w:color="auto" w:fill="auto"/>
            <w:noWrap/>
            <w:vAlign w:val="center"/>
            <w:hideMark/>
          </w:tcPr>
          <w:p w14:paraId="50BEE804"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,109</w:t>
            </w:r>
          </w:p>
        </w:tc>
        <w:tc>
          <w:tcPr>
            <w:tcW w:w="661" w:type="dxa"/>
            <w:tcBorders>
              <w:top w:val="nil"/>
              <w:left w:val="nil"/>
              <w:bottom w:val="nil"/>
              <w:right w:val="nil"/>
            </w:tcBorders>
            <w:shd w:val="clear" w:color="auto" w:fill="auto"/>
            <w:noWrap/>
            <w:vAlign w:val="center"/>
            <w:hideMark/>
          </w:tcPr>
          <w:p w14:paraId="46D7C34F"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1,992</w:t>
            </w:r>
          </w:p>
        </w:tc>
        <w:tc>
          <w:tcPr>
            <w:tcW w:w="653" w:type="dxa"/>
            <w:tcBorders>
              <w:top w:val="nil"/>
              <w:left w:val="nil"/>
              <w:bottom w:val="nil"/>
              <w:right w:val="nil"/>
            </w:tcBorders>
            <w:shd w:val="clear" w:color="auto" w:fill="auto"/>
            <w:noWrap/>
            <w:vAlign w:val="center"/>
            <w:hideMark/>
          </w:tcPr>
          <w:p w14:paraId="5E6C9014"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,047</w:t>
            </w:r>
          </w:p>
        </w:tc>
        <w:tc>
          <w:tcPr>
            <w:tcW w:w="750" w:type="dxa"/>
            <w:tcBorders>
              <w:top w:val="nil"/>
              <w:left w:val="nil"/>
              <w:bottom w:val="nil"/>
              <w:right w:val="nil"/>
            </w:tcBorders>
            <w:shd w:val="clear" w:color="auto" w:fill="auto"/>
            <w:noWrap/>
            <w:vAlign w:val="center"/>
            <w:hideMark/>
          </w:tcPr>
          <w:p w14:paraId="05E03C11"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,988</w:t>
            </w:r>
          </w:p>
        </w:tc>
        <w:tc>
          <w:tcPr>
            <w:tcW w:w="673" w:type="dxa"/>
            <w:tcBorders>
              <w:top w:val="nil"/>
              <w:left w:val="nil"/>
              <w:bottom w:val="nil"/>
              <w:right w:val="nil"/>
            </w:tcBorders>
            <w:shd w:val="clear" w:color="auto" w:fill="auto"/>
            <w:noWrap/>
            <w:vAlign w:val="center"/>
            <w:hideMark/>
          </w:tcPr>
          <w:p w14:paraId="066D01C4"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1,012</w:t>
            </w:r>
          </w:p>
        </w:tc>
      </w:tr>
      <w:tr w:rsidR="00482EF9" w:rsidRPr="00482EF9" w14:paraId="763F89AE" w14:textId="77777777" w:rsidTr="00482EF9">
        <w:trPr>
          <w:trHeight w:val="266"/>
        </w:trPr>
        <w:tc>
          <w:tcPr>
            <w:tcW w:w="209" w:type="dxa"/>
            <w:vMerge/>
            <w:tcBorders>
              <w:top w:val="nil"/>
              <w:left w:val="nil"/>
              <w:bottom w:val="single" w:sz="4" w:space="0" w:color="000000"/>
              <w:right w:val="nil"/>
            </w:tcBorders>
            <w:vAlign w:val="center"/>
            <w:hideMark/>
          </w:tcPr>
          <w:p w14:paraId="7B57646D"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p>
        </w:tc>
        <w:tc>
          <w:tcPr>
            <w:tcW w:w="1295" w:type="dxa"/>
            <w:tcBorders>
              <w:top w:val="nil"/>
              <w:left w:val="nil"/>
              <w:bottom w:val="single" w:sz="4" w:space="0" w:color="auto"/>
              <w:right w:val="nil"/>
            </w:tcBorders>
            <w:shd w:val="clear" w:color="auto" w:fill="auto"/>
            <w:hideMark/>
          </w:tcPr>
          <w:p w14:paraId="62B49318"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x3</w:t>
            </w:r>
          </w:p>
        </w:tc>
        <w:tc>
          <w:tcPr>
            <w:tcW w:w="998" w:type="dxa"/>
            <w:tcBorders>
              <w:top w:val="nil"/>
              <w:left w:val="nil"/>
              <w:bottom w:val="single" w:sz="4" w:space="0" w:color="auto"/>
              <w:right w:val="nil"/>
            </w:tcBorders>
            <w:shd w:val="clear" w:color="auto" w:fill="auto"/>
            <w:noWrap/>
            <w:vAlign w:val="center"/>
            <w:hideMark/>
          </w:tcPr>
          <w:p w14:paraId="447BF655"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,126</w:t>
            </w:r>
          </w:p>
        </w:tc>
        <w:tc>
          <w:tcPr>
            <w:tcW w:w="948" w:type="dxa"/>
            <w:tcBorders>
              <w:top w:val="nil"/>
              <w:left w:val="nil"/>
              <w:bottom w:val="single" w:sz="4" w:space="0" w:color="auto"/>
              <w:right w:val="nil"/>
            </w:tcBorders>
            <w:shd w:val="clear" w:color="auto" w:fill="auto"/>
            <w:noWrap/>
            <w:vAlign w:val="center"/>
            <w:hideMark/>
          </w:tcPr>
          <w:p w14:paraId="62A5E2F5"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,083</w:t>
            </w:r>
          </w:p>
        </w:tc>
        <w:tc>
          <w:tcPr>
            <w:tcW w:w="987" w:type="dxa"/>
            <w:tcBorders>
              <w:top w:val="nil"/>
              <w:left w:val="nil"/>
              <w:bottom w:val="single" w:sz="4" w:space="0" w:color="auto"/>
              <w:right w:val="nil"/>
            </w:tcBorders>
            <w:shd w:val="clear" w:color="auto" w:fill="auto"/>
            <w:noWrap/>
            <w:vAlign w:val="center"/>
            <w:hideMark/>
          </w:tcPr>
          <w:p w14:paraId="1100C72B"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,084</w:t>
            </w:r>
          </w:p>
        </w:tc>
        <w:tc>
          <w:tcPr>
            <w:tcW w:w="661" w:type="dxa"/>
            <w:tcBorders>
              <w:top w:val="nil"/>
              <w:left w:val="nil"/>
              <w:bottom w:val="single" w:sz="4" w:space="0" w:color="auto"/>
              <w:right w:val="nil"/>
            </w:tcBorders>
            <w:shd w:val="clear" w:color="auto" w:fill="auto"/>
            <w:noWrap/>
            <w:vAlign w:val="center"/>
            <w:hideMark/>
          </w:tcPr>
          <w:p w14:paraId="65E58141"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1,519</w:t>
            </w:r>
          </w:p>
        </w:tc>
        <w:tc>
          <w:tcPr>
            <w:tcW w:w="653" w:type="dxa"/>
            <w:tcBorders>
              <w:top w:val="nil"/>
              <w:left w:val="nil"/>
              <w:bottom w:val="single" w:sz="4" w:space="0" w:color="auto"/>
              <w:right w:val="nil"/>
            </w:tcBorders>
            <w:shd w:val="clear" w:color="auto" w:fill="auto"/>
            <w:noWrap/>
            <w:vAlign w:val="center"/>
            <w:hideMark/>
          </w:tcPr>
          <w:p w14:paraId="309C8324"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,130</w:t>
            </w:r>
          </w:p>
        </w:tc>
        <w:tc>
          <w:tcPr>
            <w:tcW w:w="750" w:type="dxa"/>
            <w:tcBorders>
              <w:top w:val="nil"/>
              <w:left w:val="nil"/>
              <w:bottom w:val="single" w:sz="4" w:space="0" w:color="auto"/>
              <w:right w:val="nil"/>
            </w:tcBorders>
            <w:shd w:val="clear" w:color="auto" w:fill="auto"/>
            <w:noWrap/>
            <w:vAlign w:val="center"/>
            <w:hideMark/>
          </w:tcPr>
          <w:p w14:paraId="7F5FBE76"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,985</w:t>
            </w:r>
          </w:p>
        </w:tc>
        <w:tc>
          <w:tcPr>
            <w:tcW w:w="673" w:type="dxa"/>
            <w:tcBorders>
              <w:top w:val="nil"/>
              <w:left w:val="nil"/>
              <w:bottom w:val="single" w:sz="4" w:space="0" w:color="auto"/>
              <w:right w:val="nil"/>
            </w:tcBorders>
            <w:shd w:val="clear" w:color="auto" w:fill="auto"/>
            <w:noWrap/>
            <w:vAlign w:val="center"/>
            <w:hideMark/>
          </w:tcPr>
          <w:p w14:paraId="171AB286" w14:textId="77777777" w:rsidR="00482EF9" w:rsidRPr="00482EF9" w:rsidRDefault="00482EF9" w:rsidP="00482EF9">
            <w:pPr>
              <w:spacing w:after="0" w:line="240" w:lineRule="auto"/>
              <w:jc w:val="righ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1,015</w:t>
            </w:r>
          </w:p>
        </w:tc>
      </w:tr>
      <w:tr w:rsidR="00482EF9" w:rsidRPr="00482EF9" w14:paraId="3B2297F3" w14:textId="77777777" w:rsidTr="00482EF9">
        <w:trPr>
          <w:trHeight w:val="283"/>
        </w:trPr>
        <w:tc>
          <w:tcPr>
            <w:tcW w:w="7178" w:type="dxa"/>
            <w:gridSpan w:val="9"/>
            <w:tcBorders>
              <w:top w:val="nil"/>
              <w:left w:val="nil"/>
              <w:bottom w:val="nil"/>
              <w:right w:val="nil"/>
            </w:tcBorders>
            <w:shd w:val="clear" w:color="auto" w:fill="auto"/>
            <w:hideMark/>
          </w:tcPr>
          <w:p w14:paraId="7E91D197" w14:textId="77777777" w:rsidR="00482EF9" w:rsidRPr="00482EF9" w:rsidRDefault="00482EF9" w:rsidP="00482EF9">
            <w:pPr>
              <w:spacing w:after="0" w:line="240" w:lineRule="auto"/>
              <w:jc w:val="left"/>
              <w:rPr>
                <w:rFonts w:ascii="Arial" w:eastAsia="Times New Roman" w:hAnsi="Arial" w:cs="Arial"/>
                <w:color w:val="000000"/>
                <w:sz w:val="18"/>
                <w:szCs w:val="18"/>
                <w:lang w:eastAsia="id-ID"/>
              </w:rPr>
            </w:pPr>
            <w:r w:rsidRPr="00482EF9">
              <w:rPr>
                <w:rFonts w:ascii="Arial" w:eastAsia="Times New Roman" w:hAnsi="Arial" w:cs="Arial"/>
                <w:color w:val="000000"/>
                <w:sz w:val="18"/>
                <w:szCs w:val="18"/>
                <w:lang w:eastAsia="id-ID"/>
              </w:rPr>
              <w:t>a. Dependent Variable: y</w:t>
            </w:r>
          </w:p>
        </w:tc>
      </w:tr>
    </w:tbl>
    <w:p w14:paraId="3612EA59" w14:textId="013CA71C" w:rsidR="00167EF9" w:rsidRDefault="00482EF9" w:rsidP="00482EF9">
      <w:pPr>
        <w:spacing w:line="240" w:lineRule="auto"/>
        <w:rPr>
          <w:lang w:val="en-US"/>
        </w:rPr>
      </w:pPr>
      <w:r>
        <w:rPr>
          <w:lang w:val="en-US"/>
        </w:rPr>
        <w:t>Sumber : Data Olahan (2020)</w:t>
      </w:r>
    </w:p>
    <w:p w14:paraId="480FC163" w14:textId="3D9323B5" w:rsidR="00482EF9" w:rsidRDefault="00482EF9" w:rsidP="00482EF9">
      <w:pPr>
        <w:tabs>
          <w:tab w:val="left" w:pos="4678"/>
        </w:tabs>
        <w:spacing w:after="0" w:line="240" w:lineRule="auto"/>
        <w:rPr>
          <w:lang w:val="en-US"/>
        </w:rPr>
      </w:pPr>
      <w:r>
        <w:rPr>
          <w:lang w:val="en-US"/>
        </w:rPr>
        <w:t xml:space="preserve">      Berdasarkan tabel </w:t>
      </w:r>
      <w:r>
        <w:rPr>
          <w:lang w:val="en-US"/>
        </w:rPr>
        <w:t>8</w:t>
      </w:r>
      <w:r>
        <w:rPr>
          <w:lang w:val="en-US"/>
        </w:rPr>
        <w:t xml:space="preserve"> diatas menunjukan bentuk sebuah persamaan regresi yang dihasilkan sebagai berikut :</w:t>
      </w:r>
    </w:p>
    <w:p w14:paraId="1F7AC7DC" w14:textId="77777777" w:rsidR="00482EF9" w:rsidRDefault="00482EF9" w:rsidP="00482EF9">
      <w:pPr>
        <w:tabs>
          <w:tab w:val="left" w:pos="4678"/>
        </w:tabs>
        <w:spacing w:after="0" w:line="240" w:lineRule="auto"/>
        <w:rPr>
          <w:lang w:val="en-US"/>
        </w:rPr>
      </w:pPr>
      <m:oMathPara>
        <m:oMath>
          <m:r>
            <w:rPr>
              <w:rFonts w:ascii="Cambria Math" w:hAnsi="Cambria Math"/>
              <w:lang w:val="en-US"/>
            </w:rPr>
            <m:t>Y=12,509 + 0,146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1  </m:t>
              </m:r>
            </m:sub>
          </m:sSub>
          <m:r>
            <w:rPr>
              <w:rFonts w:ascii="Cambria Math" w:hAnsi="Cambria Math"/>
              <w:lang w:val="en-US"/>
            </w:rPr>
            <m:t>+ 0,137</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2  </m:t>
              </m:r>
            </m:sub>
          </m:sSub>
          <m:r>
            <w:rPr>
              <w:rFonts w:ascii="Cambria Math" w:hAnsi="Cambria Math"/>
              <w:lang w:val="en-US"/>
            </w:rPr>
            <m:t>+0,126</m:t>
          </m:r>
          <m:sSub>
            <m:sSubPr>
              <m:ctrlPr>
                <w:rPr>
                  <w:rFonts w:ascii="Cambria Math" w:hAnsi="Cambria Math"/>
                  <w:i/>
                  <w:lang w:val="en-US"/>
                </w:rPr>
              </m:ctrlPr>
            </m:sSubPr>
            <m:e>
              <m:r>
                <w:rPr>
                  <w:rFonts w:ascii="Cambria Math" w:hAnsi="Cambria Math"/>
                  <w:lang w:val="en-US"/>
                </w:rPr>
                <m:t>X</m:t>
              </m:r>
            </m:e>
            <m:sub>
              <m:r>
                <w:rPr>
                  <w:rFonts w:ascii="Cambria Math" w:hAnsi="Cambria Math"/>
                  <w:lang w:val="en-US"/>
                </w:rPr>
                <m:t xml:space="preserve">3  </m:t>
              </m:r>
            </m:sub>
          </m:sSub>
        </m:oMath>
      </m:oMathPara>
    </w:p>
    <w:p w14:paraId="22C25973" w14:textId="61F26AFE" w:rsidR="00482EF9" w:rsidRPr="00482EF9" w:rsidRDefault="000D64BD" w:rsidP="000D64BD">
      <w:pPr>
        <w:spacing w:line="240" w:lineRule="auto"/>
        <w:rPr>
          <w:rFonts w:eastAsiaTheme="minorEastAsia"/>
          <w:lang w:val="en-US"/>
        </w:rPr>
      </w:pPr>
      <w:r>
        <w:rPr>
          <w:lang w:val="en-US"/>
        </w:rPr>
        <w:t xml:space="preserve">      </w:t>
      </w:r>
      <w:r w:rsidR="00482EF9">
        <w:rPr>
          <w:lang w:val="en-US"/>
        </w:rPr>
        <w:t xml:space="preserve">Nilai konstanta </w:t>
      </w:r>
      <m:oMath>
        <m:r>
          <w:rPr>
            <w:rFonts w:ascii="Cambria Math" w:hAnsi="Cambria Math"/>
            <w:lang w:val="en-US"/>
          </w:rPr>
          <m:t>(</m:t>
        </m:r>
        <m:r>
          <w:rPr>
            <w:rFonts w:ascii="Cambria Math" w:hAnsi="Cambria Math"/>
            <w:lang w:val="en-US"/>
          </w:rPr>
          <m:t>a</m:t>
        </m:r>
        <m:r>
          <w:rPr>
            <w:rFonts w:ascii="Cambria Math" w:hAnsi="Cambria Math"/>
            <w:lang w:val="en-US"/>
          </w:rPr>
          <m:t>)</m:t>
        </m:r>
      </m:oMath>
      <w:r w:rsidR="00482EF9">
        <w:rPr>
          <w:rFonts w:eastAsiaTheme="minorEastAsia"/>
          <w:lang w:val="en-US"/>
        </w:rPr>
        <w:t xml:space="preserve"> </w:t>
      </w:r>
      <w:r w:rsidR="00482EF9" w:rsidRPr="00482EF9">
        <w:rPr>
          <w:rFonts w:eastAsiaTheme="minorEastAsia"/>
          <w:lang w:val="en-US"/>
        </w:rPr>
        <w:t>menunjukkan besarnya kesejahteraan keuangan adalah 12,509 jika variabel literasi keuangan (X</w:t>
      </w:r>
      <w:r w:rsidR="00482EF9" w:rsidRPr="00482EF9">
        <w:rPr>
          <w:rFonts w:eastAsiaTheme="minorEastAsia"/>
          <w:vertAlign w:val="subscript"/>
          <w:lang w:val="en-US"/>
        </w:rPr>
        <w:t>1</w:t>
      </w:r>
      <w:r w:rsidR="00482EF9" w:rsidRPr="00482EF9">
        <w:rPr>
          <w:rFonts w:eastAsiaTheme="minorEastAsia"/>
          <w:lang w:val="en-US"/>
        </w:rPr>
        <w:t xml:space="preserve">), perilaku keuangan </w:t>
      </w:r>
      <w:bookmarkStart w:id="4" w:name="_Hlk58038786"/>
      <w:r w:rsidR="00482EF9" w:rsidRPr="00482EF9">
        <w:rPr>
          <w:rFonts w:eastAsiaTheme="minorEastAsia"/>
          <w:lang w:val="en-US"/>
        </w:rPr>
        <w:t>(X</w:t>
      </w:r>
      <w:r w:rsidR="00482EF9" w:rsidRPr="00482EF9">
        <w:rPr>
          <w:rFonts w:eastAsiaTheme="minorEastAsia"/>
          <w:vertAlign w:val="subscript"/>
          <w:lang w:val="en-US"/>
        </w:rPr>
        <w:t>2</w:t>
      </w:r>
      <w:r w:rsidR="00482EF9" w:rsidRPr="00482EF9">
        <w:rPr>
          <w:rFonts w:eastAsiaTheme="minorEastAsia"/>
          <w:lang w:val="en-US"/>
        </w:rPr>
        <w:t>)</w:t>
      </w:r>
      <w:bookmarkEnd w:id="4"/>
      <w:r w:rsidR="00482EF9" w:rsidRPr="00482EF9">
        <w:rPr>
          <w:rFonts w:eastAsiaTheme="minorEastAsia"/>
          <w:lang w:val="en-US"/>
        </w:rPr>
        <w:t>, teknologi keuangan (X</w:t>
      </w:r>
      <w:r w:rsidR="00482EF9" w:rsidRPr="00482EF9">
        <w:rPr>
          <w:rFonts w:eastAsiaTheme="minorEastAsia"/>
          <w:vertAlign w:val="subscript"/>
          <w:lang w:val="en-US"/>
        </w:rPr>
        <w:t>3</w:t>
      </w:r>
      <w:r w:rsidR="00482EF9" w:rsidRPr="00482EF9">
        <w:rPr>
          <w:rFonts w:eastAsiaTheme="minorEastAsia"/>
          <w:lang w:val="en-US"/>
        </w:rPr>
        <w:t>) adalah 0.</w:t>
      </w:r>
      <w:r>
        <w:rPr>
          <w:rFonts w:eastAsiaTheme="minorEastAsia"/>
          <w:lang w:val="en-US"/>
        </w:rPr>
        <w:t xml:space="preserve"> </w:t>
      </w:r>
      <w:r w:rsidR="00482EF9" w:rsidRPr="00482EF9">
        <w:rPr>
          <w:rFonts w:eastAsiaTheme="minorEastAsia"/>
          <w:lang w:val="en-US"/>
        </w:rPr>
        <w:t>Koefisien variabel literasi keuangan (X</w:t>
      </w:r>
      <w:r w:rsidR="00482EF9" w:rsidRPr="00482EF9">
        <w:rPr>
          <w:rFonts w:eastAsiaTheme="minorEastAsia"/>
          <w:vertAlign w:val="subscript"/>
          <w:lang w:val="en-US"/>
        </w:rPr>
        <w:t>1</w:t>
      </w:r>
      <w:r w:rsidR="00482EF9" w:rsidRPr="00482EF9">
        <w:rPr>
          <w:rFonts w:eastAsiaTheme="minorEastAsia"/>
          <w:lang w:val="en-US"/>
        </w:rPr>
        <w:t>) sebesar 0,146 yang berarti, jika literasi keuangan meningkat 1 poin maka, kesejahteraan keuangan akan meningkat sebesar 0,093. Koefisien bernilai positif menunjukkan adanya hubungan searah antara literasi keuangan dengan</w:t>
      </w:r>
      <w:r>
        <w:rPr>
          <w:rFonts w:eastAsiaTheme="minorEastAsia"/>
          <w:lang w:val="en-US"/>
        </w:rPr>
        <w:t xml:space="preserve"> </w:t>
      </w:r>
      <w:r w:rsidR="00482EF9" w:rsidRPr="00482EF9">
        <w:rPr>
          <w:rFonts w:eastAsiaTheme="minorEastAsia"/>
          <w:lang w:val="en-US"/>
        </w:rPr>
        <w:t xml:space="preserve">kesejahteraan keuangan. Apabila upaya peningkatan literasi keuangan terus dilakukan bisa jadi kesejahteraan </w:t>
      </w:r>
      <w:r w:rsidR="00482EF9" w:rsidRPr="00482EF9">
        <w:rPr>
          <w:rFonts w:eastAsiaTheme="minorEastAsia"/>
          <w:lang w:val="en-US"/>
        </w:rPr>
        <w:lastRenderedPageBreak/>
        <w:t>keuangan generasi z di Desa Donoharjo akan meningkat.Koefisien regresi variabel perilaku keuangan (X</w:t>
      </w:r>
      <w:r w:rsidR="00482EF9" w:rsidRPr="00482EF9">
        <w:rPr>
          <w:rFonts w:eastAsiaTheme="minorEastAsia"/>
          <w:vertAlign w:val="subscript"/>
          <w:lang w:val="en-US"/>
        </w:rPr>
        <w:t>2</w:t>
      </w:r>
      <w:r w:rsidR="00482EF9" w:rsidRPr="00482EF9">
        <w:rPr>
          <w:rFonts w:eastAsiaTheme="minorEastAsia"/>
          <w:lang w:val="en-US"/>
        </w:rPr>
        <w:t>) sebesar 0,137 artinya, apabila perilaku keuangan meningkat 1 poin maka kesejahteraan keuangan generasi z akan meningkat sebesar 0,137. Koefisien regresi bernilai positif artinya terjadi hubungan searah antara perilaku keuangan dengan kesejahteraan keuangan. Semakin baik perilaku keuangan pada generasi z maka kesejahteraan keuangan generasi z akan semakin baik. Koefisien regresi variabel teknologi keuangan (X</w:t>
      </w:r>
      <w:r w:rsidR="00482EF9" w:rsidRPr="00482EF9">
        <w:rPr>
          <w:rFonts w:eastAsiaTheme="minorEastAsia"/>
          <w:vertAlign w:val="subscript"/>
          <w:lang w:val="en-US"/>
        </w:rPr>
        <w:t>3</w:t>
      </w:r>
      <w:r w:rsidR="00482EF9" w:rsidRPr="00482EF9">
        <w:rPr>
          <w:rFonts w:eastAsiaTheme="minorEastAsia"/>
          <w:lang w:val="en-US"/>
        </w:rPr>
        <w:t>) sebesar 0,126 artinya, jika teknologi keuangan meningkat 1 poin, maka kesejahteraan keuangan akan meningkat sebesar 0,126. Selain itu, koefisien regresi variabel teknologi keuangan bernilai positif, ini menggambarkan adanya hubungan searah antara teknologi keuangan dengan kesejahteraan keuangan generasi z.</w:t>
      </w:r>
    </w:p>
    <w:p w14:paraId="1317F47F" w14:textId="5CAAB000" w:rsidR="00DA2CC2" w:rsidRDefault="000D64BD" w:rsidP="000D64BD">
      <w:pPr>
        <w:spacing w:line="240" w:lineRule="auto"/>
        <w:rPr>
          <w:lang w:val="en-US"/>
        </w:rPr>
      </w:pPr>
      <w:r>
        <w:rPr>
          <w:lang w:val="en-US"/>
        </w:rPr>
        <w:t xml:space="preserve">      Hipotesis pertama dalam penelitian ini adalah </w:t>
      </w:r>
      <w:r w:rsidRPr="000D64BD">
        <w:rPr>
          <w:lang w:val="en-US"/>
        </w:rPr>
        <w:t>literasi keuangan berpengaruh positif terhadap kesejahteraan keuangan generasi z di Desa Donoharjo</w:t>
      </w:r>
      <w:r>
        <w:rPr>
          <w:lang w:val="en-US"/>
        </w:rPr>
        <w:t xml:space="preserve">. Berdasarkan hasil uji t pada tabel 8, literasi keuangan memiliki nilai signifikansi 0,001. Nilai signifikansi &lt; 0,05 maka hasil tersebut menunjukkan bahwa literasi keuangan berpengaruh positif terhadap kesejahteraan keuangan generasi z di Desa Donoharjo. </w:t>
      </w:r>
      <w:r w:rsidR="00A31B67">
        <w:rPr>
          <w:lang w:val="en-US"/>
        </w:rPr>
        <w:t>Literasi keuangan menjadi salah satu faktor yang dapat meningkatkan kesejahteraan keuangan.</w:t>
      </w:r>
      <w:r w:rsidR="00EA0CA4">
        <w:rPr>
          <w:lang w:val="en-US"/>
        </w:rPr>
        <w:t xml:space="preserve"> Pengetahuan tentang sumber pendapatan, asuransi dan investasi dapat membantu generasi z dalam membuat keputusan terkaitan keuangannya. Selain itu, pengetahuan tentanng investasi dapat membantu generasi z dalam menentukan jenis investasi yang tepat untuk dirinya. Investasi yang dimulai sejak dini akan memberikan manfaat yaitu merdeka secara finansial. </w:t>
      </w:r>
      <w:r w:rsidR="00A31B67">
        <w:rPr>
          <w:lang w:val="en-US"/>
        </w:rPr>
        <w:t xml:space="preserve">Dengan tingkat literasi keuangan yang baik maka individu akan membuat keputusan keuangan dengan lebih baik dan bijaksana. Selain itu pengelolaan keuangan menjadi lebih optimal sehingga kesejahteraan keuangan setiap individu akan ikut meningkat. </w:t>
      </w:r>
      <w:r w:rsidR="00EA0CA4">
        <w:rPr>
          <w:lang w:val="en-US"/>
        </w:rPr>
        <w:t xml:space="preserve">Sebagian besar generasi z di Desa Donoharjo sudah memiliki pengetahuan </w:t>
      </w:r>
      <w:r w:rsidR="002635DD">
        <w:rPr>
          <w:lang w:val="en-US"/>
        </w:rPr>
        <w:t>dan keyakinan terkait produk, manfaat, resiko dan layanan keuangan, namun masih belum memiliki keterampilan yang cukup dalam menggunakan layanan keuangan tersebut.</w:t>
      </w:r>
    </w:p>
    <w:p w14:paraId="152D6BB9" w14:textId="15CE6324" w:rsidR="00A31B67" w:rsidRDefault="00A31B67" w:rsidP="000D64BD">
      <w:pPr>
        <w:spacing w:line="240" w:lineRule="auto"/>
        <w:rPr>
          <w:lang w:val="en-US"/>
        </w:rPr>
      </w:pPr>
      <w:r>
        <w:rPr>
          <w:lang w:val="en-US"/>
        </w:rPr>
        <w:t xml:space="preserve">      Hipotesis kedua dalam penelitian ini adalah perilaku keuangan berpengaruh positif terhadap kesejahteraan keuangan generasi z di Desa Donoharjo</w:t>
      </w:r>
      <w:r w:rsidR="00B222E0">
        <w:rPr>
          <w:lang w:val="en-US"/>
        </w:rPr>
        <w:t xml:space="preserve">. Berdasarkan hasil uji t pada tabel 8, perilaku keuangan memiliki nilai signifikansi 0,042. </w:t>
      </w:r>
      <w:r w:rsidR="00BE4318">
        <w:rPr>
          <w:lang w:val="en-US"/>
        </w:rPr>
        <w:t xml:space="preserve">Nilai signifikansi &lt; 0,05 maka hasil tersebut menunjukkan bahwa perilaku keuangan berpengaruh positif terhadap kesejahteraan keuangan generasi z di Desa Donoharjo. Semakin baik perilaku keuangan generasi z maka kesejahteraan keuangan generasi z juga akan semakin membaik. Perilaku keuangan yang dimaksud dalam penelitian ini adalah menetapkan tujuan keuangan, menyusun anggaran keuangan dan kegiatan menabung. Menetapkan tujuan keuangan dapat membantu generasi z dalam menentukan prioritas kebutuhannya. Setelah mengetahui tujuan keuangan yang menjadi prioritasnya generasi z diharapkan mampu menyusun anggaran keuangan dengan menyesuaikan antara pengeluaran dan pendapatan yang diterima. Selain itu dengan menyusun anggaran generasi z dapat menentukan besarnya pendapatan yang dapat disisihkan untuk </w:t>
      </w:r>
      <w:r w:rsidR="00EA0CA4">
        <w:rPr>
          <w:lang w:val="en-US"/>
        </w:rPr>
        <w:t>ditabung. Tabungan ini dapat digunakan oleh generasi z untuk mencapai tujuan keuangan dan juga sebagai dana darurat.</w:t>
      </w:r>
      <w:r w:rsidR="002635DD">
        <w:rPr>
          <w:lang w:val="en-US"/>
        </w:rPr>
        <w:t xml:space="preserve"> Secara umum generasi z di Desa Donoharjo sudah memahami tentang pengelolaan </w:t>
      </w:r>
      <w:r w:rsidR="002635DD">
        <w:rPr>
          <w:lang w:val="en-US"/>
        </w:rPr>
        <w:lastRenderedPageBreak/>
        <w:t>keuangan yang baik dengan menyusun anggaran keuangan. Akan tetapi masih belum bisa konsisten menjalankan anggaran yang telah dibuatnya. Ini menunjukkan bahwa komitmen dan konsistensi sangat diperlukan dala</w:t>
      </w:r>
      <w:r w:rsidR="00E44005">
        <w:rPr>
          <w:lang w:val="en-US"/>
        </w:rPr>
        <w:t>m upaya menerapkan pengelolaan keuangan yang baik.</w:t>
      </w:r>
    </w:p>
    <w:p w14:paraId="11A066F3" w14:textId="02A2B394" w:rsidR="00EA0CA4" w:rsidRDefault="00EA0CA4" w:rsidP="000D64BD">
      <w:pPr>
        <w:spacing w:line="240" w:lineRule="auto"/>
        <w:rPr>
          <w:rFonts w:cs="Times New Roman"/>
          <w:lang w:val="en-US"/>
        </w:rPr>
      </w:pPr>
      <w:r>
        <w:rPr>
          <w:lang w:val="en-US"/>
        </w:rPr>
        <w:t xml:space="preserve">      Hipotesis ketiga dalam penelitian ini adalah teknologi keuangan berpengaruh positif terhadap kesejahteraan keuangan generasi z di Desa Donoharjo. </w:t>
      </w:r>
      <w:r w:rsidR="00E44005">
        <w:rPr>
          <w:lang w:val="en-US"/>
        </w:rPr>
        <w:t>Nilai signifikansi pada variabel teknologi keuangan adalah 0,130. Karena nilai signifikansi &gt; dari 0,05 maka teknologi keuangan tidak berpengaruh signifikan terhadap kesejahteraan keuangan generasi z di Desa Donoharjo. Intensitas penggunaan teknologi keuangan menandakan bahwa teknologi keuangan</w:t>
      </w:r>
      <w:r w:rsidR="00E44005">
        <w:rPr>
          <w:rFonts w:cs="Times New Roman"/>
          <w:lang w:val="en-US"/>
        </w:rPr>
        <w:t xml:space="preserve"> tersebut memiliki kualitas layanan yang baik dan banyaknya manfaat yang diterima oleh pengguna</w:t>
      </w:r>
      <w:r w:rsidR="00E44005">
        <w:rPr>
          <w:rFonts w:cs="Times New Roman"/>
          <w:lang w:val="en-US"/>
        </w:rPr>
        <w:t xml:space="preserve">. </w:t>
      </w:r>
      <w:r w:rsidR="00E44005">
        <w:rPr>
          <w:rFonts w:cs="Times New Roman"/>
          <w:lang w:val="en-US"/>
        </w:rPr>
        <w:t>Hadirnya teknologi keuangan membawa dampak negatif dan positif.</w:t>
      </w:r>
      <w:r w:rsidR="00E44005">
        <w:rPr>
          <w:rFonts w:cs="Times New Roman"/>
          <w:lang w:val="en-US"/>
        </w:rPr>
        <w:t xml:space="preserve"> </w:t>
      </w:r>
      <w:r w:rsidR="00E44005" w:rsidRPr="00E44005">
        <w:rPr>
          <w:rFonts w:cs="Times New Roman"/>
          <w:lang w:val="en-US"/>
        </w:rPr>
        <w:t xml:space="preserve">Dampak positif yang didapatkan dengan adanya teknologi keuangan adalah masyarakat dapat dengan mudah menabung dan berinvestasi, karena layanan keuangan ini dapat diakses dimana saja dan kapan saja melalui </w:t>
      </w:r>
      <w:r w:rsidR="00E44005" w:rsidRPr="00E44005">
        <w:rPr>
          <w:rFonts w:cs="Times New Roman"/>
          <w:i/>
          <w:iCs/>
          <w:lang w:val="en-US"/>
        </w:rPr>
        <w:t xml:space="preserve">smartphone </w:t>
      </w:r>
      <w:r w:rsidR="00E44005" w:rsidRPr="00E44005">
        <w:rPr>
          <w:rFonts w:cs="Times New Roman"/>
          <w:lang w:val="en-US"/>
        </w:rPr>
        <w:t>dengan biaya yang murah. Sedangkan dampak negatif dengan adanya teknologi keuangan adalah adanya kemudahan dalam melakukan pembayaran, menyebabkan  seseorang berperilaku konsumtif karena mereka bisa dengan mudah mengeluarkan uangnya dan tidak merasa mengeluarkan uang secara fisik.</w:t>
      </w:r>
    </w:p>
    <w:p w14:paraId="36CFEEE9" w14:textId="4E8DED97" w:rsidR="00E44005" w:rsidRDefault="00E44005" w:rsidP="000D64BD">
      <w:pPr>
        <w:spacing w:line="240" w:lineRule="auto"/>
        <w:rPr>
          <w:rFonts w:cs="Times New Roman"/>
          <w:lang w:val="en-US"/>
        </w:rPr>
      </w:pPr>
      <w:r>
        <w:rPr>
          <w:rFonts w:cs="Times New Roman"/>
          <w:lang w:val="en-US"/>
        </w:rPr>
        <w:t xml:space="preserve">      </w:t>
      </w:r>
      <w:r>
        <w:rPr>
          <w:rFonts w:cs="Times New Roman"/>
          <w:lang w:val="en-US"/>
        </w:rPr>
        <w:t xml:space="preserve">Jenis teknologi keuangan yang sudah diketahui dan selalu digunakan oleh generasi z di Desa Donoharjo adalah jenis teknologi keuangan yang digunakan untuk pembayaran seperti </w:t>
      </w:r>
      <w:r>
        <w:rPr>
          <w:rFonts w:cs="Times New Roman"/>
          <w:i/>
          <w:iCs/>
          <w:lang w:val="en-US"/>
        </w:rPr>
        <w:t xml:space="preserve">T-cash, Go – Pay, Ovo, Dana </w:t>
      </w:r>
      <w:r>
        <w:rPr>
          <w:rFonts w:cs="Times New Roman"/>
          <w:lang w:val="en-US"/>
        </w:rPr>
        <w:t xml:space="preserve">dan lainnya. Penggunaan teknologi keuangan ini hanya dimanfaatkan untuk kebutuhan yang bersifat konsumtif dan tidak menimbukan adanya keuntungan secara </w:t>
      </w:r>
      <w:r>
        <w:rPr>
          <w:rFonts w:cs="Times New Roman"/>
          <w:i/>
          <w:iCs/>
          <w:lang w:val="en-US"/>
        </w:rPr>
        <w:t xml:space="preserve">financial. </w:t>
      </w:r>
      <w:r>
        <w:rPr>
          <w:rFonts w:cs="Times New Roman"/>
          <w:lang w:val="en-US"/>
        </w:rPr>
        <w:t xml:space="preserve">Pemanfaatan teknologi keuangan secara tepat akan memberikan keuntungan secara </w:t>
      </w:r>
      <w:r>
        <w:rPr>
          <w:rFonts w:cs="Times New Roman"/>
          <w:i/>
          <w:iCs/>
          <w:lang w:val="en-US"/>
        </w:rPr>
        <w:t>financial</w:t>
      </w:r>
      <w:r>
        <w:rPr>
          <w:rFonts w:cs="Times New Roman"/>
          <w:lang w:val="en-US"/>
        </w:rPr>
        <w:t>.</w:t>
      </w:r>
      <w:r>
        <w:rPr>
          <w:rFonts w:cs="Times New Roman"/>
          <w:lang w:val="en-US"/>
        </w:rPr>
        <w:t xml:space="preserve"> </w:t>
      </w:r>
      <w:r w:rsidR="00A01B9D">
        <w:rPr>
          <w:rFonts w:cs="Times New Roman"/>
          <w:lang w:val="en-US"/>
        </w:rPr>
        <w:t xml:space="preserve">Pemanfaatan teknologi keuangan yang kurang tepat ini disebabkan karena generasi z masih takut untuk melakukan pinjaman modal usaha dan berinvestasi menggunakan teknologi yang ada. </w:t>
      </w:r>
      <w:r>
        <w:rPr>
          <w:rFonts w:cs="Times New Roman"/>
          <w:lang w:val="en-US"/>
        </w:rPr>
        <w:t xml:space="preserve">Kurangnya sosialisasi dari pemerintah desa setempat dan lembaga pendidikan terkait penggunaan teknologi keuangan secara produktif </w:t>
      </w:r>
      <w:r w:rsidR="00A01B9D">
        <w:rPr>
          <w:rFonts w:cs="Times New Roman"/>
          <w:lang w:val="en-US"/>
        </w:rPr>
        <w:t xml:space="preserve"> juga menyebabkan teknologi keuangan ini tidak dimanfaatkan dengan baik.</w:t>
      </w:r>
    </w:p>
    <w:p w14:paraId="35E0A501" w14:textId="0626E777" w:rsidR="00A01B9D" w:rsidRDefault="00A01B9D" w:rsidP="000D64BD">
      <w:pPr>
        <w:spacing w:line="240" w:lineRule="auto"/>
        <w:rPr>
          <w:rFonts w:cs="Times New Roman"/>
          <w:lang w:val="en-US"/>
        </w:rPr>
      </w:pPr>
    </w:p>
    <w:p w14:paraId="1D8A7A61" w14:textId="18AB20B9" w:rsidR="00A01B9D" w:rsidRDefault="00A01B9D" w:rsidP="000D64BD">
      <w:pPr>
        <w:spacing w:line="240" w:lineRule="auto"/>
        <w:rPr>
          <w:rFonts w:cs="Times New Roman"/>
          <w:b/>
          <w:bCs/>
          <w:lang w:val="en-US"/>
        </w:rPr>
      </w:pPr>
      <w:r>
        <w:rPr>
          <w:rFonts w:cs="Times New Roman"/>
          <w:b/>
          <w:bCs/>
          <w:lang w:val="en-US"/>
        </w:rPr>
        <w:t>PENUTUP</w:t>
      </w:r>
    </w:p>
    <w:p w14:paraId="7813276E" w14:textId="5BE328E1" w:rsidR="00A01B9D" w:rsidRDefault="00A01B9D" w:rsidP="000D64BD">
      <w:pPr>
        <w:spacing w:line="240" w:lineRule="auto"/>
        <w:rPr>
          <w:rFonts w:cs="Times New Roman"/>
          <w:b/>
          <w:bCs/>
          <w:lang w:val="en-US"/>
        </w:rPr>
      </w:pPr>
      <w:r>
        <w:rPr>
          <w:rFonts w:cs="Times New Roman"/>
          <w:b/>
          <w:bCs/>
          <w:lang w:val="en-US"/>
        </w:rPr>
        <w:t>Kesimpulan</w:t>
      </w:r>
    </w:p>
    <w:p w14:paraId="34A41801" w14:textId="791399E1" w:rsidR="00A01B9D" w:rsidRDefault="00A01B9D" w:rsidP="000D64BD">
      <w:pPr>
        <w:spacing w:line="240" w:lineRule="auto"/>
        <w:rPr>
          <w:rFonts w:cs="Times New Roman"/>
          <w:lang w:val="en-US"/>
        </w:rPr>
      </w:pPr>
      <w:r>
        <w:rPr>
          <w:rFonts w:cs="Times New Roman"/>
          <w:lang w:val="en-US"/>
        </w:rPr>
        <w:t xml:space="preserve">      Secara umum penelitian ini bertujuan untuk mengetahui pengaruh literasi keuangan, perilaku keuangan dan teknologi keuangan terhadap kesejahteraan keuangan generasi z di Desa Donoharjo. Berdasarkan pengembangan hipotesis dan serangkaian pengujian yang telah dilakukan oleh peneliti, maka dapat disimpulkan beberapa hasil dari penelitian ini. Hasil dari penelitian ini menunjukkan bahwa hipotesis pertama dalam penelitian ini diterima yang artinya literasi keuangan berpengaruh terhadap kesejahteraan keuangan generasi z di Desa Donoharjo. Hasil pengujian pada hipotesis kedua menunjukan bahwa perilaku keuangan berpengaruh positif terhadap kesejahteraan keuangan generasi z di Desa Donoharjo</w:t>
      </w:r>
      <w:r w:rsidR="000821F0">
        <w:rPr>
          <w:rFonts w:cs="Times New Roman"/>
          <w:lang w:val="en-US"/>
        </w:rPr>
        <w:t xml:space="preserve">, sehingga </w:t>
      </w:r>
      <w:r w:rsidR="000821F0">
        <w:rPr>
          <w:rFonts w:cs="Times New Roman"/>
          <w:lang w:val="en-US"/>
        </w:rPr>
        <w:lastRenderedPageBreak/>
        <w:t>hipotesis kedua dalam penelitian ini diterima. Selain itu, hasil pengujian hipotesis ketiga menunjukkan hasil bahwa teknologi keuangan tidak berpengaruh positif terhadap kesejahteraan keuangan generasi z di Desa Donoharjo, sehingga hipotesis ketiga dalam penelitian ini ditolak.</w:t>
      </w:r>
    </w:p>
    <w:p w14:paraId="00033544" w14:textId="6C93F8E9" w:rsidR="000821F0" w:rsidRDefault="000821F0" w:rsidP="000D64BD">
      <w:pPr>
        <w:spacing w:line="240" w:lineRule="auto"/>
        <w:rPr>
          <w:rFonts w:cs="Times New Roman"/>
          <w:b/>
          <w:bCs/>
          <w:lang w:val="en-US"/>
        </w:rPr>
      </w:pPr>
      <w:r>
        <w:rPr>
          <w:rFonts w:cs="Times New Roman"/>
          <w:b/>
          <w:bCs/>
          <w:lang w:val="en-US"/>
        </w:rPr>
        <w:t>Saran</w:t>
      </w:r>
    </w:p>
    <w:p w14:paraId="03C0FFA1" w14:textId="4C55FF58" w:rsidR="000821F0" w:rsidRDefault="000821F0" w:rsidP="000D64BD">
      <w:pPr>
        <w:spacing w:line="240" w:lineRule="auto"/>
        <w:rPr>
          <w:rFonts w:cs="Times New Roman"/>
          <w:lang w:val="en-US"/>
        </w:rPr>
      </w:pPr>
      <w:r>
        <w:rPr>
          <w:rFonts w:cs="Times New Roman"/>
          <w:lang w:val="en-US"/>
        </w:rPr>
        <w:t xml:space="preserve">      Berdasarkan hasil penelitian ini, beberapa saran yang dapat diberikan adalah sebaiknya lembaga pendidikan dan pemerintah desa setempat bekerja sama memberikan sosialisasi terkait pemanfaataan teknologi keungan untuk kebutuhan yang bersifat produktif. Bagi penelitian selanjutnya dapat menambahkan variabel pemahaman terhadap teknologi keuangan, sehingga industri teknologi keuangan dapat melaksankan perannya untuk meningkatkan kesejahterann keuangan masyarakat.</w:t>
      </w:r>
    </w:p>
    <w:p w14:paraId="1A31BC52" w14:textId="42AAD786" w:rsidR="000821F0" w:rsidRDefault="000821F0" w:rsidP="000D64BD">
      <w:pPr>
        <w:spacing w:line="240" w:lineRule="auto"/>
        <w:rPr>
          <w:rFonts w:cs="Times New Roman"/>
          <w:b/>
          <w:bCs/>
          <w:lang w:val="en-US"/>
        </w:rPr>
      </w:pPr>
      <w:r>
        <w:rPr>
          <w:rFonts w:cs="Times New Roman"/>
          <w:b/>
          <w:bCs/>
          <w:lang w:val="en-US"/>
        </w:rPr>
        <w:t xml:space="preserve">Keterbatasan Penelitian </w:t>
      </w:r>
    </w:p>
    <w:p w14:paraId="2BD1E257" w14:textId="64DD2E1D" w:rsidR="00AB622F" w:rsidRDefault="000821F0" w:rsidP="000D64BD">
      <w:pPr>
        <w:spacing w:line="240" w:lineRule="auto"/>
        <w:rPr>
          <w:rFonts w:cs="Times New Roman"/>
          <w:lang w:val="en-US"/>
        </w:rPr>
      </w:pPr>
      <w:r>
        <w:rPr>
          <w:rFonts w:cs="Times New Roman"/>
          <w:lang w:val="en-US"/>
        </w:rPr>
        <w:t xml:space="preserve">      Selama melakukan penelitian ini, peneliti mengalami beberapa keterbatasan karena pelaksanaan penelitian dilakukan pada saat pandemi COVID – 19. Akibatnya dalam proses penyebaran kuisioner dilakukan dengan cara menitipkannya kepada </w:t>
      </w:r>
      <w:r w:rsidR="00AB622F">
        <w:rPr>
          <w:rFonts w:cs="Times New Roman"/>
          <w:lang w:val="en-US"/>
        </w:rPr>
        <w:t>Ketua Karang Taruna dan generasi z yang ada di Desa Donoharjo. Hal ini menyebabkan kurangnya interaksi secara langsung dengan responden yang terkait dan waktu tunggu untuk mendapatkan jumlah responden yang dibutuhkan menjadi cukup lama.</w:t>
      </w:r>
    </w:p>
    <w:p w14:paraId="45126DA1" w14:textId="69126A94" w:rsidR="00AB622F" w:rsidRDefault="00AB622F" w:rsidP="000D64BD">
      <w:pPr>
        <w:spacing w:line="240" w:lineRule="auto"/>
        <w:rPr>
          <w:rFonts w:cs="Times New Roman"/>
          <w:b/>
          <w:bCs/>
          <w:lang w:val="en-US"/>
        </w:rPr>
      </w:pPr>
      <w:r>
        <w:rPr>
          <w:rFonts w:cs="Times New Roman"/>
          <w:b/>
          <w:bCs/>
          <w:lang w:val="en-US"/>
        </w:rPr>
        <w:t>DAFTAR PUSTAKA</w:t>
      </w:r>
    </w:p>
    <w:p w14:paraId="65CBD9F4" w14:textId="610BA075"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Pr>
          <w:rFonts w:cs="Times New Roman"/>
          <w:lang w:val="en-US"/>
        </w:rPr>
        <w:fldChar w:fldCharType="begin" w:fldLock="1"/>
      </w:r>
      <w:r>
        <w:rPr>
          <w:rFonts w:cs="Times New Roman"/>
          <w:lang w:val="en-US"/>
        </w:rPr>
        <w:instrText xml:space="preserve">ADDIN Mendeley Bibliography CSL_BIBLIOGRAPHY </w:instrText>
      </w:r>
      <w:r>
        <w:rPr>
          <w:rFonts w:cs="Times New Roman"/>
          <w:lang w:val="en-US"/>
        </w:rPr>
        <w:fldChar w:fldCharType="separate"/>
      </w:r>
      <w:r w:rsidRPr="00AB622F">
        <w:rPr>
          <w:rFonts w:cs="Times New Roman"/>
          <w:noProof/>
          <w:szCs w:val="24"/>
        </w:rPr>
        <w:t xml:space="preserve">Adrian, F. (2020). </w:t>
      </w:r>
      <w:r w:rsidRPr="00AB622F">
        <w:rPr>
          <w:rFonts w:cs="Times New Roman"/>
          <w:i/>
          <w:iCs/>
          <w:noProof/>
          <w:szCs w:val="24"/>
        </w:rPr>
        <w:t>Karakteristik Generasi Z Di Yogyakarta Tahun 2019 Karakteristik Generasi Z Di Yogyakarta Tahun 2019</w:t>
      </w:r>
      <w:r w:rsidRPr="00AB622F">
        <w:rPr>
          <w:rFonts w:cs="Times New Roman"/>
          <w:noProof/>
          <w:szCs w:val="24"/>
        </w:rPr>
        <w:t>.</w:t>
      </w:r>
    </w:p>
    <w:p w14:paraId="58754B64"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BAPPENAS. (2019). Rencana Kerja Pemerintah Tahun 2019. </w:t>
      </w:r>
      <w:r w:rsidRPr="00AB622F">
        <w:rPr>
          <w:rFonts w:cs="Times New Roman"/>
          <w:i/>
          <w:iCs/>
          <w:noProof/>
          <w:szCs w:val="24"/>
        </w:rPr>
        <w:t>Pemerataan Pembangunan Untuk Pertumbuhan Berkualitas</w:t>
      </w:r>
      <w:r w:rsidRPr="00AB622F">
        <w:rPr>
          <w:rFonts w:cs="Times New Roman"/>
          <w:noProof/>
          <w:szCs w:val="24"/>
        </w:rPr>
        <w:t>.</w:t>
      </w:r>
    </w:p>
    <w:p w14:paraId="26DA2ECB"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Bilal, M., &amp; Zulfiqar, M. (2016). Financial Wellbeing is the Goal of Financial Literacy. </w:t>
      </w:r>
      <w:r w:rsidRPr="00AB622F">
        <w:rPr>
          <w:rFonts w:cs="Times New Roman"/>
          <w:i/>
          <w:iCs/>
          <w:noProof/>
          <w:szCs w:val="24"/>
        </w:rPr>
        <w:t>Research Journal of Finance and Accounting</w:t>
      </w:r>
      <w:r w:rsidRPr="00AB622F">
        <w:rPr>
          <w:rFonts w:cs="Times New Roman"/>
          <w:noProof/>
          <w:szCs w:val="24"/>
        </w:rPr>
        <w:t>.</w:t>
      </w:r>
    </w:p>
    <w:p w14:paraId="1B41F811" w14:textId="031B51B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BPS. (2017).</w:t>
      </w:r>
      <w:r w:rsidR="009A0380" w:rsidRPr="009A0380">
        <w:rPr>
          <w:rFonts w:cs="Times New Roman"/>
          <w:noProof/>
          <w:szCs w:val="24"/>
        </w:rPr>
        <w:t xml:space="preserve"> </w:t>
      </w:r>
      <w:r w:rsidR="009A0380" w:rsidRPr="00CD2996">
        <w:rPr>
          <w:rFonts w:cs="Times New Roman"/>
          <w:noProof/>
          <w:szCs w:val="24"/>
        </w:rPr>
        <w:t>Kecamatan Ngaglik Dalam Angka. 2017 Ngaglik District In Figures</w:t>
      </w:r>
      <w:r w:rsidR="009A0380">
        <w:rPr>
          <w:rFonts w:cs="Times New Roman"/>
          <w:noProof/>
          <w:szCs w:val="24"/>
          <w:lang w:val="en-US"/>
        </w:rPr>
        <w:t>.2017</w:t>
      </w:r>
      <w:r w:rsidRPr="00AB622F">
        <w:rPr>
          <w:rFonts w:cs="Times New Roman"/>
          <w:noProof/>
          <w:szCs w:val="24"/>
        </w:rPr>
        <w:t>.</w:t>
      </w:r>
    </w:p>
    <w:p w14:paraId="4CD6613E"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Carlin, B., Olafsson, A., &amp; Pagel, M. (2018). FinTech and Consumer Well-Being in the Information Age. </w:t>
      </w:r>
      <w:r w:rsidRPr="00AB622F">
        <w:rPr>
          <w:rFonts w:cs="Times New Roman"/>
          <w:i/>
          <w:iCs/>
          <w:noProof/>
          <w:szCs w:val="24"/>
        </w:rPr>
        <w:t>Manuscript</w:t>
      </w:r>
      <w:r w:rsidRPr="00AB622F">
        <w:rPr>
          <w:rFonts w:cs="Times New Roman"/>
          <w:noProof/>
          <w:szCs w:val="24"/>
        </w:rPr>
        <w:t>.</w:t>
      </w:r>
    </w:p>
    <w:p w14:paraId="575D62C9" w14:textId="4EF5134D"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Cecilia, M. (2020).</w:t>
      </w:r>
      <w:r w:rsidR="009A0380" w:rsidRPr="009A0380">
        <w:rPr>
          <w:rFonts w:cs="Times New Roman"/>
          <w:noProof/>
          <w:szCs w:val="24"/>
        </w:rPr>
        <w:t xml:space="preserve"> </w:t>
      </w:r>
      <w:r w:rsidR="009A0380" w:rsidRPr="00CD2996">
        <w:rPr>
          <w:rFonts w:cs="Times New Roman"/>
          <w:noProof/>
          <w:szCs w:val="24"/>
        </w:rPr>
        <w:t>Kecamatan Ngaglik Dalam Angka. 2017 Ngaglik District In Figures</w:t>
      </w:r>
      <w:r w:rsidR="009A0380">
        <w:rPr>
          <w:rFonts w:cs="Times New Roman"/>
          <w:noProof/>
          <w:szCs w:val="24"/>
          <w:lang w:val="en-US"/>
        </w:rPr>
        <w:t>.2017</w:t>
      </w:r>
      <w:r w:rsidRPr="00AB622F">
        <w:rPr>
          <w:rFonts w:cs="Times New Roman"/>
          <w:noProof/>
          <w:szCs w:val="24"/>
        </w:rPr>
        <w:t>. 2020.</w:t>
      </w:r>
    </w:p>
    <w:p w14:paraId="34A39C00"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Fazli Sabri, M., Cook, C. C., &amp; Gudmunson, C. G. (2015). Financial well‐being of Malaysian college students. </w:t>
      </w:r>
      <w:r w:rsidRPr="00AB622F">
        <w:rPr>
          <w:rFonts w:cs="Times New Roman"/>
          <w:i/>
          <w:iCs/>
          <w:noProof/>
          <w:szCs w:val="24"/>
        </w:rPr>
        <w:t>Asian Education and Development Studies</w:t>
      </w:r>
      <w:r w:rsidRPr="00AB622F">
        <w:rPr>
          <w:rFonts w:cs="Times New Roman"/>
          <w:noProof/>
          <w:szCs w:val="24"/>
        </w:rPr>
        <w:t>. https://doi.org/10.1108/20463161211240124</w:t>
      </w:r>
    </w:p>
    <w:p w14:paraId="03A483D2"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Frost, J., Gambac</w:t>
      </w:r>
      <w:bookmarkStart w:id="5" w:name="_GoBack"/>
      <w:bookmarkEnd w:id="5"/>
      <w:r w:rsidRPr="00AB622F">
        <w:rPr>
          <w:rFonts w:cs="Times New Roman"/>
          <w:noProof/>
          <w:szCs w:val="24"/>
        </w:rPr>
        <w:t xml:space="preserve">orta, L., Huang, Y., Shin, H. S., &amp; Zbinden, P. (2020). BigTech and the changing structure of financial intermediation. </w:t>
      </w:r>
      <w:r w:rsidRPr="00AB622F">
        <w:rPr>
          <w:rFonts w:cs="Times New Roman"/>
          <w:i/>
          <w:iCs/>
          <w:noProof/>
          <w:szCs w:val="24"/>
        </w:rPr>
        <w:t>Economic Policy</w:t>
      </w:r>
      <w:r w:rsidRPr="00AB622F">
        <w:rPr>
          <w:rFonts w:cs="Times New Roman"/>
          <w:noProof/>
          <w:szCs w:val="24"/>
        </w:rPr>
        <w:t>. https://doi.org/10.1093/epolic/eiaa003</w:t>
      </w:r>
    </w:p>
    <w:p w14:paraId="5961BE45"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lastRenderedPageBreak/>
        <w:t xml:space="preserve">Ghozali, I. (2018). Aplikasi Analisis Multivariate dengan Program IBM SPSS. Yogyakarta: Universitas Diponegoro. </w:t>
      </w:r>
      <w:r w:rsidRPr="00AB622F">
        <w:rPr>
          <w:rFonts w:cs="Times New Roman"/>
          <w:i/>
          <w:iCs/>
          <w:noProof/>
          <w:szCs w:val="24"/>
        </w:rPr>
        <w:t>(Edisi 9). Semarang: Badan Penerbit Universitas Diponegoro</w:t>
      </w:r>
      <w:r w:rsidRPr="00AB622F">
        <w:rPr>
          <w:rFonts w:cs="Times New Roman"/>
          <w:noProof/>
          <w:szCs w:val="24"/>
        </w:rPr>
        <w:t>.</w:t>
      </w:r>
    </w:p>
    <w:p w14:paraId="15CD32A3"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Gimpel, H., Rau, D., &amp; Röglinger, M. (2018). Understanding FinTech start-ups – a taxonomy of consumer-oriented service offerings. </w:t>
      </w:r>
      <w:r w:rsidRPr="00AB622F">
        <w:rPr>
          <w:rFonts w:cs="Times New Roman"/>
          <w:i/>
          <w:iCs/>
          <w:noProof/>
          <w:szCs w:val="24"/>
        </w:rPr>
        <w:t>Electronic Markets</w:t>
      </w:r>
      <w:r w:rsidRPr="00AB622F">
        <w:rPr>
          <w:rFonts w:cs="Times New Roman"/>
          <w:noProof/>
          <w:szCs w:val="24"/>
        </w:rPr>
        <w:t>. https://doi.org/10.1007/s12525-017-0275-0</w:t>
      </w:r>
    </w:p>
    <w:p w14:paraId="7C1C5B52"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Hadad, M. M. (2017). Financial Technology ( FinTech ) di Indonesia. In </w:t>
      </w:r>
      <w:r w:rsidRPr="00AB622F">
        <w:rPr>
          <w:rFonts w:cs="Times New Roman"/>
          <w:i/>
          <w:iCs/>
          <w:noProof/>
          <w:szCs w:val="24"/>
        </w:rPr>
        <w:t>ibs.ac.id</w:t>
      </w:r>
      <w:r w:rsidRPr="00AB622F">
        <w:rPr>
          <w:rFonts w:cs="Times New Roman"/>
          <w:noProof/>
          <w:szCs w:val="24"/>
        </w:rPr>
        <w:t>.</w:t>
      </w:r>
    </w:p>
    <w:p w14:paraId="66E85D43"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Humaira, I., &amp; Sagoro, E. M. (2018). Pengaruh Pengetahuan Keuangan, Sikap Keuangan, Dan Kepribadian Terhadap Perilaku Manajemen Keuangan Pada Pelaku Umkm Sentra Kerajinan Batik Kabupaten Bantul. </w:t>
      </w:r>
      <w:r w:rsidRPr="00AB622F">
        <w:rPr>
          <w:rFonts w:cs="Times New Roman"/>
          <w:i/>
          <w:iCs/>
          <w:noProof/>
          <w:szCs w:val="24"/>
        </w:rPr>
        <w:t>Nominal, Barometer Riset Akuntansi Dan Manajemen</w:t>
      </w:r>
      <w:r w:rsidRPr="00AB622F">
        <w:rPr>
          <w:rFonts w:cs="Times New Roman"/>
          <w:noProof/>
          <w:szCs w:val="24"/>
        </w:rPr>
        <w:t xml:space="preserve">, </w:t>
      </w:r>
      <w:r w:rsidRPr="00AB622F">
        <w:rPr>
          <w:rFonts w:cs="Times New Roman"/>
          <w:i/>
          <w:iCs/>
          <w:noProof/>
          <w:szCs w:val="24"/>
        </w:rPr>
        <w:t>7</w:t>
      </w:r>
      <w:r w:rsidRPr="00AB622F">
        <w:rPr>
          <w:rFonts w:cs="Times New Roman"/>
          <w:noProof/>
          <w:szCs w:val="24"/>
        </w:rPr>
        <w:t>(1). https://doi.org/10.21831/nominal.v7i1.19363</w:t>
      </w:r>
    </w:p>
    <w:p w14:paraId="7B4EB292" w14:textId="37FB9EE4"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John W. Santrock. (2017). L</w:t>
      </w:r>
      <w:r>
        <w:rPr>
          <w:rFonts w:cs="Times New Roman"/>
          <w:noProof/>
          <w:szCs w:val="24"/>
          <w:lang w:val="en-US"/>
        </w:rPr>
        <w:t>ife</w:t>
      </w:r>
      <w:r w:rsidRPr="00AB622F">
        <w:rPr>
          <w:rFonts w:cs="Times New Roman"/>
          <w:noProof/>
          <w:szCs w:val="24"/>
        </w:rPr>
        <w:t>-S</w:t>
      </w:r>
      <w:r w:rsidR="009A0380">
        <w:rPr>
          <w:rFonts w:cs="Times New Roman"/>
          <w:noProof/>
          <w:szCs w:val="24"/>
          <w:lang w:val="en-US"/>
        </w:rPr>
        <w:t xml:space="preserve">pan </w:t>
      </w:r>
      <w:r w:rsidRPr="00AB622F">
        <w:rPr>
          <w:rFonts w:cs="Times New Roman"/>
          <w:noProof/>
          <w:szCs w:val="24"/>
        </w:rPr>
        <w:t xml:space="preserve">Development (13th ed.). In </w:t>
      </w:r>
      <w:r w:rsidRPr="00AB622F">
        <w:rPr>
          <w:rFonts w:cs="Times New Roman"/>
          <w:i/>
          <w:iCs/>
          <w:noProof/>
          <w:szCs w:val="24"/>
        </w:rPr>
        <w:t>McGraw-Hill</w:t>
      </w:r>
      <w:r w:rsidRPr="00AB622F">
        <w:rPr>
          <w:rFonts w:cs="Times New Roman"/>
          <w:noProof/>
          <w:szCs w:val="24"/>
        </w:rPr>
        <w:t>.</w:t>
      </w:r>
    </w:p>
    <w:p w14:paraId="15258613"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Margaretha, F., &amp; Pambudhi, R. A. (2015). Tingkat Literasi Keuangan Pada Mahasiswa S-1. </w:t>
      </w:r>
      <w:r w:rsidRPr="00AB622F">
        <w:rPr>
          <w:rFonts w:cs="Times New Roman"/>
          <w:i/>
          <w:iCs/>
          <w:noProof/>
          <w:szCs w:val="24"/>
        </w:rPr>
        <w:t>Tingkat Literasi Keuangan Pada Mahasiswa S-1 Fakultas Ekonomi</w:t>
      </w:r>
      <w:r w:rsidRPr="00AB622F">
        <w:rPr>
          <w:rFonts w:cs="Times New Roman"/>
          <w:noProof/>
          <w:szCs w:val="24"/>
        </w:rPr>
        <w:t>.</w:t>
      </w:r>
    </w:p>
    <w:p w14:paraId="5B954444" w14:textId="396362C9"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Martha, L., &amp; Suzanne, V.-F. (2017). L</w:t>
      </w:r>
      <w:r>
        <w:rPr>
          <w:rFonts w:cs="Times New Roman"/>
          <w:noProof/>
          <w:szCs w:val="24"/>
          <w:lang w:val="en-US"/>
        </w:rPr>
        <w:t>ife Span</w:t>
      </w:r>
      <w:r w:rsidRPr="00AB622F">
        <w:rPr>
          <w:rFonts w:cs="Times New Roman"/>
          <w:noProof/>
          <w:szCs w:val="24"/>
        </w:rPr>
        <w:t xml:space="preserve"> D</w:t>
      </w:r>
      <w:r>
        <w:rPr>
          <w:rFonts w:cs="Times New Roman"/>
          <w:noProof/>
          <w:szCs w:val="24"/>
          <w:lang w:val="en-US"/>
        </w:rPr>
        <w:t>evelopment</w:t>
      </w:r>
      <w:r w:rsidRPr="00AB622F">
        <w:rPr>
          <w:rFonts w:cs="Times New Roman"/>
          <w:noProof/>
          <w:szCs w:val="24"/>
        </w:rPr>
        <w:t xml:space="preserve">: A Psychological Perspective. </w:t>
      </w:r>
      <w:r w:rsidRPr="00AB622F">
        <w:rPr>
          <w:rFonts w:cs="Times New Roman"/>
          <w:i/>
          <w:iCs/>
          <w:noProof/>
          <w:szCs w:val="24"/>
        </w:rPr>
        <w:t>PsycCRITIQUES</w:t>
      </w:r>
      <w:r w:rsidRPr="00AB622F">
        <w:rPr>
          <w:rFonts w:cs="Times New Roman"/>
          <w:noProof/>
          <w:szCs w:val="24"/>
        </w:rPr>
        <w:t>.</w:t>
      </w:r>
    </w:p>
    <w:p w14:paraId="0868DBD8"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Mohamed, N. A. (2017). Financial socialization: a cornerstone for young employees’ financial well-being. </w:t>
      </w:r>
      <w:r w:rsidRPr="00AB622F">
        <w:rPr>
          <w:rFonts w:cs="Times New Roman"/>
          <w:i/>
          <w:iCs/>
          <w:noProof/>
          <w:szCs w:val="24"/>
        </w:rPr>
        <w:t>Reports on Economics and Finance</w:t>
      </w:r>
      <w:r w:rsidRPr="00AB622F">
        <w:rPr>
          <w:rFonts w:cs="Times New Roman"/>
          <w:noProof/>
          <w:szCs w:val="24"/>
        </w:rPr>
        <w:t>. https://doi.org/10.12988/ref.2017.711</w:t>
      </w:r>
    </w:p>
    <w:p w14:paraId="39C6999A"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Muir, K., Hamilton, M., Noone, J. H., Marjolin, A., Salignac, F., &amp; Saunders, P. (2017). Exploring Financial Wellbeing in the Australian Context. </w:t>
      </w:r>
      <w:r w:rsidRPr="00AB622F">
        <w:rPr>
          <w:rFonts w:cs="Times New Roman"/>
          <w:i/>
          <w:iCs/>
          <w:noProof/>
          <w:szCs w:val="24"/>
        </w:rPr>
        <w:t>Centre for Social Impact &amp; Social Policy Research Centre</w:t>
      </w:r>
      <w:r w:rsidRPr="00AB622F">
        <w:rPr>
          <w:rFonts w:cs="Times New Roman"/>
          <w:noProof/>
          <w:szCs w:val="24"/>
        </w:rPr>
        <w:t>.</w:t>
      </w:r>
    </w:p>
    <w:p w14:paraId="12FF8243"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Ningtyas, M. N. (2019). Literasi Keuangan pada Generasi Milenial. </w:t>
      </w:r>
      <w:r w:rsidRPr="00AB622F">
        <w:rPr>
          <w:rFonts w:cs="Times New Roman"/>
          <w:i/>
          <w:iCs/>
          <w:noProof/>
          <w:szCs w:val="24"/>
        </w:rPr>
        <w:t>Jurnal Ilmiah Bisnis Dan Ekonomi Asia</w:t>
      </w:r>
      <w:r w:rsidRPr="00AB622F">
        <w:rPr>
          <w:rFonts w:cs="Times New Roman"/>
          <w:noProof/>
          <w:szCs w:val="24"/>
        </w:rPr>
        <w:t>. https://doi.org/10.32812/jibeka.v13i1.111</w:t>
      </w:r>
    </w:p>
    <w:p w14:paraId="6F350B98"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OJK. (2017). OJK: Indeks Literasi Dan Inklusi Keuangan Meningkat. </w:t>
      </w:r>
      <w:r w:rsidRPr="00AB622F">
        <w:rPr>
          <w:rFonts w:cs="Times New Roman"/>
          <w:i/>
          <w:iCs/>
          <w:noProof/>
          <w:szCs w:val="24"/>
        </w:rPr>
        <w:t>Ojk</w:t>
      </w:r>
      <w:r w:rsidRPr="00AB622F">
        <w:rPr>
          <w:rFonts w:cs="Times New Roman"/>
          <w:noProof/>
          <w:szCs w:val="24"/>
        </w:rPr>
        <w:t>.</w:t>
      </w:r>
    </w:p>
    <w:p w14:paraId="610ABC74"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OJK. (2019). Siaran Pers Survei OJK 2019: Indeks Literasi Dan Inklusi Keuangan Meningkat. </w:t>
      </w:r>
      <w:r w:rsidRPr="00AB622F">
        <w:rPr>
          <w:rFonts w:cs="Times New Roman"/>
          <w:i/>
          <w:iCs/>
          <w:noProof/>
          <w:szCs w:val="24"/>
        </w:rPr>
        <w:t>Sp 58/Dhms/Ojk/Xi/2019</w:t>
      </w:r>
      <w:r w:rsidRPr="00AB622F">
        <w:rPr>
          <w:rFonts w:cs="Times New Roman"/>
          <w:noProof/>
          <w:szCs w:val="24"/>
        </w:rPr>
        <w:t>.</w:t>
      </w:r>
    </w:p>
    <w:p w14:paraId="73ECA041"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OJK. (2020). </w:t>
      </w:r>
      <w:r w:rsidRPr="00AB622F">
        <w:rPr>
          <w:rFonts w:cs="Times New Roman"/>
          <w:i/>
          <w:iCs/>
          <w:noProof/>
          <w:szCs w:val="24"/>
        </w:rPr>
        <w:t>Statistik Fintech Layanan Pinjam Meminjam Uang Berbasis Teknologi Informasi</w:t>
      </w:r>
      <w:r w:rsidRPr="00AB622F">
        <w:rPr>
          <w:rFonts w:cs="Times New Roman"/>
          <w:noProof/>
          <w:szCs w:val="24"/>
        </w:rPr>
        <w:t xml:space="preserve">. </w:t>
      </w:r>
      <w:r w:rsidRPr="00AB622F">
        <w:rPr>
          <w:rFonts w:cs="Times New Roman"/>
          <w:i/>
          <w:iCs/>
          <w:noProof/>
          <w:szCs w:val="24"/>
        </w:rPr>
        <w:t>September</w:t>
      </w:r>
      <w:r w:rsidRPr="00AB622F">
        <w:rPr>
          <w:rFonts w:cs="Times New Roman"/>
          <w:noProof/>
          <w:szCs w:val="24"/>
        </w:rPr>
        <w:t>. https://www.ojk.go.id/id/kanal/iknb/data-dan-statistik/fintech/Pages/Statistik-Fintech-Lending-Maret-2020.aspx</w:t>
      </w:r>
    </w:p>
    <w:p w14:paraId="57CCCFF4"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Panos, G. A., &amp; Wilson, J. O. S. (2020). Financial literacy and responsible finance in the FinTech era: capabilities and challenges. In </w:t>
      </w:r>
      <w:r w:rsidRPr="00AB622F">
        <w:rPr>
          <w:rFonts w:cs="Times New Roman"/>
          <w:i/>
          <w:iCs/>
          <w:noProof/>
          <w:szCs w:val="24"/>
        </w:rPr>
        <w:t>European Journal of Finance</w:t>
      </w:r>
      <w:r w:rsidRPr="00AB622F">
        <w:rPr>
          <w:rFonts w:cs="Times New Roman"/>
          <w:noProof/>
          <w:szCs w:val="24"/>
        </w:rPr>
        <w:t>. https://doi.org/10.1080/1351847X.2020.1717569</w:t>
      </w:r>
    </w:p>
    <w:p w14:paraId="6752A4AC"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Qamar, M. A. J., Khemta, M. A. N., &amp; Jamil, H. (2016). How Knowledge and Financial Self-Efficacy Moderate the Relationship between Money Attitudes and Personal Financial Management Behavior. </w:t>
      </w:r>
      <w:r w:rsidRPr="00AB622F">
        <w:rPr>
          <w:rFonts w:cs="Times New Roman"/>
          <w:i/>
          <w:iCs/>
          <w:noProof/>
          <w:szCs w:val="24"/>
        </w:rPr>
        <w:t xml:space="preserve">European Online Journal of </w:t>
      </w:r>
      <w:r w:rsidRPr="00AB622F">
        <w:rPr>
          <w:rFonts w:cs="Times New Roman"/>
          <w:i/>
          <w:iCs/>
          <w:noProof/>
          <w:szCs w:val="24"/>
        </w:rPr>
        <w:lastRenderedPageBreak/>
        <w:t>Natural and Social Sciences</w:t>
      </w:r>
      <w:r w:rsidRPr="00AB622F">
        <w:rPr>
          <w:rFonts w:cs="Times New Roman"/>
          <w:noProof/>
          <w:szCs w:val="24"/>
        </w:rPr>
        <w:t>.</w:t>
      </w:r>
    </w:p>
    <w:p w14:paraId="68843CF0" w14:textId="21F6F80C"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Rahayu, A. S. (2019). </w:t>
      </w:r>
      <w:r w:rsidRPr="007D2B70">
        <w:rPr>
          <w:rFonts w:cs="Times New Roman"/>
          <w:noProof/>
          <w:szCs w:val="24"/>
        </w:rPr>
        <w:t>P</w:t>
      </w:r>
      <w:r>
        <w:rPr>
          <w:rFonts w:cs="Times New Roman"/>
          <w:noProof/>
          <w:szCs w:val="24"/>
          <w:lang w:val="en-US"/>
        </w:rPr>
        <w:t>engaruh</w:t>
      </w:r>
      <w:r w:rsidRPr="007D2B70">
        <w:rPr>
          <w:rFonts w:cs="Times New Roman"/>
          <w:noProof/>
          <w:szCs w:val="24"/>
        </w:rPr>
        <w:t xml:space="preserve"> L</w:t>
      </w:r>
      <w:r>
        <w:rPr>
          <w:rFonts w:cs="Times New Roman"/>
          <w:noProof/>
          <w:szCs w:val="24"/>
          <w:lang w:val="en-US"/>
        </w:rPr>
        <w:t>iterasi</w:t>
      </w:r>
      <w:r w:rsidRPr="007D2B70">
        <w:rPr>
          <w:rFonts w:cs="Times New Roman"/>
          <w:noProof/>
          <w:szCs w:val="24"/>
        </w:rPr>
        <w:t xml:space="preserve"> K</w:t>
      </w:r>
      <w:r>
        <w:rPr>
          <w:rFonts w:cs="Times New Roman"/>
          <w:noProof/>
          <w:szCs w:val="24"/>
          <w:lang w:val="en-US"/>
        </w:rPr>
        <w:t>euangan</w:t>
      </w:r>
      <w:r w:rsidRPr="007D2B70">
        <w:rPr>
          <w:rFonts w:cs="Times New Roman"/>
          <w:noProof/>
          <w:szCs w:val="24"/>
        </w:rPr>
        <w:t>, K</w:t>
      </w:r>
      <w:r>
        <w:rPr>
          <w:rFonts w:cs="Times New Roman"/>
          <w:noProof/>
          <w:szCs w:val="24"/>
          <w:lang w:val="en-US"/>
        </w:rPr>
        <w:t>endali</w:t>
      </w:r>
      <w:r w:rsidRPr="007D2B70">
        <w:rPr>
          <w:rFonts w:cs="Times New Roman"/>
          <w:noProof/>
          <w:szCs w:val="24"/>
        </w:rPr>
        <w:t xml:space="preserve"> D</w:t>
      </w:r>
      <w:r>
        <w:rPr>
          <w:rFonts w:cs="Times New Roman"/>
          <w:noProof/>
          <w:szCs w:val="24"/>
          <w:lang w:val="en-US"/>
        </w:rPr>
        <w:t>iri</w:t>
      </w:r>
      <w:r w:rsidRPr="007D2B70">
        <w:rPr>
          <w:rFonts w:cs="Times New Roman"/>
          <w:noProof/>
          <w:szCs w:val="24"/>
        </w:rPr>
        <w:t>, O</w:t>
      </w:r>
      <w:r>
        <w:rPr>
          <w:rFonts w:cs="Times New Roman"/>
          <w:noProof/>
          <w:szCs w:val="24"/>
          <w:lang w:val="en-US"/>
        </w:rPr>
        <w:t>ptimisme</w:t>
      </w:r>
      <w:r w:rsidRPr="007D2B70">
        <w:rPr>
          <w:rFonts w:cs="Times New Roman"/>
          <w:noProof/>
          <w:szCs w:val="24"/>
        </w:rPr>
        <w:t xml:space="preserve"> D</w:t>
      </w:r>
      <w:r>
        <w:rPr>
          <w:rFonts w:cs="Times New Roman"/>
          <w:noProof/>
          <w:szCs w:val="24"/>
          <w:lang w:val="en-US"/>
        </w:rPr>
        <w:t xml:space="preserve">an </w:t>
      </w:r>
      <w:r w:rsidRPr="007D2B70">
        <w:rPr>
          <w:rFonts w:cs="Times New Roman"/>
          <w:noProof/>
          <w:szCs w:val="24"/>
        </w:rPr>
        <w:t>P</w:t>
      </w:r>
      <w:r>
        <w:rPr>
          <w:rFonts w:cs="Times New Roman"/>
          <w:noProof/>
          <w:szCs w:val="24"/>
          <w:lang w:val="en-US"/>
        </w:rPr>
        <w:t>emikiran</w:t>
      </w:r>
      <w:r w:rsidRPr="007D2B70">
        <w:rPr>
          <w:rFonts w:cs="Times New Roman"/>
          <w:noProof/>
          <w:szCs w:val="24"/>
        </w:rPr>
        <w:t xml:space="preserve"> D</w:t>
      </w:r>
      <w:r>
        <w:rPr>
          <w:rFonts w:cs="Times New Roman"/>
          <w:noProof/>
          <w:szCs w:val="24"/>
          <w:lang w:val="en-US"/>
        </w:rPr>
        <w:t>eliberatif</w:t>
      </w:r>
      <w:r w:rsidRPr="007D2B70">
        <w:rPr>
          <w:rFonts w:cs="Times New Roman"/>
          <w:noProof/>
          <w:szCs w:val="24"/>
        </w:rPr>
        <w:t xml:space="preserve"> T</w:t>
      </w:r>
      <w:r>
        <w:rPr>
          <w:rFonts w:cs="Times New Roman"/>
          <w:noProof/>
          <w:szCs w:val="24"/>
          <w:lang w:val="en-US"/>
        </w:rPr>
        <w:t>erhadap</w:t>
      </w:r>
      <w:r w:rsidRPr="007D2B70">
        <w:rPr>
          <w:rFonts w:cs="Times New Roman"/>
          <w:noProof/>
          <w:szCs w:val="24"/>
        </w:rPr>
        <w:t xml:space="preserve"> P</w:t>
      </w:r>
      <w:r>
        <w:rPr>
          <w:rFonts w:cs="Times New Roman"/>
          <w:noProof/>
          <w:szCs w:val="24"/>
          <w:lang w:val="en-US"/>
        </w:rPr>
        <w:t>erilaku</w:t>
      </w:r>
      <w:r w:rsidRPr="007D2B70">
        <w:rPr>
          <w:rFonts w:cs="Times New Roman"/>
          <w:noProof/>
          <w:szCs w:val="24"/>
        </w:rPr>
        <w:t xml:space="preserve"> D</w:t>
      </w:r>
      <w:r>
        <w:rPr>
          <w:rFonts w:cs="Times New Roman"/>
          <w:noProof/>
          <w:szCs w:val="24"/>
          <w:lang w:val="en-US"/>
        </w:rPr>
        <w:t>an</w:t>
      </w:r>
      <w:r w:rsidRPr="007D2B70">
        <w:rPr>
          <w:rFonts w:cs="Times New Roman"/>
          <w:noProof/>
          <w:szCs w:val="24"/>
        </w:rPr>
        <w:t xml:space="preserve"> K</w:t>
      </w:r>
      <w:r>
        <w:rPr>
          <w:rFonts w:cs="Times New Roman"/>
          <w:noProof/>
          <w:szCs w:val="24"/>
          <w:lang w:val="en-US"/>
        </w:rPr>
        <w:t>esejahteraan</w:t>
      </w:r>
      <w:r w:rsidRPr="007D2B70">
        <w:rPr>
          <w:rFonts w:cs="Times New Roman"/>
          <w:noProof/>
          <w:szCs w:val="24"/>
        </w:rPr>
        <w:t xml:space="preserve"> K</w:t>
      </w:r>
      <w:r>
        <w:rPr>
          <w:rFonts w:cs="Times New Roman"/>
          <w:noProof/>
          <w:szCs w:val="24"/>
          <w:lang w:val="en-US"/>
        </w:rPr>
        <w:t>euangan</w:t>
      </w:r>
      <w:r w:rsidRPr="00AB622F">
        <w:rPr>
          <w:rFonts w:cs="Times New Roman"/>
          <w:noProof/>
          <w:szCs w:val="24"/>
        </w:rPr>
        <w:t>.</w:t>
      </w:r>
    </w:p>
    <w:p w14:paraId="3422B6F4"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Rahmadalisa, L. (2018). </w:t>
      </w:r>
      <w:r w:rsidRPr="00AB622F">
        <w:rPr>
          <w:rFonts w:cs="Times New Roman"/>
          <w:i/>
          <w:iCs/>
          <w:noProof/>
          <w:szCs w:val="24"/>
        </w:rPr>
        <w:t>Literasi dan implementasi fintech di kota padang</w:t>
      </w:r>
      <w:r w:rsidRPr="00AB622F">
        <w:rPr>
          <w:rFonts w:cs="Times New Roman"/>
          <w:noProof/>
          <w:szCs w:val="24"/>
        </w:rPr>
        <w:t>.</w:t>
      </w:r>
    </w:p>
    <w:p w14:paraId="32D17A78"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Saksonova, S., &amp; Kuzmina-Merlino, I. (2017). Fintech as financial innovation - The possibilities and problems of implementation. </w:t>
      </w:r>
      <w:r w:rsidRPr="00AB622F">
        <w:rPr>
          <w:rFonts w:cs="Times New Roman"/>
          <w:i/>
          <w:iCs/>
          <w:noProof/>
          <w:szCs w:val="24"/>
        </w:rPr>
        <w:t>European Research Studies Journal</w:t>
      </w:r>
      <w:r w:rsidRPr="00AB622F">
        <w:rPr>
          <w:rFonts w:cs="Times New Roman"/>
          <w:noProof/>
          <w:szCs w:val="24"/>
        </w:rPr>
        <w:t>. https://doi.org/10.35808/ersj/757</w:t>
      </w:r>
    </w:p>
    <w:p w14:paraId="2954208B"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Silalahi, R., &amp; Pramedia, D. P. (2018). Analisis Faktor Keberhasilan Fintech Payment Dengan Menggunakan Model DeLone dan McLean. </w:t>
      </w:r>
      <w:r w:rsidRPr="00AB622F">
        <w:rPr>
          <w:rFonts w:cs="Times New Roman"/>
          <w:i/>
          <w:iCs/>
          <w:noProof/>
          <w:szCs w:val="24"/>
        </w:rPr>
        <w:t>Jurnal Ekonomi Dan Perbankan Syariah</w:t>
      </w:r>
      <w:r w:rsidRPr="00AB622F">
        <w:rPr>
          <w:rFonts w:cs="Times New Roman"/>
          <w:noProof/>
          <w:szCs w:val="24"/>
        </w:rPr>
        <w:t>.</w:t>
      </w:r>
    </w:p>
    <w:p w14:paraId="1B712AE6"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Sorgente, A., &amp; Lanz, M. (2017). Emerging Adults’ Financial Well-being: A Scoping Review. In </w:t>
      </w:r>
      <w:r w:rsidRPr="00AB622F">
        <w:rPr>
          <w:rFonts w:cs="Times New Roman"/>
          <w:i/>
          <w:iCs/>
          <w:noProof/>
          <w:szCs w:val="24"/>
        </w:rPr>
        <w:t>Adolescent Research Review</w:t>
      </w:r>
      <w:r w:rsidRPr="00AB622F">
        <w:rPr>
          <w:rFonts w:cs="Times New Roman"/>
          <w:noProof/>
          <w:szCs w:val="24"/>
        </w:rPr>
        <w:t>. https://doi.org/10.1007/s40894-016-0052-x</w:t>
      </w:r>
    </w:p>
    <w:p w14:paraId="5F876815"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Strömbäck, C., Lind, T., Skagerlund, K., Västfjäll, D., &amp; Tinghög, G. (2017). Does self-control predict financial behavior and financial well-being? </w:t>
      </w:r>
      <w:r w:rsidRPr="00AB622F">
        <w:rPr>
          <w:rFonts w:cs="Times New Roman"/>
          <w:i/>
          <w:iCs/>
          <w:noProof/>
          <w:szCs w:val="24"/>
        </w:rPr>
        <w:t>Journal of Behavioral and Experimental Finance</w:t>
      </w:r>
      <w:r w:rsidRPr="00AB622F">
        <w:rPr>
          <w:rFonts w:cs="Times New Roman"/>
          <w:noProof/>
          <w:szCs w:val="24"/>
        </w:rPr>
        <w:t>. https://doi.org/10.1016/j.jbef.2017.04.002</w:t>
      </w:r>
    </w:p>
    <w:p w14:paraId="68B0E61D"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Sugiyono. (2018). Metode Penelitian Kuantitatif,Kualitatif dan R&amp;D. In </w:t>
      </w:r>
      <w:r w:rsidRPr="00AB622F">
        <w:rPr>
          <w:rFonts w:cs="Times New Roman"/>
          <w:i/>
          <w:iCs/>
          <w:noProof/>
          <w:szCs w:val="24"/>
        </w:rPr>
        <w:t>Ke-26</w:t>
      </w:r>
      <w:r w:rsidRPr="00AB622F">
        <w:rPr>
          <w:rFonts w:cs="Times New Roman"/>
          <w:noProof/>
          <w:szCs w:val="24"/>
        </w:rPr>
        <w:t>.</w:t>
      </w:r>
    </w:p>
    <w:p w14:paraId="6578C35F"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Suryanto, S., &amp; Rasmini, M. (2018). Analisis Literasi Keuangan Dan Faktor-Faktor Yang Mempengaruhinya. </w:t>
      </w:r>
      <w:r w:rsidRPr="00AB622F">
        <w:rPr>
          <w:rFonts w:cs="Times New Roman"/>
          <w:i/>
          <w:iCs/>
          <w:noProof/>
          <w:szCs w:val="24"/>
        </w:rPr>
        <w:t>Jurnal Ilmu Politik Dan Komunikasi</w:t>
      </w:r>
      <w:r w:rsidRPr="00AB622F">
        <w:rPr>
          <w:rFonts w:cs="Times New Roman"/>
          <w:noProof/>
          <w:szCs w:val="24"/>
        </w:rPr>
        <w:t xml:space="preserve">, </w:t>
      </w:r>
      <w:r w:rsidRPr="00AB622F">
        <w:rPr>
          <w:rFonts w:cs="Times New Roman"/>
          <w:i/>
          <w:iCs/>
          <w:noProof/>
          <w:szCs w:val="24"/>
        </w:rPr>
        <w:t>8</w:t>
      </w:r>
      <w:r w:rsidRPr="00AB622F">
        <w:rPr>
          <w:rFonts w:cs="Times New Roman"/>
          <w:noProof/>
          <w:szCs w:val="24"/>
        </w:rPr>
        <w:t>(2). https://doi.org/10.34010/jipsi.v8i2.1336</w:t>
      </w:r>
    </w:p>
    <w:p w14:paraId="64EBEF5F" w14:textId="67FE0C2C"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Widyawati, I. (2012). </w:t>
      </w:r>
      <w:r w:rsidRPr="007D2B70">
        <w:rPr>
          <w:rFonts w:cs="Times New Roman"/>
          <w:noProof/>
          <w:szCs w:val="24"/>
        </w:rPr>
        <w:t>Faktor - Faktor Yang Mempengaruhi Literasi Financial Mahasiswa Fakultas Ekonomi dan Bisnis Universitas Braijaya. Assets: Jurnal Akuntansi Dan Pendidikan</w:t>
      </w:r>
      <w:r w:rsidRPr="00AB622F">
        <w:rPr>
          <w:rFonts w:cs="Times New Roman"/>
          <w:noProof/>
          <w:szCs w:val="24"/>
        </w:rPr>
        <w:t xml:space="preserve">. </w:t>
      </w:r>
      <w:r w:rsidRPr="00AB622F">
        <w:rPr>
          <w:rFonts w:cs="Times New Roman"/>
          <w:i/>
          <w:iCs/>
          <w:noProof/>
          <w:szCs w:val="24"/>
        </w:rPr>
        <w:t>Assets: Jurnal Akuntansi Dan Pendidikan</w:t>
      </w:r>
      <w:r w:rsidRPr="00AB622F">
        <w:rPr>
          <w:rFonts w:cs="Times New Roman"/>
          <w:noProof/>
          <w:szCs w:val="24"/>
        </w:rPr>
        <w:t>. https://doi.org/10.25273/jap.v1i1.527</w:t>
      </w:r>
    </w:p>
    <w:p w14:paraId="4A4B03E0"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Wijayanto, H., Muhammad, A. H., &amp; Hariyadi, D. (2020). Analisis Penyalahgunaan Data Pribadi Dalam Aplikasi Fintech Ilegal Dengan Metode Hibrid. </w:t>
      </w:r>
      <w:r w:rsidRPr="00AB622F">
        <w:rPr>
          <w:rFonts w:cs="Times New Roman"/>
          <w:i/>
          <w:iCs/>
          <w:noProof/>
          <w:szCs w:val="24"/>
        </w:rPr>
        <w:t>Jurnal Ilmiah SINUS</w:t>
      </w:r>
      <w:r w:rsidRPr="00AB622F">
        <w:rPr>
          <w:rFonts w:cs="Times New Roman"/>
          <w:noProof/>
          <w:szCs w:val="24"/>
        </w:rPr>
        <w:t>. https://doi.org/10.30646/sinus.v18i1.433</w:t>
      </w:r>
    </w:p>
    <w:p w14:paraId="3AE08596" w14:textId="327D5103" w:rsidR="00AB622F" w:rsidRPr="00AB622F" w:rsidRDefault="00AB622F" w:rsidP="00AB622F">
      <w:pPr>
        <w:widowControl w:val="0"/>
        <w:autoSpaceDE w:val="0"/>
        <w:autoSpaceDN w:val="0"/>
        <w:adjustRightInd w:val="0"/>
        <w:spacing w:line="240" w:lineRule="auto"/>
        <w:ind w:left="480" w:hanging="480"/>
        <w:rPr>
          <w:rFonts w:cs="Times New Roman"/>
          <w:noProof/>
          <w:szCs w:val="24"/>
          <w:lang w:val="en-US"/>
        </w:rPr>
      </w:pPr>
      <w:r w:rsidRPr="00AB622F">
        <w:rPr>
          <w:rFonts w:cs="Times New Roman"/>
          <w:noProof/>
          <w:szCs w:val="24"/>
        </w:rPr>
        <w:t xml:space="preserve">Wulansari, N. (2019). </w:t>
      </w:r>
      <w:r w:rsidRPr="007D2B70">
        <w:rPr>
          <w:rFonts w:cs="Times New Roman"/>
          <w:noProof/>
          <w:szCs w:val="24"/>
        </w:rPr>
        <w:t>Pengaruh Pendapatan Literasi Keuangan Dan Sikap Keuangan Terhadap Kesejahteraan Keuangan Keluarga Desa Ketanjung Kecamatan Karanganyar Kabupaten Demak Melalui Perilaku Keuangan Sebagai Variabel Interining</w:t>
      </w:r>
      <w:r w:rsidRPr="009F0186">
        <w:rPr>
          <w:rFonts w:cs="Times New Roman"/>
          <w:noProof/>
          <w:szCs w:val="24"/>
        </w:rPr>
        <w:t>. UNIVERSITAS NEGERI SEMARANG.</w:t>
      </w:r>
    </w:p>
    <w:p w14:paraId="5271A3D5" w14:textId="77777777" w:rsidR="00AB622F" w:rsidRPr="00AB622F" w:rsidRDefault="00AB622F" w:rsidP="00AB622F">
      <w:pPr>
        <w:widowControl w:val="0"/>
        <w:autoSpaceDE w:val="0"/>
        <w:autoSpaceDN w:val="0"/>
        <w:adjustRightInd w:val="0"/>
        <w:spacing w:line="240" w:lineRule="auto"/>
        <w:ind w:left="480" w:hanging="480"/>
        <w:rPr>
          <w:rFonts w:cs="Times New Roman"/>
          <w:noProof/>
          <w:szCs w:val="24"/>
        </w:rPr>
      </w:pPr>
      <w:r w:rsidRPr="00AB622F">
        <w:rPr>
          <w:rFonts w:cs="Times New Roman"/>
          <w:noProof/>
          <w:szCs w:val="24"/>
        </w:rPr>
        <w:t xml:space="preserve">Zemtsov, A. A., &amp; Osipova, T. Y. (2016). </w:t>
      </w:r>
      <w:r w:rsidRPr="00AB622F">
        <w:rPr>
          <w:rFonts w:cs="Times New Roman"/>
          <w:i/>
          <w:iCs/>
          <w:noProof/>
          <w:szCs w:val="24"/>
        </w:rPr>
        <w:t>Financial Wellbeing as a Type of Human Wellbeing: Theoretical Review</w:t>
      </w:r>
      <w:r w:rsidRPr="00AB622F">
        <w:rPr>
          <w:rFonts w:cs="Times New Roman"/>
          <w:noProof/>
          <w:szCs w:val="24"/>
        </w:rPr>
        <w:t>. https://doi.org/10.15405/epsbs.2016.02.49</w:t>
      </w:r>
    </w:p>
    <w:p w14:paraId="028F9825" w14:textId="0455EED3" w:rsidR="00AB622F" w:rsidRPr="00AB622F" w:rsidRDefault="00AB622F" w:rsidP="00AB622F">
      <w:pPr>
        <w:widowControl w:val="0"/>
        <w:autoSpaceDE w:val="0"/>
        <w:autoSpaceDN w:val="0"/>
        <w:adjustRightInd w:val="0"/>
        <w:spacing w:line="240" w:lineRule="auto"/>
        <w:ind w:left="480" w:hanging="480"/>
        <w:rPr>
          <w:rFonts w:cs="Times New Roman"/>
          <w:lang w:val="en-US"/>
        </w:rPr>
      </w:pPr>
      <w:r w:rsidRPr="00AB622F">
        <w:rPr>
          <w:rFonts w:cs="Times New Roman"/>
          <w:noProof/>
          <w:szCs w:val="24"/>
        </w:rPr>
        <w:t xml:space="preserve">Zorn, R. (2017). Coming in 2017: A New Generation of Graduate Students-The Z Generation. </w:t>
      </w:r>
      <w:r w:rsidRPr="00AB622F">
        <w:rPr>
          <w:rFonts w:cs="Times New Roman"/>
          <w:i/>
          <w:iCs/>
          <w:noProof/>
          <w:szCs w:val="24"/>
        </w:rPr>
        <w:t>College and University</w:t>
      </w:r>
      <w:r w:rsidRPr="00AB622F">
        <w:rPr>
          <w:rFonts w:cs="Times New Roman"/>
          <w:noProof/>
          <w:szCs w:val="24"/>
        </w:rPr>
        <w:t>.</w:t>
      </w:r>
      <w:r>
        <w:rPr>
          <w:rFonts w:cs="Times New Roman"/>
          <w:lang w:val="en-US"/>
        </w:rPr>
        <w:fldChar w:fldCharType="end"/>
      </w:r>
      <w:r w:rsidRPr="00AB622F">
        <w:rPr>
          <w:rFonts w:cs="Times New Roman"/>
          <w:lang w:val="en-US"/>
        </w:rPr>
        <w:t xml:space="preserve"> </w:t>
      </w:r>
    </w:p>
    <w:sectPr w:rsidR="00AB622F" w:rsidRPr="00AB622F" w:rsidSect="000E3A91">
      <w:footerReference w:type="default" r:id="rId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B153A6" w14:textId="77777777" w:rsidR="0099129D" w:rsidRDefault="0099129D" w:rsidP="00CF28EF">
      <w:pPr>
        <w:spacing w:after="0" w:line="240" w:lineRule="auto"/>
      </w:pPr>
      <w:r>
        <w:separator/>
      </w:r>
    </w:p>
  </w:endnote>
  <w:endnote w:type="continuationSeparator" w:id="0">
    <w:p w14:paraId="7D599DCA" w14:textId="77777777" w:rsidR="0099129D" w:rsidRDefault="0099129D" w:rsidP="00CF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1099363"/>
      <w:docPartObj>
        <w:docPartGallery w:val="Page Numbers (Bottom of Page)"/>
        <w:docPartUnique/>
      </w:docPartObj>
    </w:sdtPr>
    <w:sdtEndPr>
      <w:rPr>
        <w:noProof/>
      </w:rPr>
    </w:sdtEndPr>
    <w:sdtContent>
      <w:p w14:paraId="61534C56" w14:textId="68442F63" w:rsidR="00AB622F" w:rsidRDefault="00AB62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CCD4F2" w14:textId="77777777" w:rsidR="00AB622F" w:rsidRDefault="00AB6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47394" w14:textId="77777777" w:rsidR="0099129D" w:rsidRDefault="0099129D" w:rsidP="00CF28EF">
      <w:pPr>
        <w:spacing w:after="0" w:line="240" w:lineRule="auto"/>
      </w:pPr>
      <w:r>
        <w:separator/>
      </w:r>
    </w:p>
  </w:footnote>
  <w:footnote w:type="continuationSeparator" w:id="0">
    <w:p w14:paraId="5C252652" w14:textId="77777777" w:rsidR="0099129D" w:rsidRDefault="0099129D" w:rsidP="00CF2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E0746"/>
    <w:multiLevelType w:val="hybridMultilevel"/>
    <w:tmpl w:val="8CF4FA3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4146636"/>
    <w:multiLevelType w:val="hybridMultilevel"/>
    <w:tmpl w:val="4808C9B8"/>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18DC6AC6"/>
    <w:multiLevelType w:val="hybridMultilevel"/>
    <w:tmpl w:val="09BCB9B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FA47DBE"/>
    <w:multiLevelType w:val="hybridMultilevel"/>
    <w:tmpl w:val="72BC1654"/>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A87269F"/>
    <w:multiLevelType w:val="hybridMultilevel"/>
    <w:tmpl w:val="30AEEB70"/>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37AE5E2C"/>
    <w:multiLevelType w:val="hybridMultilevel"/>
    <w:tmpl w:val="305821D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404B342E"/>
    <w:multiLevelType w:val="hybridMultilevel"/>
    <w:tmpl w:val="965CC9A0"/>
    <w:lvl w:ilvl="0" w:tplc="0421000F">
      <w:start w:val="1"/>
      <w:numFmt w:val="decimal"/>
      <w:lvlText w:val="%1."/>
      <w:lvlJc w:val="left"/>
      <w:pPr>
        <w:ind w:left="3960" w:hanging="360"/>
      </w:pPr>
    </w:lvl>
    <w:lvl w:ilvl="1" w:tplc="04210019" w:tentative="1">
      <w:start w:val="1"/>
      <w:numFmt w:val="lowerLetter"/>
      <w:lvlText w:val="%2."/>
      <w:lvlJc w:val="left"/>
      <w:pPr>
        <w:ind w:left="4680" w:hanging="360"/>
      </w:pPr>
    </w:lvl>
    <w:lvl w:ilvl="2" w:tplc="0421001B" w:tentative="1">
      <w:start w:val="1"/>
      <w:numFmt w:val="lowerRoman"/>
      <w:lvlText w:val="%3."/>
      <w:lvlJc w:val="right"/>
      <w:pPr>
        <w:ind w:left="5400" w:hanging="180"/>
      </w:pPr>
    </w:lvl>
    <w:lvl w:ilvl="3" w:tplc="0421000F" w:tentative="1">
      <w:start w:val="1"/>
      <w:numFmt w:val="decimal"/>
      <w:lvlText w:val="%4."/>
      <w:lvlJc w:val="left"/>
      <w:pPr>
        <w:ind w:left="6120" w:hanging="360"/>
      </w:pPr>
    </w:lvl>
    <w:lvl w:ilvl="4" w:tplc="04210019" w:tentative="1">
      <w:start w:val="1"/>
      <w:numFmt w:val="lowerLetter"/>
      <w:lvlText w:val="%5."/>
      <w:lvlJc w:val="left"/>
      <w:pPr>
        <w:ind w:left="6840" w:hanging="360"/>
      </w:pPr>
    </w:lvl>
    <w:lvl w:ilvl="5" w:tplc="0421001B" w:tentative="1">
      <w:start w:val="1"/>
      <w:numFmt w:val="lowerRoman"/>
      <w:lvlText w:val="%6."/>
      <w:lvlJc w:val="right"/>
      <w:pPr>
        <w:ind w:left="7560" w:hanging="180"/>
      </w:pPr>
    </w:lvl>
    <w:lvl w:ilvl="6" w:tplc="0421000F" w:tentative="1">
      <w:start w:val="1"/>
      <w:numFmt w:val="decimal"/>
      <w:lvlText w:val="%7."/>
      <w:lvlJc w:val="left"/>
      <w:pPr>
        <w:ind w:left="8280" w:hanging="360"/>
      </w:pPr>
    </w:lvl>
    <w:lvl w:ilvl="7" w:tplc="04210019" w:tentative="1">
      <w:start w:val="1"/>
      <w:numFmt w:val="lowerLetter"/>
      <w:lvlText w:val="%8."/>
      <w:lvlJc w:val="left"/>
      <w:pPr>
        <w:ind w:left="9000" w:hanging="360"/>
      </w:pPr>
    </w:lvl>
    <w:lvl w:ilvl="8" w:tplc="0421001B" w:tentative="1">
      <w:start w:val="1"/>
      <w:numFmt w:val="lowerRoman"/>
      <w:lvlText w:val="%9."/>
      <w:lvlJc w:val="right"/>
      <w:pPr>
        <w:ind w:left="9720" w:hanging="180"/>
      </w:pPr>
    </w:lvl>
  </w:abstractNum>
  <w:abstractNum w:abstractNumId="7" w15:restartNumberingAfterBreak="0">
    <w:nsid w:val="6A0A5C09"/>
    <w:multiLevelType w:val="hybridMultilevel"/>
    <w:tmpl w:val="3F028896"/>
    <w:lvl w:ilvl="0" w:tplc="519C47F2">
      <w:start w:val="1"/>
      <w:numFmt w:val="decimal"/>
      <w:lvlText w:val="%1."/>
      <w:lvlJc w:val="left"/>
      <w:pPr>
        <w:ind w:left="360" w:hanging="360"/>
      </w:pPr>
      <w:rPr>
        <w:b w:val="0"/>
        <w:bCs w:val="0"/>
      </w:rPr>
    </w:lvl>
    <w:lvl w:ilvl="1" w:tplc="04210019" w:tentative="1">
      <w:start w:val="1"/>
      <w:numFmt w:val="lowerLetter"/>
      <w:lvlText w:val="%2."/>
      <w:lvlJc w:val="left"/>
      <w:pPr>
        <w:ind w:left="352" w:hanging="360"/>
      </w:pPr>
    </w:lvl>
    <w:lvl w:ilvl="2" w:tplc="0421001B" w:tentative="1">
      <w:start w:val="1"/>
      <w:numFmt w:val="lowerRoman"/>
      <w:lvlText w:val="%3."/>
      <w:lvlJc w:val="right"/>
      <w:pPr>
        <w:ind w:left="1072" w:hanging="180"/>
      </w:pPr>
    </w:lvl>
    <w:lvl w:ilvl="3" w:tplc="0421000F" w:tentative="1">
      <w:start w:val="1"/>
      <w:numFmt w:val="decimal"/>
      <w:lvlText w:val="%4."/>
      <w:lvlJc w:val="left"/>
      <w:pPr>
        <w:ind w:left="1792" w:hanging="360"/>
      </w:pPr>
    </w:lvl>
    <w:lvl w:ilvl="4" w:tplc="04210019" w:tentative="1">
      <w:start w:val="1"/>
      <w:numFmt w:val="lowerLetter"/>
      <w:lvlText w:val="%5."/>
      <w:lvlJc w:val="left"/>
      <w:pPr>
        <w:ind w:left="2512" w:hanging="360"/>
      </w:pPr>
    </w:lvl>
    <w:lvl w:ilvl="5" w:tplc="0421001B" w:tentative="1">
      <w:start w:val="1"/>
      <w:numFmt w:val="lowerRoman"/>
      <w:lvlText w:val="%6."/>
      <w:lvlJc w:val="right"/>
      <w:pPr>
        <w:ind w:left="3232" w:hanging="180"/>
      </w:pPr>
    </w:lvl>
    <w:lvl w:ilvl="6" w:tplc="0421000F" w:tentative="1">
      <w:start w:val="1"/>
      <w:numFmt w:val="decimal"/>
      <w:lvlText w:val="%7."/>
      <w:lvlJc w:val="left"/>
      <w:pPr>
        <w:ind w:left="3952" w:hanging="360"/>
      </w:pPr>
    </w:lvl>
    <w:lvl w:ilvl="7" w:tplc="04210019" w:tentative="1">
      <w:start w:val="1"/>
      <w:numFmt w:val="lowerLetter"/>
      <w:lvlText w:val="%8."/>
      <w:lvlJc w:val="left"/>
      <w:pPr>
        <w:ind w:left="4672" w:hanging="360"/>
      </w:pPr>
    </w:lvl>
    <w:lvl w:ilvl="8" w:tplc="0421001B" w:tentative="1">
      <w:start w:val="1"/>
      <w:numFmt w:val="lowerRoman"/>
      <w:lvlText w:val="%9."/>
      <w:lvlJc w:val="right"/>
      <w:pPr>
        <w:ind w:left="5392" w:hanging="180"/>
      </w:pPr>
    </w:lvl>
  </w:abstractNum>
  <w:abstractNum w:abstractNumId="8" w15:restartNumberingAfterBreak="0">
    <w:nsid w:val="6F607480"/>
    <w:multiLevelType w:val="multilevel"/>
    <w:tmpl w:val="0A6647F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upperLetter"/>
      <w:pStyle w:val="Heading3"/>
      <w:lvlText w:val="%3."/>
      <w:lvlJc w:val="left"/>
      <w:pPr>
        <w:ind w:left="720" w:hanging="720"/>
      </w:pPr>
    </w:lvl>
    <w:lvl w:ilvl="3">
      <w:start w:val="1"/>
      <w:numFmt w:val="decimal"/>
      <w:pStyle w:val="Heading4"/>
      <w:lvlText w:val="%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8"/>
  </w:num>
  <w:num w:numId="2">
    <w:abstractNumId w:val="6"/>
  </w:num>
  <w:num w:numId="3">
    <w:abstractNumId w:val="2"/>
  </w:num>
  <w:num w:numId="4">
    <w:abstractNumId w:val="0"/>
  </w:num>
  <w:num w:numId="5">
    <w:abstractNumId w:val="7"/>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91"/>
    <w:rsid w:val="000545EB"/>
    <w:rsid w:val="000821F0"/>
    <w:rsid w:val="000D64BD"/>
    <w:rsid w:val="000E3A91"/>
    <w:rsid w:val="000F2CA0"/>
    <w:rsid w:val="00167EF9"/>
    <w:rsid w:val="002635DD"/>
    <w:rsid w:val="002657D2"/>
    <w:rsid w:val="002A7429"/>
    <w:rsid w:val="002F4BFA"/>
    <w:rsid w:val="00482EF9"/>
    <w:rsid w:val="004A2055"/>
    <w:rsid w:val="004B19C6"/>
    <w:rsid w:val="0057674B"/>
    <w:rsid w:val="005D10A7"/>
    <w:rsid w:val="00627F3D"/>
    <w:rsid w:val="00674C6D"/>
    <w:rsid w:val="007D7E2A"/>
    <w:rsid w:val="00817067"/>
    <w:rsid w:val="008356FE"/>
    <w:rsid w:val="00837194"/>
    <w:rsid w:val="0099129D"/>
    <w:rsid w:val="009A0380"/>
    <w:rsid w:val="009F4D67"/>
    <w:rsid w:val="009F7D25"/>
    <w:rsid w:val="00A01B9D"/>
    <w:rsid w:val="00A31B67"/>
    <w:rsid w:val="00A57FAA"/>
    <w:rsid w:val="00AB401D"/>
    <w:rsid w:val="00AB622F"/>
    <w:rsid w:val="00AD3310"/>
    <w:rsid w:val="00B222E0"/>
    <w:rsid w:val="00BC578E"/>
    <w:rsid w:val="00BE4318"/>
    <w:rsid w:val="00C24560"/>
    <w:rsid w:val="00CF28EF"/>
    <w:rsid w:val="00D574A9"/>
    <w:rsid w:val="00D65359"/>
    <w:rsid w:val="00D95269"/>
    <w:rsid w:val="00DA2CC2"/>
    <w:rsid w:val="00E44005"/>
    <w:rsid w:val="00EA0CA4"/>
    <w:rsid w:val="00ED64D7"/>
    <w:rsid w:val="00F90C23"/>
    <w:rsid w:val="00F90D85"/>
    <w:rsid w:val="00FB1A74"/>
    <w:rsid w:val="00FD4C7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13F74E"/>
  <w15:chartTrackingRefBased/>
  <w15:docId w15:val="{384447CB-4C58-46E8-96C7-3C7CE985C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8EF"/>
    <w:pPr>
      <w:spacing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0E3A91"/>
    <w:pPr>
      <w:keepNext/>
      <w:keepLines/>
      <w:numPr>
        <w:numId w:val="1"/>
      </w:numPr>
      <w:spacing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E3A91"/>
    <w:pPr>
      <w:keepNext/>
      <w:keepLines/>
      <w:numPr>
        <w:ilvl w:val="1"/>
        <w:numId w:val="1"/>
      </w:numPr>
      <w:spacing w:before="40" w:after="0"/>
      <w:jc w:val="cente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0E3A91"/>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E3A91"/>
    <w:pPr>
      <w:keepNext/>
      <w:keepLines/>
      <w:numPr>
        <w:ilvl w:val="3"/>
        <w:numId w:val="1"/>
      </w:numPr>
      <w:spacing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0E3A91"/>
    <w:pPr>
      <w:keepNext/>
      <w:keepLines/>
      <w:numPr>
        <w:ilvl w:val="4"/>
        <w:numId w:val="1"/>
      </w:numPr>
      <w:spacing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0E3A91"/>
    <w:pPr>
      <w:keepNext/>
      <w:keepLines/>
      <w:numPr>
        <w:ilvl w:val="5"/>
        <w:numId w:val="1"/>
      </w:numPr>
      <w:spacing w:before="40" w:after="0"/>
      <w:jc w:val="center"/>
      <w:outlineLvl w:val="5"/>
    </w:pPr>
    <w:rPr>
      <w:rFonts w:eastAsiaTheme="majorEastAsia" w:cstheme="majorBidi"/>
      <w:b/>
    </w:rPr>
  </w:style>
  <w:style w:type="paragraph" w:styleId="Heading7">
    <w:name w:val="heading 7"/>
    <w:basedOn w:val="Normal"/>
    <w:next w:val="Normal"/>
    <w:link w:val="Heading7Char"/>
    <w:uiPriority w:val="9"/>
    <w:unhideWhenUsed/>
    <w:qFormat/>
    <w:rsid w:val="000E3A91"/>
    <w:pPr>
      <w:keepNext/>
      <w:keepLines/>
      <w:numPr>
        <w:ilvl w:val="6"/>
        <w:numId w:val="1"/>
      </w:numPr>
      <w:spacing w:after="0"/>
      <w:outlineLvl w:val="6"/>
    </w:pPr>
    <w:rPr>
      <w:rFonts w:eastAsiaTheme="majorEastAsia" w:cstheme="majorBidi"/>
      <w:b/>
      <w:iCs/>
    </w:rPr>
  </w:style>
  <w:style w:type="paragraph" w:styleId="Heading8">
    <w:name w:val="heading 8"/>
    <w:basedOn w:val="Normal"/>
    <w:next w:val="Normal"/>
    <w:link w:val="Heading8Char"/>
    <w:uiPriority w:val="9"/>
    <w:unhideWhenUsed/>
    <w:qFormat/>
    <w:rsid w:val="000E3A91"/>
    <w:pPr>
      <w:keepNext/>
      <w:keepLines/>
      <w:numPr>
        <w:ilvl w:val="7"/>
        <w:numId w:val="1"/>
      </w:numPr>
      <w:spacing w:before="40" w:after="0"/>
      <w:jc w:val="left"/>
      <w:outlineLvl w:val="7"/>
    </w:pPr>
    <w:rPr>
      <w:rFonts w:eastAsiaTheme="majorEastAsia" w:cstheme="majorBidi"/>
      <w:b/>
      <w:szCs w:val="21"/>
    </w:rPr>
  </w:style>
  <w:style w:type="paragraph" w:styleId="Heading9">
    <w:name w:val="heading 9"/>
    <w:basedOn w:val="Normal"/>
    <w:next w:val="Normal"/>
    <w:link w:val="Heading9Char"/>
    <w:uiPriority w:val="9"/>
    <w:semiHidden/>
    <w:unhideWhenUsed/>
    <w:qFormat/>
    <w:rsid w:val="000E3A9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A9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E3A91"/>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0E3A91"/>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E3A91"/>
    <w:rPr>
      <w:rFonts w:ascii="Times New Roman" w:eastAsiaTheme="majorEastAsia" w:hAnsi="Times New Roman" w:cstheme="majorBidi"/>
      <w:b/>
      <w:iCs/>
      <w:sz w:val="24"/>
    </w:rPr>
  </w:style>
  <w:style w:type="character" w:customStyle="1" w:styleId="Heading5Char">
    <w:name w:val="Heading 5 Char"/>
    <w:basedOn w:val="DefaultParagraphFont"/>
    <w:link w:val="Heading5"/>
    <w:uiPriority w:val="9"/>
    <w:rsid w:val="000E3A91"/>
    <w:rPr>
      <w:rFonts w:ascii="Times New Roman" w:eastAsiaTheme="majorEastAsia" w:hAnsi="Times New Roman" w:cstheme="majorBidi"/>
      <w:b/>
      <w:sz w:val="24"/>
    </w:rPr>
  </w:style>
  <w:style w:type="character" w:customStyle="1" w:styleId="Heading6Char">
    <w:name w:val="Heading 6 Char"/>
    <w:basedOn w:val="DefaultParagraphFont"/>
    <w:link w:val="Heading6"/>
    <w:uiPriority w:val="9"/>
    <w:rsid w:val="000E3A91"/>
    <w:rPr>
      <w:rFonts w:ascii="Times New Roman" w:eastAsiaTheme="majorEastAsia" w:hAnsi="Times New Roman" w:cstheme="majorBidi"/>
      <w:b/>
      <w:sz w:val="24"/>
    </w:rPr>
  </w:style>
  <w:style w:type="character" w:customStyle="1" w:styleId="Heading7Char">
    <w:name w:val="Heading 7 Char"/>
    <w:basedOn w:val="DefaultParagraphFont"/>
    <w:link w:val="Heading7"/>
    <w:uiPriority w:val="9"/>
    <w:rsid w:val="000E3A91"/>
    <w:rPr>
      <w:rFonts w:ascii="Times New Roman" w:eastAsiaTheme="majorEastAsia" w:hAnsi="Times New Roman" w:cstheme="majorBidi"/>
      <w:b/>
      <w:iCs/>
      <w:sz w:val="24"/>
    </w:rPr>
  </w:style>
  <w:style w:type="character" w:customStyle="1" w:styleId="Heading8Char">
    <w:name w:val="Heading 8 Char"/>
    <w:basedOn w:val="DefaultParagraphFont"/>
    <w:link w:val="Heading8"/>
    <w:uiPriority w:val="9"/>
    <w:rsid w:val="000E3A91"/>
    <w:rPr>
      <w:rFonts w:ascii="Times New Roman" w:eastAsiaTheme="majorEastAsia" w:hAnsi="Times New Roman" w:cstheme="majorBidi"/>
      <w:b/>
      <w:sz w:val="24"/>
      <w:szCs w:val="21"/>
    </w:rPr>
  </w:style>
  <w:style w:type="character" w:customStyle="1" w:styleId="Heading9Char">
    <w:name w:val="Heading 9 Char"/>
    <w:basedOn w:val="DefaultParagraphFont"/>
    <w:link w:val="Heading9"/>
    <w:uiPriority w:val="9"/>
    <w:semiHidden/>
    <w:rsid w:val="000E3A91"/>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link w:val="ListParagraphChar"/>
    <w:uiPriority w:val="34"/>
    <w:qFormat/>
    <w:rsid w:val="000E3A91"/>
    <w:pPr>
      <w:ind w:left="720"/>
      <w:contextualSpacing/>
    </w:pPr>
  </w:style>
  <w:style w:type="character" w:customStyle="1" w:styleId="ListParagraphChar">
    <w:name w:val="List Paragraph Char"/>
    <w:basedOn w:val="DefaultParagraphFont"/>
    <w:link w:val="ListParagraph"/>
    <w:uiPriority w:val="34"/>
    <w:locked/>
    <w:rsid w:val="000E3A91"/>
    <w:rPr>
      <w:rFonts w:ascii="Times New Roman" w:hAnsi="Times New Roman"/>
      <w:sz w:val="24"/>
    </w:rPr>
  </w:style>
  <w:style w:type="paragraph" w:styleId="NoSpacing">
    <w:name w:val="No Spacing"/>
    <w:uiPriority w:val="1"/>
    <w:qFormat/>
    <w:rsid w:val="000E3A91"/>
    <w:pPr>
      <w:spacing w:after="0" w:line="240" w:lineRule="auto"/>
      <w:jc w:val="both"/>
    </w:pPr>
    <w:rPr>
      <w:rFonts w:ascii="Times New Roman" w:hAnsi="Times New Roman"/>
      <w:sz w:val="24"/>
    </w:rPr>
  </w:style>
  <w:style w:type="paragraph" w:styleId="Header">
    <w:name w:val="header"/>
    <w:basedOn w:val="Normal"/>
    <w:link w:val="HeaderChar"/>
    <w:uiPriority w:val="99"/>
    <w:unhideWhenUsed/>
    <w:rsid w:val="00CF2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8EF"/>
    <w:rPr>
      <w:rFonts w:ascii="Times New Roman" w:hAnsi="Times New Roman"/>
      <w:sz w:val="24"/>
    </w:rPr>
  </w:style>
  <w:style w:type="paragraph" w:styleId="Footer">
    <w:name w:val="footer"/>
    <w:basedOn w:val="Normal"/>
    <w:link w:val="FooterChar"/>
    <w:uiPriority w:val="99"/>
    <w:unhideWhenUsed/>
    <w:rsid w:val="00CF2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8EF"/>
    <w:rPr>
      <w:rFonts w:ascii="Times New Roman" w:hAnsi="Times New Roman"/>
      <w:sz w:val="24"/>
    </w:rPr>
  </w:style>
  <w:style w:type="character" w:styleId="PlaceholderText">
    <w:name w:val="Placeholder Text"/>
    <w:basedOn w:val="DefaultParagraphFont"/>
    <w:uiPriority w:val="99"/>
    <w:semiHidden/>
    <w:rsid w:val="00482E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91588">
      <w:bodyDiv w:val="1"/>
      <w:marLeft w:val="0"/>
      <w:marRight w:val="0"/>
      <w:marTop w:val="0"/>
      <w:marBottom w:val="0"/>
      <w:divBdr>
        <w:top w:val="none" w:sz="0" w:space="0" w:color="auto"/>
        <w:left w:val="none" w:sz="0" w:space="0" w:color="auto"/>
        <w:bottom w:val="none" w:sz="0" w:space="0" w:color="auto"/>
        <w:right w:val="none" w:sz="0" w:space="0" w:color="auto"/>
      </w:divBdr>
    </w:div>
    <w:div w:id="605574958">
      <w:bodyDiv w:val="1"/>
      <w:marLeft w:val="0"/>
      <w:marRight w:val="0"/>
      <w:marTop w:val="0"/>
      <w:marBottom w:val="0"/>
      <w:divBdr>
        <w:top w:val="none" w:sz="0" w:space="0" w:color="auto"/>
        <w:left w:val="none" w:sz="0" w:space="0" w:color="auto"/>
        <w:bottom w:val="none" w:sz="0" w:space="0" w:color="auto"/>
        <w:right w:val="none" w:sz="0" w:space="0" w:color="auto"/>
      </w:divBdr>
    </w:div>
    <w:div w:id="1004405370">
      <w:bodyDiv w:val="1"/>
      <w:marLeft w:val="0"/>
      <w:marRight w:val="0"/>
      <w:marTop w:val="0"/>
      <w:marBottom w:val="0"/>
      <w:divBdr>
        <w:top w:val="none" w:sz="0" w:space="0" w:color="auto"/>
        <w:left w:val="none" w:sz="0" w:space="0" w:color="auto"/>
        <w:bottom w:val="none" w:sz="0" w:space="0" w:color="auto"/>
        <w:right w:val="none" w:sz="0" w:space="0" w:color="auto"/>
      </w:divBdr>
    </w:div>
    <w:div w:id="1288048482">
      <w:bodyDiv w:val="1"/>
      <w:marLeft w:val="0"/>
      <w:marRight w:val="0"/>
      <w:marTop w:val="0"/>
      <w:marBottom w:val="0"/>
      <w:divBdr>
        <w:top w:val="none" w:sz="0" w:space="0" w:color="auto"/>
        <w:left w:val="none" w:sz="0" w:space="0" w:color="auto"/>
        <w:bottom w:val="none" w:sz="0" w:space="0" w:color="auto"/>
        <w:right w:val="none" w:sz="0" w:space="0" w:color="auto"/>
      </w:divBdr>
    </w:div>
    <w:div w:id="17234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88FB3-4185-485E-AE58-7ED4A285D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15</Pages>
  <Words>21575</Words>
  <Characters>122982</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suci rachmawati</dc:creator>
  <cp:keywords/>
  <dc:description/>
  <cp:lastModifiedBy>suci rachmawati</cp:lastModifiedBy>
  <cp:revision>1</cp:revision>
  <dcterms:created xsi:type="dcterms:W3CDTF">2021-01-30T09:22:00Z</dcterms:created>
  <dcterms:modified xsi:type="dcterms:W3CDTF">2021-01-31T11:58:00Z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4aa5541e-8a90-38d1-949b-194eebf17c58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