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990CD" w14:textId="74757C80" w:rsidR="005267DB" w:rsidRPr="00086265" w:rsidRDefault="00086265">
      <w:pPr>
        <w:spacing w:before="84"/>
        <w:ind w:left="139" w:right="425"/>
        <w:jc w:val="center"/>
        <w:rPr>
          <w:b/>
          <w:sz w:val="24"/>
          <w:lang w:val="id-ID"/>
        </w:rPr>
      </w:pPr>
      <w:r>
        <w:rPr>
          <w:b/>
          <w:sz w:val="24"/>
        </w:rPr>
        <w:t xml:space="preserve">PENGARUH GOOD CORPORATE GOVERNANCE TERHADAP </w:t>
      </w:r>
      <w:r>
        <w:rPr>
          <w:b/>
          <w:sz w:val="24"/>
          <w:lang w:val="id-ID"/>
        </w:rPr>
        <w:t>PENGUNGKAPAN CORPORATE SOCIAL RESPONSIBILITY</w:t>
      </w:r>
    </w:p>
    <w:p w14:paraId="0604D19B" w14:textId="62AA4115" w:rsidR="005267DB" w:rsidRDefault="00086265" w:rsidP="00086265">
      <w:pPr>
        <w:ind w:left="143" w:right="425"/>
        <w:jc w:val="center"/>
        <w:rPr>
          <w:b/>
          <w:sz w:val="24"/>
        </w:rPr>
      </w:pPr>
      <w:r>
        <w:rPr>
          <w:b/>
          <w:sz w:val="24"/>
        </w:rPr>
        <w:t xml:space="preserve">(Studi Kasus Pada Perusahaan </w:t>
      </w:r>
      <w:r>
        <w:rPr>
          <w:b/>
          <w:sz w:val="24"/>
          <w:lang w:val="id-ID"/>
        </w:rPr>
        <w:t>Transportasi yang Terdaftar di Bursa Efek Indonesia Periode 2017-2019</w:t>
      </w:r>
      <w:r>
        <w:rPr>
          <w:b/>
          <w:sz w:val="24"/>
        </w:rPr>
        <w:t>)</w:t>
      </w:r>
    </w:p>
    <w:p w14:paraId="01E9E594" w14:textId="77777777" w:rsidR="005267DB" w:rsidRDefault="005267DB" w:rsidP="00086265">
      <w:pPr>
        <w:pStyle w:val="BodyText"/>
        <w:jc w:val="center"/>
        <w:rPr>
          <w:b/>
          <w:sz w:val="26"/>
        </w:rPr>
      </w:pPr>
    </w:p>
    <w:p w14:paraId="05191013" w14:textId="77777777" w:rsidR="005267DB" w:rsidRDefault="005267DB">
      <w:pPr>
        <w:pStyle w:val="BodyText"/>
        <w:rPr>
          <w:b/>
        </w:rPr>
      </w:pPr>
    </w:p>
    <w:p w14:paraId="2D8A49F3" w14:textId="05149A86" w:rsidR="005267DB" w:rsidRPr="00086265" w:rsidRDefault="00086265">
      <w:pPr>
        <w:ind w:left="145" w:right="425"/>
        <w:jc w:val="center"/>
        <w:rPr>
          <w:b/>
          <w:i/>
          <w:sz w:val="24"/>
        </w:rPr>
      </w:pPr>
      <w:r w:rsidRPr="00086265">
        <w:rPr>
          <w:b/>
          <w:i/>
          <w:sz w:val="24"/>
        </w:rPr>
        <w:t xml:space="preserve">THE EFFECT OF GOOD CORPORATE GOVERNANCE ON </w:t>
      </w:r>
      <w:r w:rsidRPr="00086265">
        <w:rPr>
          <w:b/>
          <w:i/>
          <w:sz w:val="24"/>
          <w:lang w:val="id-ID"/>
        </w:rPr>
        <w:t>CORPORATE SOCIAL RESPONSIBILITY DISCLOSURE</w:t>
      </w:r>
    </w:p>
    <w:p w14:paraId="2D43BDB8" w14:textId="666EAE78" w:rsidR="005267DB" w:rsidRDefault="00086265">
      <w:pPr>
        <w:ind w:left="141" w:right="425"/>
        <w:jc w:val="center"/>
        <w:rPr>
          <w:b/>
          <w:i/>
          <w:sz w:val="24"/>
        </w:rPr>
      </w:pPr>
      <w:r>
        <w:rPr>
          <w:b/>
          <w:i/>
          <w:sz w:val="24"/>
        </w:rPr>
        <w:t xml:space="preserve">(Case Study of </w:t>
      </w:r>
      <w:r>
        <w:rPr>
          <w:b/>
          <w:i/>
          <w:sz w:val="24"/>
          <w:lang w:val="id-ID"/>
        </w:rPr>
        <w:t>Transportation</w:t>
      </w:r>
      <w:r>
        <w:rPr>
          <w:b/>
          <w:i/>
          <w:sz w:val="24"/>
        </w:rPr>
        <w:t xml:space="preserve"> Companies </w:t>
      </w:r>
      <w:r>
        <w:rPr>
          <w:b/>
          <w:i/>
          <w:sz w:val="24"/>
          <w:lang w:val="id-ID"/>
        </w:rPr>
        <w:t xml:space="preserve">Listed </w:t>
      </w:r>
      <w:r>
        <w:rPr>
          <w:b/>
          <w:i/>
          <w:sz w:val="24"/>
        </w:rPr>
        <w:t>on IDX</w:t>
      </w:r>
      <w:r>
        <w:rPr>
          <w:b/>
          <w:i/>
          <w:sz w:val="24"/>
          <w:lang w:val="id-ID"/>
        </w:rPr>
        <w:t xml:space="preserve"> for the 2017-2019 period</w:t>
      </w:r>
      <w:r>
        <w:rPr>
          <w:b/>
          <w:i/>
          <w:sz w:val="24"/>
        </w:rPr>
        <w:t>)</w:t>
      </w:r>
    </w:p>
    <w:p w14:paraId="1AD20D42" w14:textId="77777777" w:rsidR="005267DB" w:rsidRDefault="005267DB">
      <w:pPr>
        <w:pStyle w:val="BodyText"/>
        <w:rPr>
          <w:b/>
          <w:i/>
          <w:sz w:val="26"/>
        </w:rPr>
      </w:pPr>
    </w:p>
    <w:p w14:paraId="07534ACD" w14:textId="77777777" w:rsidR="005267DB" w:rsidRDefault="005267DB">
      <w:pPr>
        <w:pStyle w:val="BodyText"/>
        <w:rPr>
          <w:b/>
          <w:i/>
        </w:rPr>
      </w:pPr>
    </w:p>
    <w:p w14:paraId="21693D94" w14:textId="5F4D94E0" w:rsidR="005267DB" w:rsidRPr="00086265" w:rsidRDefault="00086265">
      <w:pPr>
        <w:spacing w:line="275" w:lineRule="exact"/>
        <w:ind w:left="145" w:right="425"/>
        <w:jc w:val="center"/>
        <w:rPr>
          <w:b/>
          <w:sz w:val="24"/>
          <w:lang w:val="id-ID"/>
        </w:rPr>
      </w:pPr>
      <w:r>
        <w:rPr>
          <w:b/>
          <w:sz w:val="24"/>
          <w:lang w:val="id-ID"/>
        </w:rPr>
        <w:t>Normalita Oktaviantini</w:t>
      </w:r>
    </w:p>
    <w:p w14:paraId="5D6C2135" w14:textId="28C1401E" w:rsidR="005267DB" w:rsidRDefault="00086265">
      <w:pPr>
        <w:spacing w:line="229" w:lineRule="exact"/>
        <w:ind w:left="138" w:right="425"/>
        <w:jc w:val="center"/>
        <w:rPr>
          <w:sz w:val="20"/>
        </w:rPr>
      </w:pPr>
      <w:r>
        <w:rPr>
          <w:sz w:val="20"/>
        </w:rPr>
        <w:t>Program Studi Akuntansi Universitas Mercu Buana Yogyakarta</w:t>
      </w:r>
    </w:p>
    <w:p w14:paraId="1842C68F" w14:textId="20C3A977" w:rsidR="005267DB" w:rsidRDefault="00086265">
      <w:pPr>
        <w:spacing w:before="17"/>
        <w:ind w:left="142" w:right="425"/>
        <w:jc w:val="center"/>
        <w:rPr>
          <w:sz w:val="20"/>
        </w:rPr>
      </w:pPr>
      <w:r>
        <w:rPr>
          <w:lang w:val="id-ID"/>
        </w:rPr>
        <w:t>normaoktavia19@gmail.com</w:t>
      </w:r>
      <w:hyperlink r:id="rId7"/>
    </w:p>
    <w:p w14:paraId="54C82514" w14:textId="77777777" w:rsidR="005267DB" w:rsidRDefault="005267DB">
      <w:pPr>
        <w:pStyle w:val="BodyText"/>
        <w:rPr>
          <w:sz w:val="26"/>
        </w:rPr>
      </w:pPr>
    </w:p>
    <w:p w14:paraId="1D4354E6" w14:textId="77777777" w:rsidR="005267DB" w:rsidRDefault="005267DB">
      <w:pPr>
        <w:pStyle w:val="BodyText"/>
        <w:spacing w:before="9"/>
        <w:rPr>
          <w:sz w:val="34"/>
        </w:rPr>
      </w:pPr>
    </w:p>
    <w:p w14:paraId="3B1CACDC" w14:textId="77777777" w:rsidR="005267DB" w:rsidRPr="008D2A77" w:rsidRDefault="00086265" w:rsidP="008D2A77">
      <w:pPr>
        <w:spacing w:before="1" w:line="228" w:lineRule="exact"/>
        <w:ind w:right="425"/>
        <w:jc w:val="center"/>
        <w:rPr>
          <w:b/>
          <w:i/>
          <w:sz w:val="20"/>
        </w:rPr>
      </w:pPr>
      <w:r w:rsidRPr="008D2A77">
        <w:rPr>
          <w:b/>
          <w:i/>
          <w:sz w:val="20"/>
        </w:rPr>
        <w:t>Abstrak</w:t>
      </w:r>
    </w:p>
    <w:p w14:paraId="1FA499AE" w14:textId="77777777" w:rsidR="008D2A77" w:rsidRPr="008D2A77" w:rsidRDefault="008D2A77" w:rsidP="008D2A77">
      <w:pPr>
        <w:spacing w:before="1" w:line="228" w:lineRule="exact"/>
        <w:ind w:right="425"/>
        <w:jc w:val="both"/>
        <w:rPr>
          <w:bCs/>
          <w:iCs/>
          <w:sz w:val="20"/>
          <w:szCs w:val="20"/>
          <w:lang w:val="id-ID"/>
        </w:rPr>
      </w:pPr>
      <w:r w:rsidRPr="008D2A77">
        <w:rPr>
          <w:bCs/>
          <w:iCs/>
          <w:sz w:val="20"/>
        </w:rPr>
        <w:t>Penelitian ini bertujuan untuk mengetahui pengaruh karakteristik</w:t>
      </w:r>
      <w:r w:rsidRPr="008D2A77">
        <w:rPr>
          <w:bCs/>
          <w:iCs/>
          <w:sz w:val="20"/>
          <w:szCs w:val="20"/>
          <w:lang w:val="id-ID"/>
        </w:rPr>
        <w:t xml:space="preserve"> corporate governance terhadap pengungkapan corporate social responsibility pada perusahaan transportasi yang terdaftar di Bursa Efek Indonesia periode 2017-2019. Penelitian ini menggunakan teori keagenanan dan teori stakeholder. Secara umum, good corporate governance adalah sebuah sistem, struktur, dan mekanisme yang dibentuk untuk mencapai keberhasilan suatu perusahaan dan corporate social responsibility adalah tanggung jawab sosial perusahaan atas segala tindakannya yang mempunyai pengaruh terhadap manusia, komunitas, dan lingkungan. Pengungkapan corporate social responsibility sebagai variabel dependen diukur dengan menggunakan indeks GRI 3.1. Variabel independen yang digunakan dalam penelitian adalah proporsi komisaris independen, ukuran dewan komisaris, ukuran komite audit, dan kepemilikan manajerial. Sampel yang digunakan dalam penelitian diambil dengan menggunakan metode purposive sampling dengan 15 perusahaan dari sektor transportasi. Metode atau alat pengolahan statistik menggunakan regresi, anova, dan uji t. Hasil penelitian menunjukkan bahwa proporsi komisaris independen, ukuran komite audit, dan kepemilikan manajerial tidak berpengaruh terhadap pengungkapan corporate social responsibility. Sementara itu, ukuran dewan komisaris berpengaruh terhadap pengungkapan corporate social responsibility. </w:t>
      </w:r>
    </w:p>
    <w:p w14:paraId="08A85C11" w14:textId="77777777" w:rsidR="008D2A77" w:rsidRPr="008D2A77" w:rsidRDefault="008D2A77" w:rsidP="008D2A77">
      <w:pPr>
        <w:spacing w:before="240"/>
        <w:ind w:left="1134" w:hanging="1134"/>
        <w:jc w:val="both"/>
        <w:rPr>
          <w:bCs/>
          <w:sz w:val="20"/>
          <w:szCs w:val="20"/>
          <w:lang w:val="id-ID"/>
        </w:rPr>
      </w:pPr>
      <w:r w:rsidRPr="008D2A77">
        <w:rPr>
          <w:b/>
          <w:sz w:val="20"/>
          <w:szCs w:val="20"/>
          <w:lang w:val="id-ID"/>
        </w:rPr>
        <w:t xml:space="preserve">Kata Kunci: </w:t>
      </w:r>
      <w:r w:rsidRPr="008D2A77">
        <w:rPr>
          <w:bCs/>
          <w:i/>
          <w:sz w:val="20"/>
          <w:szCs w:val="20"/>
          <w:lang w:val="id-ID"/>
        </w:rPr>
        <w:t>good corporate governance</w:t>
      </w:r>
      <w:r w:rsidRPr="008D2A77">
        <w:rPr>
          <w:bCs/>
          <w:sz w:val="20"/>
          <w:szCs w:val="20"/>
          <w:lang w:val="id-ID"/>
        </w:rPr>
        <w:t xml:space="preserve">, </w:t>
      </w:r>
      <w:r w:rsidRPr="008D2A77">
        <w:rPr>
          <w:bCs/>
          <w:i/>
          <w:sz w:val="20"/>
          <w:szCs w:val="20"/>
          <w:lang w:val="id-ID"/>
        </w:rPr>
        <w:t>corporate social responsibility</w:t>
      </w:r>
      <w:r w:rsidRPr="008D2A77">
        <w:rPr>
          <w:bCs/>
          <w:sz w:val="20"/>
          <w:szCs w:val="20"/>
          <w:lang w:val="id-ID"/>
        </w:rPr>
        <w:t>, proporsi komisaris independen, ukuran dewan komisaris, ukuran komite audit, kepemilikan manajerial.</w:t>
      </w:r>
    </w:p>
    <w:p w14:paraId="2A6DD0E1" w14:textId="77777777" w:rsidR="005267DB" w:rsidRDefault="005267DB">
      <w:pPr>
        <w:pStyle w:val="BodyText"/>
        <w:spacing w:before="5"/>
        <w:rPr>
          <w:sz w:val="20"/>
        </w:rPr>
      </w:pPr>
    </w:p>
    <w:p w14:paraId="51F30687" w14:textId="77777777" w:rsidR="005267DB" w:rsidRDefault="00086265">
      <w:pPr>
        <w:spacing w:before="1" w:line="228" w:lineRule="exact"/>
        <w:ind w:left="144" w:right="425"/>
        <w:jc w:val="center"/>
        <w:rPr>
          <w:b/>
          <w:i/>
          <w:sz w:val="20"/>
        </w:rPr>
      </w:pPr>
      <w:r>
        <w:rPr>
          <w:b/>
          <w:i/>
          <w:sz w:val="20"/>
        </w:rPr>
        <w:t>Abstract</w:t>
      </w:r>
    </w:p>
    <w:p w14:paraId="465A425D" w14:textId="77777777" w:rsidR="008D2A77" w:rsidRPr="008D2A77" w:rsidRDefault="008D2A77" w:rsidP="008D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0"/>
          <w:szCs w:val="20"/>
          <w:lang w:val="en"/>
        </w:rPr>
      </w:pPr>
      <w:r w:rsidRPr="008D2A77">
        <w:rPr>
          <w:i/>
          <w:iCs/>
          <w:sz w:val="20"/>
          <w:szCs w:val="20"/>
          <w:lang w:val="en"/>
        </w:rPr>
        <w:t>This study aims to determine the effect of corporate governance characteristics on the disclosure of corporate social responsibility in transportation companies listed on the Indonesia Stock Exchange for the 2017-2019 period. This research uses agency theory and stakeholder theory. In general, good corporate governance is a system, structure, and mechanism established to achieve the success of a company and corporate social responsibility is corporate social responsibility for all its actions that have an impact on humans, communities and the environment. The disclosure of corporate social responsibility as the dependent variable is measured using the GRI 3.1 index. The independent variables used in this study are the proportion of independent commissioners, size of the board of commissioners, size of the audit committee, and managerial ownership. The sample used in the study was taken using purposive sampling method with 15 companies from the transportation sector. Statistical processing methods or tools using regression, ANOVA, and t test. The results showed that the proportion of independent commissioners, size of the audit committee, and managerial ownership had no effect on the disclosure of corporate social responsibility. Meanwhile, the size of the board of commissioners has an effect on the disclosure of corporate social responsibility.</w:t>
      </w:r>
    </w:p>
    <w:p w14:paraId="0FB0B3E4" w14:textId="77777777" w:rsidR="008D2A77" w:rsidRPr="008D2A77" w:rsidRDefault="008D2A77" w:rsidP="008D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0"/>
          <w:szCs w:val="20"/>
        </w:rPr>
      </w:pPr>
    </w:p>
    <w:p w14:paraId="08F1FDF5" w14:textId="5BFAB8D6" w:rsidR="008D2A77" w:rsidRDefault="008D2A77" w:rsidP="008D2A77">
      <w:pPr>
        <w:spacing w:after="240"/>
        <w:ind w:left="851" w:hanging="851"/>
        <w:jc w:val="both"/>
        <w:rPr>
          <w:bCs/>
          <w:i/>
          <w:sz w:val="20"/>
          <w:szCs w:val="20"/>
        </w:rPr>
      </w:pPr>
      <w:r w:rsidRPr="008D2A77">
        <w:rPr>
          <w:b/>
          <w:i/>
          <w:sz w:val="20"/>
          <w:szCs w:val="20"/>
        </w:rPr>
        <w:t xml:space="preserve">Keywords: </w:t>
      </w:r>
      <w:r w:rsidRPr="008D2A77">
        <w:rPr>
          <w:bCs/>
          <w:i/>
          <w:sz w:val="20"/>
          <w:szCs w:val="20"/>
        </w:rPr>
        <w:t>good corporate governance, corporate social responsibility, proportion of independent commissioners, board size, audit committee size, managerial ownership.</w:t>
      </w:r>
    </w:p>
    <w:p w14:paraId="3C91D7BD" w14:textId="420E3A03" w:rsidR="008D2A77" w:rsidRDefault="008D2A77" w:rsidP="008D2A77">
      <w:pPr>
        <w:spacing w:after="240"/>
        <w:ind w:left="851" w:hanging="851"/>
        <w:jc w:val="both"/>
        <w:rPr>
          <w:bCs/>
          <w:i/>
          <w:sz w:val="20"/>
          <w:szCs w:val="20"/>
        </w:rPr>
      </w:pPr>
    </w:p>
    <w:p w14:paraId="36D46274" w14:textId="0CD1BC0F" w:rsidR="008D2A77" w:rsidRDefault="008D2A77" w:rsidP="008D2A77">
      <w:pPr>
        <w:spacing w:after="240"/>
        <w:ind w:left="851" w:hanging="851"/>
        <w:jc w:val="both"/>
        <w:rPr>
          <w:bCs/>
          <w:i/>
          <w:sz w:val="20"/>
          <w:szCs w:val="20"/>
        </w:rPr>
      </w:pPr>
    </w:p>
    <w:p w14:paraId="65283C9A" w14:textId="77777777" w:rsidR="008D2A77" w:rsidRPr="008D2A77" w:rsidRDefault="008D2A77" w:rsidP="008D2A77">
      <w:pPr>
        <w:spacing w:after="240"/>
        <w:ind w:left="851" w:hanging="851"/>
        <w:jc w:val="both"/>
        <w:rPr>
          <w:bCs/>
          <w:i/>
          <w:sz w:val="20"/>
          <w:szCs w:val="20"/>
        </w:rPr>
      </w:pPr>
    </w:p>
    <w:p w14:paraId="5E059051" w14:textId="77777777" w:rsidR="005267DB" w:rsidRDefault="005267DB">
      <w:pPr>
        <w:pStyle w:val="BodyText"/>
        <w:spacing w:before="6"/>
        <w:rPr>
          <w:i/>
          <w:sz w:val="20"/>
        </w:rPr>
      </w:pPr>
    </w:p>
    <w:p w14:paraId="167E61CC" w14:textId="77777777" w:rsidR="005267DB" w:rsidRDefault="00086265" w:rsidP="008D2A77">
      <w:pPr>
        <w:pStyle w:val="Heading1"/>
        <w:spacing w:before="1"/>
        <w:ind w:left="0"/>
      </w:pPr>
      <w:r>
        <w:t>PENDAHULUAN</w:t>
      </w:r>
    </w:p>
    <w:p w14:paraId="497C24BE" w14:textId="77777777" w:rsidR="008D2A77" w:rsidRDefault="008D2A77" w:rsidP="00B770F1">
      <w:pPr>
        <w:pStyle w:val="ListParagraph"/>
        <w:ind w:firstLine="567"/>
        <w:jc w:val="both"/>
        <w:rPr>
          <w:bCs/>
          <w:szCs w:val="24"/>
          <w:lang w:val="id-ID"/>
        </w:rPr>
      </w:pPr>
      <w:r>
        <w:rPr>
          <w:bCs/>
          <w:szCs w:val="24"/>
          <w:lang w:val="id-ID"/>
        </w:rPr>
        <w:t xml:space="preserve">Dalam era globalisasi seperti sekarang ini banyak perusahaan di Indonesia yang melakukan berbagai cara untuk memperbaiki reputasi dan kelangsungan perusahaan mereka. Di sisi lain, semakin berkembangnya teknologi dan informasi, permasalahan dan arus persaingan yang dihadapi perusahaan semakin lebih kompleks. Hal ini mengharuskan perusahaan untuk mengambil keputusan-keputusan yang tepat untuk mengelola perusahaannya, sehingga eksistensi perusahaan tetap diperhatikan. Untuk memastikan hal tersebut dapat berjalan maka diperlukan tata kelola dan pengendalian yang baik di perusahaan. Salah satu yang dapat dilakukan perusahaan adalah dengan menerapkan </w:t>
      </w:r>
      <w:r w:rsidRPr="00FF4815">
        <w:rPr>
          <w:bCs/>
          <w:i/>
          <w:iCs/>
          <w:szCs w:val="24"/>
          <w:lang w:val="id-ID"/>
        </w:rPr>
        <w:t>Good</w:t>
      </w:r>
      <w:r>
        <w:rPr>
          <w:bCs/>
          <w:szCs w:val="24"/>
          <w:lang w:val="id-ID"/>
        </w:rPr>
        <w:t xml:space="preserve"> </w:t>
      </w:r>
      <w:r w:rsidRPr="000306AC">
        <w:rPr>
          <w:bCs/>
          <w:i/>
          <w:iCs/>
          <w:szCs w:val="24"/>
          <w:lang w:val="id-ID"/>
        </w:rPr>
        <w:t>Corporate Governance</w:t>
      </w:r>
      <w:r>
        <w:rPr>
          <w:bCs/>
          <w:szCs w:val="24"/>
          <w:lang w:val="id-ID"/>
        </w:rPr>
        <w:t xml:space="preserve"> (GCG).</w:t>
      </w:r>
    </w:p>
    <w:p w14:paraId="3A9A6BBC" w14:textId="6A38C093" w:rsidR="008D2A77" w:rsidRDefault="008D2A77" w:rsidP="00B770F1">
      <w:pPr>
        <w:pStyle w:val="ListParagraph"/>
        <w:ind w:firstLine="567"/>
        <w:jc w:val="both"/>
        <w:rPr>
          <w:bCs/>
          <w:szCs w:val="24"/>
          <w:lang w:val="id-ID"/>
        </w:rPr>
      </w:pPr>
      <w:r w:rsidRPr="00FF4815">
        <w:rPr>
          <w:bCs/>
          <w:i/>
          <w:iCs/>
          <w:szCs w:val="24"/>
          <w:lang w:val="id-ID"/>
        </w:rPr>
        <w:t>Good</w:t>
      </w:r>
      <w:r>
        <w:rPr>
          <w:bCs/>
          <w:szCs w:val="24"/>
          <w:lang w:val="id-ID"/>
        </w:rPr>
        <w:t xml:space="preserve"> </w:t>
      </w:r>
      <w:r w:rsidRPr="000306AC">
        <w:rPr>
          <w:bCs/>
          <w:i/>
          <w:iCs/>
          <w:szCs w:val="24"/>
          <w:lang w:val="id-ID"/>
        </w:rPr>
        <w:t>Corporate Governance</w:t>
      </w:r>
      <w:r>
        <w:rPr>
          <w:bCs/>
          <w:szCs w:val="24"/>
          <w:lang w:val="id-ID"/>
        </w:rPr>
        <w:t xml:space="preserve"> merupakan suatu proses dan struktur yang digunakan oleh </w:t>
      </w:r>
      <w:r w:rsidRPr="00A439B4">
        <w:rPr>
          <w:bCs/>
          <w:szCs w:val="24"/>
          <w:lang w:val="id-ID"/>
        </w:rPr>
        <w:t>organisasi</w:t>
      </w:r>
      <w:r>
        <w:rPr>
          <w:bCs/>
          <w:szCs w:val="24"/>
          <w:lang w:val="id-ID"/>
        </w:rPr>
        <w:t xml:space="preserve"> perusahaan yang meliputi pemegang saham, pemilik modal, dewan komisaris, dewan pengawas, dan direksi untuk meningkatkan usaha dan akuntabilitas perusahaan guna mewujudkan nilai pemegang saham dalam jangka panjang dengan tetap memperhatikan kepentingan </w:t>
      </w:r>
      <w:r w:rsidRPr="004F1CC6">
        <w:rPr>
          <w:bCs/>
          <w:i/>
          <w:iCs/>
          <w:szCs w:val="24"/>
          <w:lang w:val="id-ID"/>
        </w:rPr>
        <w:t>stakeholder</w:t>
      </w:r>
      <w:r>
        <w:rPr>
          <w:bCs/>
          <w:szCs w:val="24"/>
          <w:lang w:val="id-ID"/>
        </w:rPr>
        <w:t xml:space="preserve"> lainnya berlandaskan peraturan (Adrian Sutedi, 2011:1). Penerapan GCG perlu didukung oleh tiga pilar yang saling berhubungan, yaitu negara dan perangkatnya sebagai regulator, dunia usaha sebagai pelaku pasar, dan masyarakat sebagai pengguna produk. </w:t>
      </w:r>
    </w:p>
    <w:p w14:paraId="30F233A3" w14:textId="77777777" w:rsidR="008D2A77" w:rsidRDefault="008D2A77" w:rsidP="00B770F1">
      <w:pPr>
        <w:pStyle w:val="ListParagraph"/>
        <w:ind w:firstLine="567"/>
        <w:jc w:val="both"/>
        <w:rPr>
          <w:bCs/>
          <w:szCs w:val="24"/>
          <w:lang w:val="id-ID"/>
        </w:rPr>
      </w:pPr>
      <w:r w:rsidRPr="00FF4815">
        <w:rPr>
          <w:bCs/>
          <w:i/>
          <w:iCs/>
          <w:szCs w:val="24"/>
          <w:lang w:val="id-ID"/>
        </w:rPr>
        <w:t>Good</w:t>
      </w:r>
      <w:r>
        <w:rPr>
          <w:bCs/>
          <w:szCs w:val="24"/>
          <w:lang w:val="id-ID"/>
        </w:rPr>
        <w:t xml:space="preserve"> </w:t>
      </w:r>
      <w:r w:rsidRPr="000306AC">
        <w:rPr>
          <w:bCs/>
          <w:i/>
          <w:iCs/>
          <w:szCs w:val="24"/>
          <w:lang w:val="id-ID"/>
        </w:rPr>
        <w:t>Corporate Governance</w:t>
      </w:r>
      <w:r>
        <w:rPr>
          <w:bCs/>
          <w:i/>
          <w:iCs/>
          <w:szCs w:val="24"/>
          <w:lang w:val="id-ID"/>
        </w:rPr>
        <w:t xml:space="preserve"> </w:t>
      </w:r>
      <w:r>
        <w:rPr>
          <w:bCs/>
          <w:szCs w:val="24"/>
          <w:lang w:val="id-ID"/>
        </w:rPr>
        <w:t xml:space="preserve">sering disebut sebagai pola hubungan, sistem, dan proses yang digunakan perusahaan untuk memberikan nilai tambah dalam waktu jangka panjang bagi pemegang saham. Untuk memberikan nilai tambah dalam jangka waktu yang panjang, pelaksanaan </w:t>
      </w:r>
      <w:r w:rsidRPr="00FF4815">
        <w:rPr>
          <w:bCs/>
          <w:i/>
          <w:iCs/>
          <w:szCs w:val="24"/>
          <w:lang w:val="id-ID"/>
        </w:rPr>
        <w:t>Good</w:t>
      </w:r>
      <w:r>
        <w:rPr>
          <w:bCs/>
          <w:szCs w:val="24"/>
          <w:lang w:val="id-ID"/>
        </w:rPr>
        <w:t xml:space="preserve"> </w:t>
      </w:r>
      <w:r w:rsidRPr="000306AC">
        <w:rPr>
          <w:bCs/>
          <w:i/>
          <w:iCs/>
          <w:szCs w:val="24"/>
          <w:lang w:val="id-ID"/>
        </w:rPr>
        <w:t>Corporate Governance</w:t>
      </w:r>
      <w:r>
        <w:rPr>
          <w:bCs/>
          <w:i/>
          <w:iCs/>
          <w:szCs w:val="24"/>
          <w:lang w:val="id-ID"/>
        </w:rPr>
        <w:t xml:space="preserve"> </w:t>
      </w:r>
      <w:r>
        <w:rPr>
          <w:bCs/>
          <w:szCs w:val="24"/>
          <w:lang w:val="id-ID"/>
        </w:rPr>
        <w:t xml:space="preserve">harus mempunya integritas yang tinggi dan aturan yang dianggap dapat mengatur kinerja organ perusahaan. Selain memiliki </w:t>
      </w:r>
      <w:r w:rsidRPr="00A439B4">
        <w:rPr>
          <w:bCs/>
          <w:szCs w:val="24"/>
          <w:lang w:val="id-ID"/>
        </w:rPr>
        <w:t>integritas</w:t>
      </w:r>
      <w:r>
        <w:rPr>
          <w:bCs/>
          <w:szCs w:val="24"/>
          <w:lang w:val="id-ID"/>
        </w:rPr>
        <w:t xml:space="preserve"> dan aturan yang kuat, pelaksanaan </w:t>
      </w:r>
      <w:r w:rsidRPr="00FF4815">
        <w:rPr>
          <w:bCs/>
          <w:i/>
          <w:iCs/>
          <w:szCs w:val="24"/>
          <w:lang w:val="id-ID"/>
        </w:rPr>
        <w:t>Good</w:t>
      </w:r>
      <w:r>
        <w:rPr>
          <w:bCs/>
          <w:szCs w:val="24"/>
          <w:lang w:val="id-ID"/>
        </w:rPr>
        <w:t xml:space="preserve"> </w:t>
      </w:r>
      <w:r w:rsidRPr="000306AC">
        <w:rPr>
          <w:bCs/>
          <w:i/>
          <w:iCs/>
          <w:szCs w:val="24"/>
          <w:lang w:val="id-ID"/>
        </w:rPr>
        <w:t>Corporate Governance</w:t>
      </w:r>
      <w:r>
        <w:rPr>
          <w:bCs/>
          <w:i/>
          <w:iCs/>
          <w:szCs w:val="24"/>
          <w:lang w:val="id-ID"/>
        </w:rPr>
        <w:t xml:space="preserve"> </w:t>
      </w:r>
      <w:r>
        <w:rPr>
          <w:bCs/>
          <w:szCs w:val="24"/>
          <w:lang w:val="id-ID"/>
        </w:rPr>
        <w:t xml:space="preserve">harus didukung oleh lima prinsip yaitu kemandirian, transparansi, akuntabilitas, pertanggungjawaban, dan kewajaran. </w:t>
      </w:r>
      <w:r w:rsidRPr="009C574A">
        <w:rPr>
          <w:bCs/>
          <w:szCs w:val="24"/>
          <w:lang w:val="id-ID"/>
        </w:rPr>
        <w:t xml:space="preserve">Kelima prinsip tersebut penting karena secara konsisten terbukti dapat meningkatkan kualitas laporan keuangan dan mampu mengurangi aktivitas menyimpang seperti rekayasa laporan keuangan yang tidak menggambarkan nilai sebenarnya (Kaihatu, 2006). </w:t>
      </w:r>
    </w:p>
    <w:p w14:paraId="56B3B5DA" w14:textId="77777777" w:rsidR="008D2A77" w:rsidRDefault="008D2A77" w:rsidP="00B770F1">
      <w:pPr>
        <w:pStyle w:val="ListParagraph"/>
        <w:ind w:firstLine="567"/>
        <w:jc w:val="both"/>
        <w:rPr>
          <w:bCs/>
          <w:szCs w:val="24"/>
          <w:lang w:val="id-ID"/>
        </w:rPr>
      </w:pPr>
      <w:r>
        <w:rPr>
          <w:bCs/>
          <w:szCs w:val="24"/>
          <w:lang w:val="id-ID"/>
        </w:rPr>
        <w:t xml:space="preserve">Salah satu prinsip GCG yang telah di jelaskan di atas adalah prinsip pertanggungjawaban </w:t>
      </w:r>
      <w:r w:rsidRPr="00FC5620">
        <w:rPr>
          <w:bCs/>
          <w:i/>
          <w:iCs/>
          <w:szCs w:val="24"/>
          <w:lang w:val="id-ID"/>
        </w:rPr>
        <w:t>(responsibility</w:t>
      </w:r>
      <w:r>
        <w:rPr>
          <w:bCs/>
          <w:szCs w:val="24"/>
          <w:lang w:val="id-ID"/>
        </w:rPr>
        <w:t xml:space="preserve">). Salah satu bentuk dari tanggung jawab perusahaan adalah tanggung jawab sosial perusahaan atau </w:t>
      </w:r>
      <w:r w:rsidRPr="00FC5620">
        <w:rPr>
          <w:bCs/>
          <w:i/>
          <w:iCs/>
          <w:szCs w:val="24"/>
          <w:lang w:val="id-ID"/>
        </w:rPr>
        <w:t>Corporate Social Responsibility</w:t>
      </w:r>
      <w:r>
        <w:rPr>
          <w:bCs/>
          <w:szCs w:val="24"/>
          <w:lang w:val="id-ID"/>
        </w:rPr>
        <w:t xml:space="preserve"> (CSR). Menurut </w:t>
      </w:r>
      <w:r>
        <w:rPr>
          <w:bCs/>
          <w:i/>
          <w:iCs/>
          <w:szCs w:val="24"/>
          <w:lang w:val="id-ID"/>
        </w:rPr>
        <w:t xml:space="preserve">The World Business Council for </w:t>
      </w:r>
      <w:r w:rsidRPr="002365FD">
        <w:rPr>
          <w:bCs/>
          <w:i/>
          <w:iCs/>
          <w:szCs w:val="24"/>
          <w:lang w:val="id-ID"/>
        </w:rPr>
        <w:t>Sustainable  Development</w:t>
      </w:r>
      <w:r>
        <w:rPr>
          <w:bCs/>
          <w:szCs w:val="24"/>
          <w:lang w:val="id-ID"/>
        </w:rPr>
        <w:t xml:space="preserve"> (WBCSD), CSR didefinisikan sebagai komitmen </w:t>
      </w:r>
      <w:r w:rsidRPr="002365FD">
        <w:rPr>
          <w:bCs/>
          <w:szCs w:val="24"/>
          <w:lang w:val="id-ID"/>
        </w:rPr>
        <w:t>bisnis</w:t>
      </w:r>
      <w:r>
        <w:rPr>
          <w:bCs/>
          <w:szCs w:val="24"/>
          <w:lang w:val="id-ID"/>
        </w:rPr>
        <w:t xml:space="preserve"> </w:t>
      </w:r>
      <w:r w:rsidRPr="002365FD">
        <w:rPr>
          <w:bCs/>
          <w:szCs w:val="24"/>
          <w:lang w:val="id-ID"/>
        </w:rPr>
        <w:t>untuk   memberikan</w:t>
      </w:r>
      <w:r>
        <w:rPr>
          <w:bCs/>
          <w:szCs w:val="24"/>
          <w:lang w:val="id-ID"/>
        </w:rPr>
        <w:t xml:space="preserve"> </w:t>
      </w:r>
      <w:r w:rsidRPr="002365FD">
        <w:rPr>
          <w:bCs/>
          <w:szCs w:val="24"/>
          <w:lang w:val="id-ID"/>
        </w:rPr>
        <w:t>kontribusi</w:t>
      </w:r>
      <w:r>
        <w:rPr>
          <w:bCs/>
          <w:szCs w:val="24"/>
          <w:lang w:val="id-ID"/>
        </w:rPr>
        <w:t xml:space="preserve"> bagi </w:t>
      </w:r>
      <w:r w:rsidRPr="002365FD">
        <w:rPr>
          <w:bCs/>
          <w:szCs w:val="24"/>
          <w:lang w:val="id-ID"/>
        </w:rPr>
        <w:t>pembangunan</w:t>
      </w:r>
      <w:r>
        <w:rPr>
          <w:bCs/>
          <w:szCs w:val="24"/>
          <w:lang w:val="id-ID"/>
        </w:rPr>
        <w:t xml:space="preserve"> ekonomi berkelanjutan, melalui   kerjasama dengan para karyawan serta </w:t>
      </w:r>
      <w:r w:rsidRPr="002365FD">
        <w:rPr>
          <w:bCs/>
          <w:szCs w:val="24"/>
          <w:lang w:val="id-ID"/>
        </w:rPr>
        <w:t>perwakil</w:t>
      </w:r>
      <w:r>
        <w:rPr>
          <w:bCs/>
          <w:szCs w:val="24"/>
          <w:lang w:val="id-ID"/>
        </w:rPr>
        <w:t xml:space="preserve">an mereka, keluarga mereka, komunitas setempat maupun masyarakat umum </w:t>
      </w:r>
      <w:r w:rsidRPr="002365FD">
        <w:rPr>
          <w:bCs/>
          <w:szCs w:val="24"/>
          <w:lang w:val="id-ID"/>
        </w:rPr>
        <w:t>untuk meningkatkan kualitas kehidupan dengan cara yang bermanfaat baik bagi bisnis sendiri maupun untuk pembangunan.</w:t>
      </w:r>
      <w:r>
        <w:rPr>
          <w:bCs/>
          <w:szCs w:val="24"/>
          <w:lang w:val="id-ID"/>
        </w:rPr>
        <w:t xml:space="preserve"> </w:t>
      </w:r>
    </w:p>
    <w:p w14:paraId="47544A88" w14:textId="77777777" w:rsidR="008D2A77" w:rsidRDefault="008D2A77" w:rsidP="00B770F1">
      <w:pPr>
        <w:pStyle w:val="ListParagraph"/>
        <w:ind w:firstLine="567"/>
        <w:jc w:val="both"/>
        <w:rPr>
          <w:bCs/>
          <w:szCs w:val="24"/>
          <w:lang w:val="id-ID"/>
        </w:rPr>
      </w:pPr>
      <w:r>
        <w:rPr>
          <w:bCs/>
          <w:i/>
          <w:iCs/>
          <w:szCs w:val="24"/>
          <w:lang w:val="id-ID"/>
        </w:rPr>
        <w:t xml:space="preserve">Corporate </w:t>
      </w:r>
      <w:r w:rsidRPr="002365FD">
        <w:rPr>
          <w:bCs/>
          <w:i/>
          <w:iCs/>
          <w:szCs w:val="24"/>
          <w:lang w:val="id-ID"/>
        </w:rPr>
        <w:t>Social Responsibility</w:t>
      </w:r>
      <w:r>
        <w:rPr>
          <w:bCs/>
          <w:szCs w:val="24"/>
          <w:lang w:val="id-ID"/>
        </w:rPr>
        <w:t xml:space="preserve"> (CSR) merupakan suatu </w:t>
      </w:r>
      <w:r w:rsidRPr="002365FD">
        <w:rPr>
          <w:bCs/>
          <w:szCs w:val="24"/>
          <w:lang w:val="id-ID"/>
        </w:rPr>
        <w:t>konsep akuntansi yang menekankan tanggung jawab perusahaan terhadap lingkungan dan masyaraka</w:t>
      </w:r>
      <w:r>
        <w:rPr>
          <w:bCs/>
          <w:szCs w:val="24"/>
          <w:lang w:val="id-ID"/>
        </w:rPr>
        <w:t xml:space="preserve">t (Aini dan Cahyonowati, 2011). Selain itu, </w:t>
      </w:r>
      <w:r w:rsidRPr="002365FD">
        <w:rPr>
          <w:bCs/>
          <w:i/>
          <w:iCs/>
          <w:szCs w:val="24"/>
          <w:lang w:val="id-ID"/>
        </w:rPr>
        <w:t>Corporate Social Responsibility</w:t>
      </w:r>
      <w:r w:rsidRPr="002365FD">
        <w:rPr>
          <w:bCs/>
          <w:szCs w:val="24"/>
          <w:lang w:val="id-ID"/>
        </w:rPr>
        <w:t xml:space="preserve"> (CSR) </w:t>
      </w:r>
      <w:r>
        <w:rPr>
          <w:bCs/>
          <w:szCs w:val="24"/>
          <w:lang w:val="id-ID"/>
        </w:rPr>
        <w:t>juga dapat diartikan sebagai s</w:t>
      </w:r>
      <w:r w:rsidRPr="002365FD">
        <w:rPr>
          <w:bCs/>
          <w:szCs w:val="24"/>
          <w:lang w:val="id-ID"/>
        </w:rPr>
        <w:t>uatu tanggung jawab perusahaan</w:t>
      </w:r>
      <w:r>
        <w:rPr>
          <w:bCs/>
          <w:szCs w:val="24"/>
          <w:lang w:val="id-ID"/>
        </w:rPr>
        <w:t xml:space="preserve"> </w:t>
      </w:r>
      <w:r w:rsidRPr="002365FD">
        <w:rPr>
          <w:bCs/>
          <w:szCs w:val="24"/>
          <w:lang w:val="id-ID"/>
        </w:rPr>
        <w:t>terhadap para pemangku kepentingan</w:t>
      </w:r>
      <w:r>
        <w:rPr>
          <w:bCs/>
          <w:szCs w:val="24"/>
          <w:lang w:val="id-ID"/>
        </w:rPr>
        <w:t xml:space="preserve"> </w:t>
      </w:r>
      <w:r w:rsidRPr="002365FD">
        <w:rPr>
          <w:bCs/>
          <w:szCs w:val="24"/>
          <w:lang w:val="id-ID"/>
        </w:rPr>
        <w:t>(</w:t>
      </w:r>
      <w:r w:rsidRPr="002365FD">
        <w:rPr>
          <w:bCs/>
          <w:i/>
          <w:iCs/>
          <w:szCs w:val="24"/>
          <w:lang w:val="id-ID"/>
        </w:rPr>
        <w:t>stakeholders</w:t>
      </w:r>
      <w:r w:rsidRPr="002365FD">
        <w:rPr>
          <w:bCs/>
          <w:szCs w:val="24"/>
          <w:lang w:val="id-ID"/>
        </w:rPr>
        <w:t>), yang terdiri dari m</w:t>
      </w:r>
      <w:r>
        <w:rPr>
          <w:bCs/>
          <w:szCs w:val="24"/>
          <w:lang w:val="id-ID"/>
        </w:rPr>
        <w:t xml:space="preserve">anajemen, karyawan, pemerintah, </w:t>
      </w:r>
      <w:r w:rsidRPr="002365FD">
        <w:rPr>
          <w:bCs/>
          <w:szCs w:val="24"/>
          <w:lang w:val="id-ID"/>
        </w:rPr>
        <w:t>dan masyarakat luas.</w:t>
      </w:r>
      <w:r>
        <w:rPr>
          <w:bCs/>
          <w:szCs w:val="24"/>
          <w:lang w:val="id-ID"/>
        </w:rPr>
        <w:t xml:space="preserve"> Jika sebuah </w:t>
      </w:r>
      <w:r w:rsidRPr="00254026">
        <w:rPr>
          <w:bCs/>
          <w:szCs w:val="24"/>
          <w:lang w:val="id-ID"/>
        </w:rPr>
        <w:t>perusa</w:t>
      </w:r>
      <w:r>
        <w:rPr>
          <w:bCs/>
          <w:szCs w:val="24"/>
          <w:lang w:val="id-ID"/>
        </w:rPr>
        <w:t xml:space="preserve">haan ingin mempertahankan kelangsungan hidupnya, </w:t>
      </w:r>
      <w:r w:rsidRPr="00254026">
        <w:rPr>
          <w:bCs/>
          <w:szCs w:val="24"/>
          <w:lang w:val="id-ID"/>
        </w:rPr>
        <w:t>ma</w:t>
      </w:r>
      <w:r>
        <w:rPr>
          <w:bCs/>
          <w:szCs w:val="24"/>
          <w:lang w:val="id-ID"/>
        </w:rPr>
        <w:t xml:space="preserve">ka </w:t>
      </w:r>
      <w:r w:rsidRPr="00254026">
        <w:rPr>
          <w:bCs/>
          <w:szCs w:val="24"/>
          <w:lang w:val="id-ID"/>
        </w:rPr>
        <w:t>perusahaan</w:t>
      </w:r>
      <w:r>
        <w:rPr>
          <w:bCs/>
          <w:szCs w:val="24"/>
          <w:lang w:val="id-ID"/>
        </w:rPr>
        <w:t xml:space="preserve"> tersebut harus memperhatikan </w:t>
      </w:r>
      <w:r>
        <w:rPr>
          <w:bCs/>
          <w:i/>
          <w:iCs/>
          <w:szCs w:val="24"/>
          <w:lang w:val="id-ID"/>
        </w:rPr>
        <w:t xml:space="preserve">triple </w:t>
      </w:r>
      <w:r w:rsidRPr="00254026">
        <w:rPr>
          <w:bCs/>
          <w:i/>
          <w:iCs/>
          <w:szCs w:val="24"/>
          <w:lang w:val="id-ID"/>
        </w:rPr>
        <w:t>bottom</w:t>
      </w:r>
      <w:r>
        <w:rPr>
          <w:bCs/>
          <w:szCs w:val="24"/>
          <w:lang w:val="id-ID"/>
        </w:rPr>
        <w:t xml:space="preserve">, yaitu selain </w:t>
      </w:r>
      <w:r w:rsidRPr="00254026">
        <w:rPr>
          <w:bCs/>
          <w:szCs w:val="24"/>
          <w:lang w:val="id-ID"/>
        </w:rPr>
        <w:t>mengejar</w:t>
      </w:r>
      <w:r>
        <w:rPr>
          <w:bCs/>
          <w:szCs w:val="24"/>
          <w:lang w:val="id-ID"/>
        </w:rPr>
        <w:t xml:space="preserve"> </w:t>
      </w:r>
      <w:r w:rsidRPr="00254026">
        <w:rPr>
          <w:bCs/>
          <w:szCs w:val="24"/>
          <w:lang w:val="id-ID"/>
        </w:rPr>
        <w:t>keuntungan (</w:t>
      </w:r>
      <w:r w:rsidRPr="00254026">
        <w:rPr>
          <w:bCs/>
          <w:i/>
          <w:iCs/>
          <w:szCs w:val="24"/>
          <w:lang w:val="id-ID"/>
        </w:rPr>
        <w:t>profit</w:t>
      </w:r>
      <w:r w:rsidRPr="00254026">
        <w:rPr>
          <w:bCs/>
          <w:szCs w:val="24"/>
          <w:lang w:val="id-ID"/>
        </w:rPr>
        <w:t xml:space="preserve">),  perusahaan  turut  berkontribusi  aktif  dalam  menjaga  kelestarian  lingkungan (planet),  dan  perusahaan  juga  harus  memperhatikan  dan  terlibat  pada  pemenuhan kesejahteraan   masyarakat   </w:t>
      </w:r>
      <w:r w:rsidRPr="00254026">
        <w:rPr>
          <w:bCs/>
          <w:i/>
          <w:iCs/>
          <w:szCs w:val="24"/>
          <w:lang w:val="id-ID"/>
        </w:rPr>
        <w:t>(people</w:t>
      </w:r>
      <w:r w:rsidRPr="00254026">
        <w:rPr>
          <w:bCs/>
          <w:szCs w:val="24"/>
          <w:lang w:val="id-ID"/>
        </w:rPr>
        <w:t>)</w:t>
      </w:r>
      <w:r>
        <w:rPr>
          <w:bCs/>
          <w:szCs w:val="24"/>
          <w:lang w:val="id-ID"/>
        </w:rPr>
        <w:t xml:space="preserve"> (</w:t>
      </w:r>
      <w:r w:rsidRPr="00254026">
        <w:rPr>
          <w:bCs/>
          <w:szCs w:val="24"/>
          <w:lang w:val="id-ID"/>
        </w:rPr>
        <w:t>Nugroho   dan   Yulianto</w:t>
      </w:r>
      <w:r>
        <w:rPr>
          <w:bCs/>
          <w:szCs w:val="24"/>
          <w:lang w:val="id-ID"/>
        </w:rPr>
        <w:t xml:space="preserve">, 2015). </w:t>
      </w:r>
    </w:p>
    <w:p w14:paraId="07BC1130" w14:textId="77777777" w:rsidR="008D2A77" w:rsidRPr="00333E85" w:rsidRDefault="008D2A77" w:rsidP="00B770F1">
      <w:pPr>
        <w:pStyle w:val="ListParagraph"/>
        <w:ind w:firstLine="567"/>
        <w:jc w:val="both"/>
        <w:rPr>
          <w:bCs/>
          <w:szCs w:val="24"/>
          <w:lang w:val="id-ID"/>
        </w:rPr>
      </w:pPr>
      <w:r>
        <w:rPr>
          <w:bCs/>
          <w:szCs w:val="24"/>
          <w:lang w:val="id-ID"/>
        </w:rPr>
        <w:t>D</w:t>
      </w:r>
      <w:r w:rsidRPr="0079096E">
        <w:rPr>
          <w:bCs/>
          <w:szCs w:val="24"/>
          <w:lang w:val="id-ID"/>
        </w:rPr>
        <w:t xml:space="preserve">engan menerapkan </w:t>
      </w:r>
      <w:r>
        <w:rPr>
          <w:bCs/>
          <w:i/>
          <w:iCs/>
          <w:szCs w:val="24"/>
          <w:lang w:val="id-ID"/>
        </w:rPr>
        <w:t xml:space="preserve">Corporate Social </w:t>
      </w:r>
      <w:r w:rsidRPr="0079096E">
        <w:rPr>
          <w:bCs/>
          <w:i/>
          <w:iCs/>
          <w:szCs w:val="24"/>
          <w:lang w:val="id-ID"/>
        </w:rPr>
        <w:t>Responsibility</w:t>
      </w:r>
      <w:r>
        <w:rPr>
          <w:bCs/>
          <w:szCs w:val="24"/>
          <w:lang w:val="id-ID"/>
        </w:rPr>
        <w:t xml:space="preserve">, perusahaan dapat menciptakan </w:t>
      </w:r>
      <w:r w:rsidRPr="0079096E">
        <w:rPr>
          <w:bCs/>
          <w:szCs w:val="24"/>
          <w:lang w:val="id-ID"/>
        </w:rPr>
        <w:t xml:space="preserve">citra </w:t>
      </w:r>
      <w:r>
        <w:rPr>
          <w:bCs/>
          <w:szCs w:val="24"/>
          <w:lang w:val="id-ID"/>
        </w:rPr>
        <w:t xml:space="preserve">atau pandangan yang baik bagi perusahaan </w:t>
      </w:r>
      <w:r w:rsidRPr="0079096E">
        <w:rPr>
          <w:bCs/>
          <w:szCs w:val="24"/>
          <w:lang w:val="id-ID"/>
        </w:rPr>
        <w:t xml:space="preserve">sehingga  </w:t>
      </w:r>
      <w:r>
        <w:rPr>
          <w:bCs/>
          <w:szCs w:val="24"/>
          <w:lang w:val="id-ID"/>
        </w:rPr>
        <w:t>akan meningkatkan kepercayaan dan kesetiaan konsumen terhadap produk perusahaan</w:t>
      </w:r>
      <w:r w:rsidRPr="0079096E">
        <w:rPr>
          <w:bCs/>
          <w:szCs w:val="24"/>
          <w:lang w:val="id-ID"/>
        </w:rPr>
        <w:t>.</w:t>
      </w:r>
      <w:r>
        <w:rPr>
          <w:bCs/>
          <w:szCs w:val="24"/>
          <w:lang w:val="id-ID"/>
        </w:rPr>
        <w:t xml:space="preserve"> CSR mempunyai komitmen </w:t>
      </w:r>
      <w:r w:rsidRPr="00333E85">
        <w:rPr>
          <w:bCs/>
          <w:szCs w:val="24"/>
          <w:lang w:val="id-ID"/>
        </w:rPr>
        <w:t>bisnis untuk berperilaku etis, beroperasi secara legal dan berkontribusi terhadap pembangunan ekonomi sekaligus meningkatkan kualitas hidup karyawan dan keluarganya, serta masyarakat lokal dan masyarakat pada umumnya. Dari sini dipahami bahwa CSR dapat terlaksana ketika perusahaan beroperasi secara etis, sesuai dengan etika bisnis yang melekat dalam perusahaan yang tidak mengejar keuntungan secara finans</w:t>
      </w:r>
      <w:r>
        <w:rPr>
          <w:bCs/>
          <w:szCs w:val="24"/>
          <w:lang w:val="id-ID"/>
        </w:rPr>
        <w:t>ial. (Bambang dan Melia, 2013</w:t>
      </w:r>
      <w:r w:rsidRPr="00333E85">
        <w:rPr>
          <w:bCs/>
          <w:szCs w:val="24"/>
          <w:lang w:val="id-ID"/>
        </w:rPr>
        <w:t>).</w:t>
      </w:r>
    </w:p>
    <w:p w14:paraId="54EC0061" w14:textId="77777777" w:rsidR="008D2A77" w:rsidRDefault="008D2A77" w:rsidP="00B770F1">
      <w:pPr>
        <w:pStyle w:val="ListParagraph"/>
        <w:ind w:firstLine="567"/>
        <w:jc w:val="both"/>
        <w:rPr>
          <w:bCs/>
          <w:szCs w:val="24"/>
          <w:lang w:val="id-ID"/>
        </w:rPr>
      </w:pPr>
      <w:r>
        <w:rPr>
          <w:bCs/>
          <w:szCs w:val="24"/>
          <w:lang w:val="id-ID"/>
        </w:rPr>
        <w:t xml:space="preserve">Badjuri (2011) </w:t>
      </w:r>
      <w:r w:rsidRPr="00FB28ED">
        <w:rPr>
          <w:bCs/>
          <w:szCs w:val="24"/>
          <w:lang w:val="id-ID"/>
        </w:rPr>
        <w:t>menyatakan bah</w:t>
      </w:r>
      <w:r>
        <w:rPr>
          <w:bCs/>
          <w:szCs w:val="24"/>
          <w:lang w:val="id-ID"/>
        </w:rPr>
        <w:t xml:space="preserve">wa pelaksanaan CSR di Indonesia sangat </w:t>
      </w:r>
      <w:r w:rsidRPr="00FB28ED">
        <w:rPr>
          <w:bCs/>
          <w:szCs w:val="24"/>
          <w:lang w:val="id-ID"/>
        </w:rPr>
        <w:t xml:space="preserve">tergantung pada pimpinan </w:t>
      </w:r>
      <w:r>
        <w:rPr>
          <w:bCs/>
          <w:szCs w:val="24"/>
          <w:lang w:val="id-ID"/>
        </w:rPr>
        <w:t xml:space="preserve">perusahaan. Artinya, kebijakan CSR tidak selalu </w:t>
      </w:r>
      <w:r w:rsidRPr="00FB28ED">
        <w:rPr>
          <w:bCs/>
          <w:szCs w:val="24"/>
          <w:lang w:val="id-ID"/>
        </w:rPr>
        <w:t>selara</w:t>
      </w:r>
      <w:r>
        <w:rPr>
          <w:bCs/>
          <w:szCs w:val="24"/>
          <w:lang w:val="id-ID"/>
        </w:rPr>
        <w:t xml:space="preserve">s dengan visi dan misi perusahaan. </w:t>
      </w:r>
      <w:r w:rsidRPr="00FB28ED">
        <w:rPr>
          <w:bCs/>
          <w:szCs w:val="24"/>
          <w:lang w:val="id-ID"/>
        </w:rPr>
        <w:t>Jika perus</w:t>
      </w:r>
      <w:r>
        <w:rPr>
          <w:bCs/>
          <w:szCs w:val="24"/>
          <w:lang w:val="id-ID"/>
        </w:rPr>
        <w:t xml:space="preserve">ahaan mempunyai kesadaran moral </w:t>
      </w:r>
      <w:r w:rsidRPr="00FB28ED">
        <w:rPr>
          <w:bCs/>
          <w:szCs w:val="24"/>
          <w:lang w:val="id-ID"/>
        </w:rPr>
        <w:t>yang tinggi, besar kemungkinan korporasi tersebu</w:t>
      </w:r>
      <w:r>
        <w:rPr>
          <w:bCs/>
          <w:szCs w:val="24"/>
          <w:lang w:val="id-ID"/>
        </w:rPr>
        <w:t xml:space="preserve">t menerapkan kebijakan CSR yang benar. Sebaliknya jika </w:t>
      </w:r>
      <w:r w:rsidRPr="00FB28ED">
        <w:rPr>
          <w:bCs/>
          <w:szCs w:val="24"/>
          <w:lang w:val="id-ID"/>
        </w:rPr>
        <w:t>orient</w:t>
      </w:r>
      <w:r>
        <w:rPr>
          <w:bCs/>
          <w:szCs w:val="24"/>
          <w:lang w:val="id-ID"/>
        </w:rPr>
        <w:t>asi kepemimpinan hanya terpusat</w:t>
      </w:r>
      <w:r w:rsidRPr="00FB28ED">
        <w:rPr>
          <w:bCs/>
          <w:szCs w:val="24"/>
          <w:lang w:val="id-ID"/>
        </w:rPr>
        <w:t xml:space="preserve"> pada kepentingan kepuasan pemegang saham serta pencapaian pribadi,</w:t>
      </w:r>
      <w:r>
        <w:rPr>
          <w:bCs/>
          <w:szCs w:val="24"/>
          <w:lang w:val="id-ID"/>
        </w:rPr>
        <w:t xml:space="preserve"> boleh jadi kebijakan CSR hanya </w:t>
      </w:r>
      <w:r w:rsidRPr="00FB28ED">
        <w:rPr>
          <w:bCs/>
          <w:szCs w:val="24"/>
          <w:lang w:val="id-ID"/>
        </w:rPr>
        <w:t>sekedar kosmetik.</w:t>
      </w:r>
      <w:r>
        <w:t xml:space="preserve"> Di </w:t>
      </w:r>
      <w:r w:rsidRPr="00FB28ED">
        <w:rPr>
          <w:bCs/>
          <w:szCs w:val="24"/>
          <w:lang w:val="id-ID"/>
        </w:rPr>
        <w:t>Indone</w:t>
      </w:r>
      <w:r>
        <w:rPr>
          <w:bCs/>
          <w:szCs w:val="24"/>
          <w:lang w:val="id-ID"/>
        </w:rPr>
        <w:t xml:space="preserve">sia </w:t>
      </w:r>
      <w:r w:rsidRPr="00FB28ED">
        <w:rPr>
          <w:bCs/>
          <w:szCs w:val="24"/>
          <w:lang w:val="id-ID"/>
        </w:rPr>
        <w:t>belum semua perusahaan menjalankan program tanggung jawab sosial dengan baik</w:t>
      </w:r>
      <w:r>
        <w:rPr>
          <w:bCs/>
          <w:szCs w:val="24"/>
          <w:lang w:val="id-ID"/>
        </w:rPr>
        <w:t xml:space="preserve">. </w:t>
      </w:r>
      <w:r w:rsidRPr="00FB28ED">
        <w:rPr>
          <w:bCs/>
          <w:szCs w:val="24"/>
          <w:lang w:val="id-ID"/>
        </w:rPr>
        <w:t>Hal ini dapat dilihat dari anggota yang b</w:t>
      </w:r>
      <w:r>
        <w:rPr>
          <w:bCs/>
          <w:szCs w:val="24"/>
          <w:lang w:val="id-ID"/>
        </w:rPr>
        <w:t xml:space="preserve">ergabung dalam </w:t>
      </w:r>
      <w:r w:rsidRPr="00FB28ED">
        <w:rPr>
          <w:bCs/>
          <w:i/>
          <w:szCs w:val="24"/>
          <w:lang w:val="id-ID"/>
        </w:rPr>
        <w:t>Corporate Forum Community Development</w:t>
      </w:r>
      <w:r w:rsidRPr="00FB28ED">
        <w:rPr>
          <w:bCs/>
          <w:szCs w:val="24"/>
          <w:lang w:val="id-ID"/>
        </w:rPr>
        <w:t xml:space="preserve"> (CFCD) baru sebanya</w:t>
      </w:r>
      <w:r>
        <w:rPr>
          <w:bCs/>
          <w:szCs w:val="24"/>
          <w:lang w:val="id-ID"/>
        </w:rPr>
        <w:t xml:space="preserve">k </w:t>
      </w:r>
      <w:r>
        <w:rPr>
          <w:bCs/>
          <w:szCs w:val="24"/>
          <w:lang w:val="id-ID"/>
        </w:rPr>
        <w:lastRenderedPageBreak/>
        <w:t xml:space="preserve">253 perusahaan. Menurut Ketua </w:t>
      </w:r>
      <w:r w:rsidRPr="00FB28ED">
        <w:rPr>
          <w:bCs/>
          <w:szCs w:val="24"/>
          <w:lang w:val="id-ID"/>
        </w:rPr>
        <w:t>Umum CFCD Suwandi masih banyak perusaha</w:t>
      </w:r>
      <w:r>
        <w:rPr>
          <w:bCs/>
          <w:szCs w:val="24"/>
          <w:lang w:val="id-ID"/>
        </w:rPr>
        <w:t xml:space="preserve">an yang belum menyadari peranan </w:t>
      </w:r>
      <w:r w:rsidRPr="00FB28ED">
        <w:rPr>
          <w:bCs/>
          <w:szCs w:val="24"/>
          <w:lang w:val="id-ID"/>
        </w:rPr>
        <w:t>penting program CSR, namun ketika b</w:t>
      </w:r>
      <w:r>
        <w:rPr>
          <w:bCs/>
          <w:szCs w:val="24"/>
          <w:lang w:val="id-ID"/>
        </w:rPr>
        <w:t xml:space="preserve">isnis mereka menghadapi masalah dengan </w:t>
      </w:r>
      <w:r w:rsidRPr="00FB28ED">
        <w:rPr>
          <w:bCs/>
          <w:szCs w:val="24"/>
          <w:lang w:val="id-ID"/>
        </w:rPr>
        <w:t>masyarakat barulah mereka menyadari penting program CSR tersebut</w:t>
      </w:r>
      <w:r>
        <w:rPr>
          <w:bCs/>
          <w:szCs w:val="24"/>
          <w:lang w:val="id-ID"/>
        </w:rPr>
        <w:t>.</w:t>
      </w:r>
    </w:p>
    <w:p w14:paraId="7CD76DF0" w14:textId="77777777" w:rsidR="008D2A77" w:rsidRPr="00CB76FA" w:rsidRDefault="008D2A77" w:rsidP="00B770F1">
      <w:pPr>
        <w:pStyle w:val="ListParagraph"/>
        <w:ind w:firstLine="567"/>
        <w:jc w:val="both"/>
        <w:rPr>
          <w:bCs/>
          <w:szCs w:val="24"/>
          <w:lang w:val="id-ID"/>
        </w:rPr>
      </w:pPr>
      <w:r>
        <w:rPr>
          <w:bCs/>
          <w:szCs w:val="24"/>
          <w:lang w:val="id-ID"/>
        </w:rPr>
        <w:t xml:space="preserve">Undang-Undang Nomor </w:t>
      </w:r>
      <w:r w:rsidRPr="00FB28ED">
        <w:rPr>
          <w:bCs/>
          <w:szCs w:val="24"/>
          <w:lang w:val="id-ID"/>
        </w:rPr>
        <w:t xml:space="preserve">40 Tahun 2007 tentang Perseroan Terbatas tepatnya pasal 74 menyebutkan bahwa “Perseroan yang menjalankan kegiatan usahanya di bidang dan/berkaitan dengan sumber daya alam wajib melaksanakan tanggung jawab sosial dan lingkungan”. Undang-undang tersebut diperkuat dengan </w:t>
      </w:r>
      <w:r>
        <w:rPr>
          <w:bCs/>
          <w:szCs w:val="24"/>
          <w:lang w:val="id-ID"/>
        </w:rPr>
        <w:t xml:space="preserve">adanya Peraturan Pemerintah Nomor </w:t>
      </w:r>
      <w:r w:rsidRPr="00FB28ED">
        <w:rPr>
          <w:bCs/>
          <w:szCs w:val="24"/>
          <w:lang w:val="id-ID"/>
        </w:rPr>
        <w:t>47 Tahun 2012 mengenai Tanggung  Sosial dan Lin</w:t>
      </w:r>
      <w:r>
        <w:rPr>
          <w:bCs/>
          <w:szCs w:val="24"/>
          <w:lang w:val="id-ID"/>
        </w:rPr>
        <w:t>gkungan Perseroan Terbatas. Dari kedua undang-undang yang dijelaskan di atas, dpat disimpulkan bahwa</w:t>
      </w:r>
      <w:r w:rsidRPr="00FB28ED">
        <w:rPr>
          <w:bCs/>
          <w:szCs w:val="24"/>
          <w:lang w:val="id-ID"/>
        </w:rPr>
        <w:t xml:space="preserve"> CSR merupakan</w:t>
      </w:r>
      <w:r>
        <w:rPr>
          <w:bCs/>
          <w:szCs w:val="24"/>
          <w:lang w:val="id-ID"/>
        </w:rPr>
        <w:t xml:space="preserve"> suatu kewajiban yang harus dilakukan oleh</w:t>
      </w:r>
      <w:r w:rsidRPr="00FB28ED">
        <w:rPr>
          <w:bCs/>
          <w:szCs w:val="24"/>
          <w:lang w:val="id-ID"/>
        </w:rPr>
        <w:t xml:space="preserve"> perusahaan.  </w:t>
      </w:r>
    </w:p>
    <w:p w14:paraId="34AFDB09" w14:textId="2BFA3F91" w:rsidR="005267DB" w:rsidRDefault="008D2A77" w:rsidP="00B770F1">
      <w:pPr>
        <w:pStyle w:val="ListParagraph"/>
        <w:ind w:firstLine="567"/>
        <w:jc w:val="both"/>
        <w:rPr>
          <w:bCs/>
          <w:szCs w:val="24"/>
          <w:lang w:val="id-ID"/>
        </w:rPr>
      </w:pPr>
      <w:r w:rsidRPr="000A7525">
        <w:rPr>
          <w:bCs/>
          <w:szCs w:val="24"/>
          <w:lang w:val="id-ID"/>
        </w:rPr>
        <w:t xml:space="preserve">Penilitian ini merupakan replikasi dari penelitian sebelumnya yang dilakukan oleh </w:t>
      </w:r>
      <w:r>
        <w:rPr>
          <w:bCs/>
          <w:szCs w:val="24"/>
          <w:lang w:val="id-ID"/>
        </w:rPr>
        <w:t xml:space="preserve">Yuandafi Andikri </w:t>
      </w:r>
      <w:r w:rsidRPr="000A7525">
        <w:rPr>
          <w:bCs/>
          <w:szCs w:val="24"/>
          <w:lang w:val="id-ID"/>
        </w:rPr>
        <w:t xml:space="preserve">(2019) yang berjudul </w:t>
      </w:r>
      <w:r>
        <w:rPr>
          <w:bCs/>
          <w:szCs w:val="24"/>
          <w:lang w:val="id-ID"/>
        </w:rPr>
        <w:t xml:space="preserve">Analisis </w:t>
      </w:r>
      <w:r w:rsidRPr="000A7525">
        <w:rPr>
          <w:bCs/>
          <w:szCs w:val="24"/>
          <w:lang w:val="id-ID"/>
        </w:rPr>
        <w:t xml:space="preserve">Pengaruh </w:t>
      </w:r>
      <w:r>
        <w:rPr>
          <w:bCs/>
          <w:szCs w:val="24"/>
          <w:lang w:val="id-ID"/>
        </w:rPr>
        <w:t xml:space="preserve">Karakteristik </w:t>
      </w:r>
      <w:r w:rsidRPr="00B42D22">
        <w:rPr>
          <w:bCs/>
          <w:i/>
          <w:szCs w:val="24"/>
          <w:lang w:val="id-ID"/>
        </w:rPr>
        <w:t>Good Corporate Governance</w:t>
      </w:r>
      <w:r>
        <w:rPr>
          <w:bCs/>
          <w:szCs w:val="24"/>
          <w:lang w:val="id-ID"/>
        </w:rPr>
        <w:t xml:space="preserve"> Terhadap Tingkat Pengungkapan </w:t>
      </w:r>
      <w:r w:rsidRPr="00B42D22">
        <w:rPr>
          <w:bCs/>
          <w:i/>
          <w:szCs w:val="24"/>
          <w:lang w:val="id-ID"/>
        </w:rPr>
        <w:t>Corporate Social Responsibility</w:t>
      </w:r>
      <w:r w:rsidRPr="000A7525">
        <w:rPr>
          <w:bCs/>
          <w:szCs w:val="24"/>
          <w:lang w:val="id-ID"/>
        </w:rPr>
        <w:t xml:space="preserve"> (Studi Pada Perusahaan </w:t>
      </w:r>
      <w:r>
        <w:rPr>
          <w:bCs/>
          <w:szCs w:val="24"/>
          <w:lang w:val="id-ID"/>
        </w:rPr>
        <w:t xml:space="preserve">Maskapai </w:t>
      </w:r>
      <w:r w:rsidRPr="000A7525">
        <w:rPr>
          <w:bCs/>
          <w:szCs w:val="24"/>
          <w:lang w:val="id-ID"/>
        </w:rPr>
        <w:t xml:space="preserve">yang Terdaftar di Bursa </w:t>
      </w:r>
      <w:r>
        <w:rPr>
          <w:bCs/>
          <w:szCs w:val="24"/>
          <w:lang w:val="id-ID"/>
        </w:rPr>
        <w:t>Efek se Asia Tenggara tahun 2014 – 2018</w:t>
      </w:r>
      <w:r w:rsidRPr="000A7525">
        <w:rPr>
          <w:bCs/>
          <w:szCs w:val="24"/>
          <w:lang w:val="id-ID"/>
        </w:rPr>
        <w:t>) dengan mengubah sampel penelitian dan tahun penelitian. Dengan mengubah sampel dan tahun penelitian akan memberikan hasil yang berbeda dengan penelitian sebelumnya.</w:t>
      </w:r>
    </w:p>
    <w:p w14:paraId="3A656A41" w14:textId="77777777" w:rsidR="00B770F1" w:rsidRDefault="00B770F1" w:rsidP="00B770F1">
      <w:pPr>
        <w:pStyle w:val="ListParagraph"/>
        <w:ind w:firstLine="567"/>
        <w:jc w:val="both"/>
        <w:rPr>
          <w:sz w:val="21"/>
        </w:rPr>
      </w:pPr>
    </w:p>
    <w:p w14:paraId="5972B452" w14:textId="77777777" w:rsidR="005267DB" w:rsidRDefault="00086265" w:rsidP="00B770F1">
      <w:pPr>
        <w:pStyle w:val="BodyText"/>
      </w:pPr>
      <w:r>
        <w:t>Berdasarkan uraian di atas, maka penulis dapat merumuskan hipotesis sebagai berikut:</w:t>
      </w:r>
    </w:p>
    <w:p w14:paraId="207C95A4" w14:textId="6BEB9678" w:rsidR="005267DB" w:rsidRPr="00B770F1" w:rsidRDefault="00086265" w:rsidP="00B770F1">
      <w:pPr>
        <w:pStyle w:val="BodyText"/>
        <w:spacing w:before="2" w:line="252" w:lineRule="exact"/>
        <w:rPr>
          <w:lang w:val="id-ID"/>
        </w:rPr>
      </w:pPr>
      <w:r>
        <w:t xml:space="preserve">H1: </w:t>
      </w:r>
      <w:r w:rsidR="00B770F1">
        <w:rPr>
          <w:lang w:val="id-ID"/>
        </w:rPr>
        <w:t>Proporsi komisaris independen berpengaruh terhadap pengungkapan CSR</w:t>
      </w:r>
    </w:p>
    <w:p w14:paraId="668584F9" w14:textId="2338B2AB" w:rsidR="005267DB" w:rsidRPr="00B770F1" w:rsidRDefault="00086265" w:rsidP="00B770F1">
      <w:pPr>
        <w:pStyle w:val="BodyText"/>
        <w:ind w:right="984"/>
        <w:rPr>
          <w:lang w:val="id-ID"/>
        </w:rPr>
      </w:pPr>
      <w:r>
        <w:t xml:space="preserve">H2: </w:t>
      </w:r>
      <w:r w:rsidR="00B770F1">
        <w:rPr>
          <w:lang w:val="id-ID"/>
        </w:rPr>
        <w:t>Ukuran dewan komisaris berpengaruh terhadap pengungkapan CSR</w:t>
      </w:r>
    </w:p>
    <w:p w14:paraId="6BF9416B" w14:textId="77777777" w:rsidR="00B770F1" w:rsidRDefault="00086265" w:rsidP="00B770F1">
      <w:pPr>
        <w:pStyle w:val="BodyText"/>
        <w:ind w:right="903"/>
        <w:rPr>
          <w:lang w:val="id-ID"/>
        </w:rPr>
      </w:pPr>
      <w:r>
        <w:t xml:space="preserve">H3: </w:t>
      </w:r>
      <w:r w:rsidR="00B770F1">
        <w:rPr>
          <w:lang w:val="id-ID"/>
        </w:rPr>
        <w:t>Ukuran komite audit berpengaruh terhadap pengungkapan CSR</w:t>
      </w:r>
    </w:p>
    <w:p w14:paraId="2B4B40D7" w14:textId="5C3666CC" w:rsidR="005267DB" w:rsidRDefault="00086265" w:rsidP="00B770F1">
      <w:pPr>
        <w:pStyle w:val="BodyText"/>
        <w:ind w:right="903"/>
      </w:pPr>
      <w:r>
        <w:t xml:space="preserve">H4: </w:t>
      </w:r>
      <w:r w:rsidR="006658A4">
        <w:rPr>
          <w:lang w:val="id-ID"/>
        </w:rPr>
        <w:t>Kepemilikan manajerial berpengaruh terhadap pengungkapan CSR</w:t>
      </w:r>
      <w:r>
        <w:t>.</w:t>
      </w:r>
    </w:p>
    <w:p w14:paraId="74AE2223" w14:textId="77777777" w:rsidR="005267DB" w:rsidRDefault="005267DB">
      <w:pPr>
        <w:pStyle w:val="BodyText"/>
        <w:spacing w:before="9"/>
        <w:rPr>
          <w:sz w:val="21"/>
        </w:rPr>
      </w:pPr>
    </w:p>
    <w:p w14:paraId="30FC7F78" w14:textId="35734CBE" w:rsidR="005267DB" w:rsidRDefault="00086265" w:rsidP="006658A4">
      <w:pPr>
        <w:pStyle w:val="BodyText"/>
        <w:ind w:right="117"/>
        <w:jc w:val="both"/>
        <w:rPr>
          <w:lang w:val="id-ID"/>
        </w:rPr>
      </w:pPr>
      <w:r>
        <w:t xml:space="preserve">Penelitian ini bertujuan untuk menguji pengaruh </w:t>
      </w:r>
      <w:r w:rsidRPr="006658A4">
        <w:rPr>
          <w:i/>
          <w:iCs/>
        </w:rPr>
        <w:t>good corporate governance</w:t>
      </w:r>
      <w:r>
        <w:t xml:space="preserve"> yang diproksikan dengan </w:t>
      </w:r>
      <w:r w:rsidR="006658A4">
        <w:rPr>
          <w:lang w:val="id-ID"/>
        </w:rPr>
        <w:t xml:space="preserve">proporsi </w:t>
      </w:r>
      <w:r>
        <w:t xml:space="preserve">komisaris independen, </w:t>
      </w:r>
      <w:r w:rsidR="006658A4">
        <w:rPr>
          <w:lang w:val="id-ID"/>
        </w:rPr>
        <w:t xml:space="preserve">ukuran dewan  komisaris, ukuran komite audit, dan kepemilikan manajerial </w:t>
      </w:r>
      <w:r>
        <w:t xml:space="preserve">terhadap </w:t>
      </w:r>
      <w:r w:rsidR="006658A4">
        <w:rPr>
          <w:lang w:val="id-ID"/>
        </w:rPr>
        <w:t>pengungkapan CSR</w:t>
      </w:r>
    </w:p>
    <w:p w14:paraId="2353E9B2" w14:textId="77777777" w:rsidR="006658A4" w:rsidRPr="006658A4" w:rsidRDefault="006658A4" w:rsidP="006658A4">
      <w:pPr>
        <w:pStyle w:val="BodyText"/>
        <w:ind w:right="117"/>
        <w:jc w:val="both"/>
        <w:rPr>
          <w:lang w:val="id-ID"/>
        </w:rPr>
      </w:pPr>
    </w:p>
    <w:p w14:paraId="61B2D930" w14:textId="77777777" w:rsidR="005267DB" w:rsidRDefault="00086265" w:rsidP="006658A4">
      <w:pPr>
        <w:pStyle w:val="Heading1"/>
        <w:spacing w:line="251" w:lineRule="exact"/>
        <w:ind w:left="0"/>
      </w:pPr>
      <w:r>
        <w:t>METODE</w:t>
      </w:r>
    </w:p>
    <w:p w14:paraId="2542E1ED" w14:textId="63136543" w:rsidR="005267DB" w:rsidRDefault="00086265" w:rsidP="006658A4">
      <w:pPr>
        <w:pStyle w:val="BodyText"/>
        <w:ind w:right="111" w:firstLine="567"/>
        <w:jc w:val="both"/>
      </w:pPr>
      <w:r>
        <w:t xml:space="preserve">Penelitian ini merupakan penelitian </w:t>
      </w:r>
      <w:r w:rsidR="006658A4">
        <w:rPr>
          <w:lang w:val="id-ID"/>
        </w:rPr>
        <w:t xml:space="preserve">deskriptif dengan pendekatan kuantitatif. </w:t>
      </w:r>
      <w:r>
        <w:t xml:space="preserve">Populasi yang dipakai dalam penelitian ini adalah Perusahaan </w:t>
      </w:r>
      <w:r w:rsidR="006658A4">
        <w:rPr>
          <w:lang w:val="id-ID"/>
        </w:rPr>
        <w:t xml:space="preserve">Transportasi </w:t>
      </w:r>
      <w:r>
        <w:t>di BEI periode 201</w:t>
      </w:r>
      <w:r w:rsidR="006658A4">
        <w:rPr>
          <w:lang w:val="id-ID"/>
        </w:rPr>
        <w:t>7</w:t>
      </w:r>
      <w:r>
        <w:t>-201</w:t>
      </w:r>
      <w:r w:rsidR="006658A4">
        <w:rPr>
          <w:lang w:val="id-ID"/>
        </w:rPr>
        <w:t>9</w:t>
      </w:r>
      <w:r>
        <w:t xml:space="preserve">. Proses pengambilan sampel dalam penelitian ini menggunakan purposive sampling dengan tujuan untuk mendapatkan sampel yang sesuai dengan tujuan penelitian. Data dalam penelitian ini berupa </w:t>
      </w:r>
      <w:r w:rsidR="006658A4">
        <w:rPr>
          <w:lang w:val="id-ID"/>
        </w:rPr>
        <w:t>laporan tahunan dan laporan keuangan</w:t>
      </w:r>
      <w:r>
        <w:t xml:space="preserve"> perusahaan yang diperoleh melalui website resmi IDX (www.idx.co.id).</w:t>
      </w:r>
    </w:p>
    <w:p w14:paraId="28F12937" w14:textId="74544D31" w:rsidR="005267DB" w:rsidRDefault="00086265" w:rsidP="006658A4">
      <w:pPr>
        <w:pStyle w:val="BodyText"/>
        <w:spacing w:before="81"/>
        <w:ind w:right="456" w:firstLine="567"/>
        <w:jc w:val="both"/>
      </w:pPr>
      <w:r>
        <w:t xml:space="preserve">Metode pengumpulan data dilakukan dengan </w:t>
      </w:r>
      <w:r w:rsidR="006658A4" w:rsidRPr="001F5CED">
        <w:rPr>
          <w:szCs w:val="24"/>
          <w:lang w:val="id-ID"/>
        </w:rPr>
        <w:t>mengumpulkan data sekunder yang diperoleh dari website Bursa Efek Indonesia melalui situs www.idx.co.id dan www.sahamok.com</w:t>
      </w:r>
      <w:r>
        <w:t xml:space="preserve">. </w:t>
      </w:r>
      <w:r w:rsidR="006658A4" w:rsidRPr="000260D6">
        <w:rPr>
          <w:szCs w:val="24"/>
          <w:lang w:val="id-ID"/>
        </w:rPr>
        <w:t>Komisaris independen adalah anggota dewan komisaris yang</w:t>
      </w:r>
      <w:r w:rsidR="006658A4">
        <w:rPr>
          <w:szCs w:val="24"/>
          <w:lang w:val="id-ID"/>
        </w:rPr>
        <w:t xml:space="preserve"> </w:t>
      </w:r>
      <w:r w:rsidR="006658A4" w:rsidRPr="000260D6">
        <w:rPr>
          <w:szCs w:val="24"/>
          <w:lang w:val="id-ID"/>
        </w:rPr>
        <w:t xml:space="preserve">tidak </w:t>
      </w:r>
      <w:r w:rsidR="006658A4">
        <w:rPr>
          <w:szCs w:val="24"/>
          <w:lang w:val="id-ID"/>
        </w:rPr>
        <w:t>tergabung</w:t>
      </w:r>
      <w:r w:rsidR="006658A4" w:rsidRPr="000260D6">
        <w:rPr>
          <w:szCs w:val="24"/>
          <w:lang w:val="id-ID"/>
        </w:rPr>
        <w:t xml:space="preserve"> dengan manajemen, anggota dewan komisaris lainnya dan pemegang saham </w:t>
      </w:r>
      <w:r w:rsidR="006658A4">
        <w:rPr>
          <w:szCs w:val="24"/>
          <w:lang w:val="id-ID"/>
        </w:rPr>
        <w:t xml:space="preserve">pengendali, bebas dari hubungan </w:t>
      </w:r>
      <w:r w:rsidR="006658A4" w:rsidRPr="000260D6">
        <w:rPr>
          <w:szCs w:val="24"/>
          <w:lang w:val="id-ID"/>
        </w:rPr>
        <w:t>bisnis atau hubungan</w:t>
      </w:r>
      <w:r w:rsidR="006658A4">
        <w:rPr>
          <w:szCs w:val="24"/>
          <w:lang w:val="id-ID"/>
        </w:rPr>
        <w:t xml:space="preserve"> lainnya yang dapat mempengaruhi kemampuannya untuk </w:t>
      </w:r>
      <w:r w:rsidR="006658A4" w:rsidRPr="000260D6">
        <w:rPr>
          <w:szCs w:val="24"/>
          <w:lang w:val="id-ID"/>
        </w:rPr>
        <w:t>bertindak</w:t>
      </w:r>
      <w:r w:rsidR="006658A4">
        <w:rPr>
          <w:szCs w:val="24"/>
          <w:lang w:val="id-ID"/>
        </w:rPr>
        <w:t xml:space="preserve"> </w:t>
      </w:r>
      <w:r w:rsidR="006658A4" w:rsidRPr="000260D6">
        <w:rPr>
          <w:szCs w:val="24"/>
          <w:lang w:val="id-ID"/>
        </w:rPr>
        <w:t>independen atau bertindak semata mata demi kepentingan perusahaan</w:t>
      </w:r>
      <w:r w:rsidR="006658A4">
        <w:rPr>
          <w:szCs w:val="24"/>
          <w:lang w:val="id-ID"/>
        </w:rPr>
        <w:t xml:space="preserve"> </w:t>
      </w:r>
      <w:r w:rsidR="006658A4" w:rsidRPr="000260D6">
        <w:rPr>
          <w:szCs w:val="24"/>
          <w:lang w:val="id-ID"/>
        </w:rPr>
        <w:t>(Komite Nasional Kebijakan Governance, 2006).</w:t>
      </w:r>
      <w:r w:rsidR="006658A4">
        <w:rPr>
          <w:szCs w:val="24"/>
          <w:lang w:val="id-ID"/>
        </w:rPr>
        <w:t xml:space="preserve"> </w:t>
      </w:r>
      <w:r>
        <w:t xml:space="preserve"> Alat ukur </w:t>
      </w:r>
      <w:r w:rsidR="006658A4">
        <w:rPr>
          <w:lang w:val="id-ID"/>
        </w:rPr>
        <w:t xml:space="preserve">proporsi </w:t>
      </w:r>
      <w:r>
        <w:t>komisaris inde</w:t>
      </w:r>
      <w:r w:rsidR="006658A4">
        <w:rPr>
          <w:lang w:val="id-ID"/>
        </w:rPr>
        <w:t>p</w:t>
      </w:r>
      <w:r>
        <w:t>enden dapat dirumuskan sebagai berikut</w:t>
      </w:r>
      <w:r>
        <w:rPr>
          <w:spacing w:val="-2"/>
        </w:rPr>
        <w:t xml:space="preserve"> </w:t>
      </w:r>
      <w:r>
        <w:t>:</w:t>
      </w:r>
    </w:p>
    <w:p w14:paraId="46C6F973" w14:textId="77777777" w:rsidR="005267DB" w:rsidRDefault="005267DB">
      <w:pPr>
        <w:pStyle w:val="BodyText"/>
        <w:spacing w:before="1"/>
      </w:pPr>
    </w:p>
    <w:p w14:paraId="49BD26F1" w14:textId="77777777" w:rsidR="006658A4" w:rsidRDefault="006658A4" w:rsidP="006658A4">
      <w:pPr>
        <w:pStyle w:val="ListParagraph"/>
        <w:spacing w:line="480" w:lineRule="auto"/>
        <w:ind w:left="709"/>
        <w:jc w:val="center"/>
        <w:rPr>
          <w:rFonts w:eastAsiaTheme="minorEastAsia"/>
          <w:szCs w:val="24"/>
        </w:rPr>
      </w:pPr>
      <w:r>
        <w:rPr>
          <w:szCs w:val="24"/>
          <w:lang w:val="id-ID"/>
        </w:rPr>
        <w:t xml:space="preserve">IND = </w:t>
      </w:r>
      <m:oMath>
        <m:f>
          <m:fPr>
            <m:ctrlPr>
              <w:rPr>
                <w:rFonts w:ascii="Cambria Math" w:hAnsi="Cambria Math"/>
                <w:szCs w:val="24"/>
              </w:rPr>
            </m:ctrlPr>
          </m:fPr>
          <m:num>
            <m:r>
              <m:rPr>
                <m:sty m:val="p"/>
              </m:rPr>
              <w:rPr>
                <w:rFonts w:ascii="Cambria Math" w:hAnsi="Cambria Math"/>
                <w:szCs w:val="24"/>
              </w:rPr>
              <m:t>Jumlah anggota dewan komisaris independen</m:t>
            </m:r>
          </m:num>
          <m:den>
            <m:r>
              <m:rPr>
                <m:sty m:val="p"/>
              </m:rPr>
              <w:rPr>
                <w:rFonts w:ascii="Cambria Math" w:hAnsi="Cambria Math"/>
                <w:szCs w:val="24"/>
              </w:rPr>
              <m:t>Jumlah seluruh anggota dewan komisaris</m:t>
            </m:r>
          </m:den>
        </m:f>
      </m:oMath>
    </w:p>
    <w:p w14:paraId="0BD4F218" w14:textId="49F7F82C" w:rsidR="006658A4" w:rsidRDefault="006658A4" w:rsidP="006658A4">
      <w:pPr>
        <w:pStyle w:val="ListParagraph"/>
        <w:ind w:firstLine="567"/>
        <w:jc w:val="both"/>
        <w:rPr>
          <w:szCs w:val="24"/>
          <w:lang w:val="id-ID"/>
        </w:rPr>
      </w:pPr>
      <w:r w:rsidRPr="00EC66C2">
        <w:rPr>
          <w:szCs w:val="24"/>
          <w:lang w:val="id-ID"/>
        </w:rPr>
        <w:t>Dewan komisaris memiliki wewenang untuk mengawasi</w:t>
      </w:r>
      <w:r>
        <w:rPr>
          <w:szCs w:val="24"/>
          <w:lang w:val="id-ID"/>
        </w:rPr>
        <w:t xml:space="preserve">, </w:t>
      </w:r>
      <w:r w:rsidRPr="00EC66C2">
        <w:rPr>
          <w:szCs w:val="24"/>
          <w:lang w:val="id-ID"/>
        </w:rPr>
        <w:t>memberikan</w:t>
      </w:r>
      <w:r>
        <w:rPr>
          <w:szCs w:val="24"/>
          <w:lang w:val="id-ID"/>
        </w:rPr>
        <w:t xml:space="preserve"> p</w:t>
      </w:r>
      <w:r w:rsidRPr="00752B48">
        <w:rPr>
          <w:szCs w:val="24"/>
          <w:lang w:val="id-ID"/>
        </w:rPr>
        <w:t xml:space="preserve">etunjuk, dan </w:t>
      </w:r>
      <w:r>
        <w:rPr>
          <w:szCs w:val="24"/>
          <w:lang w:val="id-ID"/>
        </w:rPr>
        <w:t xml:space="preserve">memberikan </w:t>
      </w:r>
      <w:r w:rsidRPr="00752B48">
        <w:rPr>
          <w:szCs w:val="24"/>
          <w:lang w:val="id-ID"/>
        </w:rPr>
        <w:t>arahan pada pengelola entitas. Dengan wewenang yang dimiliki, dewan komisaris dapat memberikan pengaruh yang cukup kuat untuk menekan manajemen untuk mengungkapkan tanggung jawab sosial (Badjuri, 2011). Skala pengukuran variabel ini adalah skala nominal yaitu diukur dengan cara menghitung jumlah anggota Dewan Komisaris perusahaan yang disebutkan dalam laporan tahunan perusahaan.</w:t>
      </w:r>
      <w:r>
        <w:rPr>
          <w:szCs w:val="24"/>
          <w:lang w:val="id-ID"/>
        </w:rPr>
        <w:t xml:space="preserve"> </w:t>
      </w:r>
      <w:r>
        <w:t xml:space="preserve">Alat ukur </w:t>
      </w:r>
      <w:r w:rsidR="00033747">
        <w:rPr>
          <w:lang w:val="id-ID"/>
        </w:rPr>
        <w:t>ukuran dewan komisaris</w:t>
      </w:r>
      <w:r>
        <w:t xml:space="preserve"> dapat dirumuskan sebagai berikut</w:t>
      </w:r>
      <w:r>
        <w:rPr>
          <w:spacing w:val="-2"/>
        </w:rPr>
        <w:t xml:space="preserve"> </w:t>
      </w:r>
      <w:r>
        <w:t>:</w:t>
      </w:r>
    </w:p>
    <w:p w14:paraId="017B588B" w14:textId="77777777" w:rsidR="005267DB" w:rsidRDefault="005267DB">
      <w:pPr>
        <w:pStyle w:val="BodyText"/>
      </w:pPr>
    </w:p>
    <w:p w14:paraId="4DA38A98" w14:textId="77777777" w:rsidR="00033747" w:rsidRDefault="00033747" w:rsidP="00033747">
      <w:pPr>
        <w:pStyle w:val="ListParagraph"/>
        <w:spacing w:line="480" w:lineRule="auto"/>
        <w:ind w:firstLine="414"/>
        <w:jc w:val="center"/>
        <w:rPr>
          <w:szCs w:val="24"/>
          <w:lang w:val="id-ID"/>
        </w:rPr>
      </w:pPr>
      <w:r>
        <w:rPr>
          <w:szCs w:val="24"/>
          <w:lang w:val="id-ID"/>
        </w:rPr>
        <w:t>U</w:t>
      </w:r>
      <w:r w:rsidRPr="00752B48">
        <w:rPr>
          <w:szCs w:val="24"/>
          <w:lang w:val="id-ID"/>
        </w:rPr>
        <w:t>DK = ∑ Anggota dewan komisaris</w:t>
      </w:r>
    </w:p>
    <w:p w14:paraId="28A338FC" w14:textId="4776A633" w:rsidR="005267DB" w:rsidRDefault="00033747" w:rsidP="00033747">
      <w:pPr>
        <w:ind w:right="425" w:firstLine="567"/>
        <w:jc w:val="both"/>
      </w:pPr>
      <w:r>
        <w:rPr>
          <w:szCs w:val="24"/>
          <w:lang w:val="id-ID"/>
        </w:rPr>
        <w:t xml:space="preserve">Komite Audit yang dimiliki oleh </w:t>
      </w:r>
      <w:r w:rsidRPr="00767456">
        <w:rPr>
          <w:szCs w:val="24"/>
          <w:lang w:val="id-ID"/>
        </w:rPr>
        <w:t>perusa</w:t>
      </w:r>
      <w:r>
        <w:rPr>
          <w:szCs w:val="24"/>
          <w:lang w:val="id-ID"/>
        </w:rPr>
        <w:t xml:space="preserve">haan minimal terdiri dari </w:t>
      </w:r>
      <w:r w:rsidRPr="00767456">
        <w:rPr>
          <w:szCs w:val="24"/>
          <w:lang w:val="id-ID"/>
        </w:rPr>
        <w:t xml:space="preserve">tiga orang, dimana sekurang-kurangnya 1 (satu) orang berasal dari </w:t>
      </w:r>
      <w:r>
        <w:rPr>
          <w:szCs w:val="24"/>
          <w:lang w:val="id-ID"/>
        </w:rPr>
        <w:t>k</w:t>
      </w:r>
      <w:r w:rsidRPr="00767456">
        <w:rPr>
          <w:szCs w:val="24"/>
          <w:lang w:val="id-ID"/>
        </w:rPr>
        <w:t xml:space="preserve">omisaris </w:t>
      </w:r>
      <w:r>
        <w:rPr>
          <w:szCs w:val="24"/>
          <w:lang w:val="id-ID"/>
        </w:rPr>
        <w:t>i</w:t>
      </w:r>
      <w:r w:rsidRPr="00767456">
        <w:rPr>
          <w:szCs w:val="24"/>
          <w:lang w:val="id-ID"/>
        </w:rPr>
        <w:t>ndependen dan 2 (dua) orang anggota lainnya berasal dari luar emiten atau perusahaan publik</w:t>
      </w:r>
      <w:r>
        <w:rPr>
          <w:szCs w:val="24"/>
          <w:lang w:val="id-ID"/>
        </w:rPr>
        <w:t xml:space="preserve">. Menurut KNKG (2006), </w:t>
      </w:r>
      <w:r w:rsidRPr="00767456">
        <w:rPr>
          <w:szCs w:val="24"/>
          <w:lang w:val="id-ID"/>
        </w:rPr>
        <w:t>salah satu tugas komite audit adalah un</w:t>
      </w:r>
      <w:r>
        <w:rPr>
          <w:szCs w:val="24"/>
          <w:lang w:val="id-ID"/>
        </w:rPr>
        <w:t xml:space="preserve">tuk </w:t>
      </w:r>
      <w:r w:rsidRPr="00767456">
        <w:rPr>
          <w:szCs w:val="24"/>
          <w:lang w:val="id-ID"/>
        </w:rPr>
        <w:t>memastikan bahwa struktur pengendalian inter</w:t>
      </w:r>
      <w:r>
        <w:rPr>
          <w:szCs w:val="24"/>
          <w:lang w:val="id-ID"/>
        </w:rPr>
        <w:t xml:space="preserve">nal perusahaan dilakukan dengan baik. </w:t>
      </w:r>
      <w:r>
        <w:t xml:space="preserve">Alat ukur </w:t>
      </w:r>
      <w:r>
        <w:rPr>
          <w:lang w:val="id-ID"/>
        </w:rPr>
        <w:lastRenderedPageBreak/>
        <w:t>ukuran komite audit</w:t>
      </w:r>
      <w:r>
        <w:t xml:space="preserve"> dapat dirumuskan sebagai berikut</w:t>
      </w:r>
      <w:r>
        <w:rPr>
          <w:spacing w:val="-2"/>
        </w:rPr>
        <w:t xml:space="preserve"> </w:t>
      </w:r>
      <w:r>
        <w:t>:</w:t>
      </w:r>
    </w:p>
    <w:p w14:paraId="2DD2E013" w14:textId="77777777" w:rsidR="00033747" w:rsidRDefault="00033747" w:rsidP="00033747">
      <w:pPr>
        <w:ind w:right="425" w:firstLine="567"/>
        <w:jc w:val="both"/>
      </w:pPr>
    </w:p>
    <w:p w14:paraId="54FF03F0" w14:textId="77777777" w:rsidR="00033747" w:rsidRPr="002C70A7" w:rsidRDefault="00033747" w:rsidP="00033747">
      <w:pPr>
        <w:pStyle w:val="ListParagraph"/>
        <w:spacing w:line="480" w:lineRule="auto"/>
        <w:jc w:val="center"/>
        <w:rPr>
          <w:bCs/>
          <w:szCs w:val="24"/>
          <w:lang w:val="id-ID"/>
        </w:rPr>
      </w:pPr>
      <w:r w:rsidRPr="002C70A7">
        <w:rPr>
          <w:bCs/>
          <w:szCs w:val="24"/>
          <w:lang w:val="id-ID"/>
        </w:rPr>
        <w:t xml:space="preserve">Ukuran </w:t>
      </w:r>
      <w:r>
        <w:rPr>
          <w:bCs/>
          <w:szCs w:val="24"/>
          <w:lang w:val="id-ID"/>
        </w:rPr>
        <w:t>Komite Audit</w:t>
      </w:r>
      <w:r w:rsidRPr="002C70A7">
        <w:rPr>
          <w:bCs/>
          <w:szCs w:val="24"/>
          <w:lang w:val="id-ID"/>
        </w:rPr>
        <w:t xml:space="preserve"> (U</w:t>
      </w:r>
      <w:r>
        <w:rPr>
          <w:bCs/>
          <w:szCs w:val="24"/>
          <w:lang w:val="id-ID"/>
        </w:rPr>
        <w:t>KA</w:t>
      </w:r>
      <w:r w:rsidRPr="002C70A7">
        <w:rPr>
          <w:bCs/>
          <w:szCs w:val="24"/>
          <w:lang w:val="id-ID"/>
        </w:rPr>
        <w:t xml:space="preserve">) = ∑ Anggota </w:t>
      </w:r>
      <w:r>
        <w:rPr>
          <w:bCs/>
          <w:szCs w:val="24"/>
          <w:lang w:val="id-ID"/>
        </w:rPr>
        <w:t>komite audit</w:t>
      </w:r>
    </w:p>
    <w:p w14:paraId="5644AC0F" w14:textId="3EF9A2AD" w:rsidR="00033747" w:rsidRDefault="00033747" w:rsidP="00033747">
      <w:pPr>
        <w:pStyle w:val="ListParagraph"/>
        <w:ind w:firstLine="567"/>
        <w:jc w:val="both"/>
      </w:pPr>
      <w:r w:rsidRPr="009C6BF2">
        <w:rPr>
          <w:szCs w:val="24"/>
          <w:lang w:val="id-ID"/>
        </w:rPr>
        <w:t>Kepemilikan manajerial merupakan kepemilikan saham oleh manajemen perusahaan yang diukur dengan presentase jumlah saham yang dimiliki oleh manajemen (Lestari, 2013). Sementara itu Sembiring, (2005) menyatakan tingkat kepemilikan saham manjemen yang tinggi cenderung untuk tetap bertahan, dimana manajemen dapat melakukan program CSR lebih mudah, karena semakin tinggi tingkat kepemilikan manajerial, semakin tinggi pula untuk melakukan program CSR</w:t>
      </w:r>
      <w:r>
        <w:rPr>
          <w:szCs w:val="24"/>
          <w:lang w:val="id-ID"/>
        </w:rPr>
        <w:t xml:space="preserve">. </w:t>
      </w:r>
      <w:r>
        <w:t xml:space="preserve">Alat ukur </w:t>
      </w:r>
      <w:r>
        <w:rPr>
          <w:lang w:val="id-ID"/>
        </w:rPr>
        <w:t>kepemilikan manajerial</w:t>
      </w:r>
      <w:r>
        <w:t xml:space="preserve"> dapat dirumuskan sebagai berikut</w:t>
      </w:r>
      <w:r>
        <w:rPr>
          <w:spacing w:val="-2"/>
        </w:rPr>
        <w:t xml:space="preserve"> </w:t>
      </w:r>
      <w:r>
        <w:t>:</w:t>
      </w:r>
    </w:p>
    <w:p w14:paraId="09E292D4" w14:textId="77777777" w:rsidR="00033747" w:rsidRDefault="00033747" w:rsidP="00033747">
      <w:pPr>
        <w:pStyle w:val="ListParagraph"/>
        <w:jc w:val="both"/>
      </w:pPr>
    </w:p>
    <w:p w14:paraId="64116EC1" w14:textId="77777777" w:rsidR="00033747" w:rsidRDefault="00033747" w:rsidP="00033747">
      <w:pPr>
        <w:pStyle w:val="ListParagraph"/>
        <w:spacing w:line="480" w:lineRule="auto"/>
        <w:jc w:val="center"/>
        <w:rPr>
          <w:rFonts w:eastAsiaTheme="minorEastAsia"/>
          <w:sz w:val="28"/>
          <w:szCs w:val="24"/>
        </w:rPr>
      </w:pPr>
      <w:r>
        <w:rPr>
          <w:rFonts w:eastAsiaTheme="minorEastAsia"/>
          <w:szCs w:val="24"/>
          <w:lang w:val="id-ID"/>
        </w:rPr>
        <w:t xml:space="preserve">Kepemilikan Manajerial (KM)= </w:t>
      </w:r>
      <m:oMath>
        <m:f>
          <m:fPr>
            <m:ctrlPr>
              <w:rPr>
                <w:rFonts w:ascii="Cambria Math" w:hAnsi="Cambria Math"/>
                <w:sz w:val="28"/>
                <w:szCs w:val="24"/>
              </w:rPr>
            </m:ctrlPr>
          </m:fPr>
          <m:num>
            <m:r>
              <m:rPr>
                <m:sty m:val="p"/>
              </m:rPr>
              <w:rPr>
                <w:rFonts w:ascii="Cambria Math" w:hAnsi="Cambria Math"/>
                <w:sz w:val="28"/>
                <w:szCs w:val="24"/>
              </w:rPr>
              <m:t>Kepemilikan saham manajemen</m:t>
            </m:r>
          </m:num>
          <m:den>
            <m:r>
              <m:rPr>
                <m:sty m:val="p"/>
              </m:rPr>
              <w:rPr>
                <w:rFonts w:ascii="Cambria Math" w:hAnsi="Cambria Math"/>
                <w:sz w:val="28"/>
                <w:szCs w:val="24"/>
              </w:rPr>
              <m:t>Jumlah saham beredar</m:t>
            </m:r>
          </m:den>
        </m:f>
      </m:oMath>
    </w:p>
    <w:p w14:paraId="6184D3A1" w14:textId="77777777" w:rsidR="00033747" w:rsidRDefault="00086265" w:rsidP="000406B6">
      <w:pPr>
        <w:pStyle w:val="ListParagraph"/>
        <w:ind w:firstLine="567"/>
        <w:jc w:val="both"/>
        <w:rPr>
          <w:szCs w:val="24"/>
          <w:lang w:val="id-ID"/>
        </w:rPr>
      </w:pPr>
      <w:r>
        <w:t xml:space="preserve">Uji Asumsi Klasik yang digunakan dalam penelitian ini antara lain: uji normalitas untuk menguji apakah dalam model regresi, variabel pengganggu atau residual memiliki distribusi normal. </w:t>
      </w:r>
      <w:r w:rsidR="00033747" w:rsidRPr="00BC0C91">
        <w:rPr>
          <w:szCs w:val="24"/>
          <w:lang w:val="id-ID"/>
        </w:rPr>
        <w:t xml:space="preserve">Uji Multikolinearitas bertujuan untuk menguji apakah model regresi ditemukan adanya korelasi antara variabel bebas. Model regresi yang baik seharusnya tidak terjadi korelasi diantara variabel bebas. Untuk mendeteksi ada atau tidaknya multikolinearitas di dalam model regresi dilihat dari hubungan antara variabel bebas yang ditunjukkan oleh angka </w:t>
      </w:r>
      <w:r w:rsidR="00033747" w:rsidRPr="00772387">
        <w:rPr>
          <w:i/>
          <w:szCs w:val="24"/>
          <w:lang w:val="id-ID"/>
        </w:rPr>
        <w:t>tolerance</w:t>
      </w:r>
      <w:r w:rsidR="00033747" w:rsidRPr="00BC0C91">
        <w:rPr>
          <w:szCs w:val="24"/>
          <w:lang w:val="id-ID"/>
        </w:rPr>
        <w:t xml:space="preserve"> dan </w:t>
      </w:r>
      <w:r w:rsidR="00033747" w:rsidRPr="00772387">
        <w:rPr>
          <w:i/>
          <w:szCs w:val="24"/>
          <w:lang w:val="id-ID"/>
        </w:rPr>
        <w:t>variance inflation factor</w:t>
      </w:r>
      <w:r w:rsidR="00033747" w:rsidRPr="00BC0C91">
        <w:rPr>
          <w:szCs w:val="24"/>
          <w:lang w:val="id-ID"/>
        </w:rPr>
        <w:t xml:space="preserve"> (VIF) yaitu:  </w:t>
      </w:r>
    </w:p>
    <w:p w14:paraId="3FB7BC87" w14:textId="77777777" w:rsidR="00033747" w:rsidRPr="00BC0C91" w:rsidRDefault="00033747" w:rsidP="00033747">
      <w:pPr>
        <w:pStyle w:val="ListParagraph"/>
        <w:widowControl/>
        <w:numPr>
          <w:ilvl w:val="0"/>
          <w:numId w:val="1"/>
        </w:numPr>
        <w:autoSpaceDE/>
        <w:autoSpaceDN/>
        <w:ind w:left="284" w:hanging="284"/>
        <w:contextualSpacing/>
        <w:jc w:val="both"/>
        <w:rPr>
          <w:szCs w:val="24"/>
          <w:lang w:val="id-ID"/>
        </w:rPr>
      </w:pPr>
      <w:r w:rsidRPr="00BC0C91">
        <w:rPr>
          <w:szCs w:val="24"/>
          <w:lang w:val="id-ID"/>
        </w:rPr>
        <w:t xml:space="preserve">Jika nilai tolerance &gt; 0,10 dan VIF &lt; 10, maka dapat diartikan bahwa tidak terdapat multikolinearitas pada penelitian tersebut  </w:t>
      </w:r>
    </w:p>
    <w:p w14:paraId="06C8563F" w14:textId="53426AC9" w:rsidR="00033747" w:rsidRDefault="00033747" w:rsidP="00033747">
      <w:pPr>
        <w:pStyle w:val="ListParagraph"/>
        <w:widowControl/>
        <w:numPr>
          <w:ilvl w:val="0"/>
          <w:numId w:val="1"/>
        </w:numPr>
        <w:autoSpaceDE/>
        <w:autoSpaceDN/>
        <w:ind w:left="284" w:hanging="284"/>
        <w:contextualSpacing/>
        <w:jc w:val="both"/>
        <w:rPr>
          <w:szCs w:val="24"/>
          <w:lang w:val="id-ID"/>
        </w:rPr>
      </w:pPr>
      <w:r w:rsidRPr="00BC0C91">
        <w:rPr>
          <w:szCs w:val="24"/>
          <w:lang w:val="id-ID"/>
        </w:rPr>
        <w:t>Jika nilai tolerance &lt; 0,10 dan VIF &gt; 10, maka dapat diartikan bahwa terjadi gangguan multikolinearitas pada penelitian tersebut.</w:t>
      </w:r>
    </w:p>
    <w:p w14:paraId="36078400" w14:textId="61D3944E" w:rsidR="00033747" w:rsidRPr="00033747" w:rsidRDefault="00033747" w:rsidP="00033747">
      <w:pPr>
        <w:widowControl/>
        <w:autoSpaceDE/>
        <w:autoSpaceDN/>
        <w:contextualSpacing/>
        <w:jc w:val="both"/>
        <w:rPr>
          <w:szCs w:val="24"/>
          <w:lang w:val="id-ID"/>
        </w:rPr>
      </w:pPr>
      <w:r w:rsidRPr="00BC0C91">
        <w:rPr>
          <w:szCs w:val="24"/>
          <w:lang w:val="id-ID"/>
        </w:rPr>
        <w:t>Uji autokorelasi bertujuan untuk menguji apakah dalam model regresi linear ada korelasi antara kesalahan pengganggu pada periode t dengan kesalahan pengganggu pada periode t-1 (periode sebelumnya). Jika terjadi korelasi maka dinamakan ada problem autokorelasi</w:t>
      </w:r>
      <w:r>
        <w:rPr>
          <w:szCs w:val="24"/>
          <w:lang w:val="id-ID"/>
        </w:rPr>
        <w:t xml:space="preserve">. </w:t>
      </w:r>
      <w:r w:rsidR="000406B6" w:rsidRPr="00BC0C91">
        <w:rPr>
          <w:szCs w:val="24"/>
          <w:lang w:val="id-ID"/>
        </w:rPr>
        <w:t>Uji heteroskedastisitas bertujuan untuk menguji apakah dalam model regresi terjadi ketidaksamaan variance dari residual antara satu pengamatan dengan pengamatan yang lain. Jika variance dari satu pengamatan ke pengamatan lain tetap, maka model regresi tersebut termasuk homoskedastisitas</w:t>
      </w:r>
    </w:p>
    <w:p w14:paraId="7C6EEA38" w14:textId="4EA16223" w:rsidR="005267DB" w:rsidRDefault="005267DB" w:rsidP="00033747">
      <w:pPr>
        <w:pStyle w:val="BodyText"/>
        <w:ind w:right="397" w:firstLine="567"/>
        <w:jc w:val="both"/>
      </w:pPr>
    </w:p>
    <w:p w14:paraId="461C50D1" w14:textId="1FE62FE7" w:rsidR="005267DB" w:rsidRDefault="00086265" w:rsidP="000406B6">
      <w:pPr>
        <w:pStyle w:val="BodyText"/>
        <w:ind w:right="114" w:firstLine="567"/>
        <w:jc w:val="both"/>
      </w:pPr>
      <w:r>
        <w:t>Metode analisis statistik yang digunakan adalah metode regresi</w:t>
      </w:r>
      <w:r w:rsidR="000406B6">
        <w:rPr>
          <w:lang w:val="id-ID"/>
        </w:rPr>
        <w:t xml:space="preserve"> </w:t>
      </w:r>
      <w:r>
        <w:t xml:space="preserve">berganda dengan variabel dependen (terikat) adalah </w:t>
      </w:r>
      <w:r w:rsidR="000406B6">
        <w:rPr>
          <w:lang w:val="id-ID"/>
        </w:rPr>
        <w:t>pengungkapan CSR</w:t>
      </w:r>
      <w:r>
        <w:t xml:space="preserve"> dan variabel independen adalah </w:t>
      </w:r>
      <w:r w:rsidR="000406B6">
        <w:rPr>
          <w:lang w:val="id-ID"/>
        </w:rPr>
        <w:t>proporsi komisaris independen, ukuran dewan komisaris, ukuran komite audit, dan kepemilikan manajerial</w:t>
      </w:r>
      <w:r>
        <w:t>.</w:t>
      </w:r>
      <w:r w:rsidR="000406B6">
        <w:rPr>
          <w:lang w:val="id-ID"/>
        </w:rPr>
        <w:t xml:space="preserve"> </w:t>
      </w:r>
      <w:r>
        <w:t>Model persamaan regresi sebagai berikut :</w:t>
      </w:r>
    </w:p>
    <w:p w14:paraId="1BA4C708" w14:textId="77777777" w:rsidR="000406B6" w:rsidRDefault="000406B6" w:rsidP="000406B6">
      <w:pPr>
        <w:pStyle w:val="ListParagraph"/>
        <w:spacing w:line="480" w:lineRule="auto"/>
        <w:ind w:left="567" w:firstLine="567"/>
        <w:jc w:val="center"/>
        <w:rPr>
          <w:szCs w:val="24"/>
          <w:lang w:val="id-ID"/>
        </w:rPr>
      </w:pPr>
      <w:r>
        <w:rPr>
          <w:szCs w:val="24"/>
          <w:lang w:val="id-ID"/>
        </w:rPr>
        <w:t>Y = a + b</w:t>
      </w:r>
      <w:r w:rsidRPr="00D5658C">
        <w:rPr>
          <w:szCs w:val="24"/>
          <w:vertAlign w:val="subscript"/>
          <w:lang w:val="id-ID"/>
        </w:rPr>
        <w:t>1</w:t>
      </w:r>
      <w:r>
        <w:rPr>
          <w:szCs w:val="24"/>
          <w:lang w:val="id-ID"/>
        </w:rPr>
        <w:t>X</w:t>
      </w:r>
      <w:r w:rsidRPr="00D5658C">
        <w:rPr>
          <w:szCs w:val="24"/>
          <w:vertAlign w:val="subscript"/>
          <w:lang w:val="id-ID"/>
        </w:rPr>
        <w:t>1</w:t>
      </w:r>
      <w:r>
        <w:rPr>
          <w:szCs w:val="24"/>
          <w:lang w:val="id-ID"/>
        </w:rPr>
        <w:t xml:space="preserve"> + b</w:t>
      </w:r>
      <w:r w:rsidRPr="00D5658C">
        <w:rPr>
          <w:szCs w:val="24"/>
          <w:vertAlign w:val="subscript"/>
          <w:lang w:val="id-ID"/>
        </w:rPr>
        <w:t>2</w:t>
      </w:r>
      <w:r>
        <w:rPr>
          <w:szCs w:val="24"/>
          <w:lang w:val="id-ID"/>
        </w:rPr>
        <w:t>X</w:t>
      </w:r>
      <w:r w:rsidRPr="00D5658C">
        <w:rPr>
          <w:szCs w:val="24"/>
          <w:vertAlign w:val="subscript"/>
          <w:lang w:val="id-ID"/>
        </w:rPr>
        <w:t>2</w:t>
      </w:r>
      <w:r>
        <w:rPr>
          <w:szCs w:val="24"/>
          <w:lang w:val="id-ID"/>
        </w:rPr>
        <w:t xml:space="preserve"> + b</w:t>
      </w:r>
      <w:r w:rsidRPr="00D5658C">
        <w:rPr>
          <w:szCs w:val="24"/>
          <w:vertAlign w:val="subscript"/>
          <w:lang w:val="id-ID"/>
        </w:rPr>
        <w:t>3</w:t>
      </w:r>
      <w:r>
        <w:rPr>
          <w:szCs w:val="24"/>
          <w:lang w:val="id-ID"/>
        </w:rPr>
        <w:t>X</w:t>
      </w:r>
      <w:r w:rsidRPr="00D5658C">
        <w:rPr>
          <w:szCs w:val="24"/>
          <w:vertAlign w:val="subscript"/>
          <w:lang w:val="id-ID"/>
        </w:rPr>
        <w:t>3</w:t>
      </w:r>
      <w:r>
        <w:rPr>
          <w:szCs w:val="24"/>
          <w:lang w:val="id-ID"/>
        </w:rPr>
        <w:t xml:space="preserve"> + b</w:t>
      </w:r>
      <w:r w:rsidRPr="00D5658C">
        <w:rPr>
          <w:szCs w:val="24"/>
          <w:vertAlign w:val="subscript"/>
          <w:lang w:val="id-ID"/>
        </w:rPr>
        <w:t>4</w:t>
      </w:r>
      <w:r>
        <w:rPr>
          <w:szCs w:val="24"/>
          <w:lang w:val="id-ID"/>
        </w:rPr>
        <w:t>X</w:t>
      </w:r>
      <w:r w:rsidRPr="00D5658C">
        <w:rPr>
          <w:szCs w:val="24"/>
          <w:vertAlign w:val="subscript"/>
          <w:lang w:val="id-ID"/>
        </w:rPr>
        <w:t>4</w:t>
      </w:r>
      <w:r>
        <w:rPr>
          <w:szCs w:val="24"/>
          <w:lang w:val="id-ID"/>
        </w:rPr>
        <w:t xml:space="preserve"> + e</w:t>
      </w:r>
    </w:p>
    <w:p w14:paraId="1C6BB2C8" w14:textId="77777777" w:rsidR="000406B6" w:rsidRPr="001E62F6" w:rsidRDefault="00086265" w:rsidP="000406B6">
      <w:pPr>
        <w:pStyle w:val="ListParagraph"/>
        <w:jc w:val="both"/>
        <w:rPr>
          <w:szCs w:val="24"/>
          <w:lang w:val="id-ID"/>
        </w:rPr>
      </w:pPr>
      <w:r>
        <w:t>t-tes digunakan untuk mengetahui seberapa jauh pengaruh variabel bebas dalam menerangkan variabel terikat</w:t>
      </w:r>
      <w:r w:rsidR="000406B6">
        <w:rPr>
          <w:lang w:val="id-ID"/>
        </w:rPr>
        <w:t xml:space="preserve">. </w:t>
      </w:r>
      <w:r>
        <w:t>Penelitian ini menggunakan α = 5 %, jadi jika nilai signifikansi &lt; 0,05 maka berarti variabel bebas berpengaruh signifikan terhadap variabel terikat. Sebaliknya, jika jika nilai signifikansi &gt; 0,05 maka berarti variabel bebas tidak berpengaruh signifikan terhadap variabel</w:t>
      </w:r>
      <w:r>
        <w:rPr>
          <w:spacing w:val="-3"/>
        </w:rPr>
        <w:t xml:space="preserve"> </w:t>
      </w:r>
      <w:r>
        <w:t>terikat.</w:t>
      </w:r>
      <w:r w:rsidR="000406B6">
        <w:rPr>
          <w:lang w:val="id-ID"/>
        </w:rPr>
        <w:t xml:space="preserve"> Uji F </w:t>
      </w:r>
      <w:r w:rsidR="000406B6" w:rsidRPr="001E62F6">
        <w:rPr>
          <w:szCs w:val="24"/>
          <w:lang w:val="id-ID"/>
        </w:rPr>
        <w:t>digunakan untuk melihat bagaimana pengaruh variabel independen secara bersama-sama terhadap variabel dependen. Jika nilai sig &lt; 0,05 maka variabel independen secara simultan berpengaruh terhadap variabel</w:t>
      </w:r>
      <w:r w:rsidR="000406B6">
        <w:rPr>
          <w:szCs w:val="24"/>
          <w:lang w:val="id-ID"/>
        </w:rPr>
        <w:t xml:space="preserve"> </w:t>
      </w:r>
      <w:r w:rsidR="000406B6" w:rsidRPr="001E62F6">
        <w:rPr>
          <w:szCs w:val="24"/>
          <w:lang w:val="id-ID"/>
        </w:rPr>
        <w:t>dependen.</w:t>
      </w:r>
    </w:p>
    <w:p w14:paraId="2C102B6D" w14:textId="6AB662B8" w:rsidR="005267DB" w:rsidRPr="000406B6" w:rsidRDefault="005267DB">
      <w:pPr>
        <w:pStyle w:val="BodyText"/>
        <w:ind w:left="402" w:right="113" w:firstLine="566"/>
        <w:jc w:val="both"/>
        <w:rPr>
          <w:lang w:val="id-ID"/>
        </w:rPr>
      </w:pPr>
    </w:p>
    <w:p w14:paraId="035EB231" w14:textId="5BD7294E" w:rsidR="005267DB" w:rsidRDefault="005267DB">
      <w:pPr>
        <w:pStyle w:val="BodyText"/>
        <w:spacing w:before="4"/>
      </w:pPr>
    </w:p>
    <w:p w14:paraId="68586B5A" w14:textId="231B499E" w:rsidR="00BE72A8" w:rsidRDefault="00BE72A8">
      <w:pPr>
        <w:pStyle w:val="BodyText"/>
        <w:spacing w:before="4"/>
      </w:pPr>
    </w:p>
    <w:p w14:paraId="68E3F7C8" w14:textId="0CA59524" w:rsidR="00BE72A8" w:rsidRDefault="00BE72A8">
      <w:pPr>
        <w:pStyle w:val="BodyText"/>
        <w:spacing w:before="4"/>
      </w:pPr>
    </w:p>
    <w:p w14:paraId="4757459E" w14:textId="7A16996F" w:rsidR="00BE72A8" w:rsidRDefault="00BE72A8">
      <w:pPr>
        <w:pStyle w:val="BodyText"/>
        <w:spacing w:before="4"/>
      </w:pPr>
    </w:p>
    <w:p w14:paraId="50092BC3" w14:textId="0AE0BC2C" w:rsidR="00BE72A8" w:rsidRDefault="00BE72A8">
      <w:pPr>
        <w:pStyle w:val="BodyText"/>
        <w:spacing w:before="4"/>
      </w:pPr>
    </w:p>
    <w:p w14:paraId="6A9F9FC6" w14:textId="08C16D30" w:rsidR="00BE72A8" w:rsidRDefault="00BE72A8">
      <w:pPr>
        <w:pStyle w:val="BodyText"/>
        <w:spacing w:before="4"/>
      </w:pPr>
    </w:p>
    <w:p w14:paraId="7F868062" w14:textId="65F82769" w:rsidR="00BE72A8" w:rsidRDefault="00BE72A8">
      <w:pPr>
        <w:pStyle w:val="BodyText"/>
        <w:spacing w:before="4"/>
      </w:pPr>
    </w:p>
    <w:p w14:paraId="7C0CD210" w14:textId="12E3B7BC" w:rsidR="00BE72A8" w:rsidRDefault="00BE72A8">
      <w:pPr>
        <w:pStyle w:val="BodyText"/>
        <w:spacing w:before="4"/>
      </w:pPr>
    </w:p>
    <w:p w14:paraId="450C6DF4" w14:textId="08E30E7F" w:rsidR="00BE72A8" w:rsidRDefault="00BE72A8">
      <w:pPr>
        <w:pStyle w:val="BodyText"/>
        <w:spacing w:before="4"/>
      </w:pPr>
    </w:p>
    <w:p w14:paraId="09AFE459" w14:textId="3BD7E560" w:rsidR="00BE72A8" w:rsidRDefault="00BE72A8">
      <w:pPr>
        <w:pStyle w:val="BodyText"/>
        <w:spacing w:before="4"/>
      </w:pPr>
    </w:p>
    <w:p w14:paraId="648772CF" w14:textId="3B4C4E5C" w:rsidR="00BE72A8" w:rsidRDefault="00BE72A8">
      <w:pPr>
        <w:pStyle w:val="BodyText"/>
        <w:spacing w:before="4"/>
      </w:pPr>
    </w:p>
    <w:p w14:paraId="7966ED1F" w14:textId="77777777" w:rsidR="00BE72A8" w:rsidRDefault="00BE72A8">
      <w:pPr>
        <w:pStyle w:val="BodyText"/>
        <w:spacing w:before="4"/>
      </w:pPr>
    </w:p>
    <w:p w14:paraId="62E6C11D" w14:textId="77777777" w:rsidR="005267DB" w:rsidRDefault="00086265" w:rsidP="000406B6">
      <w:pPr>
        <w:pStyle w:val="Heading1"/>
        <w:spacing w:line="252" w:lineRule="exact"/>
        <w:ind w:left="0"/>
        <w:jc w:val="both"/>
      </w:pPr>
      <w:r>
        <w:lastRenderedPageBreak/>
        <w:t>HASIL DAN PEMBAHASAN</w:t>
      </w:r>
    </w:p>
    <w:p w14:paraId="498B6208" w14:textId="25620FFA" w:rsidR="005267DB" w:rsidRDefault="00086265" w:rsidP="000406B6">
      <w:pPr>
        <w:spacing w:line="252" w:lineRule="exact"/>
        <w:jc w:val="both"/>
        <w:rPr>
          <w:b/>
        </w:rPr>
      </w:pPr>
      <w:r>
        <w:rPr>
          <w:b/>
        </w:rPr>
        <w:t>Deskripsi Data</w:t>
      </w:r>
    </w:p>
    <w:p w14:paraId="3E0BA8E9" w14:textId="605BCA3C" w:rsidR="000406B6" w:rsidRDefault="000406B6" w:rsidP="000406B6">
      <w:pPr>
        <w:spacing w:line="252" w:lineRule="exact"/>
        <w:jc w:val="both"/>
        <w:rPr>
          <w:b/>
        </w:rPr>
      </w:pPr>
    </w:p>
    <w:tbl>
      <w:tblPr>
        <w:tblW w:w="8682"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6"/>
        <w:gridCol w:w="1613"/>
        <w:gridCol w:w="1024"/>
        <w:gridCol w:w="1205"/>
        <w:gridCol w:w="1276"/>
        <w:gridCol w:w="1193"/>
        <w:gridCol w:w="1334"/>
        <w:gridCol w:w="201"/>
      </w:tblGrid>
      <w:tr w:rsidR="000406B6" w:rsidRPr="00707BD6" w14:paraId="29F9DCA5" w14:textId="77777777" w:rsidTr="000406B6">
        <w:trPr>
          <w:cantSplit/>
        </w:trPr>
        <w:tc>
          <w:tcPr>
            <w:tcW w:w="8682" w:type="dxa"/>
            <w:gridSpan w:val="8"/>
            <w:tcBorders>
              <w:top w:val="nil"/>
              <w:left w:val="nil"/>
              <w:bottom w:val="nil"/>
              <w:right w:val="nil"/>
            </w:tcBorders>
            <w:shd w:val="clear" w:color="auto" w:fill="FFFFFF"/>
            <w:vAlign w:val="center"/>
          </w:tcPr>
          <w:p w14:paraId="4CE5E11C" w14:textId="6E5D98FA" w:rsidR="000406B6" w:rsidRPr="0014162B" w:rsidRDefault="00086265" w:rsidP="000406B6">
            <w:pPr>
              <w:adjustRightInd w:val="0"/>
              <w:ind w:right="60"/>
              <w:jc w:val="center"/>
              <w:rPr>
                <w:rFonts w:ascii="Arial" w:hAnsi="Arial" w:cs="Arial"/>
                <w:color w:val="000000"/>
                <w:sz w:val="18"/>
                <w:szCs w:val="18"/>
                <w:lang w:val="id-ID"/>
              </w:rPr>
            </w:pPr>
            <w:r>
              <w:rPr>
                <w:b/>
              </w:rPr>
              <w:t xml:space="preserve">Tabel 1. </w:t>
            </w:r>
            <w:r w:rsidRPr="000406B6">
              <w:rPr>
                <w:b/>
                <w:bCs/>
              </w:rPr>
              <w:t>Hasil Uji Statitik Deskriptif</w:t>
            </w:r>
          </w:p>
        </w:tc>
      </w:tr>
      <w:tr w:rsidR="000406B6" w:rsidRPr="00707BD6" w14:paraId="122E3CA9" w14:textId="77777777" w:rsidTr="000406B6">
        <w:trPr>
          <w:cantSplit/>
        </w:trPr>
        <w:tc>
          <w:tcPr>
            <w:tcW w:w="2449"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14:paraId="719267E0" w14:textId="77777777" w:rsidR="000406B6" w:rsidRPr="00707BD6" w:rsidRDefault="000406B6" w:rsidP="00535B30">
            <w:pPr>
              <w:adjustRightInd w:val="0"/>
              <w:rPr>
                <w:szCs w:val="24"/>
                <w:lang w:val="id-ID"/>
              </w:rPr>
            </w:pPr>
          </w:p>
        </w:tc>
        <w:tc>
          <w:tcPr>
            <w:tcW w:w="1024" w:type="dxa"/>
            <w:tcBorders>
              <w:top w:val="single" w:sz="16" w:space="0" w:color="000000"/>
              <w:left w:val="single" w:sz="16" w:space="0" w:color="000000"/>
              <w:bottom w:val="single" w:sz="16" w:space="0" w:color="000000"/>
            </w:tcBorders>
            <w:shd w:val="clear" w:color="auto" w:fill="FFFFFF"/>
            <w:vAlign w:val="center"/>
          </w:tcPr>
          <w:p w14:paraId="18A7F696" w14:textId="77777777" w:rsidR="000406B6" w:rsidRPr="0014162B" w:rsidRDefault="000406B6" w:rsidP="00535B30">
            <w:pPr>
              <w:adjustRightInd w:val="0"/>
              <w:spacing w:line="320" w:lineRule="atLeast"/>
              <w:ind w:left="60" w:right="60"/>
              <w:jc w:val="center"/>
              <w:rPr>
                <w:color w:val="000000"/>
                <w:szCs w:val="24"/>
                <w:lang w:val="id-ID"/>
              </w:rPr>
            </w:pPr>
            <w:r w:rsidRPr="0014162B">
              <w:rPr>
                <w:color w:val="000000"/>
                <w:szCs w:val="24"/>
                <w:lang w:val="id-ID"/>
              </w:rPr>
              <w:t>N</w:t>
            </w:r>
          </w:p>
        </w:tc>
        <w:tc>
          <w:tcPr>
            <w:tcW w:w="1205" w:type="dxa"/>
            <w:tcBorders>
              <w:top w:val="single" w:sz="16" w:space="0" w:color="000000"/>
              <w:bottom w:val="single" w:sz="16" w:space="0" w:color="000000"/>
            </w:tcBorders>
            <w:shd w:val="clear" w:color="auto" w:fill="FFFFFF"/>
            <w:vAlign w:val="center"/>
          </w:tcPr>
          <w:p w14:paraId="7EAB95DB" w14:textId="77777777" w:rsidR="000406B6" w:rsidRPr="0014162B" w:rsidRDefault="000406B6" w:rsidP="00535B30">
            <w:pPr>
              <w:adjustRightInd w:val="0"/>
              <w:spacing w:line="320" w:lineRule="atLeast"/>
              <w:ind w:left="60" w:right="60"/>
              <w:jc w:val="center"/>
              <w:rPr>
                <w:color w:val="000000"/>
                <w:szCs w:val="24"/>
                <w:lang w:val="id-ID"/>
              </w:rPr>
            </w:pPr>
            <w:r w:rsidRPr="0014162B">
              <w:rPr>
                <w:color w:val="000000"/>
                <w:szCs w:val="24"/>
                <w:lang w:val="id-ID"/>
              </w:rPr>
              <w:t>Minimum</w:t>
            </w:r>
          </w:p>
        </w:tc>
        <w:tc>
          <w:tcPr>
            <w:tcW w:w="1276" w:type="dxa"/>
            <w:tcBorders>
              <w:top w:val="single" w:sz="16" w:space="0" w:color="000000"/>
              <w:bottom w:val="single" w:sz="16" w:space="0" w:color="000000"/>
            </w:tcBorders>
            <w:shd w:val="clear" w:color="auto" w:fill="FFFFFF"/>
            <w:vAlign w:val="center"/>
          </w:tcPr>
          <w:p w14:paraId="17A0E9B3" w14:textId="77777777" w:rsidR="000406B6" w:rsidRPr="0014162B" w:rsidRDefault="000406B6" w:rsidP="00535B30">
            <w:pPr>
              <w:adjustRightInd w:val="0"/>
              <w:spacing w:line="320" w:lineRule="atLeast"/>
              <w:ind w:left="60" w:right="60"/>
              <w:jc w:val="center"/>
              <w:rPr>
                <w:color w:val="000000"/>
                <w:szCs w:val="24"/>
                <w:lang w:val="id-ID"/>
              </w:rPr>
            </w:pPr>
            <w:r w:rsidRPr="0014162B">
              <w:rPr>
                <w:color w:val="000000"/>
                <w:szCs w:val="24"/>
                <w:lang w:val="id-ID"/>
              </w:rPr>
              <w:t>Maximum</w:t>
            </w:r>
          </w:p>
        </w:tc>
        <w:tc>
          <w:tcPr>
            <w:tcW w:w="1193" w:type="dxa"/>
            <w:tcBorders>
              <w:top w:val="single" w:sz="16" w:space="0" w:color="000000"/>
              <w:bottom w:val="single" w:sz="16" w:space="0" w:color="000000"/>
            </w:tcBorders>
            <w:shd w:val="clear" w:color="auto" w:fill="FFFFFF"/>
            <w:vAlign w:val="center"/>
          </w:tcPr>
          <w:p w14:paraId="13322450" w14:textId="77777777" w:rsidR="000406B6" w:rsidRPr="0014162B" w:rsidRDefault="000406B6" w:rsidP="00535B30">
            <w:pPr>
              <w:adjustRightInd w:val="0"/>
              <w:spacing w:line="320" w:lineRule="atLeast"/>
              <w:ind w:left="60" w:right="60"/>
              <w:jc w:val="center"/>
              <w:rPr>
                <w:color w:val="000000"/>
                <w:szCs w:val="24"/>
                <w:lang w:val="id-ID"/>
              </w:rPr>
            </w:pPr>
            <w:r w:rsidRPr="0014162B">
              <w:rPr>
                <w:color w:val="000000"/>
                <w:szCs w:val="24"/>
                <w:lang w:val="id-ID"/>
              </w:rPr>
              <w:t>Mean</w:t>
            </w:r>
          </w:p>
        </w:tc>
        <w:tc>
          <w:tcPr>
            <w:tcW w:w="1535" w:type="dxa"/>
            <w:gridSpan w:val="2"/>
            <w:tcBorders>
              <w:top w:val="single" w:sz="16" w:space="0" w:color="000000"/>
              <w:bottom w:val="single" w:sz="16" w:space="0" w:color="000000"/>
              <w:right w:val="single" w:sz="16" w:space="0" w:color="000000"/>
            </w:tcBorders>
            <w:shd w:val="clear" w:color="auto" w:fill="FFFFFF"/>
            <w:vAlign w:val="center"/>
          </w:tcPr>
          <w:p w14:paraId="05A7D1F4" w14:textId="77777777" w:rsidR="000406B6" w:rsidRPr="0014162B" w:rsidRDefault="000406B6" w:rsidP="00535B30">
            <w:pPr>
              <w:adjustRightInd w:val="0"/>
              <w:spacing w:line="320" w:lineRule="atLeast"/>
              <w:ind w:left="60" w:right="60"/>
              <w:jc w:val="center"/>
              <w:rPr>
                <w:color w:val="000000"/>
                <w:szCs w:val="24"/>
                <w:lang w:val="id-ID"/>
              </w:rPr>
            </w:pPr>
            <w:r w:rsidRPr="0014162B">
              <w:rPr>
                <w:color w:val="000000"/>
                <w:szCs w:val="24"/>
                <w:lang w:val="id-ID"/>
              </w:rPr>
              <w:t>Std. Deviation</w:t>
            </w:r>
          </w:p>
        </w:tc>
      </w:tr>
      <w:tr w:rsidR="000406B6" w:rsidRPr="00707BD6" w14:paraId="1D507D07" w14:textId="77777777" w:rsidTr="000406B6">
        <w:trPr>
          <w:cantSplit/>
        </w:trPr>
        <w:tc>
          <w:tcPr>
            <w:tcW w:w="2449" w:type="dxa"/>
            <w:gridSpan w:val="2"/>
            <w:tcBorders>
              <w:top w:val="single" w:sz="16" w:space="0" w:color="000000"/>
              <w:left w:val="single" w:sz="16" w:space="0" w:color="000000"/>
              <w:bottom w:val="nil"/>
              <w:right w:val="single" w:sz="16" w:space="0" w:color="000000"/>
            </w:tcBorders>
            <w:shd w:val="clear" w:color="auto" w:fill="FFFFFF"/>
          </w:tcPr>
          <w:p w14:paraId="12D9C9A8" w14:textId="77777777" w:rsidR="000406B6" w:rsidRPr="0014162B" w:rsidRDefault="000406B6" w:rsidP="00535B30">
            <w:pPr>
              <w:adjustRightInd w:val="0"/>
              <w:spacing w:line="320" w:lineRule="atLeast"/>
              <w:ind w:left="60" w:right="60"/>
              <w:rPr>
                <w:color w:val="000000"/>
                <w:szCs w:val="24"/>
                <w:lang w:val="id-ID"/>
              </w:rPr>
            </w:pPr>
            <w:r>
              <w:rPr>
                <w:color w:val="000000"/>
                <w:szCs w:val="24"/>
                <w:lang w:val="id-ID"/>
              </w:rPr>
              <w:t xml:space="preserve">Proporsi </w:t>
            </w:r>
            <w:r w:rsidRPr="0014162B">
              <w:rPr>
                <w:color w:val="000000"/>
                <w:szCs w:val="24"/>
                <w:lang w:val="id-ID"/>
              </w:rPr>
              <w:t>Komisaris Independen</w:t>
            </w:r>
          </w:p>
        </w:tc>
        <w:tc>
          <w:tcPr>
            <w:tcW w:w="1024" w:type="dxa"/>
            <w:tcBorders>
              <w:top w:val="single" w:sz="16" w:space="0" w:color="000000"/>
              <w:left w:val="single" w:sz="16" w:space="0" w:color="000000"/>
              <w:bottom w:val="nil"/>
            </w:tcBorders>
            <w:shd w:val="clear" w:color="auto" w:fill="FFFFFF"/>
            <w:vAlign w:val="center"/>
          </w:tcPr>
          <w:p w14:paraId="4819F697" w14:textId="77777777" w:rsidR="000406B6" w:rsidRPr="00A543BD" w:rsidRDefault="000406B6" w:rsidP="00535B30">
            <w:pPr>
              <w:adjustRightInd w:val="0"/>
              <w:spacing w:line="320" w:lineRule="atLeast"/>
              <w:ind w:left="60" w:right="60"/>
              <w:jc w:val="center"/>
              <w:rPr>
                <w:color w:val="000000"/>
                <w:szCs w:val="24"/>
                <w:lang w:val="id-ID"/>
              </w:rPr>
            </w:pPr>
            <w:r w:rsidRPr="00A543BD">
              <w:rPr>
                <w:color w:val="000000"/>
                <w:szCs w:val="24"/>
                <w:lang w:val="id-ID"/>
              </w:rPr>
              <w:t>45</w:t>
            </w:r>
          </w:p>
        </w:tc>
        <w:tc>
          <w:tcPr>
            <w:tcW w:w="1205" w:type="dxa"/>
            <w:tcBorders>
              <w:top w:val="single" w:sz="16" w:space="0" w:color="000000"/>
              <w:bottom w:val="nil"/>
            </w:tcBorders>
            <w:shd w:val="clear" w:color="auto" w:fill="FFFFFF"/>
            <w:vAlign w:val="center"/>
          </w:tcPr>
          <w:p w14:paraId="2715E06A"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.25000</w:t>
            </w:r>
          </w:p>
        </w:tc>
        <w:tc>
          <w:tcPr>
            <w:tcW w:w="1276" w:type="dxa"/>
            <w:tcBorders>
              <w:top w:val="single" w:sz="16" w:space="0" w:color="000000"/>
              <w:bottom w:val="nil"/>
            </w:tcBorders>
            <w:shd w:val="clear" w:color="auto" w:fill="FFFFFF"/>
            <w:vAlign w:val="center"/>
          </w:tcPr>
          <w:p w14:paraId="0D4F0905"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.66667</w:t>
            </w:r>
          </w:p>
        </w:tc>
        <w:tc>
          <w:tcPr>
            <w:tcW w:w="1193" w:type="dxa"/>
            <w:tcBorders>
              <w:top w:val="single" w:sz="16" w:space="0" w:color="000000"/>
              <w:bottom w:val="nil"/>
            </w:tcBorders>
            <w:shd w:val="clear" w:color="auto" w:fill="FFFFFF"/>
            <w:vAlign w:val="center"/>
          </w:tcPr>
          <w:p w14:paraId="2C19B55F"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.4275651</w:t>
            </w:r>
          </w:p>
        </w:tc>
        <w:tc>
          <w:tcPr>
            <w:tcW w:w="1535" w:type="dxa"/>
            <w:gridSpan w:val="2"/>
            <w:tcBorders>
              <w:top w:val="single" w:sz="16" w:space="0" w:color="000000"/>
              <w:bottom w:val="nil"/>
              <w:right w:val="single" w:sz="16" w:space="0" w:color="000000"/>
            </w:tcBorders>
            <w:shd w:val="clear" w:color="auto" w:fill="FFFFFF"/>
            <w:vAlign w:val="center"/>
          </w:tcPr>
          <w:p w14:paraId="714FCBF5"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.12105785</w:t>
            </w:r>
          </w:p>
        </w:tc>
      </w:tr>
      <w:tr w:rsidR="000406B6" w:rsidRPr="00707BD6" w14:paraId="52403310" w14:textId="77777777" w:rsidTr="000406B6">
        <w:trPr>
          <w:cantSplit/>
        </w:trPr>
        <w:tc>
          <w:tcPr>
            <w:tcW w:w="2449" w:type="dxa"/>
            <w:gridSpan w:val="2"/>
            <w:tcBorders>
              <w:top w:val="nil"/>
              <w:left w:val="single" w:sz="16" w:space="0" w:color="000000"/>
              <w:bottom w:val="nil"/>
              <w:right w:val="single" w:sz="16" w:space="0" w:color="000000"/>
            </w:tcBorders>
            <w:shd w:val="clear" w:color="auto" w:fill="FFFFFF"/>
          </w:tcPr>
          <w:p w14:paraId="33D9354F" w14:textId="77777777" w:rsidR="000406B6" w:rsidRPr="0014162B" w:rsidRDefault="000406B6" w:rsidP="00535B30">
            <w:pPr>
              <w:adjustRightInd w:val="0"/>
              <w:spacing w:line="320" w:lineRule="atLeast"/>
              <w:ind w:left="60" w:right="60"/>
              <w:rPr>
                <w:color w:val="000000"/>
                <w:szCs w:val="24"/>
                <w:lang w:val="id-ID"/>
              </w:rPr>
            </w:pPr>
            <w:r w:rsidRPr="0014162B">
              <w:rPr>
                <w:color w:val="000000"/>
                <w:szCs w:val="24"/>
                <w:lang w:val="id-ID"/>
              </w:rPr>
              <w:t xml:space="preserve">Ukuran </w:t>
            </w:r>
            <w:r>
              <w:rPr>
                <w:color w:val="000000"/>
                <w:szCs w:val="24"/>
                <w:lang w:val="id-ID"/>
              </w:rPr>
              <w:t>Dewan Komisaris</w:t>
            </w:r>
          </w:p>
        </w:tc>
        <w:tc>
          <w:tcPr>
            <w:tcW w:w="1024" w:type="dxa"/>
            <w:tcBorders>
              <w:top w:val="nil"/>
              <w:left w:val="single" w:sz="16" w:space="0" w:color="000000"/>
              <w:bottom w:val="nil"/>
            </w:tcBorders>
            <w:shd w:val="clear" w:color="auto" w:fill="FFFFFF"/>
            <w:vAlign w:val="center"/>
          </w:tcPr>
          <w:p w14:paraId="2EDEE148" w14:textId="77777777" w:rsidR="000406B6" w:rsidRPr="00A543BD" w:rsidRDefault="000406B6" w:rsidP="00535B30">
            <w:pPr>
              <w:adjustRightInd w:val="0"/>
              <w:spacing w:line="320" w:lineRule="atLeast"/>
              <w:ind w:left="60" w:right="60"/>
              <w:jc w:val="center"/>
              <w:rPr>
                <w:color w:val="000000"/>
                <w:szCs w:val="24"/>
                <w:lang w:val="id-ID"/>
              </w:rPr>
            </w:pPr>
            <w:r w:rsidRPr="00A543BD">
              <w:rPr>
                <w:color w:val="000000"/>
                <w:szCs w:val="24"/>
                <w:lang w:val="id-ID"/>
              </w:rPr>
              <w:t>45</w:t>
            </w:r>
          </w:p>
        </w:tc>
        <w:tc>
          <w:tcPr>
            <w:tcW w:w="1205" w:type="dxa"/>
            <w:tcBorders>
              <w:top w:val="nil"/>
              <w:bottom w:val="nil"/>
            </w:tcBorders>
            <w:shd w:val="clear" w:color="auto" w:fill="FFFFFF"/>
            <w:vAlign w:val="center"/>
          </w:tcPr>
          <w:p w14:paraId="377548DF"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2.00000</w:t>
            </w:r>
          </w:p>
        </w:tc>
        <w:tc>
          <w:tcPr>
            <w:tcW w:w="1276" w:type="dxa"/>
            <w:tcBorders>
              <w:top w:val="nil"/>
              <w:bottom w:val="nil"/>
            </w:tcBorders>
            <w:shd w:val="clear" w:color="auto" w:fill="FFFFFF"/>
            <w:vAlign w:val="center"/>
          </w:tcPr>
          <w:p w14:paraId="297951F4"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8.00000</w:t>
            </w:r>
          </w:p>
        </w:tc>
        <w:tc>
          <w:tcPr>
            <w:tcW w:w="1193" w:type="dxa"/>
            <w:tcBorders>
              <w:top w:val="nil"/>
              <w:bottom w:val="nil"/>
            </w:tcBorders>
            <w:shd w:val="clear" w:color="auto" w:fill="FFFFFF"/>
            <w:vAlign w:val="center"/>
          </w:tcPr>
          <w:p w14:paraId="2E49C74C"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3.6888889</w:t>
            </w:r>
          </w:p>
        </w:tc>
        <w:tc>
          <w:tcPr>
            <w:tcW w:w="1535" w:type="dxa"/>
            <w:gridSpan w:val="2"/>
            <w:tcBorders>
              <w:top w:val="nil"/>
              <w:bottom w:val="nil"/>
              <w:right w:val="single" w:sz="16" w:space="0" w:color="000000"/>
            </w:tcBorders>
            <w:shd w:val="clear" w:color="auto" w:fill="FFFFFF"/>
            <w:vAlign w:val="center"/>
          </w:tcPr>
          <w:p w14:paraId="5F6F774A"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1.62119796</w:t>
            </w:r>
          </w:p>
        </w:tc>
      </w:tr>
      <w:tr w:rsidR="000406B6" w:rsidRPr="00707BD6" w14:paraId="20320D0C" w14:textId="77777777" w:rsidTr="000406B6">
        <w:trPr>
          <w:cantSplit/>
        </w:trPr>
        <w:tc>
          <w:tcPr>
            <w:tcW w:w="2449" w:type="dxa"/>
            <w:gridSpan w:val="2"/>
            <w:tcBorders>
              <w:top w:val="nil"/>
              <w:left w:val="single" w:sz="16" w:space="0" w:color="000000"/>
              <w:bottom w:val="nil"/>
              <w:right w:val="single" w:sz="16" w:space="0" w:color="000000"/>
            </w:tcBorders>
            <w:shd w:val="clear" w:color="auto" w:fill="FFFFFF"/>
          </w:tcPr>
          <w:p w14:paraId="03F3DD35" w14:textId="77777777" w:rsidR="000406B6" w:rsidRPr="0014162B" w:rsidRDefault="000406B6" w:rsidP="00535B30">
            <w:pPr>
              <w:adjustRightInd w:val="0"/>
              <w:spacing w:line="320" w:lineRule="atLeast"/>
              <w:ind w:left="60" w:right="60"/>
              <w:rPr>
                <w:color w:val="000000"/>
                <w:szCs w:val="24"/>
                <w:lang w:val="id-ID"/>
              </w:rPr>
            </w:pPr>
            <w:r w:rsidRPr="0014162B">
              <w:rPr>
                <w:color w:val="000000"/>
                <w:szCs w:val="24"/>
                <w:lang w:val="id-ID"/>
              </w:rPr>
              <w:t xml:space="preserve">Ukuran </w:t>
            </w:r>
            <w:r>
              <w:rPr>
                <w:color w:val="000000"/>
                <w:szCs w:val="24"/>
                <w:lang w:val="id-ID"/>
              </w:rPr>
              <w:t>Komite Audit</w:t>
            </w:r>
          </w:p>
        </w:tc>
        <w:tc>
          <w:tcPr>
            <w:tcW w:w="1024" w:type="dxa"/>
            <w:tcBorders>
              <w:top w:val="nil"/>
              <w:left w:val="single" w:sz="16" w:space="0" w:color="000000"/>
              <w:bottom w:val="nil"/>
            </w:tcBorders>
            <w:shd w:val="clear" w:color="auto" w:fill="FFFFFF"/>
            <w:vAlign w:val="center"/>
          </w:tcPr>
          <w:p w14:paraId="3D79FF6A" w14:textId="77777777" w:rsidR="000406B6" w:rsidRPr="00A543BD" w:rsidRDefault="000406B6" w:rsidP="00535B30">
            <w:pPr>
              <w:adjustRightInd w:val="0"/>
              <w:spacing w:line="320" w:lineRule="atLeast"/>
              <w:ind w:left="60" w:right="60"/>
              <w:jc w:val="center"/>
              <w:rPr>
                <w:color w:val="000000"/>
                <w:szCs w:val="24"/>
                <w:lang w:val="id-ID"/>
              </w:rPr>
            </w:pPr>
            <w:r w:rsidRPr="00A543BD">
              <w:rPr>
                <w:color w:val="000000"/>
                <w:szCs w:val="24"/>
                <w:lang w:val="id-ID"/>
              </w:rPr>
              <w:t>45</w:t>
            </w:r>
          </w:p>
        </w:tc>
        <w:tc>
          <w:tcPr>
            <w:tcW w:w="1205" w:type="dxa"/>
            <w:tcBorders>
              <w:top w:val="nil"/>
              <w:bottom w:val="nil"/>
            </w:tcBorders>
            <w:shd w:val="clear" w:color="auto" w:fill="FFFFFF"/>
            <w:vAlign w:val="center"/>
          </w:tcPr>
          <w:p w14:paraId="0C485217"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2.00000</w:t>
            </w:r>
          </w:p>
        </w:tc>
        <w:tc>
          <w:tcPr>
            <w:tcW w:w="1276" w:type="dxa"/>
            <w:tcBorders>
              <w:top w:val="nil"/>
              <w:bottom w:val="nil"/>
            </w:tcBorders>
            <w:shd w:val="clear" w:color="auto" w:fill="FFFFFF"/>
            <w:vAlign w:val="center"/>
          </w:tcPr>
          <w:p w14:paraId="4D81E1E5"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8.00000</w:t>
            </w:r>
          </w:p>
        </w:tc>
        <w:tc>
          <w:tcPr>
            <w:tcW w:w="1193" w:type="dxa"/>
            <w:tcBorders>
              <w:top w:val="nil"/>
              <w:bottom w:val="nil"/>
            </w:tcBorders>
            <w:shd w:val="clear" w:color="auto" w:fill="FFFFFF"/>
            <w:vAlign w:val="center"/>
          </w:tcPr>
          <w:p w14:paraId="0AC3E81C"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3.</w:t>
            </w:r>
            <w:r>
              <w:rPr>
                <w:color w:val="000000"/>
                <w:szCs w:val="24"/>
                <w:lang w:val="id-ID"/>
              </w:rPr>
              <w:t>1777778</w:t>
            </w:r>
          </w:p>
        </w:tc>
        <w:tc>
          <w:tcPr>
            <w:tcW w:w="1535" w:type="dxa"/>
            <w:gridSpan w:val="2"/>
            <w:tcBorders>
              <w:top w:val="nil"/>
              <w:bottom w:val="nil"/>
              <w:right w:val="single" w:sz="16" w:space="0" w:color="000000"/>
            </w:tcBorders>
            <w:shd w:val="clear" w:color="auto" w:fill="FFFFFF"/>
            <w:vAlign w:val="center"/>
          </w:tcPr>
          <w:p w14:paraId="18AC2C74" w14:textId="77777777" w:rsidR="000406B6" w:rsidRPr="00A543BD" w:rsidRDefault="000406B6" w:rsidP="00535B30">
            <w:pPr>
              <w:adjustRightInd w:val="0"/>
              <w:spacing w:line="320" w:lineRule="atLeast"/>
              <w:ind w:left="60" w:right="60"/>
              <w:jc w:val="right"/>
              <w:rPr>
                <w:color w:val="000000"/>
                <w:szCs w:val="24"/>
                <w:lang w:val="id-ID"/>
              </w:rPr>
            </w:pPr>
            <w:r>
              <w:rPr>
                <w:color w:val="000000"/>
                <w:szCs w:val="24"/>
                <w:lang w:val="id-ID"/>
              </w:rPr>
              <w:t>.88648665</w:t>
            </w:r>
          </w:p>
        </w:tc>
      </w:tr>
      <w:tr w:rsidR="000406B6" w:rsidRPr="00707BD6" w14:paraId="2BBF2D0F" w14:textId="77777777" w:rsidTr="000406B6">
        <w:trPr>
          <w:cantSplit/>
        </w:trPr>
        <w:tc>
          <w:tcPr>
            <w:tcW w:w="2449" w:type="dxa"/>
            <w:gridSpan w:val="2"/>
            <w:tcBorders>
              <w:top w:val="nil"/>
              <w:left w:val="single" w:sz="16" w:space="0" w:color="000000"/>
              <w:bottom w:val="nil"/>
              <w:right w:val="single" w:sz="16" w:space="0" w:color="000000"/>
            </w:tcBorders>
            <w:shd w:val="clear" w:color="auto" w:fill="FFFFFF"/>
          </w:tcPr>
          <w:p w14:paraId="3B2B53F6" w14:textId="77777777" w:rsidR="000406B6" w:rsidRPr="0014162B" w:rsidRDefault="000406B6" w:rsidP="00535B30">
            <w:pPr>
              <w:adjustRightInd w:val="0"/>
              <w:spacing w:line="320" w:lineRule="atLeast"/>
              <w:ind w:left="60" w:right="60"/>
              <w:rPr>
                <w:color w:val="000000"/>
                <w:szCs w:val="24"/>
                <w:lang w:val="id-ID"/>
              </w:rPr>
            </w:pPr>
            <w:r w:rsidRPr="0014162B">
              <w:rPr>
                <w:color w:val="000000"/>
                <w:szCs w:val="24"/>
                <w:lang w:val="id-ID"/>
              </w:rPr>
              <w:t>Kepemilikan Manajerial</w:t>
            </w:r>
          </w:p>
        </w:tc>
        <w:tc>
          <w:tcPr>
            <w:tcW w:w="1024" w:type="dxa"/>
            <w:tcBorders>
              <w:top w:val="nil"/>
              <w:left w:val="single" w:sz="16" w:space="0" w:color="000000"/>
              <w:bottom w:val="nil"/>
            </w:tcBorders>
            <w:shd w:val="clear" w:color="auto" w:fill="FFFFFF"/>
            <w:vAlign w:val="center"/>
          </w:tcPr>
          <w:p w14:paraId="0840CC9A" w14:textId="77777777" w:rsidR="000406B6" w:rsidRPr="00A543BD" w:rsidRDefault="000406B6" w:rsidP="00535B30">
            <w:pPr>
              <w:adjustRightInd w:val="0"/>
              <w:spacing w:line="320" w:lineRule="atLeast"/>
              <w:ind w:left="60" w:right="60"/>
              <w:jc w:val="center"/>
              <w:rPr>
                <w:color w:val="000000"/>
                <w:szCs w:val="24"/>
                <w:lang w:val="id-ID"/>
              </w:rPr>
            </w:pPr>
            <w:r w:rsidRPr="00A543BD">
              <w:rPr>
                <w:color w:val="000000"/>
                <w:szCs w:val="24"/>
                <w:lang w:val="id-ID"/>
              </w:rPr>
              <w:t>45</w:t>
            </w:r>
          </w:p>
        </w:tc>
        <w:tc>
          <w:tcPr>
            <w:tcW w:w="1205" w:type="dxa"/>
            <w:tcBorders>
              <w:top w:val="nil"/>
              <w:bottom w:val="nil"/>
            </w:tcBorders>
            <w:shd w:val="clear" w:color="auto" w:fill="FFFFFF"/>
            <w:vAlign w:val="center"/>
          </w:tcPr>
          <w:p w14:paraId="38F5E751"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.00001</w:t>
            </w:r>
          </w:p>
        </w:tc>
        <w:tc>
          <w:tcPr>
            <w:tcW w:w="1276" w:type="dxa"/>
            <w:tcBorders>
              <w:top w:val="nil"/>
              <w:bottom w:val="nil"/>
            </w:tcBorders>
            <w:shd w:val="clear" w:color="auto" w:fill="FFFFFF"/>
            <w:vAlign w:val="center"/>
          </w:tcPr>
          <w:p w14:paraId="4CB7F12E"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.81801</w:t>
            </w:r>
          </w:p>
        </w:tc>
        <w:tc>
          <w:tcPr>
            <w:tcW w:w="1193" w:type="dxa"/>
            <w:tcBorders>
              <w:top w:val="nil"/>
              <w:bottom w:val="nil"/>
            </w:tcBorders>
            <w:shd w:val="clear" w:color="auto" w:fill="FFFFFF"/>
            <w:vAlign w:val="center"/>
          </w:tcPr>
          <w:p w14:paraId="47AC5AFC"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.1122382</w:t>
            </w:r>
          </w:p>
        </w:tc>
        <w:tc>
          <w:tcPr>
            <w:tcW w:w="1535" w:type="dxa"/>
            <w:gridSpan w:val="2"/>
            <w:tcBorders>
              <w:top w:val="nil"/>
              <w:bottom w:val="nil"/>
              <w:right w:val="single" w:sz="16" w:space="0" w:color="000000"/>
            </w:tcBorders>
            <w:shd w:val="clear" w:color="auto" w:fill="FFFFFF"/>
            <w:vAlign w:val="center"/>
          </w:tcPr>
          <w:p w14:paraId="3A2B5741"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.17903647</w:t>
            </w:r>
          </w:p>
        </w:tc>
      </w:tr>
      <w:tr w:rsidR="000406B6" w:rsidRPr="00707BD6" w14:paraId="22C87A76" w14:textId="77777777" w:rsidTr="000406B6">
        <w:trPr>
          <w:cantSplit/>
        </w:trPr>
        <w:tc>
          <w:tcPr>
            <w:tcW w:w="2449" w:type="dxa"/>
            <w:gridSpan w:val="2"/>
            <w:tcBorders>
              <w:top w:val="nil"/>
              <w:left w:val="single" w:sz="16" w:space="0" w:color="000000"/>
              <w:bottom w:val="single" w:sz="4" w:space="0" w:color="auto"/>
              <w:right w:val="single" w:sz="16" w:space="0" w:color="000000"/>
            </w:tcBorders>
            <w:shd w:val="clear" w:color="auto" w:fill="FFFFFF"/>
          </w:tcPr>
          <w:p w14:paraId="6030671F" w14:textId="77777777" w:rsidR="000406B6" w:rsidRPr="0014162B" w:rsidRDefault="000406B6" w:rsidP="00535B30">
            <w:pPr>
              <w:adjustRightInd w:val="0"/>
              <w:spacing w:line="320" w:lineRule="atLeast"/>
              <w:ind w:left="60" w:right="60"/>
              <w:rPr>
                <w:color w:val="000000"/>
                <w:szCs w:val="24"/>
                <w:lang w:val="id-ID"/>
              </w:rPr>
            </w:pPr>
            <w:r w:rsidRPr="0014162B">
              <w:rPr>
                <w:color w:val="000000"/>
                <w:szCs w:val="24"/>
                <w:lang w:val="id-ID"/>
              </w:rPr>
              <w:t>CSR</w:t>
            </w:r>
          </w:p>
        </w:tc>
        <w:tc>
          <w:tcPr>
            <w:tcW w:w="1024" w:type="dxa"/>
            <w:tcBorders>
              <w:top w:val="nil"/>
              <w:left w:val="single" w:sz="16" w:space="0" w:color="000000"/>
              <w:bottom w:val="single" w:sz="4" w:space="0" w:color="auto"/>
            </w:tcBorders>
            <w:shd w:val="clear" w:color="auto" w:fill="FFFFFF"/>
            <w:vAlign w:val="center"/>
          </w:tcPr>
          <w:p w14:paraId="3BF105D3" w14:textId="77777777" w:rsidR="000406B6" w:rsidRPr="00A543BD" w:rsidRDefault="000406B6" w:rsidP="00535B30">
            <w:pPr>
              <w:adjustRightInd w:val="0"/>
              <w:spacing w:line="320" w:lineRule="atLeast"/>
              <w:ind w:left="60" w:right="60"/>
              <w:jc w:val="center"/>
              <w:rPr>
                <w:color w:val="000000"/>
                <w:szCs w:val="24"/>
                <w:lang w:val="id-ID"/>
              </w:rPr>
            </w:pPr>
            <w:r w:rsidRPr="00A543BD">
              <w:rPr>
                <w:color w:val="000000"/>
                <w:szCs w:val="24"/>
                <w:lang w:val="id-ID"/>
              </w:rPr>
              <w:t>45</w:t>
            </w:r>
          </w:p>
        </w:tc>
        <w:tc>
          <w:tcPr>
            <w:tcW w:w="1205" w:type="dxa"/>
            <w:tcBorders>
              <w:top w:val="nil"/>
              <w:bottom w:val="single" w:sz="4" w:space="0" w:color="auto"/>
            </w:tcBorders>
            <w:shd w:val="clear" w:color="auto" w:fill="FFFFFF"/>
            <w:vAlign w:val="center"/>
          </w:tcPr>
          <w:p w14:paraId="28794945"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.01266</w:t>
            </w:r>
          </w:p>
        </w:tc>
        <w:tc>
          <w:tcPr>
            <w:tcW w:w="1276" w:type="dxa"/>
            <w:tcBorders>
              <w:top w:val="nil"/>
              <w:bottom w:val="single" w:sz="4" w:space="0" w:color="auto"/>
            </w:tcBorders>
            <w:shd w:val="clear" w:color="auto" w:fill="FFFFFF"/>
            <w:vAlign w:val="center"/>
          </w:tcPr>
          <w:p w14:paraId="4FFC98D5"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.82278</w:t>
            </w:r>
          </w:p>
        </w:tc>
        <w:tc>
          <w:tcPr>
            <w:tcW w:w="1193" w:type="dxa"/>
            <w:tcBorders>
              <w:top w:val="nil"/>
              <w:bottom w:val="single" w:sz="4" w:space="0" w:color="auto"/>
            </w:tcBorders>
            <w:shd w:val="clear" w:color="auto" w:fill="FFFFFF"/>
            <w:vAlign w:val="center"/>
          </w:tcPr>
          <w:p w14:paraId="28800922"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.3021096</w:t>
            </w:r>
          </w:p>
        </w:tc>
        <w:tc>
          <w:tcPr>
            <w:tcW w:w="1535" w:type="dxa"/>
            <w:gridSpan w:val="2"/>
            <w:tcBorders>
              <w:top w:val="nil"/>
              <w:bottom w:val="single" w:sz="4" w:space="0" w:color="auto"/>
              <w:right w:val="single" w:sz="16" w:space="0" w:color="000000"/>
            </w:tcBorders>
            <w:shd w:val="clear" w:color="auto" w:fill="FFFFFF"/>
            <w:vAlign w:val="center"/>
          </w:tcPr>
          <w:p w14:paraId="52EB2A74" w14:textId="77777777" w:rsidR="000406B6" w:rsidRPr="00A543BD" w:rsidRDefault="000406B6" w:rsidP="00535B30">
            <w:pPr>
              <w:adjustRightInd w:val="0"/>
              <w:spacing w:line="320" w:lineRule="atLeast"/>
              <w:ind w:left="60" w:right="60"/>
              <w:jc w:val="right"/>
              <w:rPr>
                <w:color w:val="000000"/>
                <w:szCs w:val="24"/>
                <w:lang w:val="id-ID"/>
              </w:rPr>
            </w:pPr>
            <w:r w:rsidRPr="00A543BD">
              <w:rPr>
                <w:color w:val="000000"/>
                <w:szCs w:val="24"/>
                <w:lang w:val="id-ID"/>
              </w:rPr>
              <w:t>.24984260</w:t>
            </w:r>
          </w:p>
        </w:tc>
      </w:tr>
      <w:tr w:rsidR="005267DB" w14:paraId="46714DF5" w14:textId="77777777" w:rsidTr="00040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836" w:type="dxa"/>
          <w:wAfter w:w="201" w:type="dxa"/>
          <w:trHeight w:val="244"/>
        </w:trPr>
        <w:tc>
          <w:tcPr>
            <w:tcW w:w="7645" w:type="dxa"/>
            <w:gridSpan w:val="6"/>
          </w:tcPr>
          <w:p w14:paraId="3D42CAF8" w14:textId="17C2B0AC" w:rsidR="005267DB" w:rsidRDefault="005267DB">
            <w:pPr>
              <w:pStyle w:val="TableParagraph"/>
              <w:spacing w:line="225" w:lineRule="exact"/>
              <w:ind w:left="2823" w:right="2820"/>
              <w:jc w:val="center"/>
              <w:rPr>
                <w:b/>
              </w:rPr>
            </w:pPr>
          </w:p>
        </w:tc>
      </w:tr>
    </w:tbl>
    <w:p w14:paraId="0C928BE2" w14:textId="725D9395" w:rsidR="005267DB" w:rsidRDefault="00086265" w:rsidP="000406B6">
      <w:pPr>
        <w:pStyle w:val="BodyText"/>
        <w:ind w:right="112" w:firstLine="567"/>
        <w:jc w:val="both"/>
        <w:rPr>
          <w:color w:val="000000"/>
          <w:szCs w:val="24"/>
          <w:lang w:val="id-ID"/>
        </w:rPr>
      </w:pPr>
      <w:r>
        <w:t xml:space="preserve">Hasil statistik deskriptif dalam tabel 1 menunjukkan </w:t>
      </w:r>
      <w:r w:rsidR="000406B6">
        <w:rPr>
          <w:lang w:val="id-ID"/>
        </w:rPr>
        <w:t xml:space="preserve">proporsi </w:t>
      </w:r>
      <w:r>
        <w:t>komisaris independen menunjukkan nilai minimum 0,2</w:t>
      </w:r>
      <w:r w:rsidR="000406B6">
        <w:rPr>
          <w:lang w:val="id-ID"/>
        </w:rPr>
        <w:t>5000</w:t>
      </w:r>
      <w:r>
        <w:t>, maksimum 0,</w:t>
      </w:r>
      <w:r w:rsidR="000406B6">
        <w:rPr>
          <w:lang w:val="id-ID"/>
        </w:rPr>
        <w:t>66667</w:t>
      </w:r>
      <w:r>
        <w:t xml:space="preserve"> rata-rata 0</w:t>
      </w:r>
      <w:r w:rsidR="000406B6">
        <w:rPr>
          <w:lang w:val="id-ID"/>
        </w:rPr>
        <w:t>,4275651</w:t>
      </w:r>
      <w:r>
        <w:t xml:space="preserve"> dan standar deviasi </w:t>
      </w:r>
      <w:r w:rsidR="000406B6">
        <w:rPr>
          <w:lang w:val="id-ID"/>
        </w:rPr>
        <w:t>0,12105785</w:t>
      </w:r>
      <w:r>
        <w:t xml:space="preserve">. </w:t>
      </w:r>
      <w:r w:rsidR="000406B6">
        <w:rPr>
          <w:lang w:val="id-ID"/>
        </w:rPr>
        <w:t xml:space="preserve">Ukuran dewan komisaris </w:t>
      </w:r>
      <w:r w:rsidR="000406B6">
        <w:t xml:space="preserve">menunjukkan nilai minimum </w:t>
      </w:r>
      <w:r w:rsidR="000406B6">
        <w:rPr>
          <w:lang w:val="id-ID"/>
        </w:rPr>
        <w:t>2.00</w:t>
      </w:r>
      <w:r w:rsidR="000406B6">
        <w:t>, maksimu</w:t>
      </w:r>
      <w:r w:rsidR="000406B6">
        <w:rPr>
          <w:lang w:val="id-ID"/>
        </w:rPr>
        <w:t>m 8,00</w:t>
      </w:r>
      <w:r w:rsidR="000406B6">
        <w:t xml:space="preserve"> rata-rata </w:t>
      </w:r>
      <w:r w:rsidR="000406B6" w:rsidRPr="00A543BD">
        <w:rPr>
          <w:color w:val="000000"/>
          <w:szCs w:val="24"/>
          <w:lang w:val="id-ID"/>
        </w:rPr>
        <w:t>3</w:t>
      </w:r>
      <w:r w:rsidR="000406B6">
        <w:rPr>
          <w:color w:val="000000"/>
          <w:szCs w:val="24"/>
          <w:lang w:val="id-ID"/>
        </w:rPr>
        <w:t>,</w:t>
      </w:r>
      <w:r w:rsidR="000406B6" w:rsidRPr="00A543BD">
        <w:rPr>
          <w:color w:val="000000"/>
          <w:szCs w:val="24"/>
          <w:lang w:val="id-ID"/>
        </w:rPr>
        <w:t>6888889</w:t>
      </w:r>
      <w:r w:rsidR="000406B6">
        <w:rPr>
          <w:color w:val="000000"/>
          <w:szCs w:val="24"/>
          <w:lang w:val="id-ID"/>
        </w:rPr>
        <w:t xml:space="preserve"> </w:t>
      </w:r>
      <w:r w:rsidR="000406B6">
        <w:t xml:space="preserve">dan standar deviasi </w:t>
      </w:r>
      <w:r w:rsidR="000406B6" w:rsidRPr="00A543BD">
        <w:rPr>
          <w:color w:val="000000"/>
          <w:szCs w:val="24"/>
          <w:lang w:val="id-ID"/>
        </w:rPr>
        <w:t>1</w:t>
      </w:r>
      <w:r w:rsidR="000406B6">
        <w:rPr>
          <w:color w:val="000000"/>
          <w:szCs w:val="24"/>
          <w:lang w:val="id-ID"/>
        </w:rPr>
        <w:t>,</w:t>
      </w:r>
      <w:r w:rsidR="000406B6" w:rsidRPr="00A543BD">
        <w:rPr>
          <w:color w:val="000000"/>
          <w:szCs w:val="24"/>
          <w:lang w:val="id-ID"/>
        </w:rPr>
        <w:t>62119796</w:t>
      </w:r>
      <w:r w:rsidR="000406B6">
        <w:rPr>
          <w:color w:val="000000"/>
          <w:szCs w:val="24"/>
          <w:lang w:val="id-ID"/>
        </w:rPr>
        <w:t xml:space="preserve">. </w:t>
      </w:r>
      <w:r w:rsidR="000406B6">
        <w:rPr>
          <w:lang w:val="id-ID"/>
        </w:rPr>
        <w:t xml:space="preserve">Ukuran komite audit </w:t>
      </w:r>
      <w:r w:rsidR="000406B6">
        <w:t xml:space="preserve">menunjukkan nilai minimum </w:t>
      </w:r>
      <w:r w:rsidR="000406B6">
        <w:rPr>
          <w:lang w:val="id-ID"/>
        </w:rPr>
        <w:t>2.00</w:t>
      </w:r>
      <w:r w:rsidR="000406B6">
        <w:t>, maksimu</w:t>
      </w:r>
      <w:r w:rsidR="000406B6">
        <w:rPr>
          <w:lang w:val="id-ID"/>
        </w:rPr>
        <w:t>m 8,00</w:t>
      </w:r>
      <w:r w:rsidR="000406B6">
        <w:t xml:space="preserve"> rata-rata </w:t>
      </w:r>
      <w:r w:rsidR="000406B6" w:rsidRPr="00A543BD">
        <w:rPr>
          <w:color w:val="000000"/>
          <w:szCs w:val="24"/>
          <w:lang w:val="id-ID"/>
        </w:rPr>
        <w:t>3</w:t>
      </w:r>
      <w:r w:rsidR="000406B6">
        <w:rPr>
          <w:color w:val="000000"/>
          <w:szCs w:val="24"/>
          <w:lang w:val="id-ID"/>
        </w:rPr>
        <w:t xml:space="preserve">,1777778 </w:t>
      </w:r>
      <w:r w:rsidR="000406B6">
        <w:t xml:space="preserve">dan standar deviasi </w:t>
      </w:r>
      <w:r w:rsidR="000406B6">
        <w:rPr>
          <w:lang w:val="id-ID"/>
        </w:rPr>
        <w:t>0,</w:t>
      </w:r>
      <w:r w:rsidR="000406B6">
        <w:rPr>
          <w:color w:val="000000"/>
          <w:szCs w:val="24"/>
          <w:lang w:val="id-ID"/>
        </w:rPr>
        <w:t xml:space="preserve">88648665. </w:t>
      </w:r>
      <w:r w:rsidR="000406B6">
        <w:rPr>
          <w:lang w:val="id-ID"/>
        </w:rPr>
        <w:t xml:space="preserve">Kepemilikan manajerial </w:t>
      </w:r>
      <w:r w:rsidR="000406B6">
        <w:t xml:space="preserve">menunjukkan nilai minimum </w:t>
      </w:r>
      <w:r w:rsidR="000406B6">
        <w:rPr>
          <w:lang w:val="id-ID"/>
        </w:rPr>
        <w:t>0,00001</w:t>
      </w:r>
      <w:r w:rsidR="000406B6">
        <w:t>, maksimu</w:t>
      </w:r>
      <w:r w:rsidR="000406B6">
        <w:rPr>
          <w:lang w:val="id-ID"/>
        </w:rPr>
        <w:t>m 0,81801</w:t>
      </w:r>
      <w:r w:rsidR="000406B6">
        <w:t xml:space="preserve"> rata-rata </w:t>
      </w:r>
      <w:r w:rsidR="000406B6">
        <w:rPr>
          <w:lang w:val="id-ID"/>
        </w:rPr>
        <w:t>0,</w:t>
      </w:r>
      <w:r w:rsidR="000406B6" w:rsidRPr="00A543BD">
        <w:rPr>
          <w:color w:val="000000"/>
          <w:szCs w:val="24"/>
          <w:lang w:val="id-ID"/>
        </w:rPr>
        <w:t>1122382</w:t>
      </w:r>
      <w:r w:rsidR="000406B6">
        <w:rPr>
          <w:color w:val="000000"/>
          <w:szCs w:val="24"/>
          <w:lang w:val="id-ID"/>
        </w:rPr>
        <w:t xml:space="preserve"> </w:t>
      </w:r>
      <w:r w:rsidR="000406B6">
        <w:t xml:space="preserve">dan standar deviasi </w:t>
      </w:r>
      <w:r w:rsidR="000406B6">
        <w:rPr>
          <w:lang w:val="id-ID"/>
        </w:rPr>
        <w:t>0,</w:t>
      </w:r>
      <w:r w:rsidR="000406B6" w:rsidRPr="00A543BD">
        <w:rPr>
          <w:color w:val="000000"/>
          <w:szCs w:val="24"/>
          <w:lang w:val="id-ID"/>
        </w:rPr>
        <w:t>17903647</w:t>
      </w:r>
      <w:r w:rsidR="000406B6">
        <w:rPr>
          <w:color w:val="000000"/>
          <w:szCs w:val="24"/>
          <w:lang w:val="id-ID"/>
        </w:rPr>
        <w:t>.</w:t>
      </w:r>
    </w:p>
    <w:p w14:paraId="0AF39E43" w14:textId="3F0B2FCE" w:rsidR="000406B6" w:rsidRDefault="000406B6" w:rsidP="000406B6">
      <w:pPr>
        <w:pStyle w:val="BodyText"/>
        <w:ind w:left="402" w:right="112" w:firstLine="566"/>
        <w:jc w:val="both"/>
        <w:rPr>
          <w:color w:val="000000"/>
          <w:szCs w:val="24"/>
          <w:lang w:val="id-ID"/>
        </w:rPr>
      </w:pPr>
    </w:p>
    <w:p w14:paraId="2B35C5E8" w14:textId="0589BEC8" w:rsidR="000406B6" w:rsidRDefault="000406B6" w:rsidP="000406B6">
      <w:pPr>
        <w:ind w:left="145" w:right="423"/>
        <w:jc w:val="center"/>
        <w:rPr>
          <w:color w:val="000000"/>
          <w:szCs w:val="24"/>
          <w:lang w:val="id-ID"/>
        </w:rPr>
      </w:pPr>
      <w:r>
        <w:rPr>
          <w:b/>
        </w:rPr>
        <w:t xml:space="preserve">Tabel 2. </w:t>
      </w:r>
      <w:r>
        <w:t>Hasil Uji Normalitas</w:t>
      </w:r>
    </w:p>
    <w:tbl>
      <w:tblPr>
        <w:tblW w:w="66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964"/>
        <w:gridCol w:w="2268"/>
      </w:tblGrid>
      <w:tr w:rsidR="000406B6" w:rsidRPr="00AB6B2C" w14:paraId="12361C74" w14:textId="77777777" w:rsidTr="00535B30">
        <w:trPr>
          <w:cantSplit/>
          <w:jc w:val="center"/>
        </w:trPr>
        <w:tc>
          <w:tcPr>
            <w:tcW w:w="6663" w:type="dxa"/>
            <w:gridSpan w:val="3"/>
            <w:tcBorders>
              <w:top w:val="nil"/>
              <w:left w:val="nil"/>
              <w:bottom w:val="nil"/>
              <w:right w:val="nil"/>
            </w:tcBorders>
            <w:shd w:val="clear" w:color="auto" w:fill="FFFFFF"/>
            <w:vAlign w:val="center"/>
          </w:tcPr>
          <w:p w14:paraId="32DAE2A8" w14:textId="77777777" w:rsidR="000406B6" w:rsidRPr="00AB6B2C" w:rsidRDefault="000406B6" w:rsidP="000406B6">
            <w:pPr>
              <w:adjustRightInd w:val="0"/>
              <w:ind w:left="60" w:right="60"/>
              <w:jc w:val="center"/>
              <w:rPr>
                <w:color w:val="000000"/>
                <w:szCs w:val="18"/>
                <w:lang w:val="id-ID"/>
              </w:rPr>
            </w:pPr>
            <w:r w:rsidRPr="00AB6B2C">
              <w:rPr>
                <w:b/>
                <w:bCs/>
                <w:color w:val="000000"/>
                <w:szCs w:val="18"/>
                <w:lang w:val="id-ID"/>
              </w:rPr>
              <w:t>One-Sample Kolmogorov-Smirnov Test</w:t>
            </w:r>
          </w:p>
        </w:tc>
      </w:tr>
      <w:tr w:rsidR="000406B6" w:rsidRPr="00AB6B2C" w14:paraId="44209BFE" w14:textId="77777777" w:rsidTr="00535B30">
        <w:trPr>
          <w:cantSplit/>
          <w:jc w:val="center"/>
        </w:trPr>
        <w:tc>
          <w:tcPr>
            <w:tcW w:w="4395" w:type="dxa"/>
            <w:gridSpan w:val="2"/>
            <w:tcBorders>
              <w:top w:val="single" w:sz="16" w:space="0" w:color="000000"/>
              <w:left w:val="single" w:sz="16" w:space="0" w:color="000000"/>
              <w:bottom w:val="single" w:sz="16" w:space="0" w:color="000000"/>
              <w:right w:val="nil"/>
            </w:tcBorders>
            <w:shd w:val="clear" w:color="auto" w:fill="FFFFFF"/>
            <w:vAlign w:val="bottom"/>
          </w:tcPr>
          <w:p w14:paraId="40EE4450" w14:textId="77777777" w:rsidR="000406B6" w:rsidRPr="00AB6B2C" w:rsidRDefault="000406B6" w:rsidP="00535B30">
            <w:pPr>
              <w:adjustRightInd w:val="0"/>
              <w:rPr>
                <w:szCs w:val="24"/>
                <w:lang w:val="id-ID"/>
              </w:rPr>
            </w:pPr>
          </w:p>
        </w:tc>
        <w:tc>
          <w:tcPr>
            <w:tcW w:w="226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FBF976B" w14:textId="77777777" w:rsidR="000406B6" w:rsidRPr="00AB6B2C" w:rsidRDefault="000406B6" w:rsidP="00535B30">
            <w:pPr>
              <w:adjustRightInd w:val="0"/>
              <w:spacing w:line="320" w:lineRule="atLeast"/>
              <w:ind w:left="60" w:right="60"/>
              <w:jc w:val="center"/>
              <w:rPr>
                <w:color w:val="000000"/>
                <w:szCs w:val="18"/>
                <w:lang w:val="id-ID"/>
              </w:rPr>
            </w:pPr>
            <w:r w:rsidRPr="00AB6B2C">
              <w:rPr>
                <w:color w:val="000000"/>
                <w:szCs w:val="18"/>
                <w:lang w:val="id-ID"/>
              </w:rPr>
              <w:t>Unstandardized Residual</w:t>
            </w:r>
          </w:p>
        </w:tc>
      </w:tr>
      <w:tr w:rsidR="000406B6" w:rsidRPr="00AB6B2C" w14:paraId="57E424E9" w14:textId="77777777" w:rsidTr="00535B30">
        <w:trPr>
          <w:cantSplit/>
          <w:jc w:val="center"/>
        </w:trPr>
        <w:tc>
          <w:tcPr>
            <w:tcW w:w="4395" w:type="dxa"/>
            <w:gridSpan w:val="2"/>
            <w:tcBorders>
              <w:top w:val="single" w:sz="16" w:space="0" w:color="000000"/>
              <w:left w:val="single" w:sz="16" w:space="0" w:color="000000"/>
              <w:bottom w:val="nil"/>
              <w:right w:val="nil"/>
            </w:tcBorders>
            <w:shd w:val="clear" w:color="auto" w:fill="FFFFFF"/>
          </w:tcPr>
          <w:p w14:paraId="320D3AFD" w14:textId="77777777" w:rsidR="000406B6" w:rsidRPr="000D19D2" w:rsidRDefault="000406B6" w:rsidP="00535B30">
            <w:pPr>
              <w:adjustRightInd w:val="0"/>
              <w:spacing w:line="320" w:lineRule="atLeast"/>
              <w:ind w:right="60"/>
              <w:rPr>
                <w:color w:val="000000"/>
                <w:szCs w:val="24"/>
                <w:lang w:val="id-ID"/>
              </w:rPr>
            </w:pPr>
            <w:r w:rsidRPr="000D19D2">
              <w:rPr>
                <w:color w:val="000000"/>
                <w:szCs w:val="24"/>
                <w:lang w:val="id-ID"/>
              </w:rPr>
              <w:t>N</w:t>
            </w:r>
          </w:p>
        </w:tc>
        <w:tc>
          <w:tcPr>
            <w:tcW w:w="2268" w:type="dxa"/>
            <w:tcBorders>
              <w:top w:val="single" w:sz="16" w:space="0" w:color="000000"/>
              <w:left w:val="single" w:sz="16" w:space="0" w:color="000000"/>
              <w:bottom w:val="nil"/>
              <w:right w:val="single" w:sz="16" w:space="0" w:color="000000"/>
            </w:tcBorders>
            <w:shd w:val="clear" w:color="auto" w:fill="FFFFFF"/>
            <w:vAlign w:val="center"/>
          </w:tcPr>
          <w:p w14:paraId="409CBBF9" w14:textId="77777777" w:rsidR="000406B6" w:rsidRPr="000D19D2" w:rsidRDefault="000406B6" w:rsidP="00535B30">
            <w:pPr>
              <w:adjustRightInd w:val="0"/>
              <w:spacing w:line="320" w:lineRule="atLeast"/>
              <w:ind w:left="60" w:right="60"/>
              <w:jc w:val="right"/>
              <w:rPr>
                <w:color w:val="000000"/>
                <w:szCs w:val="24"/>
                <w:lang w:val="id-ID"/>
              </w:rPr>
            </w:pPr>
            <w:r w:rsidRPr="000D19D2">
              <w:rPr>
                <w:color w:val="000000"/>
                <w:szCs w:val="24"/>
                <w:lang w:val="id-ID"/>
              </w:rPr>
              <w:t>45</w:t>
            </w:r>
          </w:p>
        </w:tc>
      </w:tr>
      <w:tr w:rsidR="000406B6" w:rsidRPr="00AB6B2C" w14:paraId="1A9CEFF1" w14:textId="77777777" w:rsidTr="00535B30">
        <w:trPr>
          <w:cantSplit/>
          <w:jc w:val="center"/>
        </w:trPr>
        <w:tc>
          <w:tcPr>
            <w:tcW w:w="2431" w:type="dxa"/>
            <w:vMerge w:val="restart"/>
            <w:tcBorders>
              <w:top w:val="nil"/>
              <w:left w:val="single" w:sz="16" w:space="0" w:color="000000"/>
              <w:bottom w:val="nil"/>
              <w:right w:val="nil"/>
            </w:tcBorders>
            <w:shd w:val="clear" w:color="auto" w:fill="FFFFFF"/>
          </w:tcPr>
          <w:p w14:paraId="6668D63C" w14:textId="77777777" w:rsidR="000406B6" w:rsidRPr="000D19D2" w:rsidRDefault="000406B6" w:rsidP="00535B30">
            <w:pPr>
              <w:adjustRightInd w:val="0"/>
              <w:spacing w:line="320" w:lineRule="atLeast"/>
              <w:ind w:right="60"/>
              <w:rPr>
                <w:color w:val="000000"/>
                <w:szCs w:val="24"/>
                <w:lang w:val="id-ID"/>
              </w:rPr>
            </w:pPr>
            <w:r w:rsidRPr="000D19D2">
              <w:rPr>
                <w:color w:val="000000"/>
                <w:szCs w:val="24"/>
                <w:lang w:val="id-ID"/>
              </w:rPr>
              <w:t>Normal Parameters</w:t>
            </w:r>
            <w:r w:rsidRPr="000D19D2">
              <w:rPr>
                <w:color w:val="000000"/>
                <w:szCs w:val="24"/>
                <w:vertAlign w:val="superscript"/>
                <w:lang w:val="id-ID"/>
              </w:rPr>
              <w:t>a,b</w:t>
            </w:r>
          </w:p>
        </w:tc>
        <w:tc>
          <w:tcPr>
            <w:tcW w:w="1964" w:type="dxa"/>
            <w:tcBorders>
              <w:top w:val="nil"/>
              <w:left w:val="nil"/>
              <w:bottom w:val="nil"/>
              <w:right w:val="single" w:sz="16" w:space="0" w:color="000000"/>
            </w:tcBorders>
            <w:shd w:val="clear" w:color="auto" w:fill="FFFFFF"/>
          </w:tcPr>
          <w:p w14:paraId="5EEFA299" w14:textId="77777777" w:rsidR="000406B6" w:rsidRPr="000D19D2" w:rsidRDefault="000406B6" w:rsidP="00535B30">
            <w:pPr>
              <w:adjustRightInd w:val="0"/>
              <w:spacing w:line="320" w:lineRule="atLeast"/>
              <w:ind w:left="60" w:right="60"/>
              <w:rPr>
                <w:color w:val="000000"/>
                <w:szCs w:val="24"/>
                <w:lang w:val="id-ID"/>
              </w:rPr>
            </w:pPr>
            <w:r w:rsidRPr="000D19D2">
              <w:rPr>
                <w:color w:val="000000"/>
                <w:szCs w:val="24"/>
                <w:lang w:val="id-ID"/>
              </w:rPr>
              <w:t>Mean</w:t>
            </w:r>
          </w:p>
        </w:tc>
        <w:tc>
          <w:tcPr>
            <w:tcW w:w="2268" w:type="dxa"/>
            <w:tcBorders>
              <w:top w:val="nil"/>
              <w:left w:val="single" w:sz="16" w:space="0" w:color="000000"/>
              <w:bottom w:val="nil"/>
              <w:right w:val="single" w:sz="16" w:space="0" w:color="000000"/>
            </w:tcBorders>
            <w:shd w:val="clear" w:color="auto" w:fill="FFFFFF"/>
            <w:vAlign w:val="center"/>
          </w:tcPr>
          <w:p w14:paraId="2A3DA984" w14:textId="77777777" w:rsidR="000406B6" w:rsidRPr="000D19D2" w:rsidRDefault="000406B6" w:rsidP="00535B30">
            <w:pPr>
              <w:adjustRightInd w:val="0"/>
              <w:spacing w:line="320" w:lineRule="atLeast"/>
              <w:ind w:left="60" w:right="60"/>
              <w:jc w:val="right"/>
              <w:rPr>
                <w:color w:val="000000"/>
                <w:szCs w:val="24"/>
                <w:lang w:val="id-ID"/>
              </w:rPr>
            </w:pPr>
            <w:r w:rsidRPr="000D19D2">
              <w:rPr>
                <w:color w:val="000000"/>
                <w:szCs w:val="24"/>
                <w:lang w:val="id-ID"/>
              </w:rPr>
              <w:t>.0000000</w:t>
            </w:r>
          </w:p>
        </w:tc>
      </w:tr>
      <w:tr w:rsidR="000406B6" w:rsidRPr="00AB6B2C" w14:paraId="6981EFE2" w14:textId="77777777" w:rsidTr="00535B30">
        <w:trPr>
          <w:cantSplit/>
          <w:jc w:val="center"/>
        </w:trPr>
        <w:tc>
          <w:tcPr>
            <w:tcW w:w="2431" w:type="dxa"/>
            <w:vMerge/>
            <w:tcBorders>
              <w:top w:val="nil"/>
              <w:left w:val="single" w:sz="16" w:space="0" w:color="000000"/>
              <w:bottom w:val="nil"/>
              <w:right w:val="nil"/>
            </w:tcBorders>
            <w:shd w:val="clear" w:color="auto" w:fill="FFFFFF"/>
          </w:tcPr>
          <w:p w14:paraId="11ADB2DE" w14:textId="77777777" w:rsidR="000406B6" w:rsidRPr="000D19D2" w:rsidRDefault="000406B6" w:rsidP="00535B30">
            <w:pPr>
              <w:adjustRightInd w:val="0"/>
              <w:rPr>
                <w:color w:val="000000"/>
                <w:szCs w:val="24"/>
                <w:lang w:val="id-ID"/>
              </w:rPr>
            </w:pPr>
          </w:p>
        </w:tc>
        <w:tc>
          <w:tcPr>
            <w:tcW w:w="1964" w:type="dxa"/>
            <w:tcBorders>
              <w:top w:val="nil"/>
              <w:left w:val="nil"/>
              <w:bottom w:val="nil"/>
              <w:right w:val="single" w:sz="16" w:space="0" w:color="000000"/>
            </w:tcBorders>
            <w:shd w:val="clear" w:color="auto" w:fill="FFFFFF"/>
          </w:tcPr>
          <w:p w14:paraId="4FB3989C" w14:textId="77777777" w:rsidR="000406B6" w:rsidRPr="000D19D2" w:rsidRDefault="000406B6" w:rsidP="00535B30">
            <w:pPr>
              <w:adjustRightInd w:val="0"/>
              <w:spacing w:line="320" w:lineRule="atLeast"/>
              <w:ind w:left="60" w:right="60"/>
              <w:rPr>
                <w:color w:val="000000"/>
                <w:szCs w:val="24"/>
                <w:lang w:val="id-ID"/>
              </w:rPr>
            </w:pPr>
            <w:r w:rsidRPr="000D19D2">
              <w:rPr>
                <w:color w:val="000000"/>
                <w:szCs w:val="24"/>
                <w:lang w:val="id-ID"/>
              </w:rPr>
              <w:t>Std. Deviation</w:t>
            </w:r>
          </w:p>
        </w:tc>
        <w:tc>
          <w:tcPr>
            <w:tcW w:w="2268" w:type="dxa"/>
            <w:tcBorders>
              <w:top w:val="nil"/>
              <w:left w:val="single" w:sz="16" w:space="0" w:color="000000"/>
              <w:bottom w:val="nil"/>
              <w:right w:val="single" w:sz="16" w:space="0" w:color="000000"/>
            </w:tcBorders>
            <w:shd w:val="clear" w:color="auto" w:fill="FFFFFF"/>
            <w:vAlign w:val="center"/>
          </w:tcPr>
          <w:p w14:paraId="37F267B9" w14:textId="77777777" w:rsidR="000406B6" w:rsidRPr="000D19D2" w:rsidRDefault="000406B6" w:rsidP="00535B30">
            <w:pPr>
              <w:adjustRightInd w:val="0"/>
              <w:spacing w:line="320" w:lineRule="atLeast"/>
              <w:ind w:left="60" w:right="60"/>
              <w:jc w:val="right"/>
              <w:rPr>
                <w:color w:val="000000"/>
                <w:szCs w:val="24"/>
                <w:lang w:val="id-ID"/>
              </w:rPr>
            </w:pPr>
            <w:r w:rsidRPr="000D19D2">
              <w:rPr>
                <w:color w:val="000000"/>
                <w:szCs w:val="24"/>
                <w:lang w:val="id-ID"/>
              </w:rPr>
              <w:t>.15380420</w:t>
            </w:r>
          </w:p>
        </w:tc>
      </w:tr>
      <w:tr w:rsidR="000406B6" w:rsidRPr="00AB6B2C" w14:paraId="136C89C3" w14:textId="77777777" w:rsidTr="00535B30">
        <w:trPr>
          <w:cantSplit/>
          <w:jc w:val="center"/>
        </w:trPr>
        <w:tc>
          <w:tcPr>
            <w:tcW w:w="2431" w:type="dxa"/>
            <w:vMerge w:val="restart"/>
            <w:tcBorders>
              <w:top w:val="nil"/>
              <w:left w:val="single" w:sz="16" w:space="0" w:color="000000"/>
              <w:bottom w:val="nil"/>
              <w:right w:val="nil"/>
            </w:tcBorders>
            <w:shd w:val="clear" w:color="auto" w:fill="FFFFFF"/>
          </w:tcPr>
          <w:p w14:paraId="38DC9C79" w14:textId="77777777" w:rsidR="000406B6" w:rsidRPr="000D19D2" w:rsidRDefault="000406B6" w:rsidP="00535B30">
            <w:pPr>
              <w:adjustRightInd w:val="0"/>
              <w:spacing w:line="320" w:lineRule="atLeast"/>
              <w:ind w:left="60" w:right="60"/>
              <w:rPr>
                <w:color w:val="000000"/>
                <w:szCs w:val="24"/>
                <w:lang w:val="id-ID"/>
              </w:rPr>
            </w:pPr>
            <w:r w:rsidRPr="000D19D2">
              <w:rPr>
                <w:color w:val="000000"/>
                <w:szCs w:val="24"/>
                <w:lang w:val="id-ID"/>
              </w:rPr>
              <w:t>Most Extreme Differences</w:t>
            </w:r>
          </w:p>
        </w:tc>
        <w:tc>
          <w:tcPr>
            <w:tcW w:w="1964" w:type="dxa"/>
            <w:tcBorders>
              <w:top w:val="nil"/>
              <w:left w:val="nil"/>
              <w:bottom w:val="nil"/>
              <w:right w:val="single" w:sz="16" w:space="0" w:color="000000"/>
            </w:tcBorders>
            <w:shd w:val="clear" w:color="auto" w:fill="FFFFFF"/>
          </w:tcPr>
          <w:p w14:paraId="026BB2F7" w14:textId="77777777" w:rsidR="000406B6" w:rsidRPr="000D19D2" w:rsidRDefault="000406B6" w:rsidP="00535B30">
            <w:pPr>
              <w:adjustRightInd w:val="0"/>
              <w:spacing w:line="320" w:lineRule="atLeast"/>
              <w:ind w:left="60" w:right="60"/>
              <w:rPr>
                <w:color w:val="000000"/>
                <w:szCs w:val="24"/>
                <w:lang w:val="id-ID"/>
              </w:rPr>
            </w:pPr>
            <w:r w:rsidRPr="000D19D2">
              <w:rPr>
                <w:color w:val="000000"/>
                <w:szCs w:val="24"/>
                <w:lang w:val="id-ID"/>
              </w:rPr>
              <w:t>Absolute</w:t>
            </w:r>
          </w:p>
        </w:tc>
        <w:tc>
          <w:tcPr>
            <w:tcW w:w="2268" w:type="dxa"/>
            <w:tcBorders>
              <w:top w:val="nil"/>
              <w:left w:val="single" w:sz="16" w:space="0" w:color="000000"/>
              <w:bottom w:val="nil"/>
              <w:right w:val="single" w:sz="16" w:space="0" w:color="000000"/>
            </w:tcBorders>
            <w:shd w:val="clear" w:color="auto" w:fill="FFFFFF"/>
            <w:vAlign w:val="center"/>
          </w:tcPr>
          <w:p w14:paraId="78BD5B82" w14:textId="77777777" w:rsidR="000406B6" w:rsidRPr="000D19D2" w:rsidRDefault="000406B6" w:rsidP="00535B30">
            <w:pPr>
              <w:adjustRightInd w:val="0"/>
              <w:spacing w:line="320" w:lineRule="atLeast"/>
              <w:ind w:left="60" w:right="60"/>
              <w:jc w:val="right"/>
              <w:rPr>
                <w:color w:val="000000"/>
                <w:szCs w:val="24"/>
                <w:lang w:val="id-ID"/>
              </w:rPr>
            </w:pPr>
            <w:r w:rsidRPr="000D19D2">
              <w:rPr>
                <w:color w:val="000000"/>
                <w:szCs w:val="24"/>
                <w:lang w:val="id-ID"/>
              </w:rPr>
              <w:t>.124</w:t>
            </w:r>
          </w:p>
        </w:tc>
      </w:tr>
      <w:tr w:rsidR="000406B6" w:rsidRPr="00AB6B2C" w14:paraId="388C80A2" w14:textId="77777777" w:rsidTr="00535B30">
        <w:trPr>
          <w:cantSplit/>
          <w:jc w:val="center"/>
        </w:trPr>
        <w:tc>
          <w:tcPr>
            <w:tcW w:w="2431" w:type="dxa"/>
            <w:vMerge/>
            <w:tcBorders>
              <w:top w:val="nil"/>
              <w:left w:val="single" w:sz="16" w:space="0" w:color="000000"/>
              <w:bottom w:val="nil"/>
              <w:right w:val="nil"/>
            </w:tcBorders>
            <w:shd w:val="clear" w:color="auto" w:fill="FFFFFF"/>
          </w:tcPr>
          <w:p w14:paraId="45EDA7E0" w14:textId="77777777" w:rsidR="000406B6" w:rsidRPr="000D19D2" w:rsidRDefault="000406B6" w:rsidP="00535B30">
            <w:pPr>
              <w:adjustRightInd w:val="0"/>
              <w:rPr>
                <w:color w:val="000000"/>
                <w:szCs w:val="24"/>
                <w:lang w:val="id-ID"/>
              </w:rPr>
            </w:pPr>
          </w:p>
        </w:tc>
        <w:tc>
          <w:tcPr>
            <w:tcW w:w="1964" w:type="dxa"/>
            <w:tcBorders>
              <w:top w:val="nil"/>
              <w:left w:val="nil"/>
              <w:bottom w:val="nil"/>
              <w:right w:val="single" w:sz="16" w:space="0" w:color="000000"/>
            </w:tcBorders>
            <w:shd w:val="clear" w:color="auto" w:fill="FFFFFF"/>
          </w:tcPr>
          <w:p w14:paraId="494E1264" w14:textId="77777777" w:rsidR="000406B6" w:rsidRPr="000D19D2" w:rsidRDefault="000406B6" w:rsidP="00535B30">
            <w:pPr>
              <w:adjustRightInd w:val="0"/>
              <w:spacing w:line="320" w:lineRule="atLeast"/>
              <w:ind w:left="60" w:right="60"/>
              <w:rPr>
                <w:color w:val="000000"/>
                <w:szCs w:val="24"/>
                <w:lang w:val="id-ID"/>
              </w:rPr>
            </w:pPr>
            <w:r w:rsidRPr="000D19D2">
              <w:rPr>
                <w:color w:val="000000"/>
                <w:szCs w:val="24"/>
                <w:lang w:val="id-ID"/>
              </w:rPr>
              <w:t>Positive</w:t>
            </w:r>
          </w:p>
        </w:tc>
        <w:tc>
          <w:tcPr>
            <w:tcW w:w="2268" w:type="dxa"/>
            <w:tcBorders>
              <w:top w:val="nil"/>
              <w:left w:val="single" w:sz="16" w:space="0" w:color="000000"/>
              <w:bottom w:val="nil"/>
              <w:right w:val="single" w:sz="16" w:space="0" w:color="000000"/>
            </w:tcBorders>
            <w:shd w:val="clear" w:color="auto" w:fill="FFFFFF"/>
            <w:vAlign w:val="center"/>
          </w:tcPr>
          <w:p w14:paraId="5324743F" w14:textId="77777777" w:rsidR="000406B6" w:rsidRPr="000D19D2" w:rsidRDefault="000406B6" w:rsidP="00535B30">
            <w:pPr>
              <w:adjustRightInd w:val="0"/>
              <w:spacing w:line="320" w:lineRule="atLeast"/>
              <w:ind w:left="60" w:right="60"/>
              <w:jc w:val="right"/>
              <w:rPr>
                <w:color w:val="000000"/>
                <w:szCs w:val="24"/>
                <w:lang w:val="id-ID"/>
              </w:rPr>
            </w:pPr>
            <w:r w:rsidRPr="000D19D2">
              <w:rPr>
                <w:color w:val="000000"/>
                <w:szCs w:val="24"/>
                <w:lang w:val="id-ID"/>
              </w:rPr>
              <w:t>.124</w:t>
            </w:r>
          </w:p>
        </w:tc>
      </w:tr>
      <w:tr w:rsidR="000406B6" w:rsidRPr="00AB6B2C" w14:paraId="1FF0A73E" w14:textId="77777777" w:rsidTr="00535B30">
        <w:trPr>
          <w:cantSplit/>
          <w:jc w:val="center"/>
        </w:trPr>
        <w:tc>
          <w:tcPr>
            <w:tcW w:w="2431" w:type="dxa"/>
            <w:vMerge/>
            <w:tcBorders>
              <w:top w:val="nil"/>
              <w:left w:val="single" w:sz="16" w:space="0" w:color="000000"/>
              <w:bottom w:val="nil"/>
              <w:right w:val="nil"/>
            </w:tcBorders>
            <w:shd w:val="clear" w:color="auto" w:fill="FFFFFF"/>
          </w:tcPr>
          <w:p w14:paraId="012FA856" w14:textId="77777777" w:rsidR="000406B6" w:rsidRPr="000D19D2" w:rsidRDefault="000406B6" w:rsidP="00535B30">
            <w:pPr>
              <w:adjustRightInd w:val="0"/>
              <w:rPr>
                <w:color w:val="000000"/>
                <w:szCs w:val="24"/>
                <w:lang w:val="id-ID"/>
              </w:rPr>
            </w:pPr>
          </w:p>
        </w:tc>
        <w:tc>
          <w:tcPr>
            <w:tcW w:w="1964" w:type="dxa"/>
            <w:tcBorders>
              <w:top w:val="nil"/>
              <w:left w:val="nil"/>
              <w:bottom w:val="nil"/>
              <w:right w:val="single" w:sz="16" w:space="0" w:color="000000"/>
            </w:tcBorders>
            <w:shd w:val="clear" w:color="auto" w:fill="FFFFFF"/>
          </w:tcPr>
          <w:p w14:paraId="1C59AAC9" w14:textId="77777777" w:rsidR="000406B6" w:rsidRPr="000D19D2" w:rsidRDefault="000406B6" w:rsidP="00535B30">
            <w:pPr>
              <w:adjustRightInd w:val="0"/>
              <w:spacing w:line="320" w:lineRule="atLeast"/>
              <w:ind w:left="60" w:right="60"/>
              <w:rPr>
                <w:color w:val="000000"/>
                <w:szCs w:val="24"/>
                <w:lang w:val="id-ID"/>
              </w:rPr>
            </w:pPr>
            <w:r w:rsidRPr="000D19D2">
              <w:rPr>
                <w:color w:val="000000"/>
                <w:szCs w:val="24"/>
                <w:lang w:val="id-ID"/>
              </w:rPr>
              <w:t>Negative</w:t>
            </w:r>
          </w:p>
        </w:tc>
        <w:tc>
          <w:tcPr>
            <w:tcW w:w="2268" w:type="dxa"/>
            <w:tcBorders>
              <w:top w:val="nil"/>
              <w:left w:val="single" w:sz="16" w:space="0" w:color="000000"/>
              <w:bottom w:val="nil"/>
              <w:right w:val="single" w:sz="16" w:space="0" w:color="000000"/>
            </w:tcBorders>
            <w:shd w:val="clear" w:color="auto" w:fill="FFFFFF"/>
            <w:vAlign w:val="center"/>
          </w:tcPr>
          <w:p w14:paraId="36F995B2" w14:textId="77777777" w:rsidR="000406B6" w:rsidRPr="000D19D2" w:rsidRDefault="000406B6" w:rsidP="00535B30">
            <w:pPr>
              <w:adjustRightInd w:val="0"/>
              <w:spacing w:line="320" w:lineRule="atLeast"/>
              <w:ind w:left="60" w:right="60"/>
              <w:jc w:val="right"/>
              <w:rPr>
                <w:color w:val="000000"/>
                <w:szCs w:val="24"/>
                <w:lang w:val="id-ID"/>
              </w:rPr>
            </w:pPr>
            <w:r w:rsidRPr="000D19D2">
              <w:rPr>
                <w:color w:val="000000"/>
                <w:szCs w:val="24"/>
                <w:lang w:val="id-ID"/>
              </w:rPr>
              <w:t>-.088</w:t>
            </w:r>
          </w:p>
        </w:tc>
      </w:tr>
      <w:tr w:rsidR="000406B6" w:rsidRPr="00AB6B2C" w14:paraId="1161FB8B" w14:textId="77777777" w:rsidTr="00535B30">
        <w:trPr>
          <w:cantSplit/>
          <w:jc w:val="center"/>
        </w:trPr>
        <w:tc>
          <w:tcPr>
            <w:tcW w:w="4395" w:type="dxa"/>
            <w:gridSpan w:val="2"/>
            <w:tcBorders>
              <w:top w:val="nil"/>
              <w:left w:val="single" w:sz="16" w:space="0" w:color="000000"/>
              <w:bottom w:val="nil"/>
              <w:right w:val="nil"/>
            </w:tcBorders>
            <w:shd w:val="clear" w:color="auto" w:fill="FFFFFF"/>
          </w:tcPr>
          <w:p w14:paraId="6E4CC1F3" w14:textId="77777777" w:rsidR="000406B6" w:rsidRPr="000D19D2" w:rsidRDefault="000406B6" w:rsidP="00535B30">
            <w:pPr>
              <w:adjustRightInd w:val="0"/>
              <w:spacing w:line="320" w:lineRule="atLeast"/>
              <w:ind w:left="60" w:right="60"/>
              <w:rPr>
                <w:color w:val="000000"/>
                <w:szCs w:val="24"/>
                <w:lang w:val="id-ID"/>
              </w:rPr>
            </w:pPr>
            <w:r w:rsidRPr="000D19D2">
              <w:rPr>
                <w:color w:val="000000"/>
                <w:szCs w:val="24"/>
                <w:lang w:val="id-ID"/>
              </w:rPr>
              <w:t>Test Statistic</w:t>
            </w:r>
          </w:p>
        </w:tc>
        <w:tc>
          <w:tcPr>
            <w:tcW w:w="2268" w:type="dxa"/>
            <w:tcBorders>
              <w:top w:val="nil"/>
              <w:left w:val="single" w:sz="16" w:space="0" w:color="000000"/>
              <w:bottom w:val="nil"/>
              <w:right w:val="single" w:sz="16" w:space="0" w:color="000000"/>
            </w:tcBorders>
            <w:shd w:val="clear" w:color="auto" w:fill="FFFFFF"/>
            <w:vAlign w:val="center"/>
          </w:tcPr>
          <w:p w14:paraId="11B96B9C" w14:textId="77777777" w:rsidR="000406B6" w:rsidRPr="000D19D2" w:rsidRDefault="000406B6" w:rsidP="00535B30">
            <w:pPr>
              <w:adjustRightInd w:val="0"/>
              <w:spacing w:line="320" w:lineRule="atLeast"/>
              <w:ind w:left="60" w:right="60"/>
              <w:jc w:val="right"/>
              <w:rPr>
                <w:color w:val="000000"/>
                <w:szCs w:val="24"/>
                <w:lang w:val="id-ID"/>
              </w:rPr>
            </w:pPr>
            <w:r w:rsidRPr="000D19D2">
              <w:rPr>
                <w:color w:val="000000"/>
                <w:szCs w:val="24"/>
                <w:lang w:val="id-ID"/>
              </w:rPr>
              <w:t>.100</w:t>
            </w:r>
          </w:p>
        </w:tc>
      </w:tr>
      <w:tr w:rsidR="000406B6" w:rsidRPr="00AB6B2C" w14:paraId="54C1C220" w14:textId="77777777" w:rsidTr="00535B30">
        <w:trPr>
          <w:cantSplit/>
          <w:jc w:val="center"/>
        </w:trPr>
        <w:tc>
          <w:tcPr>
            <w:tcW w:w="4395" w:type="dxa"/>
            <w:gridSpan w:val="2"/>
            <w:tcBorders>
              <w:top w:val="nil"/>
              <w:left w:val="single" w:sz="16" w:space="0" w:color="000000"/>
              <w:bottom w:val="single" w:sz="16" w:space="0" w:color="000000"/>
              <w:right w:val="nil"/>
            </w:tcBorders>
            <w:shd w:val="clear" w:color="auto" w:fill="FFFFFF"/>
          </w:tcPr>
          <w:p w14:paraId="76FBBBFD" w14:textId="77777777" w:rsidR="000406B6" w:rsidRPr="000D19D2" w:rsidRDefault="000406B6" w:rsidP="00535B30">
            <w:pPr>
              <w:adjustRightInd w:val="0"/>
              <w:spacing w:line="320" w:lineRule="atLeast"/>
              <w:ind w:left="60" w:right="60"/>
              <w:rPr>
                <w:color w:val="000000"/>
                <w:szCs w:val="24"/>
                <w:lang w:val="id-ID"/>
              </w:rPr>
            </w:pPr>
            <w:r w:rsidRPr="000D19D2">
              <w:rPr>
                <w:color w:val="000000"/>
                <w:szCs w:val="24"/>
                <w:lang w:val="id-ID"/>
              </w:rPr>
              <w:t>Asymp. Sig. (2-tailed)</w:t>
            </w:r>
          </w:p>
        </w:tc>
        <w:tc>
          <w:tcPr>
            <w:tcW w:w="2268" w:type="dxa"/>
            <w:tcBorders>
              <w:top w:val="nil"/>
              <w:left w:val="single" w:sz="16" w:space="0" w:color="000000"/>
              <w:bottom w:val="single" w:sz="16" w:space="0" w:color="000000"/>
              <w:right w:val="single" w:sz="16" w:space="0" w:color="000000"/>
            </w:tcBorders>
            <w:shd w:val="clear" w:color="auto" w:fill="FFFFFF"/>
            <w:vAlign w:val="center"/>
          </w:tcPr>
          <w:p w14:paraId="3267D777" w14:textId="77777777" w:rsidR="000406B6" w:rsidRPr="000D19D2" w:rsidRDefault="000406B6" w:rsidP="00535B30">
            <w:pPr>
              <w:adjustRightInd w:val="0"/>
              <w:spacing w:line="320" w:lineRule="atLeast"/>
              <w:ind w:left="60" w:right="60"/>
              <w:jc w:val="right"/>
              <w:rPr>
                <w:color w:val="000000"/>
                <w:szCs w:val="24"/>
                <w:lang w:val="id-ID"/>
              </w:rPr>
            </w:pPr>
            <w:r w:rsidRPr="000D19D2">
              <w:rPr>
                <w:color w:val="000000"/>
                <w:szCs w:val="24"/>
                <w:lang w:val="id-ID"/>
              </w:rPr>
              <w:t>.200</w:t>
            </w:r>
            <w:r w:rsidRPr="000D19D2">
              <w:rPr>
                <w:color w:val="000000"/>
                <w:szCs w:val="24"/>
                <w:vertAlign w:val="superscript"/>
                <w:lang w:val="id-ID"/>
              </w:rPr>
              <w:t>c,d</w:t>
            </w:r>
          </w:p>
        </w:tc>
      </w:tr>
      <w:tr w:rsidR="000406B6" w:rsidRPr="00AB6B2C" w14:paraId="6871A698" w14:textId="77777777" w:rsidTr="00535B30">
        <w:trPr>
          <w:cantSplit/>
          <w:jc w:val="center"/>
        </w:trPr>
        <w:tc>
          <w:tcPr>
            <w:tcW w:w="6663" w:type="dxa"/>
            <w:gridSpan w:val="3"/>
            <w:tcBorders>
              <w:top w:val="nil"/>
              <w:left w:val="nil"/>
              <w:bottom w:val="nil"/>
              <w:right w:val="nil"/>
            </w:tcBorders>
            <w:shd w:val="clear" w:color="auto" w:fill="FFFFFF"/>
          </w:tcPr>
          <w:p w14:paraId="284133EC" w14:textId="77777777" w:rsidR="000406B6" w:rsidRPr="00AB6B2C" w:rsidRDefault="000406B6" w:rsidP="00535B30">
            <w:pPr>
              <w:adjustRightInd w:val="0"/>
              <w:spacing w:line="320" w:lineRule="atLeast"/>
              <w:ind w:left="60" w:right="60"/>
              <w:rPr>
                <w:color w:val="000000"/>
                <w:szCs w:val="18"/>
                <w:lang w:val="id-ID"/>
              </w:rPr>
            </w:pPr>
            <w:r w:rsidRPr="00AB6B2C">
              <w:rPr>
                <w:color w:val="000000"/>
                <w:szCs w:val="18"/>
                <w:lang w:val="id-ID"/>
              </w:rPr>
              <w:t>a. Test distribution is Normal.</w:t>
            </w:r>
          </w:p>
        </w:tc>
      </w:tr>
      <w:tr w:rsidR="000406B6" w:rsidRPr="00AB6B2C" w14:paraId="077E5849" w14:textId="77777777" w:rsidTr="00535B30">
        <w:trPr>
          <w:cantSplit/>
          <w:jc w:val="center"/>
        </w:trPr>
        <w:tc>
          <w:tcPr>
            <w:tcW w:w="6663" w:type="dxa"/>
            <w:gridSpan w:val="3"/>
            <w:tcBorders>
              <w:top w:val="nil"/>
              <w:left w:val="nil"/>
              <w:bottom w:val="nil"/>
              <w:right w:val="nil"/>
            </w:tcBorders>
            <w:shd w:val="clear" w:color="auto" w:fill="FFFFFF"/>
          </w:tcPr>
          <w:p w14:paraId="6B110875" w14:textId="77777777" w:rsidR="000406B6" w:rsidRPr="00AB6B2C" w:rsidRDefault="000406B6" w:rsidP="00535B30">
            <w:pPr>
              <w:adjustRightInd w:val="0"/>
              <w:spacing w:line="320" w:lineRule="atLeast"/>
              <w:ind w:left="60" w:right="60"/>
              <w:rPr>
                <w:color w:val="000000"/>
                <w:szCs w:val="18"/>
                <w:lang w:val="id-ID"/>
              </w:rPr>
            </w:pPr>
            <w:r w:rsidRPr="00AB6B2C">
              <w:rPr>
                <w:color w:val="000000"/>
                <w:szCs w:val="18"/>
                <w:lang w:val="id-ID"/>
              </w:rPr>
              <w:t>b. Calculated from data.</w:t>
            </w:r>
          </w:p>
        </w:tc>
      </w:tr>
    </w:tbl>
    <w:p w14:paraId="26555720" w14:textId="77777777" w:rsidR="000406B6" w:rsidRPr="000406B6" w:rsidRDefault="000406B6" w:rsidP="000406B6">
      <w:pPr>
        <w:pStyle w:val="BodyText"/>
        <w:ind w:left="402" w:right="112" w:firstLine="566"/>
        <w:jc w:val="both"/>
        <w:rPr>
          <w:lang w:val="id-ID"/>
        </w:rPr>
      </w:pPr>
    </w:p>
    <w:p w14:paraId="353804C3" w14:textId="21861AE6" w:rsidR="005267DB" w:rsidRDefault="00086265" w:rsidP="000406B6">
      <w:pPr>
        <w:pStyle w:val="BodyText"/>
        <w:ind w:right="396" w:firstLine="567"/>
        <w:jc w:val="both"/>
      </w:pPr>
      <w:r>
        <w:t xml:space="preserve">Berdasarkan hasil uji normalitas dalam tabel 2 menunjukkan </w:t>
      </w:r>
      <w:r>
        <w:rPr>
          <w:i/>
        </w:rPr>
        <w:t xml:space="preserve">kolmogrov-smirnov test </w:t>
      </w:r>
      <w:r>
        <w:t>menunjukan bahwa variabel independen dan dependen dalam penelitian ini memiliki data yang berdistribusi normal. Hal ini dapat dilihat dari nilai sig. 0,</w:t>
      </w:r>
      <w:r w:rsidR="006B1072">
        <w:rPr>
          <w:lang w:val="id-ID"/>
        </w:rPr>
        <w:t>200</w:t>
      </w:r>
      <w:r>
        <w:t xml:space="preserve"> yaitu lebih besar dari nilai signifikansi 0,05.</w:t>
      </w:r>
    </w:p>
    <w:p w14:paraId="634C54A6" w14:textId="77777777" w:rsidR="006B1072" w:rsidRDefault="006B1072" w:rsidP="006B1072">
      <w:pPr>
        <w:ind w:left="145" w:right="423"/>
        <w:jc w:val="center"/>
        <w:rPr>
          <w:b/>
        </w:rPr>
      </w:pPr>
    </w:p>
    <w:p w14:paraId="0F9114E4" w14:textId="77777777" w:rsidR="006B1072" w:rsidRDefault="006B1072" w:rsidP="006B1072">
      <w:pPr>
        <w:ind w:left="145" w:right="423"/>
        <w:jc w:val="center"/>
        <w:rPr>
          <w:b/>
        </w:rPr>
      </w:pPr>
    </w:p>
    <w:p w14:paraId="31BCE7A2" w14:textId="77777777" w:rsidR="006B1072" w:rsidRDefault="006B1072" w:rsidP="006B1072">
      <w:pPr>
        <w:ind w:left="145" w:right="423"/>
        <w:jc w:val="center"/>
        <w:rPr>
          <w:b/>
        </w:rPr>
      </w:pPr>
    </w:p>
    <w:p w14:paraId="53386566" w14:textId="77777777" w:rsidR="006B1072" w:rsidRDefault="006B1072" w:rsidP="006B1072">
      <w:pPr>
        <w:ind w:left="145" w:right="423"/>
        <w:jc w:val="center"/>
        <w:rPr>
          <w:b/>
        </w:rPr>
      </w:pPr>
    </w:p>
    <w:p w14:paraId="79794543" w14:textId="77777777" w:rsidR="006B1072" w:rsidRDefault="006B1072" w:rsidP="006B1072">
      <w:pPr>
        <w:ind w:left="145" w:right="423"/>
        <w:jc w:val="center"/>
        <w:rPr>
          <w:b/>
        </w:rPr>
      </w:pPr>
    </w:p>
    <w:p w14:paraId="3EC5F075" w14:textId="77777777" w:rsidR="006B1072" w:rsidRDefault="006B1072" w:rsidP="006B1072">
      <w:pPr>
        <w:ind w:left="145" w:right="423"/>
        <w:jc w:val="center"/>
        <w:rPr>
          <w:b/>
        </w:rPr>
      </w:pPr>
    </w:p>
    <w:p w14:paraId="714C4287" w14:textId="77777777" w:rsidR="006B1072" w:rsidRDefault="006B1072" w:rsidP="006B1072">
      <w:pPr>
        <w:ind w:left="145" w:right="423"/>
        <w:jc w:val="center"/>
        <w:rPr>
          <w:b/>
        </w:rPr>
      </w:pPr>
    </w:p>
    <w:p w14:paraId="6487636D" w14:textId="77777777" w:rsidR="006B1072" w:rsidRDefault="006B1072" w:rsidP="006B1072">
      <w:pPr>
        <w:ind w:left="145" w:right="423"/>
        <w:jc w:val="center"/>
        <w:rPr>
          <w:b/>
        </w:rPr>
      </w:pPr>
    </w:p>
    <w:p w14:paraId="0E25CE09" w14:textId="77777777" w:rsidR="006B1072" w:rsidRDefault="006B1072" w:rsidP="006B1072">
      <w:pPr>
        <w:ind w:left="145" w:right="423"/>
        <w:jc w:val="center"/>
        <w:rPr>
          <w:b/>
        </w:rPr>
      </w:pPr>
    </w:p>
    <w:p w14:paraId="3EECC73C" w14:textId="77777777" w:rsidR="006B1072" w:rsidRDefault="006B1072" w:rsidP="006B1072">
      <w:pPr>
        <w:ind w:left="145" w:right="423"/>
        <w:jc w:val="center"/>
        <w:rPr>
          <w:b/>
        </w:rPr>
      </w:pPr>
    </w:p>
    <w:p w14:paraId="6127A97F" w14:textId="77777777" w:rsidR="006B1072" w:rsidRDefault="006B1072" w:rsidP="006B1072">
      <w:pPr>
        <w:ind w:left="145" w:right="423"/>
        <w:jc w:val="center"/>
        <w:rPr>
          <w:b/>
        </w:rPr>
      </w:pPr>
    </w:p>
    <w:p w14:paraId="594388E9" w14:textId="77777777" w:rsidR="006B1072" w:rsidRDefault="006B1072" w:rsidP="006B1072">
      <w:pPr>
        <w:ind w:left="145" w:right="423"/>
        <w:jc w:val="center"/>
        <w:rPr>
          <w:b/>
        </w:rPr>
      </w:pPr>
    </w:p>
    <w:p w14:paraId="0012D3C7" w14:textId="77777777" w:rsidR="006B1072" w:rsidRDefault="006B1072" w:rsidP="006B1072">
      <w:pPr>
        <w:ind w:left="145" w:right="423"/>
        <w:jc w:val="center"/>
        <w:rPr>
          <w:b/>
        </w:rPr>
      </w:pPr>
    </w:p>
    <w:p w14:paraId="2AE0B3A1" w14:textId="77777777" w:rsidR="006B1072" w:rsidRDefault="006B1072" w:rsidP="006B1072">
      <w:pPr>
        <w:ind w:left="145" w:right="423"/>
        <w:jc w:val="center"/>
        <w:rPr>
          <w:b/>
        </w:rPr>
      </w:pPr>
    </w:p>
    <w:p w14:paraId="0E4F1B2D" w14:textId="77777777" w:rsidR="006B1072" w:rsidRDefault="006B1072" w:rsidP="006B1072">
      <w:pPr>
        <w:ind w:left="145" w:right="423"/>
        <w:jc w:val="center"/>
        <w:rPr>
          <w:b/>
        </w:rPr>
      </w:pPr>
    </w:p>
    <w:p w14:paraId="3CF163FB" w14:textId="3E324329" w:rsidR="006B1072" w:rsidRDefault="00086265" w:rsidP="006B1072">
      <w:pPr>
        <w:ind w:left="145" w:right="423"/>
        <w:jc w:val="center"/>
        <w:rPr>
          <w:szCs w:val="24"/>
          <w:lang w:val="id-ID"/>
        </w:rPr>
      </w:pPr>
      <w:r>
        <w:rPr>
          <w:b/>
        </w:rPr>
        <w:t>Tabel 3</w:t>
      </w:r>
      <w:r w:rsidRPr="006B1072">
        <w:rPr>
          <w:b/>
        </w:rPr>
        <w:t xml:space="preserve">. Hasil Uji </w:t>
      </w:r>
      <w:r w:rsidR="006B1072" w:rsidRPr="006B1072">
        <w:rPr>
          <w:b/>
          <w:szCs w:val="24"/>
          <w:lang w:val="id-ID"/>
        </w:rPr>
        <w:t>Multikolinearitas</w:t>
      </w:r>
    </w:p>
    <w:tbl>
      <w:tblPr>
        <w:tblpPr w:leftFromText="180" w:rightFromText="180" w:vertAnchor="text" w:horzAnchor="margin" w:tblpXSpec="center" w:tblpY="452"/>
        <w:tblW w:w="8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
        <w:gridCol w:w="2269"/>
        <w:gridCol w:w="709"/>
        <w:gridCol w:w="992"/>
        <w:gridCol w:w="1418"/>
        <w:gridCol w:w="709"/>
        <w:gridCol w:w="567"/>
        <w:gridCol w:w="1133"/>
        <w:gridCol w:w="854"/>
        <w:gridCol w:w="9"/>
      </w:tblGrid>
      <w:tr w:rsidR="006B1072" w:rsidRPr="005024FF" w14:paraId="09605E52" w14:textId="77777777" w:rsidTr="006B1072">
        <w:trPr>
          <w:gridAfter w:val="1"/>
          <w:wAfter w:w="9" w:type="dxa"/>
          <w:cantSplit/>
        </w:trPr>
        <w:tc>
          <w:tcPr>
            <w:tcW w:w="2552" w:type="dxa"/>
            <w:gridSpan w:val="2"/>
            <w:vMerge w:val="restart"/>
            <w:tcBorders>
              <w:top w:val="single" w:sz="16" w:space="0" w:color="000000"/>
              <w:left w:val="single" w:sz="16" w:space="0" w:color="000000"/>
              <w:bottom w:val="nil"/>
              <w:right w:val="nil"/>
            </w:tcBorders>
            <w:shd w:val="clear" w:color="auto" w:fill="FFFFFF"/>
            <w:vAlign w:val="center"/>
          </w:tcPr>
          <w:p w14:paraId="5F8ED875" w14:textId="77777777" w:rsidR="006B1072" w:rsidRPr="005024FF" w:rsidRDefault="006B1072" w:rsidP="006B1072">
            <w:pPr>
              <w:adjustRightInd w:val="0"/>
              <w:ind w:left="60" w:right="60"/>
              <w:jc w:val="center"/>
              <w:rPr>
                <w:color w:val="000000"/>
                <w:szCs w:val="24"/>
                <w:lang w:val="id-ID"/>
              </w:rPr>
            </w:pPr>
            <w:r w:rsidRPr="005024FF">
              <w:rPr>
                <w:color w:val="000000"/>
                <w:szCs w:val="24"/>
                <w:lang w:val="id-ID"/>
              </w:rPr>
              <w:t>Model</w:t>
            </w:r>
          </w:p>
        </w:tc>
        <w:tc>
          <w:tcPr>
            <w:tcW w:w="1701" w:type="dxa"/>
            <w:gridSpan w:val="2"/>
            <w:tcBorders>
              <w:top w:val="single" w:sz="16" w:space="0" w:color="000000"/>
              <w:left w:val="single" w:sz="16" w:space="0" w:color="000000"/>
            </w:tcBorders>
            <w:shd w:val="clear" w:color="auto" w:fill="FFFFFF"/>
            <w:vAlign w:val="center"/>
          </w:tcPr>
          <w:p w14:paraId="0612D9AC" w14:textId="77777777" w:rsidR="006B1072" w:rsidRPr="005024FF" w:rsidRDefault="006B1072" w:rsidP="006B1072">
            <w:pPr>
              <w:adjustRightInd w:val="0"/>
              <w:ind w:left="60" w:right="60"/>
              <w:jc w:val="center"/>
              <w:rPr>
                <w:color w:val="000000"/>
                <w:szCs w:val="24"/>
                <w:lang w:val="id-ID"/>
              </w:rPr>
            </w:pPr>
            <w:r w:rsidRPr="005024FF">
              <w:rPr>
                <w:color w:val="000000"/>
                <w:szCs w:val="24"/>
                <w:lang w:val="id-ID"/>
              </w:rPr>
              <w:t>Unstandardized Coefficients</w:t>
            </w:r>
          </w:p>
        </w:tc>
        <w:tc>
          <w:tcPr>
            <w:tcW w:w="1418" w:type="dxa"/>
            <w:tcBorders>
              <w:top w:val="single" w:sz="16" w:space="0" w:color="000000"/>
            </w:tcBorders>
            <w:shd w:val="clear" w:color="auto" w:fill="FFFFFF"/>
            <w:vAlign w:val="bottom"/>
          </w:tcPr>
          <w:p w14:paraId="1C3554CF" w14:textId="77777777" w:rsidR="006B1072" w:rsidRPr="005024FF" w:rsidRDefault="006B1072" w:rsidP="006B1072">
            <w:pPr>
              <w:adjustRightInd w:val="0"/>
              <w:ind w:left="60" w:right="60"/>
              <w:jc w:val="center"/>
              <w:rPr>
                <w:color w:val="000000"/>
                <w:szCs w:val="24"/>
                <w:lang w:val="id-ID"/>
              </w:rPr>
            </w:pPr>
            <w:r w:rsidRPr="005024FF">
              <w:rPr>
                <w:color w:val="000000"/>
                <w:szCs w:val="24"/>
                <w:lang w:val="id-ID"/>
              </w:rPr>
              <w:t>Standardized Coefficients</w:t>
            </w:r>
          </w:p>
        </w:tc>
        <w:tc>
          <w:tcPr>
            <w:tcW w:w="709" w:type="dxa"/>
            <w:vMerge w:val="restart"/>
            <w:tcBorders>
              <w:top w:val="single" w:sz="16" w:space="0" w:color="000000"/>
            </w:tcBorders>
            <w:shd w:val="clear" w:color="auto" w:fill="FFFFFF"/>
            <w:vAlign w:val="center"/>
          </w:tcPr>
          <w:p w14:paraId="45033AF4" w14:textId="77777777" w:rsidR="006B1072" w:rsidRPr="005024FF" w:rsidRDefault="006B1072" w:rsidP="006B1072">
            <w:pPr>
              <w:adjustRightInd w:val="0"/>
              <w:ind w:left="60" w:right="60"/>
              <w:jc w:val="center"/>
              <w:rPr>
                <w:color w:val="000000"/>
                <w:szCs w:val="24"/>
                <w:lang w:val="id-ID"/>
              </w:rPr>
            </w:pPr>
            <w:r w:rsidRPr="005024FF">
              <w:rPr>
                <w:color w:val="000000"/>
                <w:szCs w:val="24"/>
                <w:lang w:val="id-ID"/>
              </w:rPr>
              <w:t>t</w:t>
            </w:r>
          </w:p>
        </w:tc>
        <w:tc>
          <w:tcPr>
            <w:tcW w:w="567" w:type="dxa"/>
            <w:vMerge w:val="restart"/>
            <w:tcBorders>
              <w:top w:val="single" w:sz="16" w:space="0" w:color="000000"/>
            </w:tcBorders>
            <w:shd w:val="clear" w:color="auto" w:fill="FFFFFF"/>
            <w:vAlign w:val="center"/>
          </w:tcPr>
          <w:p w14:paraId="27F96D7F" w14:textId="77777777" w:rsidR="006B1072" w:rsidRPr="005024FF" w:rsidRDefault="006B1072" w:rsidP="006B1072">
            <w:pPr>
              <w:adjustRightInd w:val="0"/>
              <w:ind w:left="60" w:right="60"/>
              <w:jc w:val="center"/>
              <w:rPr>
                <w:color w:val="000000"/>
                <w:szCs w:val="24"/>
                <w:lang w:val="id-ID"/>
              </w:rPr>
            </w:pPr>
            <w:r w:rsidRPr="005024FF">
              <w:rPr>
                <w:color w:val="000000"/>
                <w:szCs w:val="24"/>
                <w:lang w:val="id-ID"/>
              </w:rPr>
              <w:t>Sig.</w:t>
            </w:r>
          </w:p>
        </w:tc>
        <w:tc>
          <w:tcPr>
            <w:tcW w:w="1987" w:type="dxa"/>
            <w:gridSpan w:val="2"/>
            <w:tcBorders>
              <w:top w:val="single" w:sz="16" w:space="0" w:color="000000"/>
              <w:right w:val="single" w:sz="16" w:space="0" w:color="000000"/>
            </w:tcBorders>
            <w:shd w:val="clear" w:color="auto" w:fill="FFFFFF"/>
            <w:vAlign w:val="bottom"/>
          </w:tcPr>
          <w:p w14:paraId="26EA6639" w14:textId="77777777" w:rsidR="006B1072" w:rsidRPr="005024FF" w:rsidRDefault="006B1072" w:rsidP="006B1072">
            <w:pPr>
              <w:adjustRightInd w:val="0"/>
              <w:ind w:left="60" w:right="60"/>
              <w:jc w:val="center"/>
              <w:rPr>
                <w:color w:val="000000"/>
                <w:szCs w:val="24"/>
                <w:lang w:val="id-ID"/>
              </w:rPr>
            </w:pPr>
            <w:r w:rsidRPr="005024FF">
              <w:rPr>
                <w:color w:val="000000"/>
                <w:szCs w:val="24"/>
                <w:lang w:val="id-ID"/>
              </w:rPr>
              <w:t>Collinearity Statistics</w:t>
            </w:r>
          </w:p>
        </w:tc>
      </w:tr>
      <w:tr w:rsidR="006B1072" w:rsidRPr="005024FF" w14:paraId="23B22491" w14:textId="77777777" w:rsidTr="006B1072">
        <w:trPr>
          <w:gridAfter w:val="1"/>
          <w:wAfter w:w="9" w:type="dxa"/>
          <w:cantSplit/>
        </w:trPr>
        <w:tc>
          <w:tcPr>
            <w:tcW w:w="2552" w:type="dxa"/>
            <w:gridSpan w:val="2"/>
            <w:vMerge/>
            <w:tcBorders>
              <w:top w:val="single" w:sz="16" w:space="0" w:color="000000"/>
              <w:left w:val="single" w:sz="16" w:space="0" w:color="000000"/>
              <w:bottom w:val="nil"/>
              <w:right w:val="nil"/>
            </w:tcBorders>
            <w:shd w:val="clear" w:color="auto" w:fill="FFFFFF"/>
            <w:vAlign w:val="bottom"/>
          </w:tcPr>
          <w:p w14:paraId="510F1973" w14:textId="77777777" w:rsidR="006B1072" w:rsidRPr="005024FF" w:rsidRDefault="006B1072" w:rsidP="006B1072">
            <w:pPr>
              <w:adjustRightInd w:val="0"/>
              <w:rPr>
                <w:color w:val="000000"/>
                <w:szCs w:val="24"/>
                <w:lang w:val="id-ID"/>
              </w:rPr>
            </w:pPr>
          </w:p>
        </w:tc>
        <w:tc>
          <w:tcPr>
            <w:tcW w:w="709" w:type="dxa"/>
            <w:tcBorders>
              <w:left w:val="single" w:sz="16" w:space="0" w:color="000000"/>
              <w:bottom w:val="single" w:sz="16" w:space="0" w:color="000000"/>
            </w:tcBorders>
            <w:shd w:val="clear" w:color="auto" w:fill="FFFFFF"/>
            <w:vAlign w:val="center"/>
          </w:tcPr>
          <w:p w14:paraId="4B502A51" w14:textId="77777777" w:rsidR="006B1072" w:rsidRPr="005024FF" w:rsidRDefault="006B1072" w:rsidP="006B1072">
            <w:pPr>
              <w:adjustRightInd w:val="0"/>
              <w:ind w:left="60" w:right="60"/>
              <w:jc w:val="center"/>
              <w:rPr>
                <w:color w:val="000000"/>
                <w:szCs w:val="24"/>
                <w:lang w:val="id-ID"/>
              </w:rPr>
            </w:pPr>
            <w:r w:rsidRPr="005024FF">
              <w:rPr>
                <w:color w:val="000000"/>
                <w:szCs w:val="24"/>
                <w:lang w:val="id-ID"/>
              </w:rPr>
              <w:t>B</w:t>
            </w:r>
          </w:p>
        </w:tc>
        <w:tc>
          <w:tcPr>
            <w:tcW w:w="992" w:type="dxa"/>
            <w:tcBorders>
              <w:bottom w:val="single" w:sz="16" w:space="0" w:color="000000"/>
            </w:tcBorders>
            <w:shd w:val="clear" w:color="auto" w:fill="FFFFFF"/>
            <w:vAlign w:val="bottom"/>
          </w:tcPr>
          <w:p w14:paraId="5D744196" w14:textId="77777777" w:rsidR="006B1072" w:rsidRPr="005024FF" w:rsidRDefault="006B1072" w:rsidP="006B1072">
            <w:pPr>
              <w:adjustRightInd w:val="0"/>
              <w:ind w:left="60" w:right="60"/>
              <w:jc w:val="center"/>
              <w:rPr>
                <w:color w:val="000000"/>
                <w:szCs w:val="24"/>
                <w:lang w:val="id-ID"/>
              </w:rPr>
            </w:pPr>
            <w:r w:rsidRPr="005024FF">
              <w:rPr>
                <w:color w:val="000000"/>
                <w:szCs w:val="24"/>
                <w:lang w:val="id-ID"/>
              </w:rPr>
              <w:t>Std. Error</w:t>
            </w:r>
          </w:p>
        </w:tc>
        <w:tc>
          <w:tcPr>
            <w:tcW w:w="1418" w:type="dxa"/>
            <w:tcBorders>
              <w:bottom w:val="single" w:sz="16" w:space="0" w:color="000000"/>
            </w:tcBorders>
            <w:shd w:val="clear" w:color="auto" w:fill="FFFFFF"/>
            <w:vAlign w:val="center"/>
          </w:tcPr>
          <w:p w14:paraId="5005015D" w14:textId="77777777" w:rsidR="006B1072" w:rsidRPr="005024FF" w:rsidRDefault="006B1072" w:rsidP="006B1072">
            <w:pPr>
              <w:adjustRightInd w:val="0"/>
              <w:ind w:left="60" w:right="60"/>
              <w:jc w:val="center"/>
              <w:rPr>
                <w:color w:val="000000"/>
                <w:szCs w:val="24"/>
                <w:lang w:val="id-ID"/>
              </w:rPr>
            </w:pPr>
            <w:r w:rsidRPr="005024FF">
              <w:rPr>
                <w:color w:val="000000"/>
                <w:szCs w:val="24"/>
                <w:lang w:val="id-ID"/>
              </w:rPr>
              <w:t>Beta</w:t>
            </w:r>
          </w:p>
        </w:tc>
        <w:tc>
          <w:tcPr>
            <w:tcW w:w="709" w:type="dxa"/>
            <w:vMerge/>
            <w:tcBorders>
              <w:top w:val="single" w:sz="16" w:space="0" w:color="000000"/>
            </w:tcBorders>
            <w:shd w:val="clear" w:color="auto" w:fill="FFFFFF"/>
            <w:vAlign w:val="bottom"/>
          </w:tcPr>
          <w:p w14:paraId="6B123FDF" w14:textId="77777777" w:rsidR="006B1072" w:rsidRPr="005024FF" w:rsidRDefault="006B1072" w:rsidP="006B1072">
            <w:pPr>
              <w:adjustRightInd w:val="0"/>
              <w:rPr>
                <w:color w:val="000000"/>
                <w:szCs w:val="24"/>
                <w:lang w:val="id-ID"/>
              </w:rPr>
            </w:pPr>
          </w:p>
        </w:tc>
        <w:tc>
          <w:tcPr>
            <w:tcW w:w="567" w:type="dxa"/>
            <w:vMerge/>
            <w:tcBorders>
              <w:top w:val="single" w:sz="16" w:space="0" w:color="000000"/>
            </w:tcBorders>
            <w:shd w:val="clear" w:color="auto" w:fill="FFFFFF"/>
            <w:vAlign w:val="bottom"/>
          </w:tcPr>
          <w:p w14:paraId="36294E37" w14:textId="77777777" w:rsidR="006B1072" w:rsidRPr="005024FF" w:rsidRDefault="006B1072" w:rsidP="006B1072">
            <w:pPr>
              <w:adjustRightInd w:val="0"/>
              <w:rPr>
                <w:color w:val="000000"/>
                <w:szCs w:val="24"/>
                <w:lang w:val="id-ID"/>
              </w:rPr>
            </w:pPr>
          </w:p>
        </w:tc>
        <w:tc>
          <w:tcPr>
            <w:tcW w:w="1133" w:type="dxa"/>
            <w:tcBorders>
              <w:bottom w:val="single" w:sz="16" w:space="0" w:color="000000"/>
            </w:tcBorders>
            <w:shd w:val="clear" w:color="auto" w:fill="FFFFFF"/>
            <w:vAlign w:val="center"/>
          </w:tcPr>
          <w:p w14:paraId="69AA65BA" w14:textId="77777777" w:rsidR="006B1072" w:rsidRPr="005024FF" w:rsidRDefault="006B1072" w:rsidP="006B1072">
            <w:pPr>
              <w:adjustRightInd w:val="0"/>
              <w:ind w:left="60" w:right="60"/>
              <w:jc w:val="center"/>
              <w:rPr>
                <w:color w:val="000000"/>
                <w:szCs w:val="24"/>
                <w:lang w:val="id-ID"/>
              </w:rPr>
            </w:pPr>
            <w:r w:rsidRPr="005024FF">
              <w:rPr>
                <w:color w:val="000000"/>
                <w:szCs w:val="24"/>
                <w:lang w:val="id-ID"/>
              </w:rPr>
              <w:t>Tolerance</w:t>
            </w:r>
          </w:p>
        </w:tc>
        <w:tc>
          <w:tcPr>
            <w:tcW w:w="854" w:type="dxa"/>
            <w:tcBorders>
              <w:bottom w:val="single" w:sz="16" w:space="0" w:color="000000"/>
              <w:right w:val="single" w:sz="16" w:space="0" w:color="000000"/>
            </w:tcBorders>
            <w:shd w:val="clear" w:color="auto" w:fill="FFFFFF"/>
            <w:vAlign w:val="center"/>
          </w:tcPr>
          <w:p w14:paraId="490D70EE" w14:textId="77777777" w:rsidR="006B1072" w:rsidRPr="005024FF" w:rsidRDefault="006B1072" w:rsidP="006B1072">
            <w:pPr>
              <w:adjustRightInd w:val="0"/>
              <w:ind w:left="60" w:right="60"/>
              <w:jc w:val="center"/>
              <w:rPr>
                <w:color w:val="000000"/>
                <w:szCs w:val="24"/>
                <w:lang w:val="id-ID"/>
              </w:rPr>
            </w:pPr>
            <w:r w:rsidRPr="005024FF">
              <w:rPr>
                <w:color w:val="000000"/>
                <w:szCs w:val="24"/>
                <w:lang w:val="id-ID"/>
              </w:rPr>
              <w:t>VIF</w:t>
            </w:r>
          </w:p>
        </w:tc>
      </w:tr>
      <w:tr w:rsidR="006B1072" w:rsidRPr="005024FF" w14:paraId="1FB05161" w14:textId="77777777" w:rsidTr="006B1072">
        <w:trPr>
          <w:gridAfter w:val="1"/>
          <w:wAfter w:w="9" w:type="dxa"/>
          <w:cantSplit/>
        </w:trPr>
        <w:tc>
          <w:tcPr>
            <w:tcW w:w="283" w:type="dxa"/>
            <w:vMerge w:val="restart"/>
            <w:tcBorders>
              <w:top w:val="single" w:sz="16" w:space="0" w:color="000000"/>
              <w:left w:val="single" w:sz="16" w:space="0" w:color="000000"/>
              <w:bottom w:val="single" w:sz="16" w:space="0" w:color="000000"/>
              <w:right w:val="nil"/>
            </w:tcBorders>
            <w:shd w:val="clear" w:color="auto" w:fill="FFFFFF"/>
            <w:vAlign w:val="center"/>
          </w:tcPr>
          <w:p w14:paraId="04319ACF" w14:textId="77777777" w:rsidR="006B1072" w:rsidRPr="005024FF" w:rsidRDefault="006B1072" w:rsidP="006B1072">
            <w:pPr>
              <w:adjustRightInd w:val="0"/>
              <w:ind w:left="60" w:right="60"/>
              <w:jc w:val="center"/>
              <w:rPr>
                <w:color w:val="000000"/>
                <w:szCs w:val="24"/>
                <w:lang w:val="id-ID"/>
              </w:rPr>
            </w:pPr>
            <w:r w:rsidRPr="005024FF">
              <w:rPr>
                <w:color w:val="000000"/>
                <w:szCs w:val="24"/>
                <w:lang w:val="id-ID"/>
              </w:rPr>
              <w:t>1</w:t>
            </w:r>
          </w:p>
        </w:tc>
        <w:tc>
          <w:tcPr>
            <w:tcW w:w="2269" w:type="dxa"/>
            <w:tcBorders>
              <w:top w:val="single" w:sz="16" w:space="0" w:color="000000"/>
              <w:left w:val="nil"/>
              <w:bottom w:val="nil"/>
              <w:right w:val="single" w:sz="16" w:space="0" w:color="000000"/>
            </w:tcBorders>
            <w:shd w:val="clear" w:color="auto" w:fill="FFFFFF"/>
          </w:tcPr>
          <w:p w14:paraId="7E0C994A" w14:textId="77777777" w:rsidR="006B1072" w:rsidRPr="005024FF" w:rsidRDefault="006B1072" w:rsidP="006B1072">
            <w:pPr>
              <w:adjustRightInd w:val="0"/>
              <w:ind w:left="60" w:right="60"/>
              <w:rPr>
                <w:color w:val="000000"/>
                <w:szCs w:val="24"/>
                <w:lang w:val="id-ID"/>
              </w:rPr>
            </w:pPr>
            <w:r w:rsidRPr="005024FF">
              <w:rPr>
                <w:color w:val="000000"/>
                <w:szCs w:val="24"/>
                <w:lang w:val="id-ID"/>
              </w:rPr>
              <w:t>(Constant)</w:t>
            </w:r>
          </w:p>
        </w:tc>
        <w:tc>
          <w:tcPr>
            <w:tcW w:w="709" w:type="dxa"/>
            <w:tcBorders>
              <w:top w:val="single" w:sz="16" w:space="0" w:color="000000"/>
              <w:left w:val="single" w:sz="16" w:space="0" w:color="000000"/>
              <w:bottom w:val="nil"/>
            </w:tcBorders>
            <w:shd w:val="clear" w:color="auto" w:fill="FFFFFF"/>
            <w:vAlign w:val="center"/>
          </w:tcPr>
          <w:p w14:paraId="44619E86"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.131</w:t>
            </w:r>
          </w:p>
        </w:tc>
        <w:tc>
          <w:tcPr>
            <w:tcW w:w="992" w:type="dxa"/>
            <w:tcBorders>
              <w:top w:val="single" w:sz="16" w:space="0" w:color="000000"/>
              <w:bottom w:val="nil"/>
            </w:tcBorders>
            <w:shd w:val="clear" w:color="auto" w:fill="FFFFFF"/>
            <w:vAlign w:val="center"/>
          </w:tcPr>
          <w:p w14:paraId="700B5138"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.194</w:t>
            </w:r>
          </w:p>
        </w:tc>
        <w:tc>
          <w:tcPr>
            <w:tcW w:w="1418" w:type="dxa"/>
            <w:tcBorders>
              <w:top w:val="single" w:sz="16" w:space="0" w:color="000000"/>
              <w:bottom w:val="nil"/>
            </w:tcBorders>
            <w:shd w:val="clear" w:color="auto" w:fill="FFFFFF"/>
            <w:vAlign w:val="center"/>
          </w:tcPr>
          <w:p w14:paraId="7D37C9AD" w14:textId="77777777" w:rsidR="006B1072" w:rsidRPr="000D19D2" w:rsidRDefault="006B1072" w:rsidP="006B1072">
            <w:pPr>
              <w:adjustRightInd w:val="0"/>
              <w:rPr>
                <w:szCs w:val="24"/>
                <w:lang w:val="id-ID"/>
              </w:rPr>
            </w:pPr>
          </w:p>
        </w:tc>
        <w:tc>
          <w:tcPr>
            <w:tcW w:w="709" w:type="dxa"/>
            <w:tcBorders>
              <w:top w:val="single" w:sz="16" w:space="0" w:color="000000"/>
              <w:bottom w:val="nil"/>
            </w:tcBorders>
            <w:shd w:val="clear" w:color="auto" w:fill="FFFFFF"/>
            <w:vAlign w:val="center"/>
          </w:tcPr>
          <w:p w14:paraId="6040E742"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.677</w:t>
            </w:r>
          </w:p>
        </w:tc>
        <w:tc>
          <w:tcPr>
            <w:tcW w:w="567" w:type="dxa"/>
            <w:tcBorders>
              <w:top w:val="single" w:sz="16" w:space="0" w:color="000000"/>
              <w:bottom w:val="nil"/>
            </w:tcBorders>
            <w:shd w:val="clear" w:color="auto" w:fill="FFFFFF"/>
            <w:vAlign w:val="center"/>
          </w:tcPr>
          <w:p w14:paraId="34F4C118"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.502</w:t>
            </w:r>
          </w:p>
        </w:tc>
        <w:tc>
          <w:tcPr>
            <w:tcW w:w="1133" w:type="dxa"/>
            <w:tcBorders>
              <w:top w:val="single" w:sz="16" w:space="0" w:color="000000"/>
              <w:bottom w:val="nil"/>
            </w:tcBorders>
            <w:shd w:val="clear" w:color="auto" w:fill="FFFFFF"/>
            <w:vAlign w:val="center"/>
          </w:tcPr>
          <w:p w14:paraId="2CA081B3" w14:textId="77777777" w:rsidR="006B1072" w:rsidRPr="000D19D2" w:rsidRDefault="006B1072" w:rsidP="006B1072">
            <w:pPr>
              <w:adjustRightInd w:val="0"/>
              <w:rPr>
                <w:szCs w:val="24"/>
                <w:lang w:val="id-ID"/>
              </w:rPr>
            </w:pPr>
          </w:p>
        </w:tc>
        <w:tc>
          <w:tcPr>
            <w:tcW w:w="854" w:type="dxa"/>
            <w:tcBorders>
              <w:top w:val="single" w:sz="16" w:space="0" w:color="000000"/>
              <w:bottom w:val="nil"/>
              <w:right w:val="single" w:sz="16" w:space="0" w:color="000000"/>
            </w:tcBorders>
            <w:shd w:val="clear" w:color="auto" w:fill="FFFFFF"/>
            <w:vAlign w:val="center"/>
          </w:tcPr>
          <w:p w14:paraId="249C6A8C" w14:textId="77777777" w:rsidR="006B1072" w:rsidRPr="000D19D2" w:rsidRDefault="006B1072" w:rsidP="006B1072">
            <w:pPr>
              <w:adjustRightInd w:val="0"/>
              <w:rPr>
                <w:szCs w:val="24"/>
                <w:lang w:val="id-ID"/>
              </w:rPr>
            </w:pPr>
          </w:p>
        </w:tc>
      </w:tr>
      <w:tr w:rsidR="006B1072" w:rsidRPr="005024FF" w14:paraId="2197E243" w14:textId="77777777" w:rsidTr="006B1072">
        <w:trPr>
          <w:gridAfter w:val="1"/>
          <w:wAfter w:w="9" w:type="dxa"/>
          <w:cantSplit/>
        </w:trPr>
        <w:tc>
          <w:tcPr>
            <w:tcW w:w="283" w:type="dxa"/>
            <w:vMerge/>
            <w:tcBorders>
              <w:top w:val="single" w:sz="16" w:space="0" w:color="000000"/>
              <w:left w:val="single" w:sz="16" w:space="0" w:color="000000"/>
              <w:bottom w:val="single" w:sz="16" w:space="0" w:color="000000"/>
              <w:right w:val="nil"/>
            </w:tcBorders>
            <w:shd w:val="clear" w:color="auto" w:fill="FFFFFF"/>
          </w:tcPr>
          <w:p w14:paraId="4A2ECBE2" w14:textId="77777777" w:rsidR="006B1072" w:rsidRPr="005024FF" w:rsidRDefault="006B1072" w:rsidP="006B1072">
            <w:pPr>
              <w:adjustRightInd w:val="0"/>
              <w:rPr>
                <w:szCs w:val="24"/>
                <w:lang w:val="id-ID"/>
              </w:rPr>
            </w:pPr>
          </w:p>
        </w:tc>
        <w:tc>
          <w:tcPr>
            <w:tcW w:w="2269" w:type="dxa"/>
            <w:tcBorders>
              <w:top w:val="nil"/>
              <w:left w:val="nil"/>
              <w:bottom w:val="nil"/>
              <w:right w:val="single" w:sz="16" w:space="0" w:color="000000"/>
            </w:tcBorders>
            <w:shd w:val="clear" w:color="auto" w:fill="FFFFFF"/>
          </w:tcPr>
          <w:p w14:paraId="0050682F" w14:textId="77777777" w:rsidR="006B1072" w:rsidRPr="005024FF" w:rsidRDefault="006B1072" w:rsidP="006B1072">
            <w:pPr>
              <w:adjustRightInd w:val="0"/>
              <w:ind w:left="60" w:right="60"/>
              <w:rPr>
                <w:color w:val="000000"/>
                <w:szCs w:val="24"/>
                <w:lang w:val="id-ID"/>
              </w:rPr>
            </w:pPr>
            <w:r>
              <w:rPr>
                <w:color w:val="000000"/>
                <w:szCs w:val="24"/>
                <w:lang w:val="id-ID"/>
              </w:rPr>
              <w:t xml:space="preserve">Proporsi </w:t>
            </w:r>
            <w:r w:rsidRPr="005024FF">
              <w:rPr>
                <w:color w:val="000000"/>
                <w:szCs w:val="24"/>
                <w:lang w:val="id-ID"/>
              </w:rPr>
              <w:t>Komisaris Independen</w:t>
            </w:r>
          </w:p>
        </w:tc>
        <w:tc>
          <w:tcPr>
            <w:tcW w:w="709" w:type="dxa"/>
            <w:tcBorders>
              <w:top w:val="nil"/>
              <w:left w:val="single" w:sz="16" w:space="0" w:color="000000"/>
              <w:bottom w:val="nil"/>
            </w:tcBorders>
            <w:shd w:val="clear" w:color="auto" w:fill="FFFFFF"/>
            <w:vAlign w:val="center"/>
          </w:tcPr>
          <w:p w14:paraId="27B986B4"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-.066</w:t>
            </w:r>
          </w:p>
        </w:tc>
        <w:tc>
          <w:tcPr>
            <w:tcW w:w="992" w:type="dxa"/>
            <w:tcBorders>
              <w:top w:val="nil"/>
              <w:bottom w:val="nil"/>
            </w:tcBorders>
            <w:shd w:val="clear" w:color="auto" w:fill="FFFFFF"/>
            <w:vAlign w:val="center"/>
          </w:tcPr>
          <w:p w14:paraId="137160A4"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.281</w:t>
            </w:r>
          </w:p>
        </w:tc>
        <w:tc>
          <w:tcPr>
            <w:tcW w:w="1418" w:type="dxa"/>
            <w:tcBorders>
              <w:top w:val="nil"/>
              <w:bottom w:val="nil"/>
            </w:tcBorders>
            <w:shd w:val="clear" w:color="auto" w:fill="FFFFFF"/>
            <w:vAlign w:val="center"/>
          </w:tcPr>
          <w:p w14:paraId="7F952CBF"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-.032</w:t>
            </w:r>
          </w:p>
        </w:tc>
        <w:tc>
          <w:tcPr>
            <w:tcW w:w="709" w:type="dxa"/>
            <w:tcBorders>
              <w:top w:val="nil"/>
              <w:bottom w:val="nil"/>
            </w:tcBorders>
            <w:shd w:val="clear" w:color="auto" w:fill="FFFFFF"/>
            <w:vAlign w:val="center"/>
          </w:tcPr>
          <w:p w14:paraId="18E28BEF"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-.236</w:t>
            </w:r>
          </w:p>
        </w:tc>
        <w:tc>
          <w:tcPr>
            <w:tcW w:w="567" w:type="dxa"/>
            <w:tcBorders>
              <w:top w:val="nil"/>
              <w:bottom w:val="nil"/>
            </w:tcBorders>
            <w:shd w:val="clear" w:color="auto" w:fill="FFFFFF"/>
            <w:vAlign w:val="center"/>
          </w:tcPr>
          <w:p w14:paraId="461EFCB5"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.815</w:t>
            </w:r>
          </w:p>
        </w:tc>
        <w:tc>
          <w:tcPr>
            <w:tcW w:w="1133" w:type="dxa"/>
            <w:tcBorders>
              <w:top w:val="nil"/>
              <w:bottom w:val="nil"/>
            </w:tcBorders>
            <w:shd w:val="clear" w:color="auto" w:fill="FFFFFF"/>
            <w:vAlign w:val="center"/>
          </w:tcPr>
          <w:p w14:paraId="2DD17E07"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.966</w:t>
            </w:r>
          </w:p>
        </w:tc>
        <w:tc>
          <w:tcPr>
            <w:tcW w:w="854" w:type="dxa"/>
            <w:tcBorders>
              <w:top w:val="nil"/>
              <w:bottom w:val="nil"/>
              <w:right w:val="single" w:sz="16" w:space="0" w:color="000000"/>
            </w:tcBorders>
            <w:shd w:val="clear" w:color="auto" w:fill="FFFFFF"/>
            <w:vAlign w:val="center"/>
          </w:tcPr>
          <w:p w14:paraId="58DC96F4"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1.035</w:t>
            </w:r>
          </w:p>
        </w:tc>
      </w:tr>
      <w:tr w:rsidR="006B1072" w:rsidRPr="005024FF" w14:paraId="597B8DD6" w14:textId="77777777" w:rsidTr="006B1072">
        <w:trPr>
          <w:gridAfter w:val="1"/>
          <w:wAfter w:w="9" w:type="dxa"/>
          <w:cantSplit/>
        </w:trPr>
        <w:tc>
          <w:tcPr>
            <w:tcW w:w="283" w:type="dxa"/>
            <w:vMerge/>
            <w:tcBorders>
              <w:top w:val="single" w:sz="16" w:space="0" w:color="000000"/>
              <w:left w:val="single" w:sz="16" w:space="0" w:color="000000"/>
              <w:bottom w:val="single" w:sz="16" w:space="0" w:color="000000"/>
              <w:right w:val="nil"/>
            </w:tcBorders>
            <w:shd w:val="clear" w:color="auto" w:fill="FFFFFF"/>
          </w:tcPr>
          <w:p w14:paraId="5ACFF317" w14:textId="77777777" w:rsidR="006B1072" w:rsidRPr="005024FF" w:rsidRDefault="006B1072" w:rsidP="006B1072">
            <w:pPr>
              <w:adjustRightInd w:val="0"/>
              <w:rPr>
                <w:color w:val="000000"/>
                <w:szCs w:val="24"/>
                <w:lang w:val="id-ID"/>
              </w:rPr>
            </w:pPr>
          </w:p>
        </w:tc>
        <w:tc>
          <w:tcPr>
            <w:tcW w:w="2269" w:type="dxa"/>
            <w:tcBorders>
              <w:top w:val="nil"/>
              <w:left w:val="nil"/>
              <w:bottom w:val="nil"/>
              <w:right w:val="single" w:sz="16" w:space="0" w:color="000000"/>
            </w:tcBorders>
            <w:shd w:val="clear" w:color="auto" w:fill="FFFFFF"/>
          </w:tcPr>
          <w:p w14:paraId="76AD8F85" w14:textId="77777777" w:rsidR="006B1072" w:rsidRPr="005024FF" w:rsidRDefault="006B1072" w:rsidP="006B1072">
            <w:pPr>
              <w:adjustRightInd w:val="0"/>
              <w:ind w:left="60" w:right="60"/>
              <w:rPr>
                <w:color w:val="000000"/>
                <w:szCs w:val="24"/>
                <w:lang w:val="id-ID"/>
              </w:rPr>
            </w:pPr>
            <w:r w:rsidRPr="005024FF">
              <w:rPr>
                <w:color w:val="000000"/>
                <w:szCs w:val="24"/>
                <w:lang w:val="id-ID"/>
              </w:rPr>
              <w:t xml:space="preserve">Ukuran </w:t>
            </w:r>
            <w:r>
              <w:rPr>
                <w:color w:val="000000"/>
                <w:szCs w:val="24"/>
                <w:lang w:val="id-ID"/>
              </w:rPr>
              <w:t>Dewan Komisaris</w:t>
            </w:r>
          </w:p>
        </w:tc>
        <w:tc>
          <w:tcPr>
            <w:tcW w:w="709" w:type="dxa"/>
            <w:tcBorders>
              <w:top w:val="nil"/>
              <w:left w:val="single" w:sz="16" w:space="0" w:color="000000"/>
              <w:bottom w:val="nil"/>
            </w:tcBorders>
            <w:shd w:val="clear" w:color="auto" w:fill="FFFFFF"/>
            <w:vAlign w:val="center"/>
          </w:tcPr>
          <w:p w14:paraId="7B67DD2B"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-.027</w:t>
            </w:r>
          </w:p>
        </w:tc>
        <w:tc>
          <w:tcPr>
            <w:tcW w:w="992" w:type="dxa"/>
            <w:tcBorders>
              <w:top w:val="nil"/>
              <w:bottom w:val="nil"/>
            </w:tcBorders>
            <w:shd w:val="clear" w:color="auto" w:fill="FFFFFF"/>
            <w:vAlign w:val="center"/>
          </w:tcPr>
          <w:p w14:paraId="5A9CC490"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.031</w:t>
            </w:r>
          </w:p>
        </w:tc>
        <w:tc>
          <w:tcPr>
            <w:tcW w:w="1418" w:type="dxa"/>
            <w:tcBorders>
              <w:top w:val="nil"/>
              <w:bottom w:val="nil"/>
            </w:tcBorders>
            <w:shd w:val="clear" w:color="auto" w:fill="FFFFFF"/>
            <w:vAlign w:val="center"/>
          </w:tcPr>
          <w:p w14:paraId="4B2DB196"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-.172</w:t>
            </w:r>
          </w:p>
        </w:tc>
        <w:tc>
          <w:tcPr>
            <w:tcW w:w="709" w:type="dxa"/>
            <w:tcBorders>
              <w:top w:val="nil"/>
              <w:bottom w:val="nil"/>
            </w:tcBorders>
            <w:shd w:val="clear" w:color="auto" w:fill="FFFFFF"/>
            <w:vAlign w:val="center"/>
          </w:tcPr>
          <w:p w14:paraId="3302A933"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-.861</w:t>
            </w:r>
          </w:p>
        </w:tc>
        <w:tc>
          <w:tcPr>
            <w:tcW w:w="567" w:type="dxa"/>
            <w:tcBorders>
              <w:top w:val="nil"/>
              <w:bottom w:val="nil"/>
            </w:tcBorders>
            <w:shd w:val="clear" w:color="auto" w:fill="FFFFFF"/>
            <w:vAlign w:val="center"/>
          </w:tcPr>
          <w:p w14:paraId="0821DDFA"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.395</w:t>
            </w:r>
          </w:p>
        </w:tc>
        <w:tc>
          <w:tcPr>
            <w:tcW w:w="1133" w:type="dxa"/>
            <w:tcBorders>
              <w:top w:val="nil"/>
              <w:bottom w:val="nil"/>
            </w:tcBorders>
            <w:shd w:val="clear" w:color="auto" w:fill="FFFFFF"/>
            <w:vAlign w:val="center"/>
          </w:tcPr>
          <w:p w14:paraId="164D6822"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.446</w:t>
            </w:r>
          </w:p>
        </w:tc>
        <w:tc>
          <w:tcPr>
            <w:tcW w:w="854" w:type="dxa"/>
            <w:tcBorders>
              <w:top w:val="nil"/>
              <w:bottom w:val="nil"/>
              <w:right w:val="single" w:sz="16" w:space="0" w:color="000000"/>
            </w:tcBorders>
            <w:shd w:val="clear" w:color="auto" w:fill="FFFFFF"/>
            <w:vAlign w:val="center"/>
          </w:tcPr>
          <w:p w14:paraId="32A0AF8D"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2.244</w:t>
            </w:r>
          </w:p>
        </w:tc>
      </w:tr>
      <w:tr w:rsidR="006B1072" w:rsidRPr="005024FF" w14:paraId="3075781E" w14:textId="77777777" w:rsidTr="006B1072">
        <w:trPr>
          <w:gridAfter w:val="1"/>
          <w:wAfter w:w="9" w:type="dxa"/>
          <w:cantSplit/>
        </w:trPr>
        <w:tc>
          <w:tcPr>
            <w:tcW w:w="283" w:type="dxa"/>
            <w:vMerge/>
            <w:tcBorders>
              <w:top w:val="single" w:sz="16" w:space="0" w:color="000000"/>
              <w:left w:val="single" w:sz="16" w:space="0" w:color="000000"/>
              <w:bottom w:val="single" w:sz="16" w:space="0" w:color="000000"/>
              <w:right w:val="nil"/>
            </w:tcBorders>
            <w:shd w:val="clear" w:color="auto" w:fill="FFFFFF"/>
          </w:tcPr>
          <w:p w14:paraId="73FD2DDF" w14:textId="77777777" w:rsidR="006B1072" w:rsidRPr="005024FF" w:rsidRDefault="006B1072" w:rsidP="006B1072">
            <w:pPr>
              <w:adjustRightInd w:val="0"/>
              <w:rPr>
                <w:color w:val="000000"/>
                <w:szCs w:val="24"/>
                <w:lang w:val="id-ID"/>
              </w:rPr>
            </w:pPr>
          </w:p>
        </w:tc>
        <w:tc>
          <w:tcPr>
            <w:tcW w:w="2269" w:type="dxa"/>
            <w:tcBorders>
              <w:top w:val="nil"/>
              <w:left w:val="nil"/>
              <w:bottom w:val="nil"/>
              <w:right w:val="single" w:sz="16" w:space="0" w:color="000000"/>
            </w:tcBorders>
            <w:shd w:val="clear" w:color="auto" w:fill="FFFFFF"/>
          </w:tcPr>
          <w:p w14:paraId="52D5A9C3" w14:textId="77777777" w:rsidR="006B1072" w:rsidRPr="005024FF" w:rsidRDefault="006B1072" w:rsidP="006B1072">
            <w:pPr>
              <w:adjustRightInd w:val="0"/>
              <w:ind w:left="60" w:right="60"/>
              <w:rPr>
                <w:color w:val="000000"/>
                <w:szCs w:val="24"/>
                <w:lang w:val="id-ID"/>
              </w:rPr>
            </w:pPr>
            <w:r w:rsidRPr="005024FF">
              <w:rPr>
                <w:color w:val="000000"/>
                <w:szCs w:val="24"/>
                <w:lang w:val="id-ID"/>
              </w:rPr>
              <w:t xml:space="preserve">Ukuran </w:t>
            </w:r>
            <w:r>
              <w:rPr>
                <w:color w:val="000000"/>
                <w:szCs w:val="24"/>
                <w:lang w:val="id-ID"/>
              </w:rPr>
              <w:t>Komite Audit</w:t>
            </w:r>
          </w:p>
        </w:tc>
        <w:tc>
          <w:tcPr>
            <w:tcW w:w="709" w:type="dxa"/>
            <w:tcBorders>
              <w:top w:val="nil"/>
              <w:left w:val="single" w:sz="16" w:space="0" w:color="000000"/>
              <w:bottom w:val="nil"/>
            </w:tcBorders>
            <w:shd w:val="clear" w:color="auto" w:fill="FFFFFF"/>
            <w:vAlign w:val="center"/>
          </w:tcPr>
          <w:p w14:paraId="69DE9174" w14:textId="77777777" w:rsidR="006B1072" w:rsidRPr="000D19D2" w:rsidRDefault="006B1072" w:rsidP="006B1072">
            <w:pPr>
              <w:adjustRightInd w:val="0"/>
              <w:ind w:left="60" w:right="60"/>
              <w:jc w:val="right"/>
              <w:rPr>
                <w:color w:val="000000"/>
                <w:szCs w:val="24"/>
                <w:lang w:val="id-ID"/>
              </w:rPr>
            </w:pPr>
            <w:r>
              <w:rPr>
                <w:color w:val="000000"/>
                <w:szCs w:val="24"/>
                <w:lang w:val="id-ID"/>
              </w:rPr>
              <w:t>.165</w:t>
            </w:r>
          </w:p>
        </w:tc>
        <w:tc>
          <w:tcPr>
            <w:tcW w:w="992" w:type="dxa"/>
            <w:tcBorders>
              <w:top w:val="nil"/>
              <w:bottom w:val="nil"/>
            </w:tcBorders>
            <w:shd w:val="clear" w:color="auto" w:fill="FFFFFF"/>
            <w:vAlign w:val="center"/>
          </w:tcPr>
          <w:p w14:paraId="1A7EF366" w14:textId="77777777" w:rsidR="006B1072" w:rsidRPr="000D19D2" w:rsidRDefault="006B1072" w:rsidP="006B1072">
            <w:pPr>
              <w:adjustRightInd w:val="0"/>
              <w:ind w:left="60" w:right="60"/>
              <w:jc w:val="right"/>
              <w:rPr>
                <w:color w:val="000000"/>
                <w:szCs w:val="24"/>
                <w:lang w:val="id-ID"/>
              </w:rPr>
            </w:pPr>
            <w:r>
              <w:rPr>
                <w:color w:val="000000"/>
                <w:szCs w:val="24"/>
                <w:lang w:val="id-ID"/>
              </w:rPr>
              <w:t>.045</w:t>
            </w:r>
          </w:p>
        </w:tc>
        <w:tc>
          <w:tcPr>
            <w:tcW w:w="1418" w:type="dxa"/>
            <w:tcBorders>
              <w:top w:val="nil"/>
              <w:bottom w:val="nil"/>
            </w:tcBorders>
            <w:shd w:val="clear" w:color="auto" w:fill="FFFFFF"/>
            <w:vAlign w:val="center"/>
          </w:tcPr>
          <w:p w14:paraId="134C44E2" w14:textId="77777777" w:rsidR="006B1072" w:rsidRPr="000D19D2" w:rsidRDefault="006B1072" w:rsidP="006B1072">
            <w:pPr>
              <w:adjustRightInd w:val="0"/>
              <w:ind w:left="60" w:right="60"/>
              <w:jc w:val="right"/>
              <w:rPr>
                <w:color w:val="000000"/>
                <w:szCs w:val="24"/>
                <w:lang w:val="id-ID"/>
              </w:rPr>
            </w:pPr>
            <w:r>
              <w:rPr>
                <w:color w:val="000000"/>
                <w:szCs w:val="24"/>
                <w:lang w:val="id-ID"/>
              </w:rPr>
              <w:t>.586</w:t>
            </w:r>
          </w:p>
        </w:tc>
        <w:tc>
          <w:tcPr>
            <w:tcW w:w="709" w:type="dxa"/>
            <w:tcBorders>
              <w:top w:val="nil"/>
              <w:bottom w:val="nil"/>
            </w:tcBorders>
            <w:shd w:val="clear" w:color="auto" w:fill="FFFFFF"/>
            <w:vAlign w:val="center"/>
          </w:tcPr>
          <w:p w14:paraId="6FFB47BF" w14:textId="77777777" w:rsidR="006B1072" w:rsidRPr="000D19D2" w:rsidRDefault="006B1072" w:rsidP="006B1072">
            <w:pPr>
              <w:adjustRightInd w:val="0"/>
              <w:ind w:left="60" w:right="60"/>
              <w:jc w:val="right"/>
              <w:rPr>
                <w:color w:val="000000"/>
                <w:szCs w:val="24"/>
                <w:lang w:val="id-ID"/>
              </w:rPr>
            </w:pPr>
            <w:r>
              <w:rPr>
                <w:color w:val="000000"/>
                <w:szCs w:val="24"/>
                <w:lang w:val="id-ID"/>
              </w:rPr>
              <w:t>3.693</w:t>
            </w:r>
          </w:p>
        </w:tc>
        <w:tc>
          <w:tcPr>
            <w:tcW w:w="567" w:type="dxa"/>
            <w:tcBorders>
              <w:top w:val="nil"/>
              <w:bottom w:val="nil"/>
            </w:tcBorders>
            <w:shd w:val="clear" w:color="auto" w:fill="FFFFFF"/>
            <w:vAlign w:val="center"/>
          </w:tcPr>
          <w:p w14:paraId="15FC6CB1" w14:textId="77777777" w:rsidR="006B1072" w:rsidRPr="000D19D2" w:rsidRDefault="006B1072" w:rsidP="006B1072">
            <w:pPr>
              <w:adjustRightInd w:val="0"/>
              <w:ind w:left="60" w:right="60"/>
              <w:jc w:val="right"/>
              <w:rPr>
                <w:color w:val="000000"/>
                <w:szCs w:val="24"/>
                <w:lang w:val="id-ID"/>
              </w:rPr>
            </w:pPr>
            <w:r>
              <w:rPr>
                <w:color w:val="000000"/>
                <w:szCs w:val="24"/>
                <w:lang w:val="id-ID"/>
              </w:rPr>
              <w:t>.001</w:t>
            </w:r>
          </w:p>
        </w:tc>
        <w:tc>
          <w:tcPr>
            <w:tcW w:w="1133" w:type="dxa"/>
            <w:tcBorders>
              <w:top w:val="nil"/>
              <w:bottom w:val="nil"/>
            </w:tcBorders>
            <w:shd w:val="clear" w:color="auto" w:fill="FFFFFF"/>
            <w:vAlign w:val="center"/>
          </w:tcPr>
          <w:p w14:paraId="0FE270FC"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w:t>
            </w:r>
            <w:r>
              <w:rPr>
                <w:color w:val="000000"/>
                <w:szCs w:val="24"/>
                <w:lang w:val="id-ID"/>
              </w:rPr>
              <w:t>711</w:t>
            </w:r>
          </w:p>
        </w:tc>
        <w:tc>
          <w:tcPr>
            <w:tcW w:w="854" w:type="dxa"/>
            <w:tcBorders>
              <w:top w:val="nil"/>
              <w:bottom w:val="nil"/>
              <w:right w:val="single" w:sz="16" w:space="0" w:color="000000"/>
            </w:tcBorders>
            <w:shd w:val="clear" w:color="auto" w:fill="FFFFFF"/>
            <w:vAlign w:val="center"/>
          </w:tcPr>
          <w:p w14:paraId="7D152D3D" w14:textId="77777777" w:rsidR="006B1072" w:rsidRPr="000D19D2" w:rsidRDefault="006B1072" w:rsidP="006B1072">
            <w:pPr>
              <w:adjustRightInd w:val="0"/>
              <w:ind w:left="60" w:right="60"/>
              <w:jc w:val="right"/>
              <w:rPr>
                <w:color w:val="000000"/>
                <w:szCs w:val="24"/>
                <w:lang w:val="id-ID"/>
              </w:rPr>
            </w:pPr>
            <w:r>
              <w:rPr>
                <w:color w:val="000000"/>
                <w:szCs w:val="24"/>
                <w:lang w:val="id-ID"/>
              </w:rPr>
              <w:t>1.406</w:t>
            </w:r>
          </w:p>
        </w:tc>
      </w:tr>
      <w:tr w:rsidR="006B1072" w:rsidRPr="005024FF" w14:paraId="18DC7307" w14:textId="77777777" w:rsidTr="006B1072">
        <w:trPr>
          <w:gridAfter w:val="1"/>
          <w:wAfter w:w="9" w:type="dxa"/>
          <w:cantSplit/>
        </w:trPr>
        <w:tc>
          <w:tcPr>
            <w:tcW w:w="283" w:type="dxa"/>
            <w:vMerge/>
            <w:tcBorders>
              <w:top w:val="single" w:sz="16" w:space="0" w:color="000000"/>
              <w:left w:val="single" w:sz="16" w:space="0" w:color="000000"/>
              <w:bottom w:val="single" w:sz="16" w:space="0" w:color="000000"/>
              <w:right w:val="nil"/>
            </w:tcBorders>
            <w:shd w:val="clear" w:color="auto" w:fill="FFFFFF"/>
          </w:tcPr>
          <w:p w14:paraId="258DF396" w14:textId="77777777" w:rsidR="006B1072" w:rsidRPr="005024FF" w:rsidRDefault="006B1072" w:rsidP="006B1072">
            <w:pPr>
              <w:adjustRightInd w:val="0"/>
              <w:rPr>
                <w:color w:val="000000"/>
                <w:szCs w:val="24"/>
                <w:lang w:val="id-ID"/>
              </w:rPr>
            </w:pPr>
          </w:p>
        </w:tc>
        <w:tc>
          <w:tcPr>
            <w:tcW w:w="2269" w:type="dxa"/>
            <w:tcBorders>
              <w:top w:val="nil"/>
              <w:left w:val="nil"/>
              <w:bottom w:val="single" w:sz="16" w:space="0" w:color="000000"/>
              <w:right w:val="single" w:sz="16" w:space="0" w:color="000000"/>
            </w:tcBorders>
            <w:shd w:val="clear" w:color="auto" w:fill="FFFFFF"/>
          </w:tcPr>
          <w:p w14:paraId="51C68F6B" w14:textId="77777777" w:rsidR="006B1072" w:rsidRPr="005024FF" w:rsidRDefault="006B1072" w:rsidP="006B1072">
            <w:pPr>
              <w:adjustRightInd w:val="0"/>
              <w:ind w:left="60" w:right="60"/>
              <w:rPr>
                <w:color w:val="000000"/>
                <w:szCs w:val="24"/>
                <w:lang w:val="id-ID"/>
              </w:rPr>
            </w:pPr>
            <w:r w:rsidRPr="005024FF">
              <w:rPr>
                <w:color w:val="000000"/>
                <w:szCs w:val="24"/>
                <w:lang w:val="id-ID"/>
              </w:rPr>
              <w:t>Kepemilikan Manajerial</w:t>
            </w:r>
          </w:p>
        </w:tc>
        <w:tc>
          <w:tcPr>
            <w:tcW w:w="709" w:type="dxa"/>
            <w:tcBorders>
              <w:top w:val="nil"/>
              <w:left w:val="single" w:sz="16" w:space="0" w:color="000000"/>
              <w:bottom w:val="single" w:sz="16" w:space="0" w:color="000000"/>
            </w:tcBorders>
            <w:shd w:val="clear" w:color="auto" w:fill="FFFFFF"/>
            <w:vAlign w:val="center"/>
          </w:tcPr>
          <w:p w14:paraId="4978D21D"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.311</w:t>
            </w:r>
          </w:p>
        </w:tc>
        <w:tc>
          <w:tcPr>
            <w:tcW w:w="992" w:type="dxa"/>
            <w:tcBorders>
              <w:top w:val="nil"/>
              <w:bottom w:val="single" w:sz="16" w:space="0" w:color="000000"/>
            </w:tcBorders>
            <w:shd w:val="clear" w:color="auto" w:fill="FFFFFF"/>
            <w:vAlign w:val="center"/>
          </w:tcPr>
          <w:p w14:paraId="3B217EFF"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.269</w:t>
            </w:r>
          </w:p>
        </w:tc>
        <w:tc>
          <w:tcPr>
            <w:tcW w:w="1418" w:type="dxa"/>
            <w:tcBorders>
              <w:top w:val="nil"/>
              <w:bottom w:val="single" w:sz="16" w:space="0" w:color="000000"/>
            </w:tcBorders>
            <w:shd w:val="clear" w:color="auto" w:fill="FFFFFF"/>
            <w:vAlign w:val="center"/>
          </w:tcPr>
          <w:p w14:paraId="0F11DC06"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.223</w:t>
            </w:r>
          </w:p>
        </w:tc>
        <w:tc>
          <w:tcPr>
            <w:tcW w:w="709" w:type="dxa"/>
            <w:tcBorders>
              <w:top w:val="nil"/>
              <w:bottom w:val="single" w:sz="16" w:space="0" w:color="000000"/>
            </w:tcBorders>
            <w:shd w:val="clear" w:color="auto" w:fill="FFFFFF"/>
            <w:vAlign w:val="center"/>
          </w:tcPr>
          <w:p w14:paraId="3B328E6C"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1.153</w:t>
            </w:r>
          </w:p>
        </w:tc>
        <w:tc>
          <w:tcPr>
            <w:tcW w:w="567" w:type="dxa"/>
            <w:tcBorders>
              <w:top w:val="nil"/>
              <w:bottom w:val="single" w:sz="16" w:space="0" w:color="000000"/>
            </w:tcBorders>
            <w:shd w:val="clear" w:color="auto" w:fill="FFFFFF"/>
            <w:vAlign w:val="center"/>
          </w:tcPr>
          <w:p w14:paraId="1D8EA093"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.256</w:t>
            </w:r>
          </w:p>
        </w:tc>
        <w:tc>
          <w:tcPr>
            <w:tcW w:w="1133" w:type="dxa"/>
            <w:tcBorders>
              <w:top w:val="nil"/>
              <w:bottom w:val="single" w:sz="16" w:space="0" w:color="000000"/>
            </w:tcBorders>
            <w:shd w:val="clear" w:color="auto" w:fill="FFFFFF"/>
            <w:vAlign w:val="center"/>
          </w:tcPr>
          <w:p w14:paraId="03B2EAFE"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.481</w:t>
            </w:r>
          </w:p>
        </w:tc>
        <w:tc>
          <w:tcPr>
            <w:tcW w:w="854" w:type="dxa"/>
            <w:tcBorders>
              <w:top w:val="nil"/>
              <w:bottom w:val="single" w:sz="16" w:space="0" w:color="000000"/>
              <w:right w:val="single" w:sz="16" w:space="0" w:color="000000"/>
            </w:tcBorders>
            <w:shd w:val="clear" w:color="auto" w:fill="FFFFFF"/>
            <w:vAlign w:val="center"/>
          </w:tcPr>
          <w:p w14:paraId="01EDBF9C" w14:textId="77777777" w:rsidR="006B1072" w:rsidRPr="000D19D2" w:rsidRDefault="006B1072" w:rsidP="006B1072">
            <w:pPr>
              <w:adjustRightInd w:val="0"/>
              <w:ind w:left="60" w:right="60"/>
              <w:jc w:val="right"/>
              <w:rPr>
                <w:color w:val="000000"/>
                <w:szCs w:val="24"/>
                <w:lang w:val="id-ID"/>
              </w:rPr>
            </w:pPr>
            <w:r w:rsidRPr="000D19D2">
              <w:rPr>
                <w:color w:val="000000"/>
                <w:szCs w:val="24"/>
                <w:lang w:val="id-ID"/>
              </w:rPr>
              <w:t>2.081</w:t>
            </w:r>
          </w:p>
        </w:tc>
      </w:tr>
      <w:tr w:rsidR="006B1072" w:rsidRPr="005024FF" w14:paraId="79E495DB" w14:textId="77777777" w:rsidTr="006B1072">
        <w:trPr>
          <w:cantSplit/>
        </w:trPr>
        <w:tc>
          <w:tcPr>
            <w:tcW w:w="8943" w:type="dxa"/>
            <w:gridSpan w:val="10"/>
            <w:tcBorders>
              <w:top w:val="nil"/>
              <w:left w:val="nil"/>
              <w:bottom w:val="nil"/>
              <w:right w:val="nil"/>
            </w:tcBorders>
            <w:shd w:val="clear" w:color="auto" w:fill="FFFFFF"/>
          </w:tcPr>
          <w:p w14:paraId="5C35A597" w14:textId="77777777" w:rsidR="006B1072" w:rsidRPr="00684944" w:rsidRDefault="006B1072" w:rsidP="006B1072">
            <w:pPr>
              <w:pStyle w:val="ListParagraph"/>
              <w:widowControl/>
              <w:numPr>
                <w:ilvl w:val="1"/>
                <w:numId w:val="2"/>
              </w:numPr>
              <w:adjustRightInd w:val="0"/>
              <w:ind w:left="284" w:right="60" w:hanging="284"/>
              <w:contextualSpacing/>
              <w:rPr>
                <w:color w:val="000000"/>
                <w:szCs w:val="24"/>
                <w:lang w:val="id-ID"/>
              </w:rPr>
            </w:pPr>
            <w:r w:rsidRPr="00684944">
              <w:rPr>
                <w:color w:val="000000"/>
                <w:szCs w:val="24"/>
                <w:lang w:val="id-ID"/>
              </w:rPr>
              <w:t>Dependent Variable: CSR</w:t>
            </w:r>
          </w:p>
          <w:p w14:paraId="457297FA" w14:textId="58114761" w:rsidR="006B1072" w:rsidRDefault="006B1072" w:rsidP="006B1072">
            <w:pPr>
              <w:rPr>
                <w:b/>
                <w:szCs w:val="24"/>
              </w:rPr>
            </w:pPr>
            <w:r>
              <w:rPr>
                <w:b/>
                <w:szCs w:val="24"/>
                <w:lang w:val="id-ID"/>
              </w:rPr>
              <w:t>Sumber</w:t>
            </w:r>
            <w:r w:rsidRPr="009443F8">
              <w:rPr>
                <w:b/>
                <w:szCs w:val="24"/>
              </w:rPr>
              <w:t xml:space="preserve">: Data </w:t>
            </w:r>
            <w:r>
              <w:rPr>
                <w:b/>
                <w:szCs w:val="24"/>
                <w:lang w:val="id-ID"/>
              </w:rPr>
              <w:t>sekunder diolah</w:t>
            </w:r>
            <w:r w:rsidRPr="009443F8">
              <w:rPr>
                <w:b/>
                <w:szCs w:val="24"/>
              </w:rPr>
              <w:t>, 2020</w:t>
            </w:r>
          </w:p>
          <w:p w14:paraId="29EC3ECA" w14:textId="77777777" w:rsidR="006B1072" w:rsidRDefault="006B1072" w:rsidP="006B1072">
            <w:pPr>
              <w:rPr>
                <w:b/>
                <w:szCs w:val="24"/>
              </w:rPr>
            </w:pPr>
          </w:p>
          <w:p w14:paraId="7F5213AE" w14:textId="567B6CFF" w:rsidR="006B1072" w:rsidRDefault="006B1072" w:rsidP="006B1072">
            <w:pPr>
              <w:ind w:firstLine="567"/>
              <w:jc w:val="both"/>
              <w:rPr>
                <w:lang w:val="id-ID"/>
              </w:rPr>
            </w:pPr>
            <w:r>
              <w:rPr>
                <w:lang w:val="id-ID"/>
              </w:rPr>
              <w:t xml:space="preserve">Berdasarkan Tabel 3, </w:t>
            </w:r>
            <w:r w:rsidRPr="005024FF">
              <w:rPr>
                <w:lang w:val="id-ID"/>
              </w:rPr>
              <w:t xml:space="preserve">nilai </w:t>
            </w:r>
            <w:r w:rsidRPr="005024FF">
              <w:rPr>
                <w:i/>
                <w:lang w:val="id-ID"/>
              </w:rPr>
              <w:t xml:space="preserve">tolerance </w:t>
            </w:r>
            <w:r w:rsidRPr="005024FF">
              <w:rPr>
                <w:lang w:val="id-ID"/>
              </w:rPr>
              <w:t>untuk masing-masing variabel lebih dari 0,1 dan nilai VIF kurang dari 10 sehingga dapat disimpulkan model regresi dalam penelitian ini tidak terjadi multikolinieritas.</w:t>
            </w:r>
          </w:p>
          <w:p w14:paraId="59F07C7C" w14:textId="4F5672F5" w:rsidR="006B1072" w:rsidRPr="006B1072" w:rsidRDefault="006B1072" w:rsidP="006B1072">
            <w:pPr>
              <w:pStyle w:val="ListParagraph"/>
              <w:adjustRightInd w:val="0"/>
              <w:ind w:right="60"/>
              <w:jc w:val="center"/>
              <w:rPr>
                <w:b/>
                <w:bCs/>
                <w:color w:val="000000"/>
                <w:szCs w:val="24"/>
                <w:lang w:val="id-ID"/>
              </w:rPr>
            </w:pPr>
            <w:r w:rsidRPr="006B1072">
              <w:rPr>
                <w:b/>
                <w:bCs/>
                <w:color w:val="000000"/>
                <w:szCs w:val="24"/>
                <w:lang w:val="id-ID"/>
              </w:rPr>
              <w:t>Tabel 4. Hasil Uji Autokorelasi</w:t>
            </w:r>
          </w:p>
        </w:tc>
      </w:tr>
    </w:tbl>
    <w:p w14:paraId="1ABDCD27" w14:textId="77777777" w:rsidR="006B1072" w:rsidRDefault="006B1072">
      <w:pPr>
        <w:pStyle w:val="BodyText"/>
        <w:spacing w:before="7"/>
        <w:rPr>
          <w:sz w:val="20"/>
        </w:rPr>
      </w:pPr>
    </w:p>
    <w:tbl>
      <w:tblPr>
        <w:tblW w:w="7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863"/>
        <w:gridCol w:w="1560"/>
      </w:tblGrid>
      <w:tr w:rsidR="00663BD8" w:rsidRPr="004435DB" w14:paraId="4BCA81CC" w14:textId="77777777" w:rsidTr="00535B30">
        <w:trPr>
          <w:cantSplit/>
          <w:jc w:val="center"/>
        </w:trPr>
        <w:tc>
          <w:tcPr>
            <w:tcW w:w="7797" w:type="dxa"/>
            <w:gridSpan w:val="6"/>
            <w:tcBorders>
              <w:top w:val="nil"/>
              <w:left w:val="nil"/>
              <w:bottom w:val="nil"/>
              <w:right w:val="nil"/>
            </w:tcBorders>
            <w:shd w:val="clear" w:color="auto" w:fill="FFFFFF"/>
            <w:vAlign w:val="center"/>
          </w:tcPr>
          <w:p w14:paraId="08C36A1D" w14:textId="77777777" w:rsidR="00663BD8" w:rsidRPr="00696AB3" w:rsidRDefault="00663BD8" w:rsidP="00535B30">
            <w:pPr>
              <w:adjustRightInd w:val="0"/>
              <w:spacing w:line="320" w:lineRule="atLeast"/>
              <w:ind w:left="60" w:right="60"/>
              <w:jc w:val="center"/>
              <w:rPr>
                <w:color w:val="000000"/>
                <w:szCs w:val="18"/>
                <w:lang w:val="id-ID"/>
              </w:rPr>
            </w:pPr>
            <w:bookmarkStart w:id="0" w:name="_Hlk62033397"/>
            <w:r w:rsidRPr="00696AB3">
              <w:rPr>
                <w:b/>
                <w:bCs/>
                <w:color w:val="000000"/>
                <w:szCs w:val="18"/>
                <w:lang w:val="id-ID"/>
              </w:rPr>
              <w:t>Model Summary</w:t>
            </w:r>
            <w:r w:rsidRPr="00696AB3">
              <w:rPr>
                <w:b/>
                <w:bCs/>
                <w:color w:val="000000"/>
                <w:szCs w:val="18"/>
                <w:vertAlign w:val="superscript"/>
                <w:lang w:val="id-ID"/>
              </w:rPr>
              <w:t>b</w:t>
            </w:r>
          </w:p>
        </w:tc>
      </w:tr>
      <w:tr w:rsidR="00663BD8" w:rsidRPr="004435DB" w14:paraId="44E5A656" w14:textId="77777777" w:rsidTr="00535B30">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32E24FD8" w14:textId="77777777" w:rsidR="00663BD8" w:rsidRPr="00696AB3" w:rsidRDefault="00663BD8" w:rsidP="00535B30">
            <w:pPr>
              <w:adjustRightInd w:val="0"/>
              <w:spacing w:line="320" w:lineRule="atLeast"/>
              <w:ind w:left="60" w:right="60"/>
              <w:jc w:val="center"/>
              <w:rPr>
                <w:color w:val="000000"/>
                <w:szCs w:val="24"/>
                <w:lang w:val="id-ID"/>
              </w:rPr>
            </w:pPr>
            <w:r w:rsidRPr="00696AB3">
              <w:rPr>
                <w:color w:val="000000"/>
                <w:szCs w:val="24"/>
                <w:lang w:val="id-ID"/>
              </w:rPr>
              <w:t>Model</w:t>
            </w:r>
          </w:p>
        </w:tc>
        <w:tc>
          <w:tcPr>
            <w:tcW w:w="1024" w:type="dxa"/>
            <w:tcBorders>
              <w:top w:val="single" w:sz="16" w:space="0" w:color="000000"/>
              <w:left w:val="single" w:sz="16" w:space="0" w:color="000000"/>
              <w:bottom w:val="single" w:sz="16" w:space="0" w:color="000000"/>
            </w:tcBorders>
            <w:shd w:val="clear" w:color="auto" w:fill="FFFFFF"/>
            <w:vAlign w:val="center"/>
          </w:tcPr>
          <w:p w14:paraId="2F1DD80D" w14:textId="77777777" w:rsidR="00663BD8" w:rsidRPr="00696AB3" w:rsidRDefault="00663BD8" w:rsidP="00535B30">
            <w:pPr>
              <w:adjustRightInd w:val="0"/>
              <w:spacing w:line="320" w:lineRule="atLeast"/>
              <w:ind w:left="60" w:right="60"/>
              <w:jc w:val="center"/>
              <w:rPr>
                <w:color w:val="000000"/>
                <w:szCs w:val="24"/>
                <w:lang w:val="id-ID"/>
              </w:rPr>
            </w:pPr>
            <w:r w:rsidRPr="00696AB3">
              <w:rPr>
                <w:color w:val="000000"/>
                <w:szCs w:val="24"/>
                <w:lang w:val="id-ID"/>
              </w:rPr>
              <w:t>R</w:t>
            </w:r>
          </w:p>
        </w:tc>
        <w:tc>
          <w:tcPr>
            <w:tcW w:w="1086" w:type="dxa"/>
            <w:tcBorders>
              <w:top w:val="single" w:sz="16" w:space="0" w:color="000000"/>
              <w:bottom w:val="single" w:sz="16" w:space="0" w:color="000000"/>
            </w:tcBorders>
            <w:shd w:val="clear" w:color="auto" w:fill="FFFFFF"/>
            <w:vAlign w:val="center"/>
          </w:tcPr>
          <w:p w14:paraId="26F6489C" w14:textId="77777777" w:rsidR="00663BD8" w:rsidRPr="00696AB3" w:rsidRDefault="00663BD8" w:rsidP="00535B30">
            <w:pPr>
              <w:adjustRightInd w:val="0"/>
              <w:spacing w:line="320" w:lineRule="atLeast"/>
              <w:ind w:left="60" w:right="60"/>
              <w:jc w:val="center"/>
              <w:rPr>
                <w:color w:val="000000"/>
                <w:szCs w:val="24"/>
                <w:lang w:val="id-ID"/>
              </w:rPr>
            </w:pPr>
            <w:r w:rsidRPr="00696AB3">
              <w:rPr>
                <w:color w:val="000000"/>
                <w:szCs w:val="24"/>
                <w:lang w:val="id-ID"/>
              </w:rPr>
              <w:t>R Square</w:t>
            </w:r>
          </w:p>
        </w:tc>
        <w:tc>
          <w:tcPr>
            <w:tcW w:w="1469" w:type="dxa"/>
            <w:tcBorders>
              <w:top w:val="single" w:sz="16" w:space="0" w:color="000000"/>
              <w:bottom w:val="single" w:sz="16" w:space="0" w:color="000000"/>
            </w:tcBorders>
            <w:shd w:val="clear" w:color="auto" w:fill="FFFFFF"/>
            <w:vAlign w:val="bottom"/>
          </w:tcPr>
          <w:p w14:paraId="514C5300" w14:textId="77777777" w:rsidR="00663BD8" w:rsidRPr="00696AB3" w:rsidRDefault="00663BD8" w:rsidP="00535B30">
            <w:pPr>
              <w:adjustRightInd w:val="0"/>
              <w:spacing w:line="320" w:lineRule="atLeast"/>
              <w:ind w:left="60" w:right="60"/>
              <w:jc w:val="center"/>
              <w:rPr>
                <w:color w:val="000000"/>
                <w:szCs w:val="24"/>
                <w:lang w:val="id-ID"/>
              </w:rPr>
            </w:pPr>
            <w:r w:rsidRPr="00696AB3">
              <w:rPr>
                <w:color w:val="000000"/>
                <w:szCs w:val="24"/>
                <w:lang w:val="id-ID"/>
              </w:rPr>
              <w:t>Adjusted R Square</w:t>
            </w:r>
          </w:p>
        </w:tc>
        <w:tc>
          <w:tcPr>
            <w:tcW w:w="1863" w:type="dxa"/>
            <w:tcBorders>
              <w:top w:val="single" w:sz="16" w:space="0" w:color="000000"/>
              <w:bottom w:val="single" w:sz="16" w:space="0" w:color="000000"/>
            </w:tcBorders>
            <w:shd w:val="clear" w:color="auto" w:fill="FFFFFF"/>
            <w:vAlign w:val="bottom"/>
          </w:tcPr>
          <w:p w14:paraId="78190807" w14:textId="77777777" w:rsidR="00663BD8" w:rsidRPr="00696AB3" w:rsidRDefault="00663BD8" w:rsidP="00535B30">
            <w:pPr>
              <w:adjustRightInd w:val="0"/>
              <w:spacing w:line="320" w:lineRule="atLeast"/>
              <w:ind w:left="60" w:right="60"/>
              <w:jc w:val="center"/>
              <w:rPr>
                <w:color w:val="000000"/>
                <w:szCs w:val="24"/>
                <w:lang w:val="id-ID"/>
              </w:rPr>
            </w:pPr>
            <w:r w:rsidRPr="00696AB3">
              <w:rPr>
                <w:color w:val="000000"/>
                <w:szCs w:val="24"/>
                <w:lang w:val="id-ID"/>
              </w:rPr>
              <w:t>Std. Error of the Estimate</w:t>
            </w:r>
          </w:p>
        </w:tc>
        <w:tc>
          <w:tcPr>
            <w:tcW w:w="1560" w:type="dxa"/>
            <w:tcBorders>
              <w:top w:val="single" w:sz="16" w:space="0" w:color="000000"/>
              <w:bottom w:val="single" w:sz="16" w:space="0" w:color="000000"/>
              <w:right w:val="single" w:sz="16" w:space="0" w:color="000000"/>
            </w:tcBorders>
            <w:shd w:val="clear" w:color="auto" w:fill="FFFFFF"/>
            <w:vAlign w:val="center"/>
          </w:tcPr>
          <w:p w14:paraId="7355FD5C" w14:textId="77777777" w:rsidR="00663BD8" w:rsidRPr="00696AB3" w:rsidRDefault="00663BD8" w:rsidP="00535B30">
            <w:pPr>
              <w:adjustRightInd w:val="0"/>
              <w:spacing w:line="320" w:lineRule="atLeast"/>
              <w:ind w:left="60" w:right="60"/>
              <w:jc w:val="center"/>
              <w:rPr>
                <w:color w:val="000000"/>
                <w:szCs w:val="24"/>
                <w:lang w:val="id-ID"/>
              </w:rPr>
            </w:pPr>
            <w:r w:rsidRPr="00696AB3">
              <w:rPr>
                <w:color w:val="000000"/>
                <w:szCs w:val="24"/>
                <w:lang w:val="id-ID"/>
              </w:rPr>
              <w:t>Durbin-Watson</w:t>
            </w:r>
          </w:p>
        </w:tc>
      </w:tr>
      <w:tr w:rsidR="00663BD8" w:rsidRPr="004435DB" w14:paraId="37F12D4D" w14:textId="77777777" w:rsidTr="00535B30">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14:paraId="392B0B15" w14:textId="77777777" w:rsidR="00663BD8" w:rsidRPr="00696AB3" w:rsidRDefault="00663BD8" w:rsidP="00535B30">
            <w:pPr>
              <w:adjustRightInd w:val="0"/>
              <w:spacing w:line="320" w:lineRule="atLeast"/>
              <w:ind w:left="60" w:right="60"/>
              <w:rPr>
                <w:color w:val="000000"/>
                <w:szCs w:val="24"/>
                <w:lang w:val="id-ID"/>
              </w:rPr>
            </w:pPr>
            <w:r w:rsidRPr="00696AB3">
              <w:rPr>
                <w:color w:val="000000"/>
                <w:szCs w:val="24"/>
                <w:lang w:val="id-ID"/>
              </w:rPr>
              <w:t>1</w:t>
            </w:r>
          </w:p>
        </w:tc>
        <w:tc>
          <w:tcPr>
            <w:tcW w:w="1024" w:type="dxa"/>
            <w:tcBorders>
              <w:top w:val="single" w:sz="16" w:space="0" w:color="000000"/>
              <w:left w:val="single" w:sz="16" w:space="0" w:color="000000"/>
              <w:bottom w:val="single" w:sz="16" w:space="0" w:color="000000"/>
            </w:tcBorders>
            <w:shd w:val="clear" w:color="auto" w:fill="FFFFFF"/>
            <w:vAlign w:val="center"/>
          </w:tcPr>
          <w:p w14:paraId="4354F64D" w14:textId="77777777" w:rsidR="00663BD8" w:rsidRPr="00A84FE7" w:rsidRDefault="00663BD8" w:rsidP="00535B30">
            <w:pPr>
              <w:adjustRightInd w:val="0"/>
              <w:spacing w:line="320" w:lineRule="atLeast"/>
              <w:ind w:left="60" w:right="60"/>
              <w:jc w:val="right"/>
              <w:rPr>
                <w:color w:val="000000"/>
                <w:szCs w:val="24"/>
                <w:lang w:val="id-ID"/>
              </w:rPr>
            </w:pPr>
            <w:r w:rsidRPr="00A84FE7">
              <w:rPr>
                <w:color w:val="000000"/>
                <w:szCs w:val="24"/>
                <w:lang w:val="id-ID"/>
              </w:rPr>
              <w:t>.533</w:t>
            </w:r>
            <w:r w:rsidRPr="00A84FE7">
              <w:rPr>
                <w:color w:val="000000"/>
                <w:szCs w:val="24"/>
                <w:vertAlign w:val="superscript"/>
                <w:lang w:val="id-ID"/>
              </w:rPr>
              <w:t>a</w:t>
            </w:r>
          </w:p>
        </w:tc>
        <w:tc>
          <w:tcPr>
            <w:tcW w:w="1086" w:type="dxa"/>
            <w:tcBorders>
              <w:top w:val="single" w:sz="16" w:space="0" w:color="000000"/>
              <w:bottom w:val="single" w:sz="16" w:space="0" w:color="000000"/>
            </w:tcBorders>
            <w:shd w:val="clear" w:color="auto" w:fill="FFFFFF"/>
            <w:vAlign w:val="center"/>
          </w:tcPr>
          <w:p w14:paraId="2D79C15D" w14:textId="77777777" w:rsidR="00663BD8" w:rsidRPr="00A84FE7" w:rsidRDefault="00663BD8" w:rsidP="00535B30">
            <w:pPr>
              <w:adjustRightInd w:val="0"/>
              <w:spacing w:line="320" w:lineRule="atLeast"/>
              <w:ind w:left="60" w:right="60"/>
              <w:jc w:val="right"/>
              <w:rPr>
                <w:color w:val="000000"/>
                <w:szCs w:val="24"/>
                <w:lang w:val="id-ID"/>
              </w:rPr>
            </w:pPr>
            <w:r w:rsidRPr="00A84FE7">
              <w:rPr>
                <w:color w:val="000000"/>
                <w:szCs w:val="24"/>
                <w:lang w:val="id-ID"/>
              </w:rPr>
              <w:t>.284</w:t>
            </w:r>
          </w:p>
        </w:tc>
        <w:tc>
          <w:tcPr>
            <w:tcW w:w="1469" w:type="dxa"/>
            <w:tcBorders>
              <w:top w:val="single" w:sz="16" w:space="0" w:color="000000"/>
              <w:bottom w:val="single" w:sz="16" w:space="0" w:color="000000"/>
            </w:tcBorders>
            <w:shd w:val="clear" w:color="auto" w:fill="FFFFFF"/>
            <w:vAlign w:val="center"/>
          </w:tcPr>
          <w:p w14:paraId="32FBDB03" w14:textId="77777777" w:rsidR="00663BD8" w:rsidRPr="00A84FE7" w:rsidRDefault="00663BD8" w:rsidP="00535B30">
            <w:pPr>
              <w:adjustRightInd w:val="0"/>
              <w:spacing w:line="320" w:lineRule="atLeast"/>
              <w:ind w:left="60" w:right="60"/>
              <w:jc w:val="right"/>
              <w:rPr>
                <w:color w:val="000000"/>
                <w:szCs w:val="24"/>
                <w:lang w:val="id-ID"/>
              </w:rPr>
            </w:pPr>
            <w:r w:rsidRPr="00A84FE7">
              <w:rPr>
                <w:color w:val="000000"/>
                <w:szCs w:val="24"/>
                <w:lang w:val="id-ID"/>
              </w:rPr>
              <w:t>.212</w:t>
            </w:r>
          </w:p>
        </w:tc>
        <w:tc>
          <w:tcPr>
            <w:tcW w:w="1863" w:type="dxa"/>
            <w:tcBorders>
              <w:top w:val="single" w:sz="16" w:space="0" w:color="000000"/>
              <w:bottom w:val="single" w:sz="16" w:space="0" w:color="000000"/>
            </w:tcBorders>
            <w:shd w:val="clear" w:color="auto" w:fill="FFFFFF"/>
            <w:vAlign w:val="center"/>
          </w:tcPr>
          <w:p w14:paraId="030DCDD9" w14:textId="77777777" w:rsidR="00663BD8" w:rsidRPr="00A84FE7" w:rsidRDefault="00663BD8" w:rsidP="00535B30">
            <w:pPr>
              <w:adjustRightInd w:val="0"/>
              <w:spacing w:line="320" w:lineRule="atLeast"/>
              <w:ind w:left="60" w:right="60"/>
              <w:jc w:val="right"/>
              <w:rPr>
                <w:color w:val="000000"/>
                <w:szCs w:val="24"/>
                <w:lang w:val="id-ID"/>
              </w:rPr>
            </w:pPr>
            <w:r w:rsidRPr="00A84FE7">
              <w:rPr>
                <w:color w:val="000000"/>
                <w:szCs w:val="24"/>
                <w:lang w:val="id-ID"/>
              </w:rPr>
              <w:t>.22175667</w:t>
            </w:r>
          </w:p>
        </w:tc>
        <w:tc>
          <w:tcPr>
            <w:tcW w:w="1560" w:type="dxa"/>
            <w:tcBorders>
              <w:top w:val="single" w:sz="16" w:space="0" w:color="000000"/>
              <w:bottom w:val="single" w:sz="16" w:space="0" w:color="000000"/>
              <w:right w:val="single" w:sz="16" w:space="0" w:color="000000"/>
            </w:tcBorders>
            <w:shd w:val="clear" w:color="auto" w:fill="FFFFFF"/>
            <w:vAlign w:val="center"/>
          </w:tcPr>
          <w:p w14:paraId="439EA372" w14:textId="77777777" w:rsidR="00663BD8" w:rsidRPr="00A84FE7" w:rsidRDefault="00663BD8" w:rsidP="00535B30">
            <w:pPr>
              <w:adjustRightInd w:val="0"/>
              <w:spacing w:line="320" w:lineRule="atLeast"/>
              <w:ind w:left="60" w:right="60"/>
              <w:jc w:val="right"/>
              <w:rPr>
                <w:color w:val="000000"/>
                <w:szCs w:val="24"/>
                <w:lang w:val="id-ID"/>
              </w:rPr>
            </w:pPr>
            <w:r w:rsidRPr="00A84FE7">
              <w:rPr>
                <w:color w:val="000000"/>
                <w:szCs w:val="24"/>
                <w:lang w:val="id-ID"/>
              </w:rPr>
              <w:t>2.016</w:t>
            </w:r>
          </w:p>
        </w:tc>
      </w:tr>
      <w:tr w:rsidR="00663BD8" w:rsidRPr="004435DB" w14:paraId="1C35ECEE" w14:textId="77777777" w:rsidTr="00535B30">
        <w:trPr>
          <w:cantSplit/>
          <w:jc w:val="center"/>
        </w:trPr>
        <w:tc>
          <w:tcPr>
            <w:tcW w:w="7797" w:type="dxa"/>
            <w:gridSpan w:val="6"/>
            <w:tcBorders>
              <w:top w:val="nil"/>
              <w:left w:val="nil"/>
              <w:bottom w:val="nil"/>
              <w:right w:val="nil"/>
            </w:tcBorders>
            <w:shd w:val="clear" w:color="auto" w:fill="FFFFFF"/>
          </w:tcPr>
          <w:p w14:paraId="3A63A822" w14:textId="77777777" w:rsidR="00663BD8" w:rsidRPr="00696AB3" w:rsidRDefault="00663BD8" w:rsidP="00535B30">
            <w:pPr>
              <w:adjustRightInd w:val="0"/>
              <w:spacing w:line="360" w:lineRule="auto"/>
              <w:ind w:left="60" w:right="60"/>
              <w:rPr>
                <w:color w:val="000000"/>
                <w:szCs w:val="24"/>
                <w:lang w:val="id-ID"/>
              </w:rPr>
            </w:pPr>
            <w:r w:rsidRPr="00696AB3">
              <w:rPr>
                <w:color w:val="000000"/>
                <w:szCs w:val="24"/>
                <w:lang w:val="id-ID"/>
              </w:rPr>
              <w:t xml:space="preserve">a. Predictors: (Constant), Kepemilikan Manajerial, Ukuran Komite Audit, Ukuran Dewan Komisaris, </w:t>
            </w:r>
            <w:r>
              <w:rPr>
                <w:color w:val="000000"/>
                <w:szCs w:val="24"/>
                <w:lang w:val="id-ID"/>
              </w:rPr>
              <w:t xml:space="preserve">Proporsi </w:t>
            </w:r>
            <w:r w:rsidRPr="00696AB3">
              <w:rPr>
                <w:color w:val="000000"/>
                <w:szCs w:val="24"/>
                <w:lang w:val="id-ID"/>
              </w:rPr>
              <w:t>Komisaris Independen</w:t>
            </w:r>
          </w:p>
        </w:tc>
      </w:tr>
      <w:tr w:rsidR="00663BD8" w:rsidRPr="004435DB" w14:paraId="36CBF3B3" w14:textId="77777777" w:rsidTr="00535B30">
        <w:trPr>
          <w:cantSplit/>
          <w:jc w:val="center"/>
        </w:trPr>
        <w:tc>
          <w:tcPr>
            <w:tcW w:w="7797" w:type="dxa"/>
            <w:gridSpan w:val="6"/>
            <w:tcBorders>
              <w:top w:val="nil"/>
              <w:left w:val="nil"/>
              <w:bottom w:val="nil"/>
              <w:right w:val="nil"/>
            </w:tcBorders>
            <w:shd w:val="clear" w:color="auto" w:fill="FFFFFF"/>
          </w:tcPr>
          <w:p w14:paraId="5BCF325D" w14:textId="77777777" w:rsidR="00663BD8" w:rsidRPr="00696AB3" w:rsidRDefault="00663BD8" w:rsidP="00535B30">
            <w:pPr>
              <w:adjustRightInd w:val="0"/>
              <w:spacing w:line="360" w:lineRule="auto"/>
              <w:ind w:left="60" w:right="60"/>
              <w:rPr>
                <w:color w:val="000000"/>
                <w:szCs w:val="24"/>
                <w:lang w:val="id-ID"/>
              </w:rPr>
            </w:pPr>
            <w:r w:rsidRPr="00696AB3">
              <w:rPr>
                <w:color w:val="000000"/>
                <w:szCs w:val="24"/>
                <w:lang w:val="id-ID"/>
              </w:rPr>
              <w:t>b. Dependent Variable: CSR</w:t>
            </w:r>
          </w:p>
        </w:tc>
      </w:tr>
      <w:bookmarkEnd w:id="0"/>
    </w:tbl>
    <w:p w14:paraId="7F5783C1" w14:textId="77777777" w:rsidR="00663BD8" w:rsidRDefault="00663BD8">
      <w:pPr>
        <w:pStyle w:val="BodyText"/>
        <w:spacing w:before="1"/>
      </w:pPr>
    </w:p>
    <w:p w14:paraId="408CF71A" w14:textId="03C14A30" w:rsidR="00663BD8" w:rsidRDefault="00663BD8" w:rsidP="00663BD8">
      <w:pPr>
        <w:ind w:firstLine="567"/>
        <w:jc w:val="both"/>
        <w:rPr>
          <w:lang w:val="id-ID"/>
        </w:rPr>
      </w:pPr>
      <w:r>
        <w:rPr>
          <w:lang w:val="id-ID"/>
        </w:rPr>
        <w:t xml:space="preserve">Tabel 4 </w:t>
      </w:r>
      <w:r w:rsidRPr="00D56717">
        <w:rPr>
          <w:lang w:val="id-ID"/>
        </w:rPr>
        <w:t xml:space="preserve">menunjukkan hasil analisis nilai Durbin Watson sebesar </w:t>
      </w:r>
      <w:r>
        <w:rPr>
          <w:lang w:val="id-ID"/>
        </w:rPr>
        <w:t>2,016</w:t>
      </w:r>
      <w:r w:rsidRPr="00D56717">
        <w:rPr>
          <w:lang w:val="id-ID"/>
        </w:rPr>
        <w:t>. Selanjutnya mencari nilai batas atas (dU) dan nilai batas bawah (dL) pada distribusi tabel Durbin Watson sigfikansi 5% atau α = 0,05. Dengan melihat terl</w:t>
      </w:r>
      <w:r>
        <w:rPr>
          <w:lang w:val="id-ID"/>
        </w:rPr>
        <w:t xml:space="preserve">ebih dahulu jumlah sampel (k) 45 dan jumlah variabel (N) 4 </w:t>
      </w:r>
      <w:r w:rsidRPr="00D56717">
        <w:rPr>
          <w:lang w:val="id-ID"/>
        </w:rPr>
        <w:t>, maka diperoleh nilai dU</w:t>
      </w:r>
      <w:r>
        <w:rPr>
          <w:lang w:val="id-ID"/>
        </w:rPr>
        <w:t xml:space="preserve"> </w:t>
      </w:r>
      <w:r>
        <w:t>1</w:t>
      </w:r>
      <w:r>
        <w:rPr>
          <w:lang w:val="id-ID"/>
        </w:rPr>
        <w:t xml:space="preserve">,7200 </w:t>
      </w:r>
      <w:r w:rsidRPr="00D56717">
        <w:rPr>
          <w:lang w:val="id-ID"/>
        </w:rPr>
        <w:t>dan dL</w:t>
      </w:r>
      <w:r>
        <w:rPr>
          <w:lang w:val="id-ID"/>
        </w:rPr>
        <w:t xml:space="preserve"> 1</w:t>
      </w:r>
      <w:r>
        <w:t>,</w:t>
      </w:r>
      <w:r>
        <w:rPr>
          <w:lang w:val="id-ID"/>
        </w:rPr>
        <w:t>3357</w:t>
      </w:r>
      <w:r w:rsidRPr="00D56717">
        <w:rPr>
          <w:lang w:val="id-ID"/>
        </w:rPr>
        <w:t xml:space="preserve">. Kemudian dimasukkan nilai tersebut ke dalam rumus pengambilan keputusan uji autokorelasi dimana dU &lt; d &lt; 4 – dU. Sehingga nilai Durbin Watson (d) </w:t>
      </w:r>
      <w:r>
        <w:rPr>
          <w:lang w:val="id-ID"/>
        </w:rPr>
        <w:t xml:space="preserve">2,016 </w:t>
      </w:r>
      <w:r w:rsidRPr="00D56717">
        <w:rPr>
          <w:lang w:val="id-ID"/>
        </w:rPr>
        <w:t xml:space="preserve">lebih besar dari nilai batas bawah (dU) </w:t>
      </w:r>
      <w:r>
        <w:t>1</w:t>
      </w:r>
      <w:r>
        <w:rPr>
          <w:lang w:val="id-ID"/>
        </w:rPr>
        <w:t xml:space="preserve">,7200 </w:t>
      </w:r>
      <w:r w:rsidRPr="00D56717">
        <w:rPr>
          <w:lang w:val="id-ID"/>
        </w:rPr>
        <w:t xml:space="preserve">dan lebih kecil dari 4 – dU sebesar </w:t>
      </w:r>
      <w:r>
        <w:rPr>
          <w:lang w:val="id-ID"/>
        </w:rPr>
        <w:t>2,2800</w:t>
      </w:r>
      <w:r w:rsidRPr="00D56717">
        <w:rPr>
          <w:lang w:val="id-ID"/>
        </w:rPr>
        <w:t>. Dari penjabaran tersebut dapat disimpulkan bahwa dalam model regresi tidak ada autokorelasi.</w:t>
      </w:r>
    </w:p>
    <w:p w14:paraId="2947C677" w14:textId="41959175" w:rsidR="00663BD8" w:rsidRDefault="00663BD8" w:rsidP="00663BD8">
      <w:pPr>
        <w:ind w:firstLine="567"/>
        <w:jc w:val="both"/>
        <w:rPr>
          <w:lang w:val="id-ID"/>
        </w:rPr>
      </w:pPr>
    </w:p>
    <w:p w14:paraId="21FA0142" w14:textId="0F0F0CF5" w:rsidR="00663BD8" w:rsidRDefault="00663BD8" w:rsidP="00663BD8">
      <w:pPr>
        <w:ind w:firstLine="567"/>
        <w:jc w:val="both"/>
        <w:rPr>
          <w:lang w:val="id-ID"/>
        </w:rPr>
      </w:pPr>
    </w:p>
    <w:p w14:paraId="4F70CD86" w14:textId="35896233" w:rsidR="00663BD8" w:rsidRDefault="00663BD8" w:rsidP="00663BD8">
      <w:pPr>
        <w:ind w:firstLine="567"/>
        <w:jc w:val="both"/>
        <w:rPr>
          <w:lang w:val="id-ID"/>
        </w:rPr>
      </w:pPr>
    </w:p>
    <w:p w14:paraId="7289142B" w14:textId="0FD7A711" w:rsidR="00663BD8" w:rsidRDefault="00663BD8" w:rsidP="00663BD8">
      <w:pPr>
        <w:ind w:firstLine="567"/>
        <w:jc w:val="both"/>
        <w:rPr>
          <w:lang w:val="id-ID"/>
        </w:rPr>
      </w:pPr>
    </w:p>
    <w:p w14:paraId="5F30EAF3" w14:textId="72B259D2" w:rsidR="00663BD8" w:rsidRDefault="00663BD8" w:rsidP="00663BD8">
      <w:pPr>
        <w:ind w:firstLine="567"/>
        <w:jc w:val="both"/>
        <w:rPr>
          <w:lang w:val="id-ID"/>
        </w:rPr>
      </w:pPr>
    </w:p>
    <w:p w14:paraId="3F2CBC8F" w14:textId="324A89C0" w:rsidR="00663BD8" w:rsidRDefault="00663BD8" w:rsidP="00663BD8">
      <w:pPr>
        <w:ind w:firstLine="567"/>
        <w:jc w:val="both"/>
        <w:rPr>
          <w:lang w:val="id-ID"/>
        </w:rPr>
      </w:pPr>
    </w:p>
    <w:p w14:paraId="70934F62" w14:textId="5E594B20" w:rsidR="00663BD8" w:rsidRDefault="00663BD8" w:rsidP="00663BD8">
      <w:pPr>
        <w:ind w:firstLine="567"/>
        <w:jc w:val="both"/>
        <w:rPr>
          <w:lang w:val="id-ID"/>
        </w:rPr>
      </w:pPr>
    </w:p>
    <w:p w14:paraId="22A3F374" w14:textId="0D0ED007" w:rsidR="00663BD8" w:rsidRDefault="00663BD8" w:rsidP="00663BD8">
      <w:pPr>
        <w:ind w:firstLine="567"/>
        <w:jc w:val="both"/>
        <w:rPr>
          <w:lang w:val="id-ID"/>
        </w:rPr>
      </w:pPr>
    </w:p>
    <w:p w14:paraId="0C4F5E09" w14:textId="77777777" w:rsidR="00BE72A8" w:rsidRDefault="00BE72A8" w:rsidP="00663BD8">
      <w:pPr>
        <w:ind w:firstLine="567"/>
        <w:jc w:val="both"/>
        <w:rPr>
          <w:lang w:val="id-ID"/>
        </w:rPr>
      </w:pPr>
    </w:p>
    <w:p w14:paraId="76FA8370" w14:textId="0391527B" w:rsidR="00663BD8" w:rsidRDefault="00663BD8" w:rsidP="00663BD8">
      <w:pPr>
        <w:ind w:firstLine="567"/>
        <w:jc w:val="both"/>
        <w:rPr>
          <w:lang w:val="id-ID"/>
        </w:rPr>
      </w:pPr>
    </w:p>
    <w:p w14:paraId="7915F6A5" w14:textId="5AA42076" w:rsidR="00663BD8" w:rsidRDefault="00663BD8" w:rsidP="00663BD8">
      <w:pPr>
        <w:ind w:firstLine="567"/>
        <w:jc w:val="both"/>
        <w:rPr>
          <w:lang w:val="id-ID"/>
        </w:rPr>
      </w:pPr>
    </w:p>
    <w:p w14:paraId="657E26E8" w14:textId="33A77C88" w:rsidR="00663BD8" w:rsidRDefault="00663BD8" w:rsidP="00663BD8">
      <w:pPr>
        <w:ind w:firstLine="567"/>
        <w:jc w:val="both"/>
        <w:rPr>
          <w:lang w:val="id-ID"/>
        </w:rPr>
      </w:pPr>
    </w:p>
    <w:p w14:paraId="3B61369D" w14:textId="1B78EA45" w:rsidR="00663BD8" w:rsidRDefault="00663BD8" w:rsidP="00663BD8">
      <w:pPr>
        <w:ind w:firstLine="567"/>
        <w:jc w:val="both"/>
        <w:rPr>
          <w:lang w:val="id-ID"/>
        </w:rPr>
      </w:pPr>
    </w:p>
    <w:p w14:paraId="08C02C9D" w14:textId="77777777" w:rsidR="00663BD8" w:rsidRDefault="00663BD8" w:rsidP="00663BD8">
      <w:pPr>
        <w:ind w:firstLine="567"/>
        <w:jc w:val="both"/>
        <w:rPr>
          <w:lang w:val="id-ID"/>
        </w:rPr>
      </w:pPr>
    </w:p>
    <w:p w14:paraId="5DF7C1D6" w14:textId="77777777" w:rsidR="00663BD8" w:rsidRDefault="00663BD8">
      <w:pPr>
        <w:ind w:left="708" w:right="425"/>
        <w:jc w:val="center"/>
        <w:rPr>
          <w:b/>
        </w:rPr>
      </w:pPr>
    </w:p>
    <w:p w14:paraId="7CB03D43" w14:textId="7BD6B237" w:rsidR="00663BD8" w:rsidRDefault="00663BD8">
      <w:pPr>
        <w:ind w:left="708" w:right="425"/>
        <w:jc w:val="center"/>
        <w:rPr>
          <w:noProof/>
          <w:szCs w:val="24"/>
          <w:lang w:val="id-ID" w:eastAsia="id-ID"/>
        </w:rPr>
      </w:pPr>
      <w:r>
        <w:rPr>
          <w:b/>
        </w:rPr>
        <w:t xml:space="preserve">Gambar 1. </w:t>
      </w:r>
      <w:r w:rsidRPr="00663BD8">
        <w:rPr>
          <w:b/>
          <w:bCs/>
        </w:rPr>
        <w:t xml:space="preserve">Grafik </w:t>
      </w:r>
      <w:r w:rsidRPr="00663BD8">
        <w:rPr>
          <w:b/>
          <w:bCs/>
          <w:i/>
        </w:rPr>
        <w:t>Scatterplot</w:t>
      </w:r>
    </w:p>
    <w:p w14:paraId="595F1F80" w14:textId="03C020A0" w:rsidR="00663BD8" w:rsidRDefault="00663BD8">
      <w:pPr>
        <w:ind w:left="708" w:right="425"/>
        <w:jc w:val="center"/>
        <w:rPr>
          <w:b/>
        </w:rPr>
      </w:pPr>
      <w:r>
        <w:rPr>
          <w:noProof/>
          <w:szCs w:val="24"/>
          <w:lang w:val="id-ID" w:eastAsia="id-ID"/>
        </w:rPr>
        <w:drawing>
          <wp:inline distT="0" distB="0" distL="0" distR="0" wp14:anchorId="77ADA2E7" wp14:editId="64E36C5E">
            <wp:extent cx="3641697" cy="2912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8874" cy="3013891"/>
                    </a:xfrm>
                    <a:prstGeom prst="rect">
                      <a:avLst/>
                    </a:prstGeom>
                    <a:noFill/>
                    <a:ln>
                      <a:noFill/>
                    </a:ln>
                  </pic:spPr>
                </pic:pic>
              </a:graphicData>
            </a:graphic>
          </wp:inline>
        </w:drawing>
      </w:r>
    </w:p>
    <w:p w14:paraId="4C32B612" w14:textId="0C99CFA8" w:rsidR="005267DB" w:rsidRDefault="005267DB">
      <w:pPr>
        <w:ind w:left="708" w:right="425"/>
        <w:jc w:val="center"/>
        <w:rPr>
          <w:i/>
        </w:rPr>
      </w:pPr>
    </w:p>
    <w:p w14:paraId="69E12919" w14:textId="1C9CD114" w:rsidR="00663BD8" w:rsidRDefault="00663BD8" w:rsidP="00663BD8">
      <w:pPr>
        <w:ind w:left="567" w:firstLine="567"/>
        <w:jc w:val="both"/>
        <w:rPr>
          <w:szCs w:val="24"/>
          <w:lang w:val="id-ID"/>
        </w:rPr>
      </w:pPr>
      <w:r>
        <w:rPr>
          <w:szCs w:val="24"/>
          <w:lang w:val="id-ID"/>
        </w:rPr>
        <w:t>Berdasarkan gambar 1 menunjukkan t</w:t>
      </w:r>
      <w:r w:rsidRPr="00DD1ABC">
        <w:rPr>
          <w:szCs w:val="24"/>
          <w:lang w:val="id-ID"/>
        </w:rPr>
        <w:t>itik-titik yang ada tidak membentuk pola tertentu yang teratur</w:t>
      </w:r>
      <w:r>
        <w:rPr>
          <w:szCs w:val="24"/>
          <w:lang w:val="id-ID"/>
        </w:rPr>
        <w:t xml:space="preserve"> </w:t>
      </w:r>
      <w:r w:rsidRPr="00DD1ABC">
        <w:rPr>
          <w:szCs w:val="24"/>
          <w:lang w:val="id-ID"/>
        </w:rPr>
        <w:t>(bergelombang, melebar kemudian menyempit), maka mengindikasikan tidak terjadi heteroskedastisitas</w:t>
      </w:r>
      <w:r>
        <w:rPr>
          <w:szCs w:val="24"/>
          <w:lang w:val="id-ID"/>
        </w:rPr>
        <w:t xml:space="preserve"> selain itu </w:t>
      </w:r>
      <w:r w:rsidRPr="00DD1ABC">
        <w:rPr>
          <w:szCs w:val="24"/>
          <w:lang w:val="id-ID"/>
        </w:rPr>
        <w:t xml:space="preserve">titik-titik menyebar di atas </w:t>
      </w:r>
      <w:r>
        <w:rPr>
          <w:szCs w:val="24"/>
          <w:lang w:val="id-ID"/>
        </w:rPr>
        <w:t>dan dibawah angka 0 pada sumbu Y</w:t>
      </w:r>
      <w:r w:rsidRPr="00DD1ABC">
        <w:rPr>
          <w:szCs w:val="24"/>
          <w:lang w:val="id-ID"/>
        </w:rPr>
        <w:t>, maka tidak terjadi heteroskedastisitas</w:t>
      </w:r>
      <w:r>
        <w:rPr>
          <w:szCs w:val="24"/>
          <w:lang w:val="id-ID"/>
        </w:rPr>
        <w:t>. S</w:t>
      </w:r>
      <w:r w:rsidRPr="007F03A8">
        <w:rPr>
          <w:szCs w:val="24"/>
          <w:lang w:val="id-ID"/>
        </w:rPr>
        <w:t>ehingga dap</w:t>
      </w:r>
      <w:r>
        <w:rPr>
          <w:szCs w:val="24"/>
          <w:lang w:val="id-ID"/>
        </w:rPr>
        <w:t xml:space="preserve">at </w:t>
      </w:r>
      <w:r w:rsidRPr="007F03A8">
        <w:rPr>
          <w:szCs w:val="24"/>
          <w:lang w:val="id-ID"/>
        </w:rPr>
        <w:t>disimpulkan bahwa dalam model regresi tersebut tidak terjadi heteroskedastisitas</w:t>
      </w:r>
      <w:r>
        <w:rPr>
          <w:szCs w:val="24"/>
          <w:lang w:val="id-ID"/>
        </w:rPr>
        <w:t xml:space="preserve">. </w:t>
      </w:r>
    </w:p>
    <w:p w14:paraId="470DBA0B" w14:textId="77777777" w:rsidR="00663BD8" w:rsidRDefault="00663BD8" w:rsidP="00663BD8">
      <w:pPr>
        <w:ind w:left="567" w:firstLine="567"/>
        <w:jc w:val="both"/>
        <w:rPr>
          <w:szCs w:val="24"/>
          <w:lang w:val="id-ID"/>
        </w:rPr>
      </w:pPr>
    </w:p>
    <w:p w14:paraId="551F1831" w14:textId="0040C6B2" w:rsidR="00663BD8" w:rsidRPr="00663BD8" w:rsidRDefault="00663BD8" w:rsidP="00663BD8">
      <w:pPr>
        <w:jc w:val="center"/>
        <w:rPr>
          <w:b/>
          <w:bCs/>
          <w:szCs w:val="24"/>
          <w:lang w:val="id-ID"/>
        </w:rPr>
      </w:pPr>
      <w:r w:rsidRPr="00663BD8">
        <w:rPr>
          <w:b/>
          <w:bCs/>
          <w:szCs w:val="24"/>
          <w:lang w:val="id-ID"/>
        </w:rPr>
        <w:t>Tabel 5 Hasil Analisis Berganda</w:t>
      </w:r>
    </w:p>
    <w:tbl>
      <w:tblPr>
        <w:tblW w:w="73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268"/>
        <w:gridCol w:w="709"/>
        <w:gridCol w:w="992"/>
        <w:gridCol w:w="1417"/>
        <w:gridCol w:w="709"/>
        <w:gridCol w:w="992"/>
      </w:tblGrid>
      <w:tr w:rsidR="00663BD8" w:rsidRPr="009F147D" w14:paraId="6FDD1544" w14:textId="77777777" w:rsidTr="00535B30">
        <w:trPr>
          <w:cantSplit/>
          <w:jc w:val="center"/>
        </w:trPr>
        <w:tc>
          <w:tcPr>
            <w:tcW w:w="7371" w:type="dxa"/>
            <w:gridSpan w:val="7"/>
            <w:tcBorders>
              <w:top w:val="nil"/>
              <w:left w:val="nil"/>
              <w:bottom w:val="nil"/>
              <w:right w:val="nil"/>
            </w:tcBorders>
            <w:shd w:val="clear" w:color="auto" w:fill="FFFFFF"/>
            <w:vAlign w:val="center"/>
          </w:tcPr>
          <w:p w14:paraId="2711C5C6" w14:textId="77777777" w:rsidR="00663BD8" w:rsidRPr="009F147D" w:rsidRDefault="00663BD8" w:rsidP="00535B30">
            <w:pPr>
              <w:adjustRightInd w:val="0"/>
              <w:spacing w:line="320" w:lineRule="atLeast"/>
              <w:ind w:left="60" w:right="60"/>
              <w:jc w:val="center"/>
              <w:rPr>
                <w:color w:val="000000"/>
                <w:szCs w:val="24"/>
                <w:lang w:val="id-ID"/>
              </w:rPr>
            </w:pPr>
            <w:r w:rsidRPr="009F147D">
              <w:rPr>
                <w:b/>
                <w:bCs/>
                <w:color w:val="000000"/>
                <w:szCs w:val="24"/>
                <w:lang w:val="id-ID"/>
              </w:rPr>
              <w:t>Coefficients</w:t>
            </w:r>
            <w:r w:rsidRPr="009F147D">
              <w:rPr>
                <w:b/>
                <w:bCs/>
                <w:color w:val="000000"/>
                <w:szCs w:val="24"/>
                <w:vertAlign w:val="superscript"/>
                <w:lang w:val="id-ID"/>
              </w:rPr>
              <w:t>a</w:t>
            </w:r>
          </w:p>
        </w:tc>
      </w:tr>
      <w:tr w:rsidR="00663BD8" w:rsidRPr="009F147D" w14:paraId="7AE8DD13" w14:textId="77777777" w:rsidTr="00535B30">
        <w:trPr>
          <w:cantSplit/>
          <w:jc w:val="center"/>
        </w:trPr>
        <w:tc>
          <w:tcPr>
            <w:tcW w:w="2552" w:type="dxa"/>
            <w:gridSpan w:val="2"/>
            <w:vMerge w:val="restart"/>
            <w:tcBorders>
              <w:top w:val="single" w:sz="16" w:space="0" w:color="000000"/>
              <w:left w:val="single" w:sz="16" w:space="0" w:color="000000"/>
              <w:bottom w:val="nil"/>
              <w:right w:val="nil"/>
            </w:tcBorders>
            <w:shd w:val="clear" w:color="auto" w:fill="FFFFFF"/>
            <w:vAlign w:val="center"/>
          </w:tcPr>
          <w:p w14:paraId="0F85D7D4" w14:textId="77777777" w:rsidR="00663BD8" w:rsidRPr="009F147D" w:rsidRDefault="00663BD8" w:rsidP="00663BD8">
            <w:pPr>
              <w:adjustRightInd w:val="0"/>
              <w:ind w:left="60" w:right="60"/>
              <w:jc w:val="center"/>
              <w:rPr>
                <w:color w:val="000000"/>
                <w:szCs w:val="24"/>
                <w:lang w:val="id-ID"/>
              </w:rPr>
            </w:pPr>
            <w:r w:rsidRPr="009F147D">
              <w:rPr>
                <w:color w:val="000000"/>
                <w:szCs w:val="24"/>
                <w:lang w:val="id-ID"/>
              </w:rPr>
              <w:t>Model</w:t>
            </w:r>
          </w:p>
        </w:tc>
        <w:tc>
          <w:tcPr>
            <w:tcW w:w="1701" w:type="dxa"/>
            <w:gridSpan w:val="2"/>
            <w:tcBorders>
              <w:top w:val="single" w:sz="16" w:space="0" w:color="000000"/>
              <w:left w:val="single" w:sz="16" w:space="0" w:color="000000"/>
            </w:tcBorders>
            <w:shd w:val="clear" w:color="auto" w:fill="FFFFFF"/>
            <w:vAlign w:val="center"/>
          </w:tcPr>
          <w:p w14:paraId="1CB598E4" w14:textId="77777777" w:rsidR="00663BD8" w:rsidRPr="009F147D" w:rsidRDefault="00663BD8" w:rsidP="00663BD8">
            <w:pPr>
              <w:adjustRightInd w:val="0"/>
              <w:ind w:left="60" w:right="60"/>
              <w:jc w:val="center"/>
              <w:rPr>
                <w:color w:val="000000"/>
                <w:szCs w:val="24"/>
                <w:lang w:val="id-ID"/>
              </w:rPr>
            </w:pPr>
            <w:r w:rsidRPr="009F147D">
              <w:rPr>
                <w:color w:val="000000"/>
                <w:szCs w:val="24"/>
                <w:lang w:val="id-ID"/>
              </w:rPr>
              <w:t>Unstandardized Coefficients</w:t>
            </w:r>
          </w:p>
        </w:tc>
        <w:tc>
          <w:tcPr>
            <w:tcW w:w="1417" w:type="dxa"/>
            <w:tcBorders>
              <w:top w:val="single" w:sz="16" w:space="0" w:color="000000"/>
            </w:tcBorders>
            <w:shd w:val="clear" w:color="auto" w:fill="FFFFFF"/>
            <w:vAlign w:val="bottom"/>
          </w:tcPr>
          <w:p w14:paraId="7DB71121" w14:textId="77777777" w:rsidR="00663BD8" w:rsidRPr="009F147D" w:rsidRDefault="00663BD8" w:rsidP="00663BD8">
            <w:pPr>
              <w:adjustRightInd w:val="0"/>
              <w:ind w:left="60" w:right="60"/>
              <w:jc w:val="center"/>
              <w:rPr>
                <w:color w:val="000000"/>
                <w:szCs w:val="24"/>
                <w:lang w:val="id-ID"/>
              </w:rPr>
            </w:pPr>
            <w:r w:rsidRPr="009F147D">
              <w:rPr>
                <w:color w:val="000000"/>
                <w:szCs w:val="24"/>
                <w:lang w:val="id-ID"/>
              </w:rPr>
              <w:t>Standardized Coefficients</w:t>
            </w:r>
          </w:p>
        </w:tc>
        <w:tc>
          <w:tcPr>
            <w:tcW w:w="709" w:type="dxa"/>
            <w:vMerge w:val="restart"/>
            <w:tcBorders>
              <w:top w:val="single" w:sz="16" w:space="0" w:color="000000"/>
            </w:tcBorders>
            <w:shd w:val="clear" w:color="auto" w:fill="FFFFFF"/>
            <w:vAlign w:val="center"/>
          </w:tcPr>
          <w:p w14:paraId="731928EE" w14:textId="77777777" w:rsidR="00663BD8" w:rsidRPr="009F147D" w:rsidRDefault="00663BD8" w:rsidP="00663BD8">
            <w:pPr>
              <w:adjustRightInd w:val="0"/>
              <w:ind w:left="60" w:right="60"/>
              <w:jc w:val="center"/>
              <w:rPr>
                <w:color w:val="000000"/>
                <w:szCs w:val="24"/>
                <w:lang w:val="id-ID"/>
              </w:rPr>
            </w:pPr>
            <w:r w:rsidRPr="009F147D">
              <w:rPr>
                <w:color w:val="000000"/>
                <w:szCs w:val="24"/>
                <w:lang w:val="id-ID"/>
              </w:rPr>
              <w:t>t</w:t>
            </w:r>
          </w:p>
        </w:tc>
        <w:tc>
          <w:tcPr>
            <w:tcW w:w="992" w:type="dxa"/>
            <w:vMerge w:val="restart"/>
            <w:tcBorders>
              <w:top w:val="single" w:sz="16" w:space="0" w:color="000000"/>
              <w:right w:val="single" w:sz="16" w:space="0" w:color="000000"/>
            </w:tcBorders>
            <w:shd w:val="clear" w:color="auto" w:fill="FFFFFF"/>
            <w:vAlign w:val="center"/>
          </w:tcPr>
          <w:p w14:paraId="27441BBD" w14:textId="77777777" w:rsidR="00663BD8" w:rsidRPr="009F147D" w:rsidRDefault="00663BD8" w:rsidP="00663BD8">
            <w:pPr>
              <w:adjustRightInd w:val="0"/>
              <w:ind w:left="60" w:right="60"/>
              <w:jc w:val="center"/>
              <w:rPr>
                <w:color w:val="000000"/>
                <w:szCs w:val="24"/>
                <w:lang w:val="id-ID"/>
              </w:rPr>
            </w:pPr>
            <w:r w:rsidRPr="009F147D">
              <w:rPr>
                <w:color w:val="000000"/>
                <w:szCs w:val="24"/>
                <w:lang w:val="id-ID"/>
              </w:rPr>
              <w:t>Sig.</w:t>
            </w:r>
          </w:p>
        </w:tc>
      </w:tr>
      <w:tr w:rsidR="00663BD8" w:rsidRPr="009F147D" w14:paraId="09CD1021" w14:textId="77777777" w:rsidTr="00535B30">
        <w:trPr>
          <w:cantSplit/>
          <w:jc w:val="center"/>
        </w:trPr>
        <w:tc>
          <w:tcPr>
            <w:tcW w:w="2552" w:type="dxa"/>
            <w:gridSpan w:val="2"/>
            <w:vMerge/>
            <w:tcBorders>
              <w:top w:val="single" w:sz="16" w:space="0" w:color="000000"/>
              <w:left w:val="single" w:sz="16" w:space="0" w:color="000000"/>
              <w:bottom w:val="nil"/>
              <w:right w:val="nil"/>
            </w:tcBorders>
            <w:shd w:val="clear" w:color="auto" w:fill="FFFFFF"/>
            <w:vAlign w:val="bottom"/>
          </w:tcPr>
          <w:p w14:paraId="527623AD" w14:textId="77777777" w:rsidR="00663BD8" w:rsidRPr="009F147D" w:rsidRDefault="00663BD8" w:rsidP="00663BD8">
            <w:pPr>
              <w:adjustRightInd w:val="0"/>
              <w:rPr>
                <w:color w:val="000000"/>
                <w:szCs w:val="24"/>
                <w:lang w:val="id-ID"/>
              </w:rPr>
            </w:pPr>
          </w:p>
        </w:tc>
        <w:tc>
          <w:tcPr>
            <w:tcW w:w="709" w:type="dxa"/>
            <w:tcBorders>
              <w:left w:val="single" w:sz="16" w:space="0" w:color="000000"/>
              <w:bottom w:val="single" w:sz="16" w:space="0" w:color="000000"/>
            </w:tcBorders>
            <w:shd w:val="clear" w:color="auto" w:fill="FFFFFF"/>
            <w:vAlign w:val="center"/>
          </w:tcPr>
          <w:p w14:paraId="194394C4" w14:textId="77777777" w:rsidR="00663BD8" w:rsidRPr="009F147D" w:rsidRDefault="00663BD8" w:rsidP="00663BD8">
            <w:pPr>
              <w:adjustRightInd w:val="0"/>
              <w:ind w:left="60" w:right="60"/>
              <w:jc w:val="center"/>
              <w:rPr>
                <w:color w:val="000000"/>
                <w:szCs w:val="24"/>
                <w:lang w:val="id-ID"/>
              </w:rPr>
            </w:pPr>
            <w:r w:rsidRPr="009F147D">
              <w:rPr>
                <w:color w:val="000000"/>
                <w:szCs w:val="24"/>
                <w:lang w:val="id-ID"/>
              </w:rPr>
              <w:t>B</w:t>
            </w:r>
          </w:p>
        </w:tc>
        <w:tc>
          <w:tcPr>
            <w:tcW w:w="992" w:type="dxa"/>
            <w:tcBorders>
              <w:bottom w:val="single" w:sz="16" w:space="0" w:color="000000"/>
            </w:tcBorders>
            <w:shd w:val="clear" w:color="auto" w:fill="FFFFFF"/>
            <w:vAlign w:val="center"/>
          </w:tcPr>
          <w:p w14:paraId="50AEF2C7" w14:textId="77777777" w:rsidR="00663BD8" w:rsidRPr="009F147D" w:rsidRDefault="00663BD8" w:rsidP="00663BD8">
            <w:pPr>
              <w:adjustRightInd w:val="0"/>
              <w:ind w:left="60" w:right="60"/>
              <w:jc w:val="center"/>
              <w:rPr>
                <w:color w:val="000000"/>
                <w:szCs w:val="24"/>
                <w:lang w:val="id-ID"/>
              </w:rPr>
            </w:pPr>
            <w:r w:rsidRPr="009F147D">
              <w:rPr>
                <w:color w:val="000000"/>
                <w:szCs w:val="24"/>
                <w:lang w:val="id-ID"/>
              </w:rPr>
              <w:t>Std. Error</w:t>
            </w:r>
          </w:p>
        </w:tc>
        <w:tc>
          <w:tcPr>
            <w:tcW w:w="1417" w:type="dxa"/>
            <w:tcBorders>
              <w:bottom w:val="single" w:sz="16" w:space="0" w:color="000000"/>
            </w:tcBorders>
            <w:shd w:val="clear" w:color="auto" w:fill="FFFFFF"/>
            <w:vAlign w:val="center"/>
          </w:tcPr>
          <w:p w14:paraId="62A49262" w14:textId="77777777" w:rsidR="00663BD8" w:rsidRPr="009F147D" w:rsidRDefault="00663BD8" w:rsidP="00663BD8">
            <w:pPr>
              <w:adjustRightInd w:val="0"/>
              <w:ind w:left="60" w:right="60"/>
              <w:jc w:val="center"/>
              <w:rPr>
                <w:color w:val="000000"/>
                <w:szCs w:val="24"/>
                <w:lang w:val="id-ID"/>
              </w:rPr>
            </w:pPr>
            <w:r w:rsidRPr="009F147D">
              <w:rPr>
                <w:color w:val="000000"/>
                <w:szCs w:val="24"/>
                <w:lang w:val="id-ID"/>
              </w:rPr>
              <w:t>Beta</w:t>
            </w:r>
          </w:p>
        </w:tc>
        <w:tc>
          <w:tcPr>
            <w:tcW w:w="709" w:type="dxa"/>
            <w:vMerge/>
            <w:tcBorders>
              <w:top w:val="single" w:sz="16" w:space="0" w:color="000000"/>
            </w:tcBorders>
            <w:shd w:val="clear" w:color="auto" w:fill="FFFFFF"/>
            <w:vAlign w:val="bottom"/>
          </w:tcPr>
          <w:p w14:paraId="5E90AE7D" w14:textId="77777777" w:rsidR="00663BD8" w:rsidRPr="009F147D" w:rsidRDefault="00663BD8" w:rsidP="00663BD8">
            <w:pPr>
              <w:adjustRightInd w:val="0"/>
              <w:rPr>
                <w:color w:val="000000"/>
                <w:szCs w:val="24"/>
                <w:lang w:val="id-ID"/>
              </w:rPr>
            </w:pPr>
          </w:p>
        </w:tc>
        <w:tc>
          <w:tcPr>
            <w:tcW w:w="992" w:type="dxa"/>
            <w:vMerge/>
            <w:tcBorders>
              <w:top w:val="single" w:sz="16" w:space="0" w:color="000000"/>
              <w:right w:val="single" w:sz="16" w:space="0" w:color="000000"/>
            </w:tcBorders>
            <w:shd w:val="clear" w:color="auto" w:fill="FFFFFF"/>
            <w:vAlign w:val="bottom"/>
          </w:tcPr>
          <w:p w14:paraId="6F82D909" w14:textId="77777777" w:rsidR="00663BD8" w:rsidRPr="009F147D" w:rsidRDefault="00663BD8" w:rsidP="00663BD8">
            <w:pPr>
              <w:adjustRightInd w:val="0"/>
              <w:rPr>
                <w:color w:val="000000"/>
                <w:szCs w:val="24"/>
                <w:lang w:val="id-ID"/>
              </w:rPr>
            </w:pPr>
          </w:p>
        </w:tc>
      </w:tr>
      <w:tr w:rsidR="00663BD8" w:rsidRPr="009F147D" w14:paraId="1189A3FE" w14:textId="77777777" w:rsidTr="00535B30">
        <w:trPr>
          <w:cantSplit/>
          <w:jc w:val="center"/>
        </w:trPr>
        <w:tc>
          <w:tcPr>
            <w:tcW w:w="284" w:type="dxa"/>
            <w:vMerge w:val="restart"/>
            <w:tcBorders>
              <w:top w:val="single" w:sz="16" w:space="0" w:color="000000"/>
              <w:left w:val="single" w:sz="16" w:space="0" w:color="000000"/>
              <w:bottom w:val="single" w:sz="16" w:space="0" w:color="000000"/>
              <w:right w:val="nil"/>
            </w:tcBorders>
            <w:shd w:val="clear" w:color="auto" w:fill="FFFFFF"/>
          </w:tcPr>
          <w:p w14:paraId="1AF07E29" w14:textId="77777777" w:rsidR="00663BD8" w:rsidRPr="009F147D" w:rsidRDefault="00663BD8" w:rsidP="00663BD8">
            <w:pPr>
              <w:adjustRightInd w:val="0"/>
              <w:ind w:left="60" w:right="60"/>
              <w:rPr>
                <w:color w:val="000000"/>
                <w:szCs w:val="24"/>
                <w:lang w:val="id-ID"/>
              </w:rPr>
            </w:pPr>
            <w:r w:rsidRPr="009F147D">
              <w:rPr>
                <w:color w:val="000000"/>
                <w:szCs w:val="24"/>
                <w:lang w:val="id-ID"/>
              </w:rPr>
              <w:t>1</w:t>
            </w:r>
          </w:p>
        </w:tc>
        <w:tc>
          <w:tcPr>
            <w:tcW w:w="2268" w:type="dxa"/>
            <w:tcBorders>
              <w:top w:val="single" w:sz="16" w:space="0" w:color="000000"/>
              <w:left w:val="nil"/>
              <w:bottom w:val="nil"/>
              <w:right w:val="single" w:sz="16" w:space="0" w:color="000000"/>
            </w:tcBorders>
            <w:shd w:val="clear" w:color="auto" w:fill="FFFFFF"/>
          </w:tcPr>
          <w:p w14:paraId="172498E7" w14:textId="77777777" w:rsidR="00663BD8" w:rsidRPr="009F147D" w:rsidRDefault="00663BD8" w:rsidP="00663BD8">
            <w:pPr>
              <w:adjustRightInd w:val="0"/>
              <w:ind w:left="60" w:right="60"/>
              <w:rPr>
                <w:color w:val="000000"/>
                <w:szCs w:val="24"/>
                <w:lang w:val="id-ID"/>
              </w:rPr>
            </w:pPr>
            <w:r w:rsidRPr="009F147D">
              <w:rPr>
                <w:color w:val="000000"/>
                <w:szCs w:val="24"/>
                <w:lang w:val="id-ID"/>
              </w:rPr>
              <w:t>(Constant)</w:t>
            </w:r>
          </w:p>
        </w:tc>
        <w:tc>
          <w:tcPr>
            <w:tcW w:w="709" w:type="dxa"/>
            <w:tcBorders>
              <w:top w:val="single" w:sz="16" w:space="0" w:color="000000"/>
              <w:left w:val="single" w:sz="16" w:space="0" w:color="000000"/>
              <w:bottom w:val="nil"/>
            </w:tcBorders>
            <w:shd w:val="clear" w:color="auto" w:fill="FFFFFF"/>
            <w:vAlign w:val="center"/>
          </w:tcPr>
          <w:p w14:paraId="720A9D9F"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.131</w:t>
            </w:r>
          </w:p>
        </w:tc>
        <w:tc>
          <w:tcPr>
            <w:tcW w:w="992" w:type="dxa"/>
            <w:tcBorders>
              <w:top w:val="single" w:sz="16" w:space="0" w:color="000000"/>
              <w:bottom w:val="nil"/>
            </w:tcBorders>
            <w:shd w:val="clear" w:color="auto" w:fill="FFFFFF"/>
            <w:vAlign w:val="center"/>
          </w:tcPr>
          <w:p w14:paraId="1C4DD673"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.194</w:t>
            </w:r>
          </w:p>
        </w:tc>
        <w:tc>
          <w:tcPr>
            <w:tcW w:w="1417" w:type="dxa"/>
            <w:tcBorders>
              <w:top w:val="single" w:sz="16" w:space="0" w:color="000000"/>
              <w:bottom w:val="nil"/>
            </w:tcBorders>
            <w:shd w:val="clear" w:color="auto" w:fill="FFFFFF"/>
            <w:vAlign w:val="center"/>
          </w:tcPr>
          <w:p w14:paraId="7128ACA7" w14:textId="77777777" w:rsidR="00663BD8" w:rsidRPr="009F147D" w:rsidRDefault="00663BD8" w:rsidP="00663BD8">
            <w:pPr>
              <w:adjustRightInd w:val="0"/>
              <w:rPr>
                <w:szCs w:val="24"/>
                <w:lang w:val="id-ID"/>
              </w:rPr>
            </w:pPr>
          </w:p>
        </w:tc>
        <w:tc>
          <w:tcPr>
            <w:tcW w:w="709" w:type="dxa"/>
            <w:tcBorders>
              <w:top w:val="single" w:sz="16" w:space="0" w:color="000000"/>
              <w:bottom w:val="nil"/>
            </w:tcBorders>
            <w:shd w:val="clear" w:color="auto" w:fill="FFFFFF"/>
            <w:vAlign w:val="center"/>
          </w:tcPr>
          <w:p w14:paraId="40746952"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.677</w:t>
            </w:r>
          </w:p>
        </w:tc>
        <w:tc>
          <w:tcPr>
            <w:tcW w:w="992" w:type="dxa"/>
            <w:tcBorders>
              <w:top w:val="single" w:sz="16" w:space="0" w:color="000000"/>
              <w:bottom w:val="nil"/>
              <w:right w:val="single" w:sz="16" w:space="0" w:color="000000"/>
            </w:tcBorders>
            <w:shd w:val="clear" w:color="auto" w:fill="FFFFFF"/>
            <w:vAlign w:val="center"/>
          </w:tcPr>
          <w:p w14:paraId="4CF942EF"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.502</w:t>
            </w:r>
          </w:p>
        </w:tc>
      </w:tr>
      <w:tr w:rsidR="00663BD8" w:rsidRPr="009F147D" w14:paraId="00A7190E" w14:textId="77777777" w:rsidTr="00535B30">
        <w:trPr>
          <w:cantSplit/>
          <w:jc w:val="center"/>
        </w:trPr>
        <w:tc>
          <w:tcPr>
            <w:tcW w:w="284" w:type="dxa"/>
            <w:vMerge/>
            <w:tcBorders>
              <w:top w:val="single" w:sz="16" w:space="0" w:color="000000"/>
              <w:left w:val="single" w:sz="16" w:space="0" w:color="000000"/>
              <w:bottom w:val="single" w:sz="16" w:space="0" w:color="000000"/>
              <w:right w:val="nil"/>
            </w:tcBorders>
            <w:shd w:val="clear" w:color="auto" w:fill="FFFFFF"/>
          </w:tcPr>
          <w:p w14:paraId="68650097" w14:textId="77777777" w:rsidR="00663BD8" w:rsidRPr="009F147D" w:rsidRDefault="00663BD8" w:rsidP="00663BD8">
            <w:pPr>
              <w:adjustRightInd w:val="0"/>
              <w:rPr>
                <w:color w:val="000000"/>
                <w:szCs w:val="24"/>
                <w:lang w:val="id-ID"/>
              </w:rPr>
            </w:pPr>
          </w:p>
        </w:tc>
        <w:tc>
          <w:tcPr>
            <w:tcW w:w="2268" w:type="dxa"/>
            <w:tcBorders>
              <w:top w:val="nil"/>
              <w:left w:val="nil"/>
              <w:bottom w:val="nil"/>
              <w:right w:val="single" w:sz="16" w:space="0" w:color="000000"/>
            </w:tcBorders>
            <w:shd w:val="clear" w:color="auto" w:fill="FFFFFF"/>
          </w:tcPr>
          <w:p w14:paraId="05D49F57" w14:textId="77777777" w:rsidR="00663BD8" w:rsidRPr="009F147D" w:rsidRDefault="00663BD8" w:rsidP="00663BD8">
            <w:pPr>
              <w:adjustRightInd w:val="0"/>
              <w:ind w:left="60" w:right="60"/>
              <w:rPr>
                <w:color w:val="000000"/>
                <w:szCs w:val="24"/>
                <w:lang w:val="id-ID"/>
              </w:rPr>
            </w:pPr>
            <w:r w:rsidRPr="009F147D">
              <w:rPr>
                <w:color w:val="000000"/>
                <w:szCs w:val="24"/>
                <w:lang w:val="id-ID"/>
              </w:rPr>
              <w:t>Proporsi Komisaris Independen</w:t>
            </w:r>
          </w:p>
        </w:tc>
        <w:tc>
          <w:tcPr>
            <w:tcW w:w="709" w:type="dxa"/>
            <w:tcBorders>
              <w:top w:val="nil"/>
              <w:left w:val="single" w:sz="16" w:space="0" w:color="000000"/>
              <w:bottom w:val="nil"/>
            </w:tcBorders>
            <w:shd w:val="clear" w:color="auto" w:fill="FFFFFF"/>
            <w:vAlign w:val="center"/>
          </w:tcPr>
          <w:p w14:paraId="48F17118"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-.066</w:t>
            </w:r>
          </w:p>
        </w:tc>
        <w:tc>
          <w:tcPr>
            <w:tcW w:w="992" w:type="dxa"/>
            <w:tcBorders>
              <w:top w:val="nil"/>
              <w:bottom w:val="nil"/>
            </w:tcBorders>
            <w:shd w:val="clear" w:color="auto" w:fill="FFFFFF"/>
            <w:vAlign w:val="center"/>
          </w:tcPr>
          <w:p w14:paraId="718C912A"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.281</w:t>
            </w:r>
          </w:p>
        </w:tc>
        <w:tc>
          <w:tcPr>
            <w:tcW w:w="1417" w:type="dxa"/>
            <w:tcBorders>
              <w:top w:val="nil"/>
              <w:bottom w:val="nil"/>
            </w:tcBorders>
            <w:shd w:val="clear" w:color="auto" w:fill="FFFFFF"/>
            <w:vAlign w:val="center"/>
          </w:tcPr>
          <w:p w14:paraId="38A9E43B"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-.032</w:t>
            </w:r>
          </w:p>
        </w:tc>
        <w:tc>
          <w:tcPr>
            <w:tcW w:w="709" w:type="dxa"/>
            <w:tcBorders>
              <w:top w:val="nil"/>
              <w:bottom w:val="nil"/>
            </w:tcBorders>
            <w:shd w:val="clear" w:color="auto" w:fill="FFFFFF"/>
            <w:vAlign w:val="center"/>
          </w:tcPr>
          <w:p w14:paraId="68A57B88"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-.236</w:t>
            </w:r>
          </w:p>
        </w:tc>
        <w:tc>
          <w:tcPr>
            <w:tcW w:w="992" w:type="dxa"/>
            <w:tcBorders>
              <w:top w:val="nil"/>
              <w:bottom w:val="nil"/>
              <w:right w:val="single" w:sz="16" w:space="0" w:color="000000"/>
            </w:tcBorders>
            <w:shd w:val="clear" w:color="auto" w:fill="FFFFFF"/>
            <w:vAlign w:val="center"/>
          </w:tcPr>
          <w:p w14:paraId="2F80F0EA"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.815</w:t>
            </w:r>
          </w:p>
        </w:tc>
      </w:tr>
      <w:tr w:rsidR="00663BD8" w:rsidRPr="009F147D" w14:paraId="547C79FD" w14:textId="77777777" w:rsidTr="00535B30">
        <w:trPr>
          <w:cantSplit/>
          <w:jc w:val="center"/>
        </w:trPr>
        <w:tc>
          <w:tcPr>
            <w:tcW w:w="284" w:type="dxa"/>
            <w:vMerge/>
            <w:tcBorders>
              <w:top w:val="single" w:sz="16" w:space="0" w:color="000000"/>
              <w:left w:val="single" w:sz="16" w:space="0" w:color="000000"/>
              <w:bottom w:val="single" w:sz="16" w:space="0" w:color="000000"/>
              <w:right w:val="nil"/>
            </w:tcBorders>
            <w:shd w:val="clear" w:color="auto" w:fill="FFFFFF"/>
          </w:tcPr>
          <w:p w14:paraId="2578CB9C" w14:textId="77777777" w:rsidR="00663BD8" w:rsidRPr="009F147D" w:rsidRDefault="00663BD8" w:rsidP="00663BD8">
            <w:pPr>
              <w:adjustRightInd w:val="0"/>
              <w:rPr>
                <w:color w:val="000000"/>
                <w:szCs w:val="24"/>
                <w:lang w:val="id-ID"/>
              </w:rPr>
            </w:pPr>
          </w:p>
        </w:tc>
        <w:tc>
          <w:tcPr>
            <w:tcW w:w="2268" w:type="dxa"/>
            <w:tcBorders>
              <w:top w:val="nil"/>
              <w:left w:val="nil"/>
              <w:bottom w:val="nil"/>
              <w:right w:val="single" w:sz="16" w:space="0" w:color="000000"/>
            </w:tcBorders>
            <w:shd w:val="clear" w:color="auto" w:fill="FFFFFF"/>
          </w:tcPr>
          <w:p w14:paraId="2627E8E1" w14:textId="77777777" w:rsidR="00663BD8" w:rsidRPr="009F147D" w:rsidRDefault="00663BD8" w:rsidP="00663BD8">
            <w:pPr>
              <w:adjustRightInd w:val="0"/>
              <w:ind w:left="60" w:right="60"/>
              <w:rPr>
                <w:color w:val="000000"/>
                <w:szCs w:val="24"/>
                <w:lang w:val="id-ID"/>
              </w:rPr>
            </w:pPr>
            <w:r w:rsidRPr="009F147D">
              <w:rPr>
                <w:color w:val="000000"/>
                <w:szCs w:val="24"/>
                <w:lang w:val="id-ID"/>
              </w:rPr>
              <w:t>Ukuran</w:t>
            </w:r>
            <w:r>
              <w:rPr>
                <w:color w:val="000000"/>
                <w:szCs w:val="24"/>
                <w:lang w:val="id-ID"/>
              </w:rPr>
              <w:t xml:space="preserve"> Dewan Komisaris</w:t>
            </w:r>
          </w:p>
        </w:tc>
        <w:tc>
          <w:tcPr>
            <w:tcW w:w="709" w:type="dxa"/>
            <w:tcBorders>
              <w:top w:val="nil"/>
              <w:left w:val="single" w:sz="16" w:space="0" w:color="000000"/>
              <w:bottom w:val="nil"/>
            </w:tcBorders>
            <w:shd w:val="clear" w:color="auto" w:fill="FFFFFF"/>
            <w:vAlign w:val="center"/>
          </w:tcPr>
          <w:p w14:paraId="641DD079"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-.027</w:t>
            </w:r>
          </w:p>
        </w:tc>
        <w:tc>
          <w:tcPr>
            <w:tcW w:w="992" w:type="dxa"/>
            <w:tcBorders>
              <w:top w:val="nil"/>
              <w:bottom w:val="nil"/>
            </w:tcBorders>
            <w:shd w:val="clear" w:color="auto" w:fill="FFFFFF"/>
            <w:vAlign w:val="center"/>
          </w:tcPr>
          <w:p w14:paraId="66D39426"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.031</w:t>
            </w:r>
          </w:p>
        </w:tc>
        <w:tc>
          <w:tcPr>
            <w:tcW w:w="1417" w:type="dxa"/>
            <w:tcBorders>
              <w:top w:val="nil"/>
              <w:bottom w:val="nil"/>
            </w:tcBorders>
            <w:shd w:val="clear" w:color="auto" w:fill="FFFFFF"/>
            <w:vAlign w:val="center"/>
          </w:tcPr>
          <w:p w14:paraId="5DE76466"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 -.172</w:t>
            </w:r>
          </w:p>
        </w:tc>
        <w:tc>
          <w:tcPr>
            <w:tcW w:w="709" w:type="dxa"/>
            <w:tcBorders>
              <w:top w:val="nil"/>
              <w:bottom w:val="nil"/>
            </w:tcBorders>
            <w:shd w:val="clear" w:color="auto" w:fill="FFFFFF"/>
            <w:vAlign w:val="center"/>
          </w:tcPr>
          <w:p w14:paraId="11037ACB"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-.861</w:t>
            </w:r>
          </w:p>
        </w:tc>
        <w:tc>
          <w:tcPr>
            <w:tcW w:w="992" w:type="dxa"/>
            <w:tcBorders>
              <w:top w:val="nil"/>
              <w:bottom w:val="nil"/>
              <w:right w:val="single" w:sz="16" w:space="0" w:color="000000"/>
            </w:tcBorders>
            <w:shd w:val="clear" w:color="auto" w:fill="FFFFFF"/>
            <w:vAlign w:val="center"/>
          </w:tcPr>
          <w:p w14:paraId="4D8A7A23"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.395</w:t>
            </w:r>
          </w:p>
        </w:tc>
      </w:tr>
      <w:tr w:rsidR="00663BD8" w:rsidRPr="009F147D" w14:paraId="62508214" w14:textId="77777777" w:rsidTr="00535B30">
        <w:trPr>
          <w:cantSplit/>
          <w:jc w:val="center"/>
        </w:trPr>
        <w:tc>
          <w:tcPr>
            <w:tcW w:w="284" w:type="dxa"/>
            <w:vMerge/>
            <w:tcBorders>
              <w:top w:val="single" w:sz="16" w:space="0" w:color="000000"/>
              <w:left w:val="single" w:sz="16" w:space="0" w:color="000000"/>
              <w:bottom w:val="single" w:sz="16" w:space="0" w:color="000000"/>
              <w:right w:val="nil"/>
            </w:tcBorders>
            <w:shd w:val="clear" w:color="auto" w:fill="FFFFFF"/>
          </w:tcPr>
          <w:p w14:paraId="4660C09E" w14:textId="77777777" w:rsidR="00663BD8" w:rsidRPr="009F147D" w:rsidRDefault="00663BD8" w:rsidP="00663BD8">
            <w:pPr>
              <w:adjustRightInd w:val="0"/>
              <w:rPr>
                <w:color w:val="000000"/>
                <w:szCs w:val="24"/>
                <w:lang w:val="id-ID"/>
              </w:rPr>
            </w:pPr>
          </w:p>
        </w:tc>
        <w:tc>
          <w:tcPr>
            <w:tcW w:w="2268" w:type="dxa"/>
            <w:tcBorders>
              <w:top w:val="nil"/>
              <w:left w:val="nil"/>
              <w:bottom w:val="nil"/>
              <w:right w:val="single" w:sz="16" w:space="0" w:color="000000"/>
            </w:tcBorders>
            <w:shd w:val="clear" w:color="auto" w:fill="FFFFFF"/>
          </w:tcPr>
          <w:p w14:paraId="08CA41D9" w14:textId="77777777" w:rsidR="00663BD8" w:rsidRPr="009F147D" w:rsidRDefault="00663BD8" w:rsidP="00663BD8">
            <w:pPr>
              <w:adjustRightInd w:val="0"/>
              <w:ind w:left="60" w:right="60"/>
              <w:rPr>
                <w:color w:val="000000"/>
                <w:szCs w:val="24"/>
                <w:lang w:val="id-ID"/>
              </w:rPr>
            </w:pPr>
            <w:r w:rsidRPr="009F147D">
              <w:rPr>
                <w:color w:val="000000"/>
                <w:szCs w:val="24"/>
                <w:lang w:val="id-ID"/>
              </w:rPr>
              <w:t xml:space="preserve">Ukuran </w:t>
            </w:r>
            <w:r>
              <w:rPr>
                <w:color w:val="000000"/>
                <w:szCs w:val="24"/>
                <w:lang w:val="id-ID"/>
              </w:rPr>
              <w:t>Komite Audit</w:t>
            </w:r>
          </w:p>
        </w:tc>
        <w:tc>
          <w:tcPr>
            <w:tcW w:w="709" w:type="dxa"/>
            <w:tcBorders>
              <w:top w:val="nil"/>
              <w:left w:val="single" w:sz="16" w:space="0" w:color="000000"/>
              <w:bottom w:val="nil"/>
            </w:tcBorders>
            <w:shd w:val="clear" w:color="auto" w:fill="FFFFFF"/>
            <w:vAlign w:val="center"/>
          </w:tcPr>
          <w:p w14:paraId="524CCA25" w14:textId="77777777" w:rsidR="00663BD8" w:rsidRPr="009F147D" w:rsidRDefault="00663BD8" w:rsidP="00663BD8">
            <w:pPr>
              <w:adjustRightInd w:val="0"/>
              <w:ind w:left="60" w:right="60"/>
              <w:jc w:val="right"/>
              <w:rPr>
                <w:color w:val="000000"/>
                <w:szCs w:val="24"/>
                <w:lang w:val="id-ID"/>
              </w:rPr>
            </w:pPr>
            <w:r>
              <w:rPr>
                <w:color w:val="000000"/>
                <w:szCs w:val="24"/>
                <w:lang w:val="id-ID"/>
              </w:rPr>
              <w:t>.165</w:t>
            </w:r>
          </w:p>
        </w:tc>
        <w:tc>
          <w:tcPr>
            <w:tcW w:w="992" w:type="dxa"/>
            <w:tcBorders>
              <w:top w:val="nil"/>
              <w:bottom w:val="nil"/>
            </w:tcBorders>
            <w:shd w:val="clear" w:color="auto" w:fill="FFFFFF"/>
            <w:vAlign w:val="center"/>
          </w:tcPr>
          <w:p w14:paraId="66F3BCA3" w14:textId="77777777" w:rsidR="00663BD8" w:rsidRPr="009F147D" w:rsidRDefault="00663BD8" w:rsidP="00663BD8">
            <w:pPr>
              <w:adjustRightInd w:val="0"/>
              <w:ind w:left="60" w:right="60"/>
              <w:jc w:val="right"/>
              <w:rPr>
                <w:color w:val="000000"/>
                <w:szCs w:val="24"/>
                <w:lang w:val="id-ID"/>
              </w:rPr>
            </w:pPr>
            <w:r>
              <w:rPr>
                <w:color w:val="000000"/>
                <w:szCs w:val="24"/>
                <w:lang w:val="id-ID"/>
              </w:rPr>
              <w:t>.045</w:t>
            </w:r>
          </w:p>
        </w:tc>
        <w:tc>
          <w:tcPr>
            <w:tcW w:w="1417" w:type="dxa"/>
            <w:tcBorders>
              <w:top w:val="nil"/>
              <w:bottom w:val="nil"/>
            </w:tcBorders>
            <w:shd w:val="clear" w:color="auto" w:fill="FFFFFF"/>
            <w:vAlign w:val="center"/>
          </w:tcPr>
          <w:p w14:paraId="2F98B932" w14:textId="77777777" w:rsidR="00663BD8" w:rsidRPr="009F147D" w:rsidRDefault="00663BD8" w:rsidP="00663BD8">
            <w:pPr>
              <w:adjustRightInd w:val="0"/>
              <w:ind w:left="60" w:right="60"/>
              <w:jc w:val="right"/>
              <w:rPr>
                <w:color w:val="000000"/>
                <w:szCs w:val="24"/>
                <w:lang w:val="id-ID"/>
              </w:rPr>
            </w:pPr>
            <w:r>
              <w:rPr>
                <w:color w:val="000000"/>
                <w:szCs w:val="24"/>
                <w:lang w:val="id-ID"/>
              </w:rPr>
              <w:t>.586</w:t>
            </w:r>
          </w:p>
        </w:tc>
        <w:tc>
          <w:tcPr>
            <w:tcW w:w="709" w:type="dxa"/>
            <w:tcBorders>
              <w:top w:val="nil"/>
              <w:bottom w:val="nil"/>
            </w:tcBorders>
            <w:shd w:val="clear" w:color="auto" w:fill="FFFFFF"/>
            <w:vAlign w:val="center"/>
          </w:tcPr>
          <w:p w14:paraId="11056FEF" w14:textId="77777777" w:rsidR="00663BD8" w:rsidRPr="009F147D" w:rsidRDefault="00663BD8" w:rsidP="00663BD8">
            <w:pPr>
              <w:adjustRightInd w:val="0"/>
              <w:ind w:left="60" w:right="60"/>
              <w:jc w:val="right"/>
              <w:rPr>
                <w:color w:val="000000"/>
                <w:szCs w:val="24"/>
                <w:lang w:val="id-ID"/>
              </w:rPr>
            </w:pPr>
            <w:r>
              <w:rPr>
                <w:color w:val="000000"/>
                <w:szCs w:val="24"/>
                <w:lang w:val="id-ID"/>
              </w:rPr>
              <w:t>3.693</w:t>
            </w:r>
          </w:p>
        </w:tc>
        <w:tc>
          <w:tcPr>
            <w:tcW w:w="992" w:type="dxa"/>
            <w:tcBorders>
              <w:top w:val="nil"/>
              <w:bottom w:val="nil"/>
              <w:right w:val="single" w:sz="16" w:space="0" w:color="000000"/>
            </w:tcBorders>
            <w:shd w:val="clear" w:color="auto" w:fill="FFFFFF"/>
            <w:vAlign w:val="center"/>
          </w:tcPr>
          <w:p w14:paraId="18A3E337" w14:textId="77777777" w:rsidR="00663BD8" w:rsidRPr="009F147D" w:rsidRDefault="00663BD8" w:rsidP="00663BD8">
            <w:pPr>
              <w:adjustRightInd w:val="0"/>
              <w:ind w:left="60" w:right="60"/>
              <w:jc w:val="right"/>
              <w:rPr>
                <w:color w:val="000000"/>
                <w:szCs w:val="24"/>
                <w:lang w:val="id-ID"/>
              </w:rPr>
            </w:pPr>
            <w:r>
              <w:rPr>
                <w:color w:val="000000"/>
                <w:szCs w:val="24"/>
                <w:lang w:val="id-ID"/>
              </w:rPr>
              <w:t>.001</w:t>
            </w:r>
          </w:p>
        </w:tc>
      </w:tr>
      <w:tr w:rsidR="00663BD8" w:rsidRPr="009F147D" w14:paraId="2FC8DB9A" w14:textId="77777777" w:rsidTr="00535B30">
        <w:trPr>
          <w:cantSplit/>
          <w:jc w:val="center"/>
        </w:trPr>
        <w:tc>
          <w:tcPr>
            <w:tcW w:w="284" w:type="dxa"/>
            <w:vMerge/>
            <w:tcBorders>
              <w:top w:val="single" w:sz="16" w:space="0" w:color="000000"/>
              <w:left w:val="single" w:sz="16" w:space="0" w:color="000000"/>
              <w:bottom w:val="single" w:sz="16" w:space="0" w:color="000000"/>
              <w:right w:val="nil"/>
            </w:tcBorders>
            <w:shd w:val="clear" w:color="auto" w:fill="FFFFFF"/>
          </w:tcPr>
          <w:p w14:paraId="459B35F2" w14:textId="77777777" w:rsidR="00663BD8" w:rsidRPr="009F147D" w:rsidRDefault="00663BD8" w:rsidP="00663BD8">
            <w:pPr>
              <w:adjustRightInd w:val="0"/>
              <w:rPr>
                <w:color w:val="000000"/>
                <w:szCs w:val="24"/>
                <w:lang w:val="id-ID"/>
              </w:rPr>
            </w:pPr>
          </w:p>
        </w:tc>
        <w:tc>
          <w:tcPr>
            <w:tcW w:w="2268" w:type="dxa"/>
            <w:tcBorders>
              <w:top w:val="nil"/>
              <w:left w:val="nil"/>
              <w:bottom w:val="single" w:sz="16" w:space="0" w:color="000000"/>
              <w:right w:val="single" w:sz="16" w:space="0" w:color="000000"/>
            </w:tcBorders>
            <w:shd w:val="clear" w:color="auto" w:fill="FFFFFF"/>
          </w:tcPr>
          <w:p w14:paraId="6E716857" w14:textId="77777777" w:rsidR="00663BD8" w:rsidRPr="009F147D" w:rsidRDefault="00663BD8" w:rsidP="00663BD8">
            <w:pPr>
              <w:adjustRightInd w:val="0"/>
              <w:ind w:left="60" w:right="60"/>
              <w:rPr>
                <w:color w:val="000000"/>
                <w:szCs w:val="24"/>
                <w:lang w:val="id-ID"/>
              </w:rPr>
            </w:pPr>
            <w:r w:rsidRPr="009F147D">
              <w:rPr>
                <w:color w:val="000000"/>
                <w:szCs w:val="24"/>
                <w:lang w:val="id-ID"/>
              </w:rPr>
              <w:t>Kepemilikan Manajerial</w:t>
            </w:r>
          </w:p>
        </w:tc>
        <w:tc>
          <w:tcPr>
            <w:tcW w:w="709" w:type="dxa"/>
            <w:tcBorders>
              <w:top w:val="nil"/>
              <w:left w:val="single" w:sz="16" w:space="0" w:color="000000"/>
              <w:bottom w:val="single" w:sz="16" w:space="0" w:color="000000"/>
            </w:tcBorders>
            <w:shd w:val="clear" w:color="auto" w:fill="FFFFFF"/>
            <w:vAlign w:val="center"/>
          </w:tcPr>
          <w:p w14:paraId="0FBCD33C"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.311</w:t>
            </w:r>
          </w:p>
        </w:tc>
        <w:tc>
          <w:tcPr>
            <w:tcW w:w="992" w:type="dxa"/>
            <w:tcBorders>
              <w:top w:val="nil"/>
              <w:bottom w:val="single" w:sz="16" w:space="0" w:color="000000"/>
            </w:tcBorders>
            <w:shd w:val="clear" w:color="auto" w:fill="FFFFFF"/>
            <w:vAlign w:val="center"/>
          </w:tcPr>
          <w:p w14:paraId="5A006190"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.269</w:t>
            </w:r>
          </w:p>
        </w:tc>
        <w:tc>
          <w:tcPr>
            <w:tcW w:w="1417" w:type="dxa"/>
            <w:tcBorders>
              <w:top w:val="nil"/>
              <w:bottom w:val="single" w:sz="16" w:space="0" w:color="000000"/>
            </w:tcBorders>
            <w:shd w:val="clear" w:color="auto" w:fill="FFFFFF"/>
            <w:vAlign w:val="center"/>
          </w:tcPr>
          <w:p w14:paraId="5BABB710"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.223</w:t>
            </w:r>
          </w:p>
        </w:tc>
        <w:tc>
          <w:tcPr>
            <w:tcW w:w="709" w:type="dxa"/>
            <w:tcBorders>
              <w:top w:val="nil"/>
              <w:bottom w:val="single" w:sz="16" w:space="0" w:color="000000"/>
            </w:tcBorders>
            <w:shd w:val="clear" w:color="auto" w:fill="FFFFFF"/>
            <w:vAlign w:val="center"/>
          </w:tcPr>
          <w:p w14:paraId="659AD446"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1.153</w:t>
            </w:r>
          </w:p>
        </w:tc>
        <w:tc>
          <w:tcPr>
            <w:tcW w:w="992" w:type="dxa"/>
            <w:tcBorders>
              <w:top w:val="nil"/>
              <w:bottom w:val="single" w:sz="16" w:space="0" w:color="000000"/>
              <w:right w:val="single" w:sz="16" w:space="0" w:color="000000"/>
            </w:tcBorders>
            <w:shd w:val="clear" w:color="auto" w:fill="FFFFFF"/>
            <w:vAlign w:val="center"/>
          </w:tcPr>
          <w:p w14:paraId="7FCE7E1B" w14:textId="77777777" w:rsidR="00663BD8" w:rsidRPr="009F147D" w:rsidRDefault="00663BD8" w:rsidP="00663BD8">
            <w:pPr>
              <w:adjustRightInd w:val="0"/>
              <w:ind w:left="60" w:right="60"/>
              <w:jc w:val="right"/>
              <w:rPr>
                <w:color w:val="000000"/>
                <w:szCs w:val="24"/>
                <w:lang w:val="id-ID"/>
              </w:rPr>
            </w:pPr>
            <w:r w:rsidRPr="000D19D2">
              <w:rPr>
                <w:color w:val="000000"/>
                <w:szCs w:val="24"/>
                <w:lang w:val="id-ID"/>
              </w:rPr>
              <w:t>.256</w:t>
            </w:r>
          </w:p>
        </w:tc>
      </w:tr>
      <w:tr w:rsidR="00663BD8" w:rsidRPr="009F147D" w14:paraId="00027A1C" w14:textId="77777777" w:rsidTr="00535B30">
        <w:trPr>
          <w:cantSplit/>
          <w:jc w:val="center"/>
        </w:trPr>
        <w:tc>
          <w:tcPr>
            <w:tcW w:w="7371" w:type="dxa"/>
            <w:gridSpan w:val="7"/>
            <w:tcBorders>
              <w:top w:val="nil"/>
              <w:left w:val="nil"/>
              <w:bottom w:val="nil"/>
              <w:right w:val="nil"/>
            </w:tcBorders>
            <w:shd w:val="clear" w:color="auto" w:fill="FFFFFF"/>
            <w:vAlign w:val="center"/>
          </w:tcPr>
          <w:p w14:paraId="479D7E48" w14:textId="77777777" w:rsidR="00663BD8" w:rsidRPr="009F147D" w:rsidRDefault="00663BD8" w:rsidP="00535B30">
            <w:pPr>
              <w:adjustRightInd w:val="0"/>
              <w:spacing w:line="320" w:lineRule="atLeast"/>
              <w:ind w:left="60" w:right="60"/>
              <w:rPr>
                <w:color w:val="000000"/>
                <w:szCs w:val="24"/>
                <w:lang w:val="id-ID"/>
              </w:rPr>
            </w:pPr>
            <w:r w:rsidRPr="009F147D">
              <w:rPr>
                <w:color w:val="000000"/>
                <w:szCs w:val="24"/>
                <w:lang w:val="id-ID"/>
              </w:rPr>
              <w:t>a. Dependent Variable: CSR</w:t>
            </w:r>
          </w:p>
        </w:tc>
      </w:tr>
    </w:tbl>
    <w:p w14:paraId="24FF71F0" w14:textId="77777777" w:rsidR="00663BD8" w:rsidRDefault="00663BD8" w:rsidP="00663BD8">
      <w:pPr>
        <w:ind w:left="567" w:firstLine="567"/>
        <w:jc w:val="both"/>
        <w:rPr>
          <w:szCs w:val="24"/>
          <w:lang w:val="id-ID"/>
        </w:rPr>
      </w:pPr>
    </w:p>
    <w:p w14:paraId="72E1D34D" w14:textId="77777777" w:rsidR="00117AEC" w:rsidRDefault="00117AEC" w:rsidP="00117AEC">
      <w:pPr>
        <w:pStyle w:val="ListParagraph"/>
        <w:ind w:firstLine="567"/>
        <w:jc w:val="both"/>
        <w:rPr>
          <w:szCs w:val="24"/>
          <w:lang w:val="id-ID"/>
        </w:rPr>
      </w:pPr>
      <w:r w:rsidRPr="009F147D">
        <w:rPr>
          <w:szCs w:val="24"/>
          <w:lang w:val="id-ID"/>
        </w:rPr>
        <w:t xml:space="preserve">Hasil analisis regresi berganda pada Tabel </w:t>
      </w:r>
      <w:r>
        <w:rPr>
          <w:szCs w:val="24"/>
          <w:lang w:val="id-ID"/>
        </w:rPr>
        <w:t>4.</w:t>
      </w:r>
      <w:r w:rsidRPr="009F147D">
        <w:rPr>
          <w:szCs w:val="24"/>
          <w:lang w:val="id-ID"/>
        </w:rPr>
        <w:t>7 menunjukkan nilai kon</w:t>
      </w:r>
      <w:r>
        <w:rPr>
          <w:szCs w:val="24"/>
          <w:lang w:val="id-ID"/>
        </w:rPr>
        <w:t>s</w:t>
      </w:r>
      <w:r w:rsidRPr="009F147D">
        <w:rPr>
          <w:szCs w:val="24"/>
          <w:lang w:val="id-ID"/>
        </w:rPr>
        <w:t>tanta sebesar 0,</w:t>
      </w:r>
      <w:r>
        <w:rPr>
          <w:szCs w:val="24"/>
          <w:lang w:val="id-ID"/>
        </w:rPr>
        <w:t xml:space="preserve">131 (Positif). </w:t>
      </w:r>
      <w:r w:rsidRPr="009F147D">
        <w:rPr>
          <w:szCs w:val="24"/>
          <w:lang w:val="id-ID"/>
        </w:rPr>
        <w:t xml:space="preserve">Nilai konstanta menggambarkan </w:t>
      </w:r>
      <w:r>
        <w:rPr>
          <w:szCs w:val="24"/>
          <w:lang w:val="id-ID"/>
        </w:rPr>
        <w:t>pengungkapan CSR</w:t>
      </w:r>
      <w:r w:rsidRPr="009F147D">
        <w:rPr>
          <w:szCs w:val="24"/>
          <w:lang w:val="id-ID"/>
        </w:rPr>
        <w:t xml:space="preserve"> sebelum adanya pengaruh dari variabel independen. Selanjutnya dari tabel diatas diartikan sebagai berikut:</w:t>
      </w:r>
    </w:p>
    <w:p w14:paraId="5C741899" w14:textId="77777777" w:rsidR="00117AEC" w:rsidRDefault="00117AEC" w:rsidP="00117AEC">
      <w:pPr>
        <w:pStyle w:val="ListParagraph"/>
        <w:widowControl/>
        <w:numPr>
          <w:ilvl w:val="0"/>
          <w:numId w:val="3"/>
        </w:numPr>
        <w:autoSpaceDE/>
        <w:autoSpaceDN/>
        <w:ind w:left="284" w:hanging="284"/>
        <w:contextualSpacing/>
        <w:jc w:val="both"/>
        <w:rPr>
          <w:szCs w:val="24"/>
          <w:lang w:val="id-ID"/>
        </w:rPr>
      </w:pPr>
      <w:r w:rsidRPr="00114562">
        <w:rPr>
          <w:szCs w:val="24"/>
          <w:lang w:val="id-ID"/>
        </w:rPr>
        <w:t xml:space="preserve">Nilai koefisien </w:t>
      </w:r>
      <w:r>
        <w:rPr>
          <w:szCs w:val="24"/>
          <w:lang w:val="id-ID"/>
        </w:rPr>
        <w:t>variabel proporsi komisaris independen</w:t>
      </w:r>
      <w:r w:rsidRPr="00114562">
        <w:rPr>
          <w:szCs w:val="24"/>
          <w:lang w:val="id-ID"/>
        </w:rPr>
        <w:t xml:space="preserve"> bernilai </w:t>
      </w:r>
      <w:r>
        <w:rPr>
          <w:szCs w:val="24"/>
          <w:lang w:val="id-ID"/>
        </w:rPr>
        <w:t xml:space="preserve">negatif </w:t>
      </w:r>
      <w:r w:rsidRPr="00114562">
        <w:rPr>
          <w:szCs w:val="24"/>
          <w:lang w:val="id-ID"/>
        </w:rPr>
        <w:t>sebesar 0,</w:t>
      </w:r>
      <w:r>
        <w:rPr>
          <w:szCs w:val="24"/>
          <w:lang w:val="id-ID"/>
        </w:rPr>
        <w:t>066</w:t>
      </w:r>
      <w:r w:rsidRPr="00114562">
        <w:rPr>
          <w:szCs w:val="24"/>
          <w:lang w:val="id-ID"/>
        </w:rPr>
        <w:t xml:space="preserve">, artinya jika </w:t>
      </w:r>
      <w:r>
        <w:rPr>
          <w:szCs w:val="24"/>
          <w:lang w:val="id-ID"/>
        </w:rPr>
        <w:t xml:space="preserve">proporsi komisaris independen </w:t>
      </w:r>
      <w:r w:rsidRPr="00114562">
        <w:rPr>
          <w:szCs w:val="24"/>
          <w:lang w:val="id-ID"/>
        </w:rPr>
        <w:t xml:space="preserve">perusahaan meningkat, maka skor indeks pengungkapan </w:t>
      </w:r>
      <w:r>
        <w:rPr>
          <w:szCs w:val="24"/>
          <w:lang w:val="id-ID"/>
        </w:rPr>
        <w:t>CSR</w:t>
      </w:r>
      <w:r w:rsidRPr="00114562">
        <w:rPr>
          <w:szCs w:val="24"/>
          <w:lang w:val="id-ID"/>
        </w:rPr>
        <w:t xml:space="preserve"> juga akan </w:t>
      </w:r>
      <w:r>
        <w:rPr>
          <w:szCs w:val="24"/>
          <w:lang w:val="id-ID"/>
        </w:rPr>
        <w:t>berkurang sebesar 0,066 satuan.</w:t>
      </w:r>
    </w:p>
    <w:p w14:paraId="6CE08783" w14:textId="77777777" w:rsidR="00117AEC" w:rsidRPr="00A476F3" w:rsidRDefault="00117AEC" w:rsidP="00117AEC">
      <w:pPr>
        <w:pStyle w:val="ListParagraph"/>
        <w:widowControl/>
        <w:numPr>
          <w:ilvl w:val="0"/>
          <w:numId w:val="3"/>
        </w:numPr>
        <w:autoSpaceDE/>
        <w:autoSpaceDN/>
        <w:ind w:left="284" w:hanging="284"/>
        <w:contextualSpacing/>
        <w:jc w:val="both"/>
        <w:rPr>
          <w:szCs w:val="24"/>
          <w:lang w:val="id-ID"/>
        </w:rPr>
      </w:pPr>
      <w:r w:rsidRPr="00A476F3">
        <w:rPr>
          <w:szCs w:val="24"/>
          <w:lang w:val="id-ID"/>
        </w:rPr>
        <w:lastRenderedPageBreak/>
        <w:t xml:space="preserve">Nilai koefisien </w:t>
      </w:r>
      <w:r>
        <w:rPr>
          <w:szCs w:val="24"/>
          <w:lang w:val="id-ID"/>
        </w:rPr>
        <w:t>ukuran dewan komisaris bernilai negatif sebesar 0,027</w:t>
      </w:r>
      <w:r w:rsidRPr="00A476F3">
        <w:rPr>
          <w:szCs w:val="24"/>
          <w:lang w:val="id-ID"/>
        </w:rPr>
        <w:t xml:space="preserve">, artinya jika ukuran dewan komisaris perusahaan meningkat, maka skor indeks pengungkapan </w:t>
      </w:r>
      <w:r>
        <w:rPr>
          <w:szCs w:val="24"/>
          <w:lang w:val="id-ID"/>
        </w:rPr>
        <w:t>CSR</w:t>
      </w:r>
      <w:r w:rsidRPr="00A476F3">
        <w:rPr>
          <w:szCs w:val="24"/>
          <w:lang w:val="id-ID"/>
        </w:rPr>
        <w:t xml:space="preserve"> j</w:t>
      </w:r>
      <w:r>
        <w:rPr>
          <w:szCs w:val="24"/>
          <w:lang w:val="id-ID"/>
        </w:rPr>
        <w:t>uga akan berkurang sebesar 0,027</w:t>
      </w:r>
      <w:r w:rsidRPr="00A476F3">
        <w:rPr>
          <w:szCs w:val="24"/>
          <w:lang w:val="id-ID"/>
        </w:rPr>
        <w:t>.</w:t>
      </w:r>
    </w:p>
    <w:p w14:paraId="7CBB95F0" w14:textId="77777777" w:rsidR="00117AEC" w:rsidRDefault="00117AEC" w:rsidP="00117AEC">
      <w:pPr>
        <w:pStyle w:val="ListParagraph"/>
        <w:widowControl/>
        <w:numPr>
          <w:ilvl w:val="0"/>
          <w:numId w:val="3"/>
        </w:numPr>
        <w:autoSpaceDE/>
        <w:autoSpaceDN/>
        <w:ind w:left="284" w:hanging="284"/>
        <w:contextualSpacing/>
        <w:jc w:val="both"/>
        <w:rPr>
          <w:szCs w:val="24"/>
          <w:lang w:val="id-ID"/>
        </w:rPr>
      </w:pPr>
      <w:r w:rsidRPr="00A476F3">
        <w:rPr>
          <w:szCs w:val="24"/>
          <w:lang w:val="id-ID"/>
        </w:rPr>
        <w:t xml:space="preserve">Nilai koefisien </w:t>
      </w:r>
      <w:r>
        <w:rPr>
          <w:szCs w:val="24"/>
          <w:lang w:val="id-ID"/>
        </w:rPr>
        <w:t>ukuran komite audit</w:t>
      </w:r>
      <w:r w:rsidRPr="00A476F3">
        <w:rPr>
          <w:szCs w:val="24"/>
          <w:lang w:val="id-ID"/>
        </w:rPr>
        <w:t xml:space="preserve"> bernilai </w:t>
      </w:r>
      <w:r>
        <w:rPr>
          <w:szCs w:val="24"/>
          <w:lang w:val="id-ID"/>
        </w:rPr>
        <w:t>positif sebesar 0,165</w:t>
      </w:r>
      <w:r w:rsidRPr="00A476F3">
        <w:rPr>
          <w:szCs w:val="24"/>
          <w:lang w:val="id-ID"/>
        </w:rPr>
        <w:t xml:space="preserve">, artinya jika ukuran komite audit perusahaan meningkat, maka skor indeks pengungkapan </w:t>
      </w:r>
      <w:r>
        <w:rPr>
          <w:szCs w:val="24"/>
          <w:lang w:val="id-ID"/>
        </w:rPr>
        <w:t>CSR akan bertambah sebesar 0,165 satuan</w:t>
      </w:r>
      <w:r w:rsidRPr="00A476F3">
        <w:rPr>
          <w:szCs w:val="24"/>
          <w:lang w:val="id-ID"/>
        </w:rPr>
        <w:t xml:space="preserve">.  </w:t>
      </w:r>
    </w:p>
    <w:p w14:paraId="43740103" w14:textId="77777777" w:rsidR="00117AEC" w:rsidRPr="00A476F3" w:rsidRDefault="00117AEC" w:rsidP="00117AEC">
      <w:pPr>
        <w:pStyle w:val="ListParagraph"/>
        <w:widowControl/>
        <w:numPr>
          <w:ilvl w:val="0"/>
          <w:numId w:val="3"/>
        </w:numPr>
        <w:autoSpaceDE/>
        <w:autoSpaceDN/>
        <w:ind w:left="284" w:hanging="284"/>
        <w:contextualSpacing/>
        <w:jc w:val="both"/>
        <w:rPr>
          <w:szCs w:val="24"/>
          <w:lang w:val="id-ID"/>
        </w:rPr>
      </w:pPr>
      <w:r w:rsidRPr="00A476F3">
        <w:rPr>
          <w:szCs w:val="24"/>
          <w:lang w:val="id-ID"/>
        </w:rPr>
        <w:t xml:space="preserve">Nilai koefisien </w:t>
      </w:r>
      <w:r>
        <w:rPr>
          <w:szCs w:val="24"/>
          <w:lang w:val="id-ID"/>
        </w:rPr>
        <w:t>kepemilikan manajerial</w:t>
      </w:r>
      <w:r w:rsidRPr="00A476F3">
        <w:rPr>
          <w:szCs w:val="24"/>
          <w:lang w:val="id-ID"/>
        </w:rPr>
        <w:t xml:space="preserve"> bernilai positif sebesa</w:t>
      </w:r>
      <w:r>
        <w:rPr>
          <w:szCs w:val="24"/>
          <w:lang w:val="id-ID"/>
        </w:rPr>
        <w:t>r 0,311</w:t>
      </w:r>
      <w:r w:rsidRPr="00A476F3">
        <w:rPr>
          <w:szCs w:val="24"/>
          <w:lang w:val="id-ID"/>
        </w:rPr>
        <w:t xml:space="preserve">, artinya jika </w:t>
      </w:r>
      <w:r>
        <w:rPr>
          <w:szCs w:val="24"/>
          <w:lang w:val="id-ID"/>
        </w:rPr>
        <w:t>kepemilikan manajerial</w:t>
      </w:r>
      <w:r w:rsidRPr="00A476F3">
        <w:rPr>
          <w:szCs w:val="24"/>
          <w:lang w:val="id-ID"/>
        </w:rPr>
        <w:t xml:space="preserve"> perusahaan meningkat, maka skor indeks pengungkapan CSR ju</w:t>
      </w:r>
      <w:r>
        <w:rPr>
          <w:szCs w:val="24"/>
          <w:lang w:val="id-ID"/>
        </w:rPr>
        <w:t>ga akan meningkat sebesar 0,311.</w:t>
      </w:r>
    </w:p>
    <w:p w14:paraId="49D0DB84" w14:textId="39B152B9" w:rsidR="00F62FE6" w:rsidRPr="00F62FE6" w:rsidRDefault="00117AEC" w:rsidP="00F62FE6">
      <w:pPr>
        <w:jc w:val="center"/>
        <w:rPr>
          <w:b/>
          <w:bCs/>
          <w:lang w:val="id-ID"/>
        </w:rPr>
      </w:pPr>
      <w:r w:rsidRPr="00117AEC">
        <w:rPr>
          <w:b/>
          <w:bCs/>
          <w:lang w:val="id-ID"/>
        </w:rPr>
        <w:t>Tabel 6 Hasil Uji Parsial (Uji t)</w:t>
      </w:r>
    </w:p>
    <w:tbl>
      <w:tblPr>
        <w:tblpPr w:leftFromText="180" w:rightFromText="180" w:vertAnchor="text" w:tblpX="1134" w:tblpY="1"/>
        <w:tblOverlap w:val="never"/>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268"/>
        <w:gridCol w:w="709"/>
        <w:gridCol w:w="992"/>
        <w:gridCol w:w="1417"/>
        <w:gridCol w:w="709"/>
        <w:gridCol w:w="992"/>
      </w:tblGrid>
      <w:tr w:rsidR="00F62FE6" w:rsidRPr="009F147D" w14:paraId="5CD2882C" w14:textId="77777777" w:rsidTr="00F62FE6">
        <w:trPr>
          <w:cantSplit/>
        </w:trPr>
        <w:tc>
          <w:tcPr>
            <w:tcW w:w="7371" w:type="dxa"/>
            <w:gridSpan w:val="7"/>
            <w:tcBorders>
              <w:top w:val="nil"/>
              <w:left w:val="nil"/>
              <w:bottom w:val="nil"/>
              <w:right w:val="nil"/>
            </w:tcBorders>
            <w:shd w:val="clear" w:color="auto" w:fill="FFFFFF"/>
            <w:vAlign w:val="center"/>
          </w:tcPr>
          <w:p w14:paraId="6C82465E" w14:textId="77777777" w:rsidR="00F62FE6" w:rsidRPr="009F147D" w:rsidRDefault="00F62FE6" w:rsidP="00F62FE6">
            <w:pPr>
              <w:adjustRightInd w:val="0"/>
              <w:ind w:left="60" w:right="60"/>
              <w:jc w:val="center"/>
              <w:rPr>
                <w:color w:val="000000"/>
                <w:szCs w:val="24"/>
                <w:lang w:val="id-ID"/>
              </w:rPr>
            </w:pPr>
            <w:r w:rsidRPr="009F147D">
              <w:rPr>
                <w:b/>
                <w:bCs/>
                <w:color w:val="000000"/>
                <w:szCs w:val="24"/>
                <w:lang w:val="id-ID"/>
              </w:rPr>
              <w:t>Coefficients</w:t>
            </w:r>
            <w:r w:rsidRPr="009F147D">
              <w:rPr>
                <w:b/>
                <w:bCs/>
                <w:color w:val="000000"/>
                <w:szCs w:val="24"/>
                <w:vertAlign w:val="superscript"/>
                <w:lang w:val="id-ID"/>
              </w:rPr>
              <w:t>a</w:t>
            </w:r>
          </w:p>
        </w:tc>
      </w:tr>
      <w:tr w:rsidR="00F62FE6" w:rsidRPr="009F147D" w14:paraId="589BE2B9" w14:textId="77777777" w:rsidTr="00F62FE6">
        <w:trPr>
          <w:cantSplit/>
        </w:trPr>
        <w:tc>
          <w:tcPr>
            <w:tcW w:w="2552" w:type="dxa"/>
            <w:gridSpan w:val="2"/>
            <w:vMerge w:val="restart"/>
            <w:tcBorders>
              <w:top w:val="single" w:sz="16" w:space="0" w:color="000000"/>
              <w:left w:val="single" w:sz="16" w:space="0" w:color="000000"/>
              <w:bottom w:val="nil"/>
              <w:right w:val="nil"/>
            </w:tcBorders>
            <w:shd w:val="clear" w:color="auto" w:fill="FFFFFF"/>
            <w:vAlign w:val="center"/>
          </w:tcPr>
          <w:p w14:paraId="13BEDBED" w14:textId="77777777" w:rsidR="00F62FE6" w:rsidRPr="009F147D" w:rsidRDefault="00F62FE6" w:rsidP="00F62FE6">
            <w:pPr>
              <w:adjustRightInd w:val="0"/>
              <w:ind w:left="60" w:right="60"/>
              <w:jc w:val="center"/>
              <w:rPr>
                <w:color w:val="000000"/>
                <w:szCs w:val="24"/>
                <w:lang w:val="id-ID"/>
              </w:rPr>
            </w:pPr>
            <w:r w:rsidRPr="009F147D">
              <w:rPr>
                <w:color w:val="000000"/>
                <w:szCs w:val="24"/>
                <w:lang w:val="id-ID"/>
              </w:rPr>
              <w:t>Model</w:t>
            </w:r>
          </w:p>
        </w:tc>
        <w:tc>
          <w:tcPr>
            <w:tcW w:w="1701" w:type="dxa"/>
            <w:gridSpan w:val="2"/>
            <w:tcBorders>
              <w:top w:val="single" w:sz="16" w:space="0" w:color="000000"/>
              <w:left w:val="single" w:sz="16" w:space="0" w:color="000000"/>
            </w:tcBorders>
            <w:shd w:val="clear" w:color="auto" w:fill="FFFFFF"/>
            <w:vAlign w:val="center"/>
          </w:tcPr>
          <w:p w14:paraId="1C07C1B5" w14:textId="77777777" w:rsidR="00F62FE6" w:rsidRPr="009F147D" w:rsidRDefault="00F62FE6" w:rsidP="00F62FE6">
            <w:pPr>
              <w:adjustRightInd w:val="0"/>
              <w:ind w:left="60" w:right="60"/>
              <w:jc w:val="center"/>
              <w:rPr>
                <w:color w:val="000000"/>
                <w:szCs w:val="24"/>
                <w:lang w:val="id-ID"/>
              </w:rPr>
            </w:pPr>
            <w:r w:rsidRPr="009F147D">
              <w:rPr>
                <w:color w:val="000000"/>
                <w:szCs w:val="24"/>
                <w:lang w:val="id-ID"/>
              </w:rPr>
              <w:t>Unstandardized Coefficients</w:t>
            </w:r>
          </w:p>
        </w:tc>
        <w:tc>
          <w:tcPr>
            <w:tcW w:w="1417" w:type="dxa"/>
            <w:tcBorders>
              <w:top w:val="single" w:sz="16" w:space="0" w:color="000000"/>
            </w:tcBorders>
            <w:shd w:val="clear" w:color="auto" w:fill="FFFFFF"/>
            <w:vAlign w:val="bottom"/>
          </w:tcPr>
          <w:p w14:paraId="709EEF7A" w14:textId="77777777" w:rsidR="00F62FE6" w:rsidRPr="009F147D" w:rsidRDefault="00F62FE6" w:rsidP="00F62FE6">
            <w:pPr>
              <w:adjustRightInd w:val="0"/>
              <w:ind w:left="60" w:right="60"/>
              <w:jc w:val="center"/>
              <w:rPr>
                <w:color w:val="000000"/>
                <w:szCs w:val="24"/>
                <w:lang w:val="id-ID"/>
              </w:rPr>
            </w:pPr>
            <w:r w:rsidRPr="009F147D">
              <w:rPr>
                <w:color w:val="000000"/>
                <w:szCs w:val="24"/>
                <w:lang w:val="id-ID"/>
              </w:rPr>
              <w:t>Standardized Coefficients</w:t>
            </w:r>
          </w:p>
        </w:tc>
        <w:tc>
          <w:tcPr>
            <w:tcW w:w="709" w:type="dxa"/>
            <w:vMerge w:val="restart"/>
            <w:tcBorders>
              <w:top w:val="single" w:sz="16" w:space="0" w:color="000000"/>
            </w:tcBorders>
            <w:shd w:val="clear" w:color="auto" w:fill="FFFFFF"/>
            <w:vAlign w:val="center"/>
          </w:tcPr>
          <w:p w14:paraId="1C561A67" w14:textId="77777777" w:rsidR="00F62FE6" w:rsidRPr="009F147D" w:rsidRDefault="00F62FE6" w:rsidP="00F62FE6">
            <w:pPr>
              <w:adjustRightInd w:val="0"/>
              <w:ind w:left="60" w:right="60"/>
              <w:jc w:val="center"/>
              <w:rPr>
                <w:color w:val="000000"/>
                <w:szCs w:val="24"/>
                <w:lang w:val="id-ID"/>
              </w:rPr>
            </w:pPr>
            <w:r w:rsidRPr="009F147D">
              <w:rPr>
                <w:color w:val="000000"/>
                <w:szCs w:val="24"/>
                <w:lang w:val="id-ID"/>
              </w:rPr>
              <w:t>t</w:t>
            </w:r>
          </w:p>
        </w:tc>
        <w:tc>
          <w:tcPr>
            <w:tcW w:w="992" w:type="dxa"/>
            <w:vMerge w:val="restart"/>
            <w:tcBorders>
              <w:top w:val="single" w:sz="16" w:space="0" w:color="000000"/>
              <w:right w:val="single" w:sz="16" w:space="0" w:color="000000"/>
            </w:tcBorders>
            <w:shd w:val="clear" w:color="auto" w:fill="FFFFFF"/>
            <w:vAlign w:val="center"/>
          </w:tcPr>
          <w:p w14:paraId="2E3F974B" w14:textId="77777777" w:rsidR="00F62FE6" w:rsidRPr="009F147D" w:rsidRDefault="00F62FE6" w:rsidP="00F62FE6">
            <w:pPr>
              <w:adjustRightInd w:val="0"/>
              <w:ind w:left="60" w:right="60"/>
              <w:jc w:val="center"/>
              <w:rPr>
                <w:color w:val="000000"/>
                <w:szCs w:val="24"/>
                <w:lang w:val="id-ID"/>
              </w:rPr>
            </w:pPr>
            <w:r w:rsidRPr="009F147D">
              <w:rPr>
                <w:color w:val="000000"/>
                <w:szCs w:val="24"/>
                <w:lang w:val="id-ID"/>
              </w:rPr>
              <w:t>Sig.</w:t>
            </w:r>
          </w:p>
        </w:tc>
      </w:tr>
      <w:tr w:rsidR="00F62FE6" w:rsidRPr="009F147D" w14:paraId="33E259FA" w14:textId="77777777" w:rsidTr="00F62FE6">
        <w:trPr>
          <w:cantSplit/>
        </w:trPr>
        <w:tc>
          <w:tcPr>
            <w:tcW w:w="2552" w:type="dxa"/>
            <w:gridSpan w:val="2"/>
            <w:vMerge/>
            <w:tcBorders>
              <w:top w:val="single" w:sz="16" w:space="0" w:color="000000"/>
              <w:left w:val="single" w:sz="16" w:space="0" w:color="000000"/>
              <w:bottom w:val="nil"/>
              <w:right w:val="nil"/>
            </w:tcBorders>
            <w:shd w:val="clear" w:color="auto" w:fill="FFFFFF"/>
            <w:vAlign w:val="bottom"/>
          </w:tcPr>
          <w:p w14:paraId="6F55C22C" w14:textId="77777777" w:rsidR="00F62FE6" w:rsidRPr="009F147D" w:rsidRDefault="00F62FE6" w:rsidP="00F62FE6">
            <w:pPr>
              <w:adjustRightInd w:val="0"/>
              <w:rPr>
                <w:color w:val="000000"/>
                <w:szCs w:val="24"/>
                <w:lang w:val="id-ID"/>
              </w:rPr>
            </w:pPr>
          </w:p>
        </w:tc>
        <w:tc>
          <w:tcPr>
            <w:tcW w:w="709" w:type="dxa"/>
            <w:tcBorders>
              <w:left w:val="single" w:sz="16" w:space="0" w:color="000000"/>
              <w:bottom w:val="single" w:sz="16" w:space="0" w:color="000000"/>
            </w:tcBorders>
            <w:shd w:val="clear" w:color="auto" w:fill="FFFFFF"/>
            <w:vAlign w:val="center"/>
          </w:tcPr>
          <w:p w14:paraId="48071290" w14:textId="77777777" w:rsidR="00F62FE6" w:rsidRPr="009F147D" w:rsidRDefault="00F62FE6" w:rsidP="00F62FE6">
            <w:pPr>
              <w:adjustRightInd w:val="0"/>
              <w:ind w:left="60" w:right="60"/>
              <w:jc w:val="center"/>
              <w:rPr>
                <w:color w:val="000000"/>
                <w:szCs w:val="24"/>
                <w:lang w:val="id-ID"/>
              </w:rPr>
            </w:pPr>
            <w:r w:rsidRPr="009F147D">
              <w:rPr>
                <w:color w:val="000000"/>
                <w:szCs w:val="24"/>
                <w:lang w:val="id-ID"/>
              </w:rPr>
              <w:t>B</w:t>
            </w:r>
          </w:p>
        </w:tc>
        <w:tc>
          <w:tcPr>
            <w:tcW w:w="992" w:type="dxa"/>
            <w:tcBorders>
              <w:bottom w:val="single" w:sz="16" w:space="0" w:color="000000"/>
            </w:tcBorders>
            <w:shd w:val="clear" w:color="auto" w:fill="FFFFFF"/>
            <w:vAlign w:val="center"/>
          </w:tcPr>
          <w:p w14:paraId="525FEC76" w14:textId="77777777" w:rsidR="00F62FE6" w:rsidRPr="009F147D" w:rsidRDefault="00F62FE6" w:rsidP="00F62FE6">
            <w:pPr>
              <w:adjustRightInd w:val="0"/>
              <w:ind w:left="60" w:right="60"/>
              <w:jc w:val="center"/>
              <w:rPr>
                <w:color w:val="000000"/>
                <w:szCs w:val="24"/>
                <w:lang w:val="id-ID"/>
              </w:rPr>
            </w:pPr>
            <w:r w:rsidRPr="009F147D">
              <w:rPr>
                <w:color w:val="000000"/>
                <w:szCs w:val="24"/>
                <w:lang w:val="id-ID"/>
              </w:rPr>
              <w:t>Std. Error</w:t>
            </w:r>
          </w:p>
        </w:tc>
        <w:tc>
          <w:tcPr>
            <w:tcW w:w="1417" w:type="dxa"/>
            <w:tcBorders>
              <w:bottom w:val="single" w:sz="16" w:space="0" w:color="000000"/>
            </w:tcBorders>
            <w:shd w:val="clear" w:color="auto" w:fill="FFFFFF"/>
            <w:vAlign w:val="center"/>
          </w:tcPr>
          <w:p w14:paraId="44FF5604" w14:textId="77777777" w:rsidR="00F62FE6" w:rsidRPr="009F147D" w:rsidRDefault="00F62FE6" w:rsidP="00F62FE6">
            <w:pPr>
              <w:adjustRightInd w:val="0"/>
              <w:ind w:left="60" w:right="60"/>
              <w:jc w:val="center"/>
              <w:rPr>
                <w:color w:val="000000"/>
                <w:szCs w:val="24"/>
                <w:lang w:val="id-ID"/>
              </w:rPr>
            </w:pPr>
            <w:r w:rsidRPr="009F147D">
              <w:rPr>
                <w:color w:val="000000"/>
                <w:szCs w:val="24"/>
                <w:lang w:val="id-ID"/>
              </w:rPr>
              <w:t>Beta</w:t>
            </w:r>
          </w:p>
        </w:tc>
        <w:tc>
          <w:tcPr>
            <w:tcW w:w="709" w:type="dxa"/>
            <w:vMerge/>
            <w:tcBorders>
              <w:top w:val="single" w:sz="16" w:space="0" w:color="000000"/>
            </w:tcBorders>
            <w:shd w:val="clear" w:color="auto" w:fill="FFFFFF"/>
            <w:vAlign w:val="bottom"/>
          </w:tcPr>
          <w:p w14:paraId="1293A78E" w14:textId="77777777" w:rsidR="00F62FE6" w:rsidRPr="009F147D" w:rsidRDefault="00F62FE6" w:rsidP="00F62FE6">
            <w:pPr>
              <w:adjustRightInd w:val="0"/>
              <w:rPr>
                <w:color w:val="000000"/>
                <w:szCs w:val="24"/>
                <w:lang w:val="id-ID"/>
              </w:rPr>
            </w:pPr>
          </w:p>
        </w:tc>
        <w:tc>
          <w:tcPr>
            <w:tcW w:w="992" w:type="dxa"/>
            <w:vMerge/>
            <w:tcBorders>
              <w:top w:val="single" w:sz="16" w:space="0" w:color="000000"/>
              <w:right w:val="single" w:sz="16" w:space="0" w:color="000000"/>
            </w:tcBorders>
            <w:shd w:val="clear" w:color="auto" w:fill="FFFFFF"/>
            <w:vAlign w:val="bottom"/>
          </w:tcPr>
          <w:p w14:paraId="458FACBB" w14:textId="77777777" w:rsidR="00F62FE6" w:rsidRPr="009F147D" w:rsidRDefault="00F62FE6" w:rsidP="00F62FE6">
            <w:pPr>
              <w:adjustRightInd w:val="0"/>
              <w:rPr>
                <w:color w:val="000000"/>
                <w:szCs w:val="24"/>
                <w:lang w:val="id-ID"/>
              </w:rPr>
            </w:pPr>
          </w:p>
        </w:tc>
      </w:tr>
      <w:tr w:rsidR="00F62FE6" w:rsidRPr="009F147D" w14:paraId="25F8E0AC" w14:textId="77777777" w:rsidTr="00F62FE6">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tcPr>
          <w:p w14:paraId="0DA28FB5" w14:textId="77777777" w:rsidR="00F62FE6" w:rsidRPr="009F147D" w:rsidRDefault="00F62FE6" w:rsidP="00F62FE6">
            <w:pPr>
              <w:adjustRightInd w:val="0"/>
              <w:ind w:left="60" w:right="60"/>
              <w:rPr>
                <w:color w:val="000000"/>
                <w:szCs w:val="24"/>
                <w:lang w:val="id-ID"/>
              </w:rPr>
            </w:pPr>
            <w:r w:rsidRPr="009F147D">
              <w:rPr>
                <w:color w:val="000000"/>
                <w:szCs w:val="24"/>
                <w:lang w:val="id-ID"/>
              </w:rPr>
              <w:t>1</w:t>
            </w:r>
          </w:p>
        </w:tc>
        <w:tc>
          <w:tcPr>
            <w:tcW w:w="2268" w:type="dxa"/>
            <w:tcBorders>
              <w:top w:val="single" w:sz="16" w:space="0" w:color="000000"/>
              <w:left w:val="nil"/>
              <w:bottom w:val="nil"/>
              <w:right w:val="single" w:sz="16" w:space="0" w:color="000000"/>
            </w:tcBorders>
            <w:shd w:val="clear" w:color="auto" w:fill="FFFFFF"/>
          </w:tcPr>
          <w:p w14:paraId="306FDBF6" w14:textId="77777777" w:rsidR="00F62FE6" w:rsidRPr="009F147D" w:rsidRDefault="00F62FE6" w:rsidP="00F62FE6">
            <w:pPr>
              <w:adjustRightInd w:val="0"/>
              <w:ind w:left="60" w:right="60"/>
              <w:rPr>
                <w:color w:val="000000"/>
                <w:szCs w:val="24"/>
                <w:lang w:val="id-ID"/>
              </w:rPr>
            </w:pPr>
            <w:r w:rsidRPr="009F147D">
              <w:rPr>
                <w:color w:val="000000"/>
                <w:szCs w:val="24"/>
                <w:lang w:val="id-ID"/>
              </w:rPr>
              <w:t>(Constant)</w:t>
            </w:r>
          </w:p>
        </w:tc>
        <w:tc>
          <w:tcPr>
            <w:tcW w:w="709" w:type="dxa"/>
            <w:tcBorders>
              <w:top w:val="single" w:sz="16" w:space="0" w:color="000000"/>
              <w:left w:val="single" w:sz="16" w:space="0" w:color="000000"/>
              <w:bottom w:val="nil"/>
            </w:tcBorders>
            <w:shd w:val="clear" w:color="auto" w:fill="FFFFFF"/>
            <w:vAlign w:val="center"/>
          </w:tcPr>
          <w:p w14:paraId="4E56319A"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.131</w:t>
            </w:r>
          </w:p>
        </w:tc>
        <w:tc>
          <w:tcPr>
            <w:tcW w:w="992" w:type="dxa"/>
            <w:tcBorders>
              <w:top w:val="single" w:sz="16" w:space="0" w:color="000000"/>
              <w:bottom w:val="nil"/>
            </w:tcBorders>
            <w:shd w:val="clear" w:color="auto" w:fill="FFFFFF"/>
            <w:vAlign w:val="center"/>
          </w:tcPr>
          <w:p w14:paraId="5BB9B47D"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.194</w:t>
            </w:r>
          </w:p>
        </w:tc>
        <w:tc>
          <w:tcPr>
            <w:tcW w:w="1417" w:type="dxa"/>
            <w:tcBorders>
              <w:top w:val="single" w:sz="16" w:space="0" w:color="000000"/>
              <w:bottom w:val="nil"/>
            </w:tcBorders>
            <w:shd w:val="clear" w:color="auto" w:fill="FFFFFF"/>
            <w:vAlign w:val="center"/>
          </w:tcPr>
          <w:p w14:paraId="7E4E0D8D" w14:textId="77777777" w:rsidR="00F62FE6" w:rsidRPr="008A5074" w:rsidRDefault="00F62FE6" w:rsidP="00F62FE6">
            <w:pPr>
              <w:adjustRightInd w:val="0"/>
              <w:rPr>
                <w:szCs w:val="24"/>
                <w:lang w:val="id-ID"/>
              </w:rPr>
            </w:pPr>
          </w:p>
        </w:tc>
        <w:tc>
          <w:tcPr>
            <w:tcW w:w="709" w:type="dxa"/>
            <w:tcBorders>
              <w:top w:val="single" w:sz="16" w:space="0" w:color="000000"/>
              <w:bottom w:val="nil"/>
            </w:tcBorders>
            <w:shd w:val="clear" w:color="auto" w:fill="FFFFFF"/>
            <w:vAlign w:val="center"/>
          </w:tcPr>
          <w:p w14:paraId="136ADAE1"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.677</w:t>
            </w:r>
          </w:p>
        </w:tc>
        <w:tc>
          <w:tcPr>
            <w:tcW w:w="992" w:type="dxa"/>
            <w:tcBorders>
              <w:top w:val="single" w:sz="16" w:space="0" w:color="000000"/>
              <w:bottom w:val="nil"/>
              <w:right w:val="single" w:sz="16" w:space="0" w:color="000000"/>
            </w:tcBorders>
            <w:shd w:val="clear" w:color="auto" w:fill="FFFFFF"/>
            <w:vAlign w:val="center"/>
          </w:tcPr>
          <w:p w14:paraId="055B9893"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.502</w:t>
            </w:r>
          </w:p>
        </w:tc>
      </w:tr>
      <w:tr w:rsidR="00F62FE6" w:rsidRPr="009F147D" w14:paraId="6B943B0E" w14:textId="77777777" w:rsidTr="00F62FE6">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14:paraId="57CFF2D6" w14:textId="77777777" w:rsidR="00F62FE6" w:rsidRPr="009F147D" w:rsidRDefault="00F62FE6" w:rsidP="00F62FE6">
            <w:pPr>
              <w:adjustRightInd w:val="0"/>
              <w:rPr>
                <w:color w:val="000000"/>
                <w:szCs w:val="24"/>
                <w:lang w:val="id-ID"/>
              </w:rPr>
            </w:pPr>
          </w:p>
        </w:tc>
        <w:tc>
          <w:tcPr>
            <w:tcW w:w="2268" w:type="dxa"/>
            <w:tcBorders>
              <w:top w:val="nil"/>
              <w:left w:val="nil"/>
              <w:bottom w:val="nil"/>
              <w:right w:val="single" w:sz="16" w:space="0" w:color="000000"/>
            </w:tcBorders>
            <w:shd w:val="clear" w:color="auto" w:fill="FFFFFF"/>
          </w:tcPr>
          <w:p w14:paraId="5FA3D91A" w14:textId="77777777" w:rsidR="00F62FE6" w:rsidRPr="009F147D" w:rsidRDefault="00F62FE6" w:rsidP="00F62FE6">
            <w:pPr>
              <w:adjustRightInd w:val="0"/>
              <w:ind w:left="60" w:right="60"/>
              <w:rPr>
                <w:color w:val="000000"/>
                <w:szCs w:val="24"/>
                <w:lang w:val="id-ID"/>
              </w:rPr>
            </w:pPr>
            <w:r w:rsidRPr="009F147D">
              <w:rPr>
                <w:color w:val="000000"/>
                <w:szCs w:val="24"/>
                <w:lang w:val="id-ID"/>
              </w:rPr>
              <w:t>Proporsi Komisaris Independen</w:t>
            </w:r>
          </w:p>
        </w:tc>
        <w:tc>
          <w:tcPr>
            <w:tcW w:w="709" w:type="dxa"/>
            <w:tcBorders>
              <w:top w:val="nil"/>
              <w:left w:val="single" w:sz="16" w:space="0" w:color="000000"/>
              <w:bottom w:val="nil"/>
            </w:tcBorders>
            <w:shd w:val="clear" w:color="auto" w:fill="FFFFFF"/>
            <w:vAlign w:val="center"/>
          </w:tcPr>
          <w:p w14:paraId="2BCCA0B9"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-.066</w:t>
            </w:r>
          </w:p>
        </w:tc>
        <w:tc>
          <w:tcPr>
            <w:tcW w:w="992" w:type="dxa"/>
            <w:tcBorders>
              <w:top w:val="nil"/>
              <w:bottom w:val="nil"/>
            </w:tcBorders>
            <w:shd w:val="clear" w:color="auto" w:fill="FFFFFF"/>
            <w:vAlign w:val="center"/>
          </w:tcPr>
          <w:p w14:paraId="643EB0B9"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.281</w:t>
            </w:r>
          </w:p>
        </w:tc>
        <w:tc>
          <w:tcPr>
            <w:tcW w:w="1417" w:type="dxa"/>
            <w:tcBorders>
              <w:top w:val="nil"/>
              <w:bottom w:val="nil"/>
            </w:tcBorders>
            <w:shd w:val="clear" w:color="auto" w:fill="FFFFFF"/>
            <w:vAlign w:val="center"/>
          </w:tcPr>
          <w:p w14:paraId="540E890A"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-.032</w:t>
            </w:r>
          </w:p>
        </w:tc>
        <w:tc>
          <w:tcPr>
            <w:tcW w:w="709" w:type="dxa"/>
            <w:tcBorders>
              <w:top w:val="nil"/>
              <w:bottom w:val="nil"/>
            </w:tcBorders>
            <w:shd w:val="clear" w:color="auto" w:fill="FFFFFF"/>
            <w:vAlign w:val="center"/>
          </w:tcPr>
          <w:p w14:paraId="4CAC2AAF"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-.236</w:t>
            </w:r>
          </w:p>
        </w:tc>
        <w:tc>
          <w:tcPr>
            <w:tcW w:w="992" w:type="dxa"/>
            <w:tcBorders>
              <w:top w:val="nil"/>
              <w:bottom w:val="nil"/>
              <w:right w:val="single" w:sz="16" w:space="0" w:color="000000"/>
            </w:tcBorders>
            <w:shd w:val="clear" w:color="auto" w:fill="FFFFFF"/>
            <w:vAlign w:val="center"/>
          </w:tcPr>
          <w:p w14:paraId="03EE648E"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.815</w:t>
            </w:r>
          </w:p>
        </w:tc>
      </w:tr>
      <w:tr w:rsidR="00F62FE6" w:rsidRPr="009F147D" w14:paraId="37C7119F" w14:textId="77777777" w:rsidTr="00F62FE6">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14:paraId="30AA6D04" w14:textId="77777777" w:rsidR="00F62FE6" w:rsidRPr="009F147D" w:rsidRDefault="00F62FE6" w:rsidP="00F62FE6">
            <w:pPr>
              <w:adjustRightInd w:val="0"/>
              <w:rPr>
                <w:color w:val="000000"/>
                <w:szCs w:val="24"/>
                <w:lang w:val="id-ID"/>
              </w:rPr>
            </w:pPr>
          </w:p>
        </w:tc>
        <w:tc>
          <w:tcPr>
            <w:tcW w:w="2268" w:type="dxa"/>
            <w:tcBorders>
              <w:top w:val="nil"/>
              <w:left w:val="nil"/>
              <w:bottom w:val="nil"/>
              <w:right w:val="single" w:sz="16" w:space="0" w:color="000000"/>
            </w:tcBorders>
            <w:shd w:val="clear" w:color="auto" w:fill="FFFFFF"/>
          </w:tcPr>
          <w:p w14:paraId="1524FFB5" w14:textId="77777777" w:rsidR="00F62FE6" w:rsidRPr="009F147D" w:rsidRDefault="00F62FE6" w:rsidP="00F62FE6">
            <w:pPr>
              <w:adjustRightInd w:val="0"/>
              <w:ind w:left="60" w:right="60"/>
              <w:rPr>
                <w:color w:val="000000"/>
                <w:szCs w:val="24"/>
                <w:lang w:val="id-ID"/>
              </w:rPr>
            </w:pPr>
            <w:r w:rsidRPr="009F147D">
              <w:rPr>
                <w:color w:val="000000"/>
                <w:szCs w:val="24"/>
                <w:lang w:val="id-ID"/>
              </w:rPr>
              <w:t xml:space="preserve">Ukuran </w:t>
            </w:r>
            <w:r>
              <w:rPr>
                <w:color w:val="000000"/>
                <w:szCs w:val="24"/>
                <w:lang w:val="id-ID"/>
              </w:rPr>
              <w:t>Dewan Komisaris</w:t>
            </w:r>
          </w:p>
        </w:tc>
        <w:tc>
          <w:tcPr>
            <w:tcW w:w="709" w:type="dxa"/>
            <w:tcBorders>
              <w:top w:val="nil"/>
              <w:left w:val="single" w:sz="16" w:space="0" w:color="000000"/>
              <w:bottom w:val="nil"/>
            </w:tcBorders>
            <w:shd w:val="clear" w:color="auto" w:fill="FFFFFF"/>
            <w:vAlign w:val="center"/>
          </w:tcPr>
          <w:p w14:paraId="477280A5"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-.027</w:t>
            </w:r>
          </w:p>
        </w:tc>
        <w:tc>
          <w:tcPr>
            <w:tcW w:w="992" w:type="dxa"/>
            <w:tcBorders>
              <w:top w:val="nil"/>
              <w:bottom w:val="nil"/>
            </w:tcBorders>
            <w:shd w:val="clear" w:color="auto" w:fill="FFFFFF"/>
            <w:vAlign w:val="center"/>
          </w:tcPr>
          <w:p w14:paraId="0EBE1522"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.031</w:t>
            </w:r>
          </w:p>
        </w:tc>
        <w:tc>
          <w:tcPr>
            <w:tcW w:w="1417" w:type="dxa"/>
            <w:tcBorders>
              <w:top w:val="nil"/>
              <w:bottom w:val="nil"/>
            </w:tcBorders>
            <w:shd w:val="clear" w:color="auto" w:fill="FFFFFF"/>
            <w:vAlign w:val="center"/>
          </w:tcPr>
          <w:p w14:paraId="2D3D6F00"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-.172</w:t>
            </w:r>
          </w:p>
        </w:tc>
        <w:tc>
          <w:tcPr>
            <w:tcW w:w="709" w:type="dxa"/>
            <w:tcBorders>
              <w:top w:val="nil"/>
              <w:bottom w:val="nil"/>
            </w:tcBorders>
            <w:shd w:val="clear" w:color="auto" w:fill="FFFFFF"/>
            <w:vAlign w:val="center"/>
          </w:tcPr>
          <w:p w14:paraId="28D82EF0"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-.861</w:t>
            </w:r>
          </w:p>
        </w:tc>
        <w:tc>
          <w:tcPr>
            <w:tcW w:w="992" w:type="dxa"/>
            <w:tcBorders>
              <w:top w:val="nil"/>
              <w:bottom w:val="nil"/>
              <w:right w:val="single" w:sz="16" w:space="0" w:color="000000"/>
            </w:tcBorders>
            <w:shd w:val="clear" w:color="auto" w:fill="FFFFFF"/>
            <w:vAlign w:val="center"/>
          </w:tcPr>
          <w:p w14:paraId="088D8229"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.395</w:t>
            </w:r>
          </w:p>
        </w:tc>
      </w:tr>
      <w:tr w:rsidR="00F62FE6" w:rsidRPr="009F147D" w14:paraId="3289C31A" w14:textId="77777777" w:rsidTr="00F62FE6">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14:paraId="6AFBD979" w14:textId="77777777" w:rsidR="00F62FE6" w:rsidRPr="009F147D" w:rsidRDefault="00F62FE6" w:rsidP="00F62FE6">
            <w:pPr>
              <w:adjustRightInd w:val="0"/>
              <w:rPr>
                <w:color w:val="000000"/>
                <w:szCs w:val="24"/>
                <w:lang w:val="id-ID"/>
              </w:rPr>
            </w:pPr>
          </w:p>
        </w:tc>
        <w:tc>
          <w:tcPr>
            <w:tcW w:w="2268" w:type="dxa"/>
            <w:tcBorders>
              <w:top w:val="nil"/>
              <w:left w:val="nil"/>
              <w:bottom w:val="nil"/>
              <w:right w:val="single" w:sz="16" w:space="0" w:color="000000"/>
            </w:tcBorders>
            <w:shd w:val="clear" w:color="auto" w:fill="FFFFFF"/>
          </w:tcPr>
          <w:p w14:paraId="5AD2F98E" w14:textId="77777777" w:rsidR="00F62FE6" w:rsidRPr="009F147D" w:rsidRDefault="00F62FE6" w:rsidP="00F62FE6">
            <w:pPr>
              <w:adjustRightInd w:val="0"/>
              <w:ind w:left="60" w:right="60"/>
              <w:rPr>
                <w:color w:val="000000"/>
                <w:szCs w:val="24"/>
                <w:lang w:val="id-ID"/>
              </w:rPr>
            </w:pPr>
            <w:r w:rsidRPr="009F147D">
              <w:rPr>
                <w:color w:val="000000"/>
                <w:szCs w:val="24"/>
                <w:lang w:val="id-ID"/>
              </w:rPr>
              <w:t xml:space="preserve">Ukuran </w:t>
            </w:r>
            <w:r>
              <w:rPr>
                <w:color w:val="000000"/>
                <w:szCs w:val="24"/>
                <w:lang w:val="id-ID"/>
              </w:rPr>
              <w:t>Komite Audit</w:t>
            </w:r>
          </w:p>
        </w:tc>
        <w:tc>
          <w:tcPr>
            <w:tcW w:w="709" w:type="dxa"/>
            <w:tcBorders>
              <w:top w:val="nil"/>
              <w:left w:val="single" w:sz="16" w:space="0" w:color="000000"/>
              <w:bottom w:val="nil"/>
            </w:tcBorders>
            <w:shd w:val="clear" w:color="auto" w:fill="FFFFFF"/>
            <w:vAlign w:val="center"/>
          </w:tcPr>
          <w:p w14:paraId="6ABCAD80" w14:textId="77777777" w:rsidR="00F62FE6" w:rsidRPr="008A5074" w:rsidRDefault="00F62FE6" w:rsidP="00F62FE6">
            <w:pPr>
              <w:adjustRightInd w:val="0"/>
              <w:ind w:left="60" w:right="60"/>
              <w:jc w:val="right"/>
              <w:rPr>
                <w:color w:val="000000"/>
                <w:szCs w:val="24"/>
                <w:lang w:val="id-ID"/>
              </w:rPr>
            </w:pPr>
            <w:r>
              <w:rPr>
                <w:color w:val="000000"/>
                <w:szCs w:val="24"/>
                <w:lang w:val="id-ID"/>
              </w:rPr>
              <w:t>.165</w:t>
            </w:r>
          </w:p>
        </w:tc>
        <w:tc>
          <w:tcPr>
            <w:tcW w:w="992" w:type="dxa"/>
            <w:tcBorders>
              <w:top w:val="nil"/>
              <w:bottom w:val="nil"/>
            </w:tcBorders>
            <w:shd w:val="clear" w:color="auto" w:fill="FFFFFF"/>
            <w:vAlign w:val="center"/>
          </w:tcPr>
          <w:p w14:paraId="6358FD6F" w14:textId="77777777" w:rsidR="00F62FE6" w:rsidRPr="008A5074" w:rsidRDefault="00F62FE6" w:rsidP="00F62FE6">
            <w:pPr>
              <w:adjustRightInd w:val="0"/>
              <w:ind w:left="60" w:right="60"/>
              <w:jc w:val="right"/>
              <w:rPr>
                <w:color w:val="000000"/>
                <w:szCs w:val="24"/>
                <w:lang w:val="id-ID"/>
              </w:rPr>
            </w:pPr>
            <w:r>
              <w:rPr>
                <w:color w:val="000000"/>
                <w:szCs w:val="24"/>
                <w:lang w:val="id-ID"/>
              </w:rPr>
              <w:t>.045</w:t>
            </w:r>
          </w:p>
        </w:tc>
        <w:tc>
          <w:tcPr>
            <w:tcW w:w="1417" w:type="dxa"/>
            <w:tcBorders>
              <w:top w:val="nil"/>
              <w:bottom w:val="nil"/>
            </w:tcBorders>
            <w:shd w:val="clear" w:color="auto" w:fill="FFFFFF"/>
            <w:vAlign w:val="center"/>
          </w:tcPr>
          <w:p w14:paraId="67FF87C7" w14:textId="77777777" w:rsidR="00F62FE6" w:rsidRPr="008A5074" w:rsidRDefault="00F62FE6" w:rsidP="00F62FE6">
            <w:pPr>
              <w:adjustRightInd w:val="0"/>
              <w:ind w:left="60" w:right="60"/>
              <w:jc w:val="right"/>
              <w:rPr>
                <w:color w:val="000000"/>
                <w:szCs w:val="24"/>
                <w:lang w:val="id-ID"/>
              </w:rPr>
            </w:pPr>
            <w:r>
              <w:rPr>
                <w:color w:val="000000"/>
                <w:szCs w:val="24"/>
                <w:lang w:val="id-ID"/>
              </w:rPr>
              <w:t>.586</w:t>
            </w:r>
          </w:p>
        </w:tc>
        <w:tc>
          <w:tcPr>
            <w:tcW w:w="709" w:type="dxa"/>
            <w:tcBorders>
              <w:top w:val="nil"/>
              <w:bottom w:val="nil"/>
            </w:tcBorders>
            <w:shd w:val="clear" w:color="auto" w:fill="FFFFFF"/>
            <w:vAlign w:val="center"/>
          </w:tcPr>
          <w:p w14:paraId="5108D22E" w14:textId="77777777" w:rsidR="00F62FE6" w:rsidRPr="008A5074" w:rsidRDefault="00F62FE6" w:rsidP="00F62FE6">
            <w:pPr>
              <w:adjustRightInd w:val="0"/>
              <w:ind w:left="60" w:right="60"/>
              <w:jc w:val="right"/>
              <w:rPr>
                <w:color w:val="000000"/>
                <w:szCs w:val="24"/>
                <w:lang w:val="id-ID"/>
              </w:rPr>
            </w:pPr>
            <w:r>
              <w:rPr>
                <w:color w:val="000000"/>
                <w:szCs w:val="24"/>
                <w:lang w:val="id-ID"/>
              </w:rPr>
              <w:t>3.693</w:t>
            </w:r>
          </w:p>
        </w:tc>
        <w:tc>
          <w:tcPr>
            <w:tcW w:w="992" w:type="dxa"/>
            <w:tcBorders>
              <w:top w:val="nil"/>
              <w:bottom w:val="nil"/>
              <w:right w:val="single" w:sz="16" w:space="0" w:color="000000"/>
            </w:tcBorders>
            <w:shd w:val="clear" w:color="auto" w:fill="FFFFFF"/>
            <w:vAlign w:val="center"/>
          </w:tcPr>
          <w:p w14:paraId="5A741656" w14:textId="77777777" w:rsidR="00F62FE6" w:rsidRPr="008A5074" w:rsidRDefault="00F62FE6" w:rsidP="00F62FE6">
            <w:pPr>
              <w:adjustRightInd w:val="0"/>
              <w:ind w:left="60" w:right="60"/>
              <w:jc w:val="right"/>
              <w:rPr>
                <w:color w:val="000000"/>
                <w:szCs w:val="24"/>
                <w:lang w:val="id-ID"/>
              </w:rPr>
            </w:pPr>
            <w:r>
              <w:rPr>
                <w:color w:val="000000"/>
                <w:szCs w:val="24"/>
                <w:lang w:val="id-ID"/>
              </w:rPr>
              <w:t>.001</w:t>
            </w:r>
          </w:p>
        </w:tc>
      </w:tr>
      <w:tr w:rsidR="00F62FE6" w:rsidRPr="009F147D" w14:paraId="25833B4C" w14:textId="77777777" w:rsidTr="00F62FE6">
        <w:trPr>
          <w:cantSplit/>
          <w:trHeight w:val="825"/>
        </w:trPr>
        <w:tc>
          <w:tcPr>
            <w:tcW w:w="284" w:type="dxa"/>
            <w:vMerge/>
            <w:tcBorders>
              <w:top w:val="single" w:sz="16" w:space="0" w:color="000000"/>
              <w:left w:val="single" w:sz="16" w:space="0" w:color="000000"/>
              <w:bottom w:val="single" w:sz="16" w:space="0" w:color="000000"/>
              <w:right w:val="nil"/>
            </w:tcBorders>
            <w:shd w:val="clear" w:color="auto" w:fill="FFFFFF"/>
          </w:tcPr>
          <w:p w14:paraId="6A0E7876" w14:textId="77777777" w:rsidR="00F62FE6" w:rsidRPr="009F147D" w:rsidRDefault="00F62FE6" w:rsidP="00F62FE6">
            <w:pPr>
              <w:adjustRightInd w:val="0"/>
              <w:rPr>
                <w:color w:val="000000"/>
                <w:szCs w:val="24"/>
                <w:lang w:val="id-ID"/>
              </w:rPr>
            </w:pPr>
          </w:p>
        </w:tc>
        <w:tc>
          <w:tcPr>
            <w:tcW w:w="2268" w:type="dxa"/>
            <w:tcBorders>
              <w:top w:val="nil"/>
              <w:left w:val="nil"/>
              <w:bottom w:val="single" w:sz="16" w:space="0" w:color="000000"/>
              <w:right w:val="single" w:sz="16" w:space="0" w:color="000000"/>
            </w:tcBorders>
            <w:shd w:val="clear" w:color="auto" w:fill="FFFFFF"/>
          </w:tcPr>
          <w:p w14:paraId="483033AA" w14:textId="77777777" w:rsidR="00F62FE6" w:rsidRPr="009F147D" w:rsidRDefault="00F62FE6" w:rsidP="00F62FE6">
            <w:pPr>
              <w:adjustRightInd w:val="0"/>
              <w:ind w:left="60" w:right="60"/>
              <w:rPr>
                <w:color w:val="000000"/>
                <w:szCs w:val="24"/>
                <w:lang w:val="id-ID"/>
              </w:rPr>
            </w:pPr>
            <w:r w:rsidRPr="009F147D">
              <w:rPr>
                <w:color w:val="000000"/>
                <w:szCs w:val="24"/>
                <w:lang w:val="id-ID"/>
              </w:rPr>
              <w:t>Kepemilikan Manajerial</w:t>
            </w:r>
          </w:p>
        </w:tc>
        <w:tc>
          <w:tcPr>
            <w:tcW w:w="709" w:type="dxa"/>
            <w:tcBorders>
              <w:top w:val="nil"/>
              <w:left w:val="single" w:sz="16" w:space="0" w:color="000000"/>
              <w:bottom w:val="single" w:sz="16" w:space="0" w:color="000000"/>
            </w:tcBorders>
            <w:shd w:val="clear" w:color="auto" w:fill="FFFFFF"/>
            <w:vAlign w:val="center"/>
          </w:tcPr>
          <w:p w14:paraId="7C3AD0B4"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.311</w:t>
            </w:r>
          </w:p>
        </w:tc>
        <w:tc>
          <w:tcPr>
            <w:tcW w:w="992" w:type="dxa"/>
            <w:tcBorders>
              <w:top w:val="nil"/>
              <w:bottom w:val="single" w:sz="16" w:space="0" w:color="000000"/>
            </w:tcBorders>
            <w:shd w:val="clear" w:color="auto" w:fill="FFFFFF"/>
            <w:vAlign w:val="center"/>
          </w:tcPr>
          <w:p w14:paraId="77658252"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.269</w:t>
            </w:r>
          </w:p>
        </w:tc>
        <w:tc>
          <w:tcPr>
            <w:tcW w:w="1417" w:type="dxa"/>
            <w:tcBorders>
              <w:top w:val="nil"/>
              <w:bottom w:val="single" w:sz="16" w:space="0" w:color="000000"/>
            </w:tcBorders>
            <w:shd w:val="clear" w:color="auto" w:fill="FFFFFF"/>
            <w:vAlign w:val="center"/>
          </w:tcPr>
          <w:p w14:paraId="0C458A97"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.223</w:t>
            </w:r>
          </w:p>
        </w:tc>
        <w:tc>
          <w:tcPr>
            <w:tcW w:w="709" w:type="dxa"/>
            <w:tcBorders>
              <w:top w:val="nil"/>
              <w:bottom w:val="single" w:sz="16" w:space="0" w:color="000000"/>
            </w:tcBorders>
            <w:shd w:val="clear" w:color="auto" w:fill="FFFFFF"/>
            <w:vAlign w:val="center"/>
          </w:tcPr>
          <w:p w14:paraId="62E26DA3"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1.153</w:t>
            </w:r>
          </w:p>
        </w:tc>
        <w:tc>
          <w:tcPr>
            <w:tcW w:w="992" w:type="dxa"/>
            <w:tcBorders>
              <w:top w:val="nil"/>
              <w:bottom w:val="single" w:sz="16" w:space="0" w:color="000000"/>
              <w:right w:val="single" w:sz="16" w:space="0" w:color="000000"/>
            </w:tcBorders>
            <w:shd w:val="clear" w:color="auto" w:fill="FFFFFF"/>
            <w:vAlign w:val="center"/>
          </w:tcPr>
          <w:p w14:paraId="2394FB8E"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.256</w:t>
            </w:r>
          </w:p>
        </w:tc>
      </w:tr>
    </w:tbl>
    <w:p w14:paraId="4D27A917" w14:textId="77777777" w:rsidR="00F62FE6" w:rsidRDefault="00F62FE6">
      <w:pPr>
        <w:jc w:val="both"/>
      </w:pPr>
    </w:p>
    <w:p w14:paraId="5191D5E8" w14:textId="77777777" w:rsidR="00F62FE6" w:rsidRPr="00F62FE6" w:rsidRDefault="00F62FE6" w:rsidP="00F62FE6"/>
    <w:p w14:paraId="31560E9C" w14:textId="77777777" w:rsidR="00F62FE6" w:rsidRPr="00F62FE6" w:rsidRDefault="00F62FE6" w:rsidP="00F62FE6"/>
    <w:p w14:paraId="3FB40D97" w14:textId="77777777" w:rsidR="00F62FE6" w:rsidRDefault="00F62FE6" w:rsidP="00F62FE6">
      <w:pPr>
        <w:pStyle w:val="ListParagraph"/>
        <w:widowControl/>
        <w:numPr>
          <w:ilvl w:val="0"/>
          <w:numId w:val="4"/>
        </w:numPr>
        <w:autoSpaceDE/>
        <w:autoSpaceDN/>
        <w:ind w:left="284" w:hanging="284"/>
        <w:contextualSpacing/>
        <w:jc w:val="both"/>
        <w:rPr>
          <w:szCs w:val="24"/>
          <w:lang w:val="id-ID"/>
        </w:rPr>
      </w:pPr>
      <w:r w:rsidRPr="003504A2">
        <w:rPr>
          <w:szCs w:val="24"/>
          <w:lang w:val="id-ID"/>
        </w:rPr>
        <w:t xml:space="preserve">Variabel </w:t>
      </w:r>
      <w:r>
        <w:rPr>
          <w:szCs w:val="24"/>
          <w:lang w:val="id-ID"/>
        </w:rPr>
        <w:t>proporsi komisaris independen</w:t>
      </w:r>
      <w:r w:rsidRPr="003504A2">
        <w:rPr>
          <w:szCs w:val="24"/>
          <w:lang w:val="id-ID"/>
        </w:rPr>
        <w:t xml:space="preserve"> </w:t>
      </w:r>
      <w:r>
        <w:rPr>
          <w:szCs w:val="24"/>
          <w:lang w:val="id-ID"/>
        </w:rPr>
        <w:t>memiliki nilai sig sebesar 0,815. Nilai sig tersebut lebih besar</w:t>
      </w:r>
      <w:r w:rsidRPr="003504A2">
        <w:rPr>
          <w:szCs w:val="24"/>
          <w:lang w:val="id-ID"/>
        </w:rPr>
        <w:t xml:space="preserve"> dari nilai sig yang telah ditentukan yaitu sebesar 0,05 atau 5%. Dengan demikian H</w:t>
      </w:r>
      <w:r w:rsidRPr="003504A2">
        <w:rPr>
          <w:szCs w:val="24"/>
          <w:vertAlign w:val="subscript"/>
          <w:lang w:val="id-ID"/>
        </w:rPr>
        <w:t>1</w:t>
      </w:r>
      <w:r>
        <w:rPr>
          <w:szCs w:val="24"/>
          <w:lang w:val="id-ID"/>
        </w:rPr>
        <w:t xml:space="preserve"> ditolak</w:t>
      </w:r>
      <w:r w:rsidRPr="003504A2">
        <w:rPr>
          <w:szCs w:val="24"/>
          <w:lang w:val="id-ID"/>
        </w:rPr>
        <w:t xml:space="preserve">. Hal tersebut dapat dijelaskan bahwa secara parsial variabel </w:t>
      </w:r>
      <w:r>
        <w:rPr>
          <w:szCs w:val="24"/>
          <w:lang w:val="id-ID"/>
        </w:rPr>
        <w:t>proporsi komisaris independen</w:t>
      </w:r>
      <w:r w:rsidRPr="003504A2">
        <w:rPr>
          <w:szCs w:val="24"/>
          <w:lang w:val="id-ID"/>
        </w:rPr>
        <w:t xml:space="preserve"> </w:t>
      </w:r>
      <w:r>
        <w:rPr>
          <w:szCs w:val="24"/>
          <w:lang w:val="id-ID"/>
        </w:rPr>
        <w:t xml:space="preserve">tidak </w:t>
      </w:r>
      <w:r w:rsidRPr="003504A2">
        <w:rPr>
          <w:szCs w:val="24"/>
          <w:lang w:val="id-ID"/>
        </w:rPr>
        <w:t xml:space="preserve">berpengaruh terhadap </w:t>
      </w:r>
      <w:r>
        <w:rPr>
          <w:szCs w:val="24"/>
          <w:lang w:val="id-ID"/>
        </w:rPr>
        <w:t>pengungkapan CSR</w:t>
      </w:r>
      <w:r w:rsidRPr="003504A2">
        <w:rPr>
          <w:szCs w:val="24"/>
          <w:lang w:val="id-ID"/>
        </w:rPr>
        <w:t>.</w:t>
      </w:r>
    </w:p>
    <w:p w14:paraId="797A3737" w14:textId="77777777" w:rsidR="00F62FE6" w:rsidRPr="007E6241" w:rsidRDefault="00F62FE6" w:rsidP="00F62FE6">
      <w:pPr>
        <w:pStyle w:val="ListParagraph"/>
        <w:widowControl/>
        <w:numPr>
          <w:ilvl w:val="0"/>
          <w:numId w:val="4"/>
        </w:numPr>
        <w:autoSpaceDE/>
        <w:autoSpaceDN/>
        <w:ind w:left="284" w:hanging="284"/>
        <w:contextualSpacing/>
        <w:jc w:val="both"/>
        <w:rPr>
          <w:lang w:val="id-ID"/>
        </w:rPr>
      </w:pPr>
      <w:r w:rsidRPr="007E6241">
        <w:rPr>
          <w:szCs w:val="24"/>
          <w:lang w:val="id-ID"/>
        </w:rPr>
        <w:t>Variabel ukuran dewan komisaris memiliki nilai sig sebesar 0,</w:t>
      </w:r>
      <w:r>
        <w:rPr>
          <w:szCs w:val="24"/>
          <w:lang w:val="id-ID"/>
        </w:rPr>
        <w:t>395</w:t>
      </w:r>
      <w:r w:rsidRPr="007E6241">
        <w:rPr>
          <w:szCs w:val="24"/>
          <w:lang w:val="id-ID"/>
        </w:rPr>
        <w:t xml:space="preserve">. Nilai sig tersebut lebih </w:t>
      </w:r>
      <w:r>
        <w:rPr>
          <w:szCs w:val="24"/>
          <w:lang w:val="id-ID"/>
        </w:rPr>
        <w:t>besar</w:t>
      </w:r>
      <w:r w:rsidRPr="007E6241">
        <w:rPr>
          <w:szCs w:val="24"/>
          <w:lang w:val="id-ID"/>
        </w:rPr>
        <w:t xml:space="preserve"> dari nilai sig yang telah ditentukan yaitu sebesar 0,05 atau 5%. Dengan demikian H</w:t>
      </w:r>
      <w:r>
        <w:rPr>
          <w:szCs w:val="24"/>
          <w:vertAlign w:val="subscript"/>
          <w:lang w:val="id-ID"/>
        </w:rPr>
        <w:t>2</w:t>
      </w:r>
      <w:r w:rsidRPr="007E6241">
        <w:rPr>
          <w:szCs w:val="24"/>
          <w:lang w:val="id-ID"/>
        </w:rPr>
        <w:t xml:space="preserve"> dit</w:t>
      </w:r>
      <w:r>
        <w:rPr>
          <w:szCs w:val="24"/>
          <w:lang w:val="id-ID"/>
        </w:rPr>
        <w:t>olak</w:t>
      </w:r>
      <w:r w:rsidRPr="007E6241">
        <w:rPr>
          <w:szCs w:val="24"/>
          <w:lang w:val="id-ID"/>
        </w:rPr>
        <w:t>. Hal tersebut dapat dijelaskan bahwa secara parsial variabel ukuran dewan komisaris</w:t>
      </w:r>
      <w:r>
        <w:rPr>
          <w:szCs w:val="24"/>
          <w:lang w:val="id-ID"/>
        </w:rPr>
        <w:t xml:space="preserve"> </w:t>
      </w:r>
      <w:r w:rsidRPr="007E6241">
        <w:rPr>
          <w:szCs w:val="24"/>
          <w:lang w:val="id-ID"/>
        </w:rPr>
        <w:t xml:space="preserve">berpengaruh </w:t>
      </w:r>
      <w:r w:rsidRPr="003504A2">
        <w:rPr>
          <w:szCs w:val="24"/>
          <w:lang w:val="id-ID"/>
        </w:rPr>
        <w:t xml:space="preserve">terhadap </w:t>
      </w:r>
      <w:r>
        <w:rPr>
          <w:szCs w:val="24"/>
          <w:lang w:val="id-ID"/>
        </w:rPr>
        <w:t>tingkat pengungkapan CSR.</w:t>
      </w:r>
    </w:p>
    <w:p w14:paraId="60A51F42" w14:textId="77777777" w:rsidR="00F62FE6" w:rsidRDefault="00F62FE6" w:rsidP="00F62FE6">
      <w:pPr>
        <w:pStyle w:val="ListParagraph"/>
        <w:widowControl/>
        <w:numPr>
          <w:ilvl w:val="0"/>
          <w:numId w:val="4"/>
        </w:numPr>
        <w:autoSpaceDE/>
        <w:autoSpaceDN/>
        <w:ind w:left="284" w:hanging="284"/>
        <w:contextualSpacing/>
        <w:jc w:val="both"/>
        <w:rPr>
          <w:szCs w:val="24"/>
          <w:lang w:val="id-ID"/>
        </w:rPr>
      </w:pPr>
      <w:r w:rsidRPr="007E6241">
        <w:rPr>
          <w:szCs w:val="24"/>
          <w:lang w:val="id-ID"/>
        </w:rPr>
        <w:t xml:space="preserve">Variabel </w:t>
      </w:r>
      <w:r>
        <w:rPr>
          <w:szCs w:val="24"/>
          <w:lang w:val="id-ID"/>
        </w:rPr>
        <w:t>ukuran komite audit</w:t>
      </w:r>
      <w:r w:rsidRPr="007E6241">
        <w:rPr>
          <w:szCs w:val="24"/>
          <w:lang w:val="id-ID"/>
        </w:rPr>
        <w:t xml:space="preserve"> </w:t>
      </w:r>
      <w:r>
        <w:rPr>
          <w:szCs w:val="24"/>
          <w:lang w:val="id-ID"/>
        </w:rPr>
        <w:t>memiliki nilai sig sebesar 0,001</w:t>
      </w:r>
      <w:r w:rsidRPr="007E6241">
        <w:rPr>
          <w:szCs w:val="24"/>
          <w:lang w:val="id-ID"/>
        </w:rPr>
        <w:t xml:space="preserve">. Nilai sig tersebut lebih </w:t>
      </w:r>
      <w:r>
        <w:rPr>
          <w:szCs w:val="24"/>
          <w:lang w:val="id-ID"/>
        </w:rPr>
        <w:t>kecil</w:t>
      </w:r>
      <w:r w:rsidRPr="007E6241">
        <w:rPr>
          <w:szCs w:val="24"/>
          <w:lang w:val="id-ID"/>
        </w:rPr>
        <w:t xml:space="preserve"> dari nilai sig yang telah ditentukan yaitu sebesar 0</w:t>
      </w:r>
      <w:r>
        <w:rPr>
          <w:szCs w:val="24"/>
          <w:lang w:val="id-ID"/>
        </w:rPr>
        <w:t>,05 atau 5%,. Dengan demikian H</w:t>
      </w:r>
      <w:r>
        <w:rPr>
          <w:szCs w:val="24"/>
          <w:vertAlign w:val="subscript"/>
          <w:lang w:val="id-ID"/>
        </w:rPr>
        <w:t>3</w:t>
      </w:r>
      <w:r>
        <w:rPr>
          <w:szCs w:val="24"/>
          <w:lang w:val="id-ID"/>
        </w:rPr>
        <w:t xml:space="preserve"> diterima</w:t>
      </w:r>
      <w:r w:rsidRPr="007E6241">
        <w:rPr>
          <w:szCs w:val="24"/>
          <w:lang w:val="id-ID"/>
        </w:rPr>
        <w:t xml:space="preserve">. Hal tersebut dapat dijelaskan bahwa secara parsial variabel </w:t>
      </w:r>
      <w:r>
        <w:rPr>
          <w:szCs w:val="24"/>
          <w:lang w:val="id-ID"/>
        </w:rPr>
        <w:t>ukuran komite audit</w:t>
      </w:r>
      <w:r w:rsidRPr="007E6241">
        <w:rPr>
          <w:szCs w:val="24"/>
          <w:lang w:val="id-ID"/>
        </w:rPr>
        <w:t xml:space="preserve"> </w:t>
      </w:r>
      <w:r>
        <w:rPr>
          <w:szCs w:val="24"/>
          <w:lang w:val="id-ID"/>
        </w:rPr>
        <w:t xml:space="preserve">berpengaruh </w:t>
      </w:r>
      <w:r w:rsidRPr="003504A2">
        <w:rPr>
          <w:szCs w:val="24"/>
          <w:lang w:val="id-ID"/>
        </w:rPr>
        <w:t xml:space="preserve">terhadap </w:t>
      </w:r>
      <w:r>
        <w:rPr>
          <w:szCs w:val="24"/>
          <w:lang w:val="id-ID"/>
        </w:rPr>
        <w:t>pengungkapan CSR.</w:t>
      </w:r>
    </w:p>
    <w:p w14:paraId="33C1765D" w14:textId="0B611DB7" w:rsidR="00F62FE6" w:rsidRDefault="00F62FE6" w:rsidP="00F62FE6">
      <w:pPr>
        <w:jc w:val="center"/>
      </w:pPr>
    </w:p>
    <w:p w14:paraId="27BDB34C" w14:textId="33943ED4" w:rsidR="00F62FE6" w:rsidRDefault="00F62FE6" w:rsidP="00F62FE6">
      <w:pPr>
        <w:jc w:val="center"/>
      </w:pPr>
    </w:p>
    <w:p w14:paraId="79744C19" w14:textId="0D4F50CD" w:rsidR="00F62FE6" w:rsidRPr="002C72FF" w:rsidRDefault="00F62FE6" w:rsidP="00F62FE6">
      <w:pPr>
        <w:pStyle w:val="ListParagraph"/>
        <w:spacing w:line="276" w:lineRule="auto"/>
        <w:ind w:left="567"/>
        <w:jc w:val="center"/>
        <w:rPr>
          <w:b/>
          <w:szCs w:val="24"/>
          <w:lang w:val="id-ID"/>
        </w:rPr>
      </w:pPr>
      <w:r w:rsidRPr="002C72FF">
        <w:rPr>
          <w:b/>
        </w:rPr>
        <w:t xml:space="preserve">Tabel </w:t>
      </w:r>
      <w:r>
        <w:rPr>
          <w:b/>
          <w:lang w:val="id-ID"/>
        </w:rPr>
        <w:t xml:space="preserve">7 </w:t>
      </w:r>
      <w:r w:rsidRPr="002C72FF">
        <w:rPr>
          <w:b/>
          <w:szCs w:val="24"/>
          <w:lang w:val="id-ID"/>
        </w:rPr>
        <w:t>Uji Simultan (Uji F)</w:t>
      </w:r>
    </w:p>
    <w:tbl>
      <w:tblPr>
        <w:tblW w:w="73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417"/>
        <w:gridCol w:w="1701"/>
        <w:gridCol w:w="425"/>
        <w:gridCol w:w="1559"/>
        <w:gridCol w:w="851"/>
        <w:gridCol w:w="992"/>
      </w:tblGrid>
      <w:tr w:rsidR="00F62FE6" w:rsidRPr="00B26626" w14:paraId="55E214A5" w14:textId="77777777" w:rsidTr="00F62FE6">
        <w:trPr>
          <w:cantSplit/>
          <w:jc w:val="center"/>
        </w:trPr>
        <w:tc>
          <w:tcPr>
            <w:tcW w:w="7371" w:type="dxa"/>
            <w:gridSpan w:val="7"/>
            <w:tcBorders>
              <w:top w:val="nil"/>
              <w:left w:val="nil"/>
              <w:bottom w:val="nil"/>
              <w:right w:val="nil"/>
            </w:tcBorders>
            <w:shd w:val="clear" w:color="auto" w:fill="FFFFFF"/>
            <w:vAlign w:val="center"/>
          </w:tcPr>
          <w:p w14:paraId="7D9846D3" w14:textId="77777777" w:rsidR="00F62FE6" w:rsidRPr="00187E15" w:rsidRDefault="00F62FE6" w:rsidP="00535B30">
            <w:pPr>
              <w:adjustRightInd w:val="0"/>
              <w:spacing w:line="320" w:lineRule="atLeast"/>
              <w:ind w:left="60" w:right="60"/>
              <w:jc w:val="center"/>
              <w:rPr>
                <w:color w:val="000000"/>
                <w:szCs w:val="18"/>
                <w:lang w:val="id-ID"/>
              </w:rPr>
            </w:pPr>
            <w:bookmarkStart w:id="1" w:name="_Hlk62035355"/>
            <w:r w:rsidRPr="00187E15">
              <w:rPr>
                <w:b/>
                <w:bCs/>
                <w:color w:val="000000"/>
                <w:szCs w:val="18"/>
                <w:lang w:val="id-ID"/>
              </w:rPr>
              <w:t>ANOVA</w:t>
            </w:r>
            <w:r w:rsidRPr="00187E15">
              <w:rPr>
                <w:b/>
                <w:bCs/>
                <w:color w:val="000000"/>
                <w:szCs w:val="18"/>
                <w:vertAlign w:val="superscript"/>
                <w:lang w:val="id-ID"/>
              </w:rPr>
              <w:t>a</w:t>
            </w:r>
          </w:p>
        </w:tc>
      </w:tr>
      <w:tr w:rsidR="00F62FE6" w:rsidRPr="00B26626" w14:paraId="2168B067" w14:textId="77777777" w:rsidTr="00F62FE6">
        <w:trPr>
          <w:cantSplit/>
          <w:trHeight w:val="500"/>
          <w:jc w:val="center"/>
        </w:trPr>
        <w:tc>
          <w:tcPr>
            <w:tcW w:w="1843" w:type="dxa"/>
            <w:gridSpan w:val="2"/>
            <w:tcBorders>
              <w:top w:val="single" w:sz="16" w:space="0" w:color="000000"/>
              <w:left w:val="single" w:sz="16" w:space="0" w:color="000000"/>
              <w:bottom w:val="single" w:sz="16" w:space="0" w:color="000000"/>
              <w:right w:val="nil"/>
            </w:tcBorders>
            <w:shd w:val="clear" w:color="auto" w:fill="FFFFFF"/>
            <w:vAlign w:val="center"/>
          </w:tcPr>
          <w:p w14:paraId="5D3EF1DB" w14:textId="77777777" w:rsidR="00F62FE6" w:rsidRPr="00187E15" w:rsidRDefault="00F62FE6" w:rsidP="00F62FE6">
            <w:pPr>
              <w:adjustRightInd w:val="0"/>
              <w:ind w:left="60" w:right="60"/>
              <w:jc w:val="center"/>
              <w:rPr>
                <w:color w:val="000000"/>
                <w:szCs w:val="18"/>
                <w:lang w:val="id-ID"/>
              </w:rPr>
            </w:pPr>
            <w:r w:rsidRPr="00187E15">
              <w:rPr>
                <w:color w:val="000000"/>
                <w:szCs w:val="18"/>
                <w:lang w:val="id-ID"/>
              </w:rPr>
              <w:t>Model</w:t>
            </w:r>
          </w:p>
        </w:tc>
        <w:tc>
          <w:tcPr>
            <w:tcW w:w="1701" w:type="dxa"/>
            <w:tcBorders>
              <w:top w:val="single" w:sz="16" w:space="0" w:color="000000"/>
              <w:left w:val="single" w:sz="16" w:space="0" w:color="000000"/>
              <w:bottom w:val="single" w:sz="16" w:space="0" w:color="000000"/>
            </w:tcBorders>
            <w:shd w:val="clear" w:color="auto" w:fill="FFFFFF"/>
            <w:vAlign w:val="center"/>
          </w:tcPr>
          <w:p w14:paraId="52D13852" w14:textId="77777777" w:rsidR="00F62FE6" w:rsidRPr="00187E15" w:rsidRDefault="00F62FE6" w:rsidP="00F62FE6">
            <w:pPr>
              <w:adjustRightInd w:val="0"/>
              <w:ind w:left="60" w:right="60"/>
              <w:jc w:val="center"/>
              <w:rPr>
                <w:color w:val="000000"/>
                <w:szCs w:val="18"/>
                <w:lang w:val="id-ID"/>
              </w:rPr>
            </w:pPr>
            <w:r w:rsidRPr="00187E15">
              <w:rPr>
                <w:color w:val="000000"/>
                <w:szCs w:val="18"/>
                <w:lang w:val="id-ID"/>
              </w:rPr>
              <w:t>Sum of Squares</w:t>
            </w:r>
          </w:p>
        </w:tc>
        <w:tc>
          <w:tcPr>
            <w:tcW w:w="425" w:type="dxa"/>
            <w:tcBorders>
              <w:top w:val="single" w:sz="16" w:space="0" w:color="000000"/>
              <w:bottom w:val="single" w:sz="16" w:space="0" w:color="000000"/>
            </w:tcBorders>
            <w:shd w:val="clear" w:color="auto" w:fill="FFFFFF"/>
            <w:vAlign w:val="center"/>
          </w:tcPr>
          <w:p w14:paraId="3F6A92DB" w14:textId="77777777" w:rsidR="00F62FE6" w:rsidRPr="00187E15" w:rsidRDefault="00F62FE6" w:rsidP="00F62FE6">
            <w:pPr>
              <w:adjustRightInd w:val="0"/>
              <w:ind w:left="60" w:right="60"/>
              <w:jc w:val="center"/>
              <w:rPr>
                <w:color w:val="000000"/>
                <w:szCs w:val="18"/>
                <w:lang w:val="id-ID"/>
              </w:rPr>
            </w:pPr>
            <w:r w:rsidRPr="00187E15">
              <w:rPr>
                <w:color w:val="000000"/>
                <w:szCs w:val="18"/>
                <w:lang w:val="id-ID"/>
              </w:rPr>
              <w:t>df</w:t>
            </w:r>
          </w:p>
        </w:tc>
        <w:tc>
          <w:tcPr>
            <w:tcW w:w="1559" w:type="dxa"/>
            <w:tcBorders>
              <w:top w:val="single" w:sz="16" w:space="0" w:color="000000"/>
              <w:bottom w:val="single" w:sz="16" w:space="0" w:color="000000"/>
            </w:tcBorders>
            <w:shd w:val="clear" w:color="auto" w:fill="FFFFFF"/>
            <w:vAlign w:val="center"/>
          </w:tcPr>
          <w:p w14:paraId="7690B911" w14:textId="77777777" w:rsidR="00F62FE6" w:rsidRPr="00187E15" w:rsidRDefault="00F62FE6" w:rsidP="00F62FE6">
            <w:pPr>
              <w:adjustRightInd w:val="0"/>
              <w:ind w:left="60" w:right="60"/>
              <w:jc w:val="center"/>
              <w:rPr>
                <w:color w:val="000000"/>
                <w:szCs w:val="18"/>
                <w:lang w:val="id-ID"/>
              </w:rPr>
            </w:pPr>
            <w:r w:rsidRPr="00187E15">
              <w:rPr>
                <w:color w:val="000000"/>
                <w:szCs w:val="18"/>
                <w:lang w:val="id-ID"/>
              </w:rPr>
              <w:t>Mean Square</w:t>
            </w:r>
          </w:p>
        </w:tc>
        <w:tc>
          <w:tcPr>
            <w:tcW w:w="851" w:type="dxa"/>
            <w:tcBorders>
              <w:top w:val="single" w:sz="16" w:space="0" w:color="000000"/>
              <w:bottom w:val="single" w:sz="16" w:space="0" w:color="000000"/>
            </w:tcBorders>
            <w:shd w:val="clear" w:color="auto" w:fill="FFFFFF"/>
            <w:vAlign w:val="center"/>
          </w:tcPr>
          <w:p w14:paraId="2918B564" w14:textId="77777777" w:rsidR="00F62FE6" w:rsidRPr="00187E15" w:rsidRDefault="00F62FE6" w:rsidP="00F62FE6">
            <w:pPr>
              <w:adjustRightInd w:val="0"/>
              <w:ind w:left="60" w:right="60"/>
              <w:jc w:val="center"/>
              <w:rPr>
                <w:color w:val="000000"/>
                <w:szCs w:val="18"/>
                <w:lang w:val="id-ID"/>
              </w:rPr>
            </w:pPr>
            <w:r w:rsidRPr="00187E15">
              <w:rPr>
                <w:color w:val="000000"/>
                <w:szCs w:val="18"/>
                <w:lang w:val="id-ID"/>
              </w:rPr>
              <w:t>F</w:t>
            </w:r>
          </w:p>
        </w:tc>
        <w:tc>
          <w:tcPr>
            <w:tcW w:w="992" w:type="dxa"/>
            <w:tcBorders>
              <w:top w:val="single" w:sz="16" w:space="0" w:color="000000"/>
              <w:bottom w:val="single" w:sz="16" w:space="0" w:color="000000"/>
              <w:right w:val="single" w:sz="16" w:space="0" w:color="000000"/>
            </w:tcBorders>
            <w:shd w:val="clear" w:color="auto" w:fill="FFFFFF"/>
            <w:vAlign w:val="center"/>
          </w:tcPr>
          <w:p w14:paraId="33F38CAE" w14:textId="77777777" w:rsidR="00F62FE6" w:rsidRPr="00187E15" w:rsidRDefault="00F62FE6" w:rsidP="00F62FE6">
            <w:pPr>
              <w:adjustRightInd w:val="0"/>
              <w:ind w:left="60" w:right="60"/>
              <w:jc w:val="center"/>
              <w:rPr>
                <w:color w:val="000000"/>
                <w:szCs w:val="18"/>
                <w:lang w:val="id-ID"/>
              </w:rPr>
            </w:pPr>
            <w:r w:rsidRPr="00187E15">
              <w:rPr>
                <w:color w:val="000000"/>
                <w:szCs w:val="18"/>
                <w:lang w:val="id-ID"/>
              </w:rPr>
              <w:t>Sig.</w:t>
            </w:r>
          </w:p>
        </w:tc>
      </w:tr>
      <w:tr w:rsidR="00F62FE6" w:rsidRPr="00B26626" w14:paraId="7BE96B93" w14:textId="77777777" w:rsidTr="00F62FE6">
        <w:trPr>
          <w:cantSplit/>
          <w:jc w:val="center"/>
        </w:trPr>
        <w:tc>
          <w:tcPr>
            <w:tcW w:w="426" w:type="dxa"/>
            <w:vMerge w:val="restart"/>
            <w:tcBorders>
              <w:top w:val="single" w:sz="16" w:space="0" w:color="000000"/>
              <w:left w:val="single" w:sz="16" w:space="0" w:color="000000"/>
              <w:bottom w:val="single" w:sz="16" w:space="0" w:color="000000"/>
              <w:right w:val="nil"/>
            </w:tcBorders>
            <w:shd w:val="clear" w:color="auto" w:fill="FFFFFF"/>
            <w:vAlign w:val="center"/>
          </w:tcPr>
          <w:p w14:paraId="484413F1" w14:textId="77777777" w:rsidR="00F62FE6" w:rsidRPr="00187E15" w:rsidRDefault="00F62FE6" w:rsidP="00F62FE6">
            <w:pPr>
              <w:adjustRightInd w:val="0"/>
              <w:ind w:left="60" w:right="60"/>
              <w:rPr>
                <w:color w:val="000000"/>
                <w:szCs w:val="18"/>
                <w:lang w:val="id-ID"/>
              </w:rPr>
            </w:pPr>
            <w:r w:rsidRPr="00187E15">
              <w:rPr>
                <w:color w:val="000000"/>
                <w:szCs w:val="18"/>
                <w:lang w:val="id-ID"/>
              </w:rPr>
              <w:t>1</w:t>
            </w:r>
          </w:p>
        </w:tc>
        <w:tc>
          <w:tcPr>
            <w:tcW w:w="1417" w:type="dxa"/>
            <w:tcBorders>
              <w:top w:val="single" w:sz="16" w:space="0" w:color="000000"/>
              <w:left w:val="nil"/>
              <w:bottom w:val="nil"/>
              <w:right w:val="single" w:sz="16" w:space="0" w:color="000000"/>
            </w:tcBorders>
            <w:shd w:val="clear" w:color="auto" w:fill="FFFFFF"/>
          </w:tcPr>
          <w:p w14:paraId="76BDEB0D" w14:textId="77777777" w:rsidR="00F62FE6" w:rsidRPr="00187E15" w:rsidRDefault="00F62FE6" w:rsidP="00F62FE6">
            <w:pPr>
              <w:adjustRightInd w:val="0"/>
              <w:ind w:left="60" w:right="60"/>
              <w:rPr>
                <w:color w:val="000000"/>
                <w:szCs w:val="18"/>
                <w:lang w:val="id-ID"/>
              </w:rPr>
            </w:pPr>
            <w:r w:rsidRPr="00187E15">
              <w:rPr>
                <w:color w:val="000000"/>
                <w:szCs w:val="18"/>
                <w:lang w:val="id-ID"/>
              </w:rPr>
              <w:t>Regression</w:t>
            </w:r>
          </w:p>
        </w:tc>
        <w:tc>
          <w:tcPr>
            <w:tcW w:w="1701" w:type="dxa"/>
            <w:tcBorders>
              <w:top w:val="single" w:sz="16" w:space="0" w:color="000000"/>
              <w:left w:val="single" w:sz="16" w:space="0" w:color="000000"/>
              <w:bottom w:val="nil"/>
            </w:tcBorders>
            <w:shd w:val="clear" w:color="auto" w:fill="FFFFFF"/>
            <w:vAlign w:val="center"/>
          </w:tcPr>
          <w:p w14:paraId="6EEF3E24"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.779</w:t>
            </w:r>
          </w:p>
        </w:tc>
        <w:tc>
          <w:tcPr>
            <w:tcW w:w="425" w:type="dxa"/>
            <w:tcBorders>
              <w:top w:val="single" w:sz="16" w:space="0" w:color="000000"/>
              <w:bottom w:val="nil"/>
            </w:tcBorders>
            <w:shd w:val="clear" w:color="auto" w:fill="FFFFFF"/>
            <w:vAlign w:val="center"/>
          </w:tcPr>
          <w:p w14:paraId="6B2FE4FC"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4</w:t>
            </w:r>
          </w:p>
        </w:tc>
        <w:tc>
          <w:tcPr>
            <w:tcW w:w="1559" w:type="dxa"/>
            <w:tcBorders>
              <w:top w:val="single" w:sz="16" w:space="0" w:color="000000"/>
              <w:bottom w:val="nil"/>
            </w:tcBorders>
            <w:shd w:val="clear" w:color="auto" w:fill="FFFFFF"/>
            <w:vAlign w:val="center"/>
          </w:tcPr>
          <w:p w14:paraId="277085C5"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.195</w:t>
            </w:r>
          </w:p>
        </w:tc>
        <w:tc>
          <w:tcPr>
            <w:tcW w:w="851" w:type="dxa"/>
            <w:tcBorders>
              <w:top w:val="single" w:sz="16" w:space="0" w:color="000000"/>
              <w:bottom w:val="nil"/>
            </w:tcBorders>
            <w:shd w:val="clear" w:color="auto" w:fill="FFFFFF"/>
            <w:vAlign w:val="center"/>
          </w:tcPr>
          <w:p w14:paraId="22C89189"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3.963</w:t>
            </w:r>
          </w:p>
        </w:tc>
        <w:tc>
          <w:tcPr>
            <w:tcW w:w="992" w:type="dxa"/>
            <w:tcBorders>
              <w:top w:val="single" w:sz="16" w:space="0" w:color="000000"/>
              <w:bottom w:val="nil"/>
              <w:right w:val="single" w:sz="16" w:space="0" w:color="000000"/>
            </w:tcBorders>
            <w:shd w:val="clear" w:color="auto" w:fill="FFFFFF"/>
            <w:vAlign w:val="center"/>
          </w:tcPr>
          <w:p w14:paraId="03840CBD"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.008</w:t>
            </w:r>
            <w:r w:rsidRPr="008A5074">
              <w:rPr>
                <w:color w:val="000000"/>
                <w:szCs w:val="24"/>
                <w:vertAlign w:val="superscript"/>
                <w:lang w:val="id-ID"/>
              </w:rPr>
              <w:t>b</w:t>
            </w:r>
          </w:p>
        </w:tc>
      </w:tr>
      <w:tr w:rsidR="00F62FE6" w:rsidRPr="00B26626" w14:paraId="1F831EF7" w14:textId="77777777" w:rsidTr="00F62FE6">
        <w:trPr>
          <w:cantSplit/>
          <w:jc w:val="center"/>
        </w:trPr>
        <w:tc>
          <w:tcPr>
            <w:tcW w:w="426" w:type="dxa"/>
            <w:vMerge/>
            <w:tcBorders>
              <w:top w:val="single" w:sz="16" w:space="0" w:color="000000"/>
              <w:left w:val="single" w:sz="16" w:space="0" w:color="000000"/>
              <w:bottom w:val="single" w:sz="16" w:space="0" w:color="000000"/>
              <w:right w:val="nil"/>
            </w:tcBorders>
            <w:shd w:val="clear" w:color="auto" w:fill="FFFFFF"/>
          </w:tcPr>
          <w:p w14:paraId="44D0DA17" w14:textId="77777777" w:rsidR="00F62FE6" w:rsidRPr="00187E15" w:rsidRDefault="00F62FE6" w:rsidP="00F62FE6">
            <w:pPr>
              <w:adjustRightInd w:val="0"/>
              <w:rPr>
                <w:color w:val="000000"/>
                <w:szCs w:val="18"/>
                <w:lang w:val="id-ID"/>
              </w:rPr>
            </w:pPr>
          </w:p>
        </w:tc>
        <w:tc>
          <w:tcPr>
            <w:tcW w:w="1417" w:type="dxa"/>
            <w:tcBorders>
              <w:top w:val="nil"/>
              <w:left w:val="nil"/>
              <w:bottom w:val="nil"/>
              <w:right w:val="single" w:sz="16" w:space="0" w:color="000000"/>
            </w:tcBorders>
            <w:shd w:val="clear" w:color="auto" w:fill="FFFFFF"/>
          </w:tcPr>
          <w:p w14:paraId="1B4B8F95" w14:textId="77777777" w:rsidR="00F62FE6" w:rsidRPr="00187E15" w:rsidRDefault="00F62FE6" w:rsidP="00F62FE6">
            <w:pPr>
              <w:adjustRightInd w:val="0"/>
              <w:ind w:left="60" w:right="60"/>
              <w:rPr>
                <w:color w:val="000000"/>
                <w:szCs w:val="18"/>
                <w:lang w:val="id-ID"/>
              </w:rPr>
            </w:pPr>
            <w:r w:rsidRPr="00187E15">
              <w:rPr>
                <w:color w:val="000000"/>
                <w:szCs w:val="18"/>
                <w:lang w:val="id-ID"/>
              </w:rPr>
              <w:t>Residual</w:t>
            </w:r>
          </w:p>
        </w:tc>
        <w:tc>
          <w:tcPr>
            <w:tcW w:w="1701" w:type="dxa"/>
            <w:tcBorders>
              <w:top w:val="nil"/>
              <w:left w:val="single" w:sz="16" w:space="0" w:color="000000"/>
              <w:bottom w:val="nil"/>
            </w:tcBorders>
            <w:shd w:val="clear" w:color="auto" w:fill="FFFFFF"/>
            <w:vAlign w:val="center"/>
          </w:tcPr>
          <w:p w14:paraId="3CCFF7D5"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1.967</w:t>
            </w:r>
          </w:p>
        </w:tc>
        <w:tc>
          <w:tcPr>
            <w:tcW w:w="425" w:type="dxa"/>
            <w:tcBorders>
              <w:top w:val="nil"/>
              <w:bottom w:val="nil"/>
            </w:tcBorders>
            <w:shd w:val="clear" w:color="auto" w:fill="FFFFFF"/>
            <w:vAlign w:val="center"/>
          </w:tcPr>
          <w:p w14:paraId="116382C5"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40</w:t>
            </w:r>
          </w:p>
        </w:tc>
        <w:tc>
          <w:tcPr>
            <w:tcW w:w="1559" w:type="dxa"/>
            <w:tcBorders>
              <w:top w:val="nil"/>
              <w:bottom w:val="nil"/>
            </w:tcBorders>
            <w:shd w:val="clear" w:color="auto" w:fill="FFFFFF"/>
            <w:vAlign w:val="center"/>
          </w:tcPr>
          <w:p w14:paraId="319C719F"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.049</w:t>
            </w:r>
          </w:p>
        </w:tc>
        <w:tc>
          <w:tcPr>
            <w:tcW w:w="851" w:type="dxa"/>
            <w:tcBorders>
              <w:top w:val="nil"/>
              <w:bottom w:val="nil"/>
            </w:tcBorders>
            <w:shd w:val="clear" w:color="auto" w:fill="FFFFFF"/>
            <w:vAlign w:val="center"/>
          </w:tcPr>
          <w:p w14:paraId="59BFA120" w14:textId="77777777" w:rsidR="00F62FE6" w:rsidRPr="008A5074" w:rsidRDefault="00F62FE6" w:rsidP="00F62FE6">
            <w:pPr>
              <w:adjustRightInd w:val="0"/>
              <w:jc w:val="right"/>
              <w:rPr>
                <w:szCs w:val="24"/>
                <w:lang w:val="id-ID"/>
              </w:rPr>
            </w:pPr>
          </w:p>
        </w:tc>
        <w:tc>
          <w:tcPr>
            <w:tcW w:w="992" w:type="dxa"/>
            <w:tcBorders>
              <w:top w:val="nil"/>
              <w:bottom w:val="nil"/>
              <w:right w:val="single" w:sz="16" w:space="0" w:color="000000"/>
            </w:tcBorders>
            <w:shd w:val="clear" w:color="auto" w:fill="FFFFFF"/>
            <w:vAlign w:val="center"/>
          </w:tcPr>
          <w:p w14:paraId="27952397" w14:textId="77777777" w:rsidR="00F62FE6" w:rsidRPr="008A5074" w:rsidRDefault="00F62FE6" w:rsidP="00F62FE6">
            <w:pPr>
              <w:adjustRightInd w:val="0"/>
              <w:jc w:val="right"/>
              <w:rPr>
                <w:szCs w:val="24"/>
                <w:lang w:val="id-ID"/>
              </w:rPr>
            </w:pPr>
          </w:p>
        </w:tc>
      </w:tr>
      <w:tr w:rsidR="00F62FE6" w:rsidRPr="00B26626" w14:paraId="7BA4CBE9" w14:textId="77777777" w:rsidTr="00F62FE6">
        <w:trPr>
          <w:cantSplit/>
          <w:jc w:val="center"/>
        </w:trPr>
        <w:tc>
          <w:tcPr>
            <w:tcW w:w="426" w:type="dxa"/>
            <w:vMerge/>
            <w:tcBorders>
              <w:top w:val="single" w:sz="16" w:space="0" w:color="000000"/>
              <w:left w:val="single" w:sz="16" w:space="0" w:color="000000"/>
              <w:bottom w:val="single" w:sz="16" w:space="0" w:color="000000"/>
              <w:right w:val="nil"/>
            </w:tcBorders>
            <w:shd w:val="clear" w:color="auto" w:fill="FFFFFF"/>
          </w:tcPr>
          <w:p w14:paraId="0447ABAC" w14:textId="77777777" w:rsidR="00F62FE6" w:rsidRPr="00187E15" w:rsidRDefault="00F62FE6" w:rsidP="00F62FE6">
            <w:pPr>
              <w:adjustRightInd w:val="0"/>
              <w:rPr>
                <w:szCs w:val="24"/>
                <w:lang w:val="id-ID"/>
              </w:rPr>
            </w:pPr>
          </w:p>
        </w:tc>
        <w:tc>
          <w:tcPr>
            <w:tcW w:w="1417" w:type="dxa"/>
            <w:tcBorders>
              <w:top w:val="nil"/>
              <w:left w:val="nil"/>
              <w:bottom w:val="single" w:sz="16" w:space="0" w:color="000000"/>
              <w:right w:val="single" w:sz="16" w:space="0" w:color="000000"/>
            </w:tcBorders>
            <w:shd w:val="clear" w:color="auto" w:fill="FFFFFF"/>
          </w:tcPr>
          <w:p w14:paraId="4C9192F7" w14:textId="77777777" w:rsidR="00F62FE6" w:rsidRPr="00187E15" w:rsidRDefault="00F62FE6" w:rsidP="00F62FE6">
            <w:pPr>
              <w:adjustRightInd w:val="0"/>
              <w:ind w:left="60" w:right="60"/>
              <w:rPr>
                <w:color w:val="000000"/>
                <w:szCs w:val="18"/>
                <w:lang w:val="id-ID"/>
              </w:rPr>
            </w:pPr>
            <w:r w:rsidRPr="00187E15">
              <w:rPr>
                <w:color w:val="000000"/>
                <w:szCs w:val="18"/>
                <w:lang w:val="id-ID"/>
              </w:rPr>
              <w:t>Total</w:t>
            </w:r>
          </w:p>
        </w:tc>
        <w:tc>
          <w:tcPr>
            <w:tcW w:w="1701" w:type="dxa"/>
            <w:tcBorders>
              <w:top w:val="nil"/>
              <w:left w:val="single" w:sz="16" w:space="0" w:color="000000"/>
              <w:bottom w:val="single" w:sz="16" w:space="0" w:color="000000"/>
            </w:tcBorders>
            <w:shd w:val="clear" w:color="auto" w:fill="FFFFFF"/>
            <w:vAlign w:val="center"/>
          </w:tcPr>
          <w:p w14:paraId="07BFF164"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2.747</w:t>
            </w:r>
          </w:p>
        </w:tc>
        <w:tc>
          <w:tcPr>
            <w:tcW w:w="425" w:type="dxa"/>
            <w:tcBorders>
              <w:top w:val="nil"/>
              <w:bottom w:val="single" w:sz="16" w:space="0" w:color="000000"/>
            </w:tcBorders>
            <w:shd w:val="clear" w:color="auto" w:fill="FFFFFF"/>
            <w:vAlign w:val="center"/>
          </w:tcPr>
          <w:p w14:paraId="699C2CC4" w14:textId="77777777" w:rsidR="00F62FE6" w:rsidRPr="008A5074" w:rsidRDefault="00F62FE6" w:rsidP="00F62FE6">
            <w:pPr>
              <w:adjustRightInd w:val="0"/>
              <w:ind w:left="60" w:right="60"/>
              <w:jc w:val="right"/>
              <w:rPr>
                <w:color w:val="000000"/>
                <w:szCs w:val="24"/>
                <w:lang w:val="id-ID"/>
              </w:rPr>
            </w:pPr>
            <w:r w:rsidRPr="008A5074">
              <w:rPr>
                <w:color w:val="000000"/>
                <w:szCs w:val="24"/>
                <w:lang w:val="id-ID"/>
              </w:rPr>
              <w:t>44</w:t>
            </w:r>
          </w:p>
        </w:tc>
        <w:tc>
          <w:tcPr>
            <w:tcW w:w="1559" w:type="dxa"/>
            <w:tcBorders>
              <w:top w:val="nil"/>
              <w:bottom w:val="single" w:sz="16" w:space="0" w:color="000000"/>
            </w:tcBorders>
            <w:shd w:val="clear" w:color="auto" w:fill="FFFFFF"/>
            <w:vAlign w:val="center"/>
          </w:tcPr>
          <w:p w14:paraId="276E582F" w14:textId="77777777" w:rsidR="00F62FE6" w:rsidRPr="008A5074" w:rsidRDefault="00F62FE6" w:rsidP="00F62FE6">
            <w:pPr>
              <w:adjustRightInd w:val="0"/>
              <w:jc w:val="right"/>
              <w:rPr>
                <w:szCs w:val="24"/>
                <w:lang w:val="id-ID"/>
              </w:rPr>
            </w:pPr>
          </w:p>
        </w:tc>
        <w:tc>
          <w:tcPr>
            <w:tcW w:w="851" w:type="dxa"/>
            <w:tcBorders>
              <w:top w:val="nil"/>
              <w:bottom w:val="single" w:sz="16" w:space="0" w:color="000000"/>
            </w:tcBorders>
            <w:shd w:val="clear" w:color="auto" w:fill="FFFFFF"/>
            <w:vAlign w:val="center"/>
          </w:tcPr>
          <w:p w14:paraId="4F39DC03" w14:textId="77777777" w:rsidR="00F62FE6" w:rsidRPr="008A5074" w:rsidRDefault="00F62FE6" w:rsidP="00F62FE6">
            <w:pPr>
              <w:adjustRightInd w:val="0"/>
              <w:jc w:val="right"/>
              <w:rPr>
                <w:szCs w:val="24"/>
                <w:lang w:val="id-ID"/>
              </w:rPr>
            </w:pPr>
          </w:p>
        </w:tc>
        <w:tc>
          <w:tcPr>
            <w:tcW w:w="992" w:type="dxa"/>
            <w:tcBorders>
              <w:top w:val="nil"/>
              <w:bottom w:val="single" w:sz="16" w:space="0" w:color="000000"/>
              <w:right w:val="single" w:sz="16" w:space="0" w:color="000000"/>
            </w:tcBorders>
            <w:shd w:val="clear" w:color="auto" w:fill="FFFFFF"/>
            <w:vAlign w:val="center"/>
          </w:tcPr>
          <w:p w14:paraId="79BA503A" w14:textId="77777777" w:rsidR="00F62FE6" w:rsidRPr="008A5074" w:rsidRDefault="00F62FE6" w:rsidP="00F62FE6">
            <w:pPr>
              <w:adjustRightInd w:val="0"/>
              <w:jc w:val="right"/>
              <w:rPr>
                <w:szCs w:val="24"/>
                <w:lang w:val="id-ID"/>
              </w:rPr>
            </w:pPr>
          </w:p>
        </w:tc>
      </w:tr>
      <w:bookmarkEnd w:id="1"/>
      <w:tr w:rsidR="00F62FE6" w:rsidRPr="00B26626" w14:paraId="492C9741" w14:textId="77777777" w:rsidTr="00F62FE6">
        <w:trPr>
          <w:cantSplit/>
          <w:jc w:val="center"/>
        </w:trPr>
        <w:tc>
          <w:tcPr>
            <w:tcW w:w="7371" w:type="dxa"/>
            <w:gridSpan w:val="7"/>
            <w:tcBorders>
              <w:top w:val="nil"/>
              <w:left w:val="nil"/>
              <w:bottom w:val="nil"/>
              <w:right w:val="nil"/>
            </w:tcBorders>
            <w:shd w:val="clear" w:color="auto" w:fill="FFFFFF"/>
          </w:tcPr>
          <w:p w14:paraId="7C2F99CF" w14:textId="77777777" w:rsidR="00F62FE6" w:rsidRPr="00187E15" w:rsidRDefault="00F62FE6" w:rsidP="00F62FE6">
            <w:pPr>
              <w:adjustRightInd w:val="0"/>
              <w:ind w:left="60" w:right="60"/>
              <w:rPr>
                <w:color w:val="000000"/>
                <w:szCs w:val="18"/>
                <w:lang w:val="id-ID"/>
              </w:rPr>
            </w:pPr>
            <w:r w:rsidRPr="00187E15">
              <w:rPr>
                <w:color w:val="000000"/>
                <w:szCs w:val="18"/>
                <w:lang w:val="id-ID"/>
              </w:rPr>
              <w:t>a. Dependent Variable: CSR</w:t>
            </w:r>
          </w:p>
        </w:tc>
      </w:tr>
      <w:tr w:rsidR="00F62FE6" w:rsidRPr="00B26626" w14:paraId="56265335" w14:textId="77777777" w:rsidTr="00F62FE6">
        <w:trPr>
          <w:cantSplit/>
          <w:jc w:val="center"/>
        </w:trPr>
        <w:tc>
          <w:tcPr>
            <w:tcW w:w="7371" w:type="dxa"/>
            <w:gridSpan w:val="7"/>
            <w:tcBorders>
              <w:top w:val="nil"/>
              <w:left w:val="nil"/>
              <w:bottom w:val="nil"/>
              <w:right w:val="nil"/>
            </w:tcBorders>
            <w:shd w:val="clear" w:color="auto" w:fill="FFFFFF"/>
          </w:tcPr>
          <w:p w14:paraId="6AED4387" w14:textId="2B448882" w:rsidR="00F62FE6" w:rsidRPr="00F62FE6" w:rsidRDefault="00F62FE6" w:rsidP="00535B30">
            <w:pPr>
              <w:pStyle w:val="ListParagraph"/>
              <w:numPr>
                <w:ilvl w:val="1"/>
                <w:numId w:val="2"/>
              </w:numPr>
              <w:adjustRightInd w:val="0"/>
              <w:ind w:left="312" w:right="60" w:hanging="283"/>
              <w:rPr>
                <w:color w:val="000000"/>
                <w:szCs w:val="18"/>
                <w:lang w:val="id-ID"/>
              </w:rPr>
            </w:pPr>
            <w:r w:rsidRPr="00F62FE6">
              <w:rPr>
                <w:color w:val="000000"/>
                <w:szCs w:val="18"/>
                <w:lang w:val="id-ID"/>
              </w:rPr>
              <w:t xml:space="preserve">Predictors: (Constant), Proporsi Komisaris Independen, Ukuran Dewan Komisari, Ukuran Komite Audit, dan Kepemilikan Manajerial, </w:t>
            </w:r>
          </w:p>
          <w:p w14:paraId="4EB37899" w14:textId="12232FCB" w:rsidR="00F62FE6" w:rsidRPr="00F62FE6" w:rsidRDefault="00F62FE6" w:rsidP="00F62FE6">
            <w:pPr>
              <w:pStyle w:val="ListParagraph"/>
              <w:adjustRightInd w:val="0"/>
              <w:ind w:left="2007" w:right="60"/>
              <w:rPr>
                <w:color w:val="000000"/>
                <w:szCs w:val="18"/>
                <w:lang w:val="id-ID"/>
              </w:rPr>
            </w:pPr>
          </w:p>
        </w:tc>
      </w:tr>
    </w:tbl>
    <w:p w14:paraId="40DE1BC1" w14:textId="3997E7C6" w:rsidR="00F62FE6" w:rsidRDefault="00F62FE6" w:rsidP="00F62FE6">
      <w:pPr>
        <w:pStyle w:val="ListParagraph"/>
        <w:ind w:firstLine="567"/>
        <w:jc w:val="both"/>
        <w:rPr>
          <w:i/>
          <w:szCs w:val="24"/>
          <w:lang w:val="id-ID"/>
        </w:rPr>
      </w:pPr>
      <w:r>
        <w:rPr>
          <w:szCs w:val="24"/>
          <w:lang w:val="id-ID"/>
        </w:rPr>
        <w:t xml:space="preserve">Tabel 7 menunjukkan </w:t>
      </w:r>
      <w:r w:rsidRPr="002C72FF">
        <w:rPr>
          <w:szCs w:val="24"/>
          <w:lang w:val="id-ID"/>
        </w:rPr>
        <w:t>nilai Sig seb</w:t>
      </w:r>
      <w:r>
        <w:rPr>
          <w:szCs w:val="24"/>
          <w:lang w:val="id-ID"/>
        </w:rPr>
        <w:t>esar 0,008. Nilai tersebut lebih kecil dari</w:t>
      </w:r>
      <w:r w:rsidRPr="002C72FF">
        <w:rPr>
          <w:szCs w:val="24"/>
          <w:lang w:val="id-ID"/>
        </w:rPr>
        <w:t xml:space="preserve"> 0,05. Maka dapat disimpulkan bahwa variabel independen </w:t>
      </w:r>
      <w:r w:rsidRPr="007C7BE8">
        <w:rPr>
          <w:szCs w:val="24"/>
          <w:lang w:val="id-ID"/>
        </w:rPr>
        <w:t>(</w:t>
      </w:r>
      <w:r>
        <w:rPr>
          <w:szCs w:val="24"/>
          <w:lang w:val="id-ID"/>
        </w:rPr>
        <w:t>proporsi komisaris independen, ukuran dewan komisaris, ukuran komite audit, dan kepemilikan manajerial) berpengaruh</w:t>
      </w:r>
      <w:r w:rsidRPr="002C72FF">
        <w:rPr>
          <w:szCs w:val="24"/>
          <w:lang w:val="id-ID"/>
        </w:rPr>
        <w:t xml:space="preserve"> secara bersama-sama terhadap variabel dependen </w:t>
      </w:r>
      <w:r>
        <w:rPr>
          <w:szCs w:val="24"/>
          <w:lang w:val="id-ID"/>
        </w:rPr>
        <w:t>(</w:t>
      </w:r>
      <w:r w:rsidRPr="00187E15">
        <w:rPr>
          <w:i/>
          <w:szCs w:val="24"/>
          <w:lang w:val="id-ID"/>
        </w:rPr>
        <w:t>corporate social responsibility</w:t>
      </w:r>
      <w:r>
        <w:rPr>
          <w:i/>
          <w:szCs w:val="24"/>
          <w:lang w:val="id-ID"/>
        </w:rPr>
        <w:t>).</w:t>
      </w:r>
    </w:p>
    <w:p w14:paraId="0D785139" w14:textId="4ABC24E1" w:rsidR="005267DB" w:rsidRPr="006F32CE" w:rsidRDefault="00086265" w:rsidP="006F32CE">
      <w:pPr>
        <w:pStyle w:val="BodyText"/>
        <w:rPr>
          <w:rFonts w:ascii="Verdana"/>
        </w:rPr>
      </w:pPr>
      <w:r>
        <w:rPr>
          <w:rFonts w:ascii="Verdana"/>
          <w:spacing w:val="19"/>
        </w:rPr>
        <w:t xml:space="preserve"> </w:t>
      </w:r>
      <w:r>
        <w:rPr>
          <w:rFonts w:ascii="Verdana"/>
          <w:w w:val="158"/>
        </w:rPr>
        <w:t xml:space="preserve"> </w:t>
      </w:r>
      <w:r>
        <w:rPr>
          <w:rFonts w:ascii="Verdana"/>
          <w:w w:val="58"/>
        </w:rPr>
        <w:t xml:space="preserve"> </w:t>
      </w:r>
      <w:r>
        <w:rPr>
          <w:rFonts w:ascii="Verdana"/>
          <w:w w:val="158"/>
        </w:rPr>
        <w:t xml:space="preserve">   </w:t>
      </w:r>
      <w:r>
        <w:rPr>
          <w:rFonts w:ascii="Verdana"/>
          <w:spacing w:val="-2"/>
          <w:w w:val="160"/>
        </w:rPr>
        <w:t xml:space="preserve"> </w:t>
      </w:r>
      <w:r>
        <w:rPr>
          <w:rFonts w:ascii="Verdana"/>
          <w:w w:val="160"/>
        </w:rPr>
        <w:t xml:space="preserve"> </w:t>
      </w:r>
      <w:r>
        <w:rPr>
          <w:rFonts w:ascii="Verdana"/>
          <w:spacing w:val="-32"/>
        </w:rPr>
        <w:t xml:space="preserve"> </w:t>
      </w:r>
      <w:r>
        <w:rPr>
          <w:rFonts w:ascii="Verdana"/>
          <w:w w:val="213"/>
        </w:rPr>
        <w:t xml:space="preserve"> </w:t>
      </w:r>
      <w:r>
        <w:rPr>
          <w:rFonts w:ascii="Verdana"/>
        </w:rPr>
        <w:t xml:space="preserve"> </w:t>
      </w:r>
      <w:r>
        <w:rPr>
          <w:rFonts w:ascii="Verdana"/>
          <w:spacing w:val="-10"/>
        </w:rPr>
        <w:t xml:space="preserve"> </w:t>
      </w:r>
      <w:r>
        <w:rPr>
          <w:rFonts w:ascii="Verdana"/>
          <w:w w:val="158"/>
        </w:rPr>
        <w:t xml:space="preserve">  </w:t>
      </w:r>
      <w:r>
        <w:rPr>
          <w:rFonts w:ascii="Verdana"/>
          <w:w w:val="58"/>
        </w:rPr>
        <w:t xml:space="preserve"> </w:t>
      </w:r>
      <w:r>
        <w:rPr>
          <w:rFonts w:ascii="Verdana"/>
          <w:w w:val="158"/>
        </w:rPr>
        <w:t xml:space="preserve">   </w:t>
      </w:r>
      <w:r>
        <w:rPr>
          <w:rFonts w:ascii="Verdana"/>
          <w:spacing w:val="-2"/>
          <w:w w:val="160"/>
        </w:rPr>
        <w:t xml:space="preserve"> </w:t>
      </w:r>
      <w:r>
        <w:rPr>
          <w:rFonts w:ascii="Verdana"/>
          <w:w w:val="160"/>
        </w:rPr>
        <w:t xml:space="preserve"> </w:t>
      </w:r>
      <w:r>
        <w:rPr>
          <w:rFonts w:ascii="Verdana"/>
          <w:spacing w:val="-32"/>
        </w:rPr>
        <w:t xml:space="preserve"> </w:t>
      </w:r>
      <w:r>
        <w:rPr>
          <w:rFonts w:ascii="Verdana"/>
          <w:w w:val="213"/>
        </w:rPr>
        <w:t xml:space="preserve"> </w:t>
      </w:r>
      <w:r>
        <w:rPr>
          <w:rFonts w:ascii="Verdana"/>
        </w:rPr>
        <w:t xml:space="preserve"> </w:t>
      </w:r>
      <w:r>
        <w:rPr>
          <w:rFonts w:ascii="Verdana"/>
          <w:spacing w:val="-8"/>
        </w:rPr>
        <w:t xml:space="preserve"> </w:t>
      </w:r>
      <w:r>
        <w:rPr>
          <w:rFonts w:ascii="Verdana"/>
          <w:w w:val="158"/>
        </w:rPr>
        <w:t xml:space="preserve">  </w:t>
      </w:r>
      <w:r>
        <w:rPr>
          <w:rFonts w:ascii="Verdana"/>
          <w:w w:val="58"/>
        </w:rPr>
        <w:t xml:space="preserve"> </w:t>
      </w:r>
      <w:r>
        <w:rPr>
          <w:rFonts w:ascii="Verdana"/>
          <w:w w:val="158"/>
        </w:rPr>
        <w:t xml:space="preserve">  </w:t>
      </w:r>
      <w:r>
        <w:rPr>
          <w:rFonts w:ascii="Verdana"/>
          <w:spacing w:val="-3"/>
          <w:w w:val="158"/>
        </w:rPr>
        <w:t xml:space="preserve"> </w:t>
      </w:r>
      <w:r>
        <w:rPr>
          <w:rFonts w:ascii="Verdana"/>
          <w:spacing w:val="1"/>
          <w:w w:val="160"/>
        </w:rPr>
        <w:t xml:space="preserve"> </w:t>
      </w:r>
      <w:r>
        <w:rPr>
          <w:rFonts w:ascii="Verdana"/>
          <w:w w:val="160"/>
        </w:rPr>
        <w:t xml:space="preserve"> </w:t>
      </w:r>
      <w:r>
        <w:rPr>
          <w:rFonts w:ascii="Verdana"/>
          <w:spacing w:val="-32"/>
        </w:rPr>
        <w:t xml:space="preserve"> </w:t>
      </w:r>
      <w:r>
        <w:rPr>
          <w:rFonts w:ascii="Verdana"/>
          <w:w w:val="213"/>
        </w:rPr>
        <w:t xml:space="preserve"> </w:t>
      </w:r>
      <w:r>
        <w:rPr>
          <w:rFonts w:ascii="Verdana"/>
          <w:spacing w:val="19"/>
        </w:rPr>
        <w:t xml:space="preserve"> </w:t>
      </w:r>
    </w:p>
    <w:p w14:paraId="5BD0B333" w14:textId="32542FBF" w:rsidR="005267DB" w:rsidRDefault="00086265" w:rsidP="00535B30">
      <w:pPr>
        <w:pStyle w:val="Heading1"/>
        <w:spacing w:line="251" w:lineRule="exact"/>
        <w:ind w:left="0"/>
      </w:pPr>
      <w:r>
        <w:t>KESIMPULAN</w:t>
      </w:r>
    </w:p>
    <w:p w14:paraId="62B875F8" w14:textId="77777777" w:rsidR="00535B30" w:rsidRDefault="00535B30">
      <w:pPr>
        <w:pStyle w:val="Heading1"/>
        <w:spacing w:line="251" w:lineRule="exact"/>
      </w:pPr>
    </w:p>
    <w:p w14:paraId="1C02DE38" w14:textId="42898F88" w:rsidR="00535B30" w:rsidRPr="00535B30" w:rsidRDefault="00535B30" w:rsidP="00535B30">
      <w:pPr>
        <w:pStyle w:val="ListParagraph"/>
        <w:ind w:firstLine="567"/>
        <w:jc w:val="both"/>
        <w:rPr>
          <w:lang w:val="id-ID"/>
        </w:rPr>
      </w:pPr>
      <w:r>
        <w:rPr>
          <w:lang w:val="id-ID"/>
        </w:rPr>
        <w:t>Berdasarkan penelitian yang dilakukan, dapat diambil beberapa kesimpulan sebagai berikut</w:t>
      </w:r>
      <w:r w:rsidRPr="00C231D1">
        <w:rPr>
          <w:lang w:val="id-ID"/>
        </w:rPr>
        <w:t>:</w:t>
      </w:r>
      <w:r>
        <w:rPr>
          <w:lang w:val="id-ID"/>
        </w:rPr>
        <w:t xml:space="preserve"> </w:t>
      </w:r>
      <w:r w:rsidRPr="00535B30">
        <w:rPr>
          <w:lang w:val="en-ID"/>
        </w:rPr>
        <w:t>P</w:t>
      </w:r>
      <w:r w:rsidRPr="00535B30">
        <w:rPr>
          <w:lang w:val="id-ID"/>
        </w:rPr>
        <w:t xml:space="preserve">roporsi komisaris independen tidak berpengaruh terhadap pengungkapan CSR perusahaan transportasi yang terdaftar di Bursa Efek Indonesia selama tahun 2017 hingga 2019. </w:t>
      </w:r>
      <w:r w:rsidRPr="00535B30">
        <w:rPr>
          <w:lang w:val="en-ID"/>
        </w:rPr>
        <w:t>U</w:t>
      </w:r>
      <w:r w:rsidRPr="00535B30">
        <w:rPr>
          <w:lang w:val="id-ID"/>
        </w:rPr>
        <w:t>kuran dewan komisaris tidak berpengaruh terhadap pengungkapan CSR perusahaan transportasi yang terdaftar di Bursa Efek Indonesia selama tahun 2017 hingga 2019.</w:t>
      </w:r>
      <w:r>
        <w:rPr>
          <w:lang w:val="id-ID"/>
        </w:rPr>
        <w:t xml:space="preserve"> </w:t>
      </w:r>
      <w:r w:rsidRPr="00535B30">
        <w:rPr>
          <w:lang w:val="id-ID"/>
        </w:rPr>
        <w:t>Ukuran komite audit berpengaruh terhadap pengungkapan CSR perusahaan transportasi yang terdaftar di Bursa Efek Indonesia selama tahun 2017 hingga 2019.</w:t>
      </w:r>
      <w:r>
        <w:rPr>
          <w:lang w:val="id-ID"/>
        </w:rPr>
        <w:t xml:space="preserve"> </w:t>
      </w:r>
      <w:r w:rsidRPr="00535B30">
        <w:rPr>
          <w:lang w:val="en-ID"/>
        </w:rPr>
        <w:t>K</w:t>
      </w:r>
      <w:r w:rsidRPr="00535B30">
        <w:rPr>
          <w:lang w:val="id-ID"/>
        </w:rPr>
        <w:t>epemilikan manajerial tidak berpengaruh terhadap pengungkapan CSR perusahaan transportasi yang terdaftar di Bursa Efek Indonesia selama tahun 2017 hingga 2019. Proporsi komisaris independen, ukuran dewan komisaris, ukuran komite audit, dan kepemilikan manajerial berpengaruh secara bersama-sama terhadap pengungkapan CSR perusahaan transportasi yang terdaftar di Bursa Efek Indonesia selama tahun 2017 hingga 2019.</w:t>
      </w:r>
    </w:p>
    <w:p w14:paraId="5C988FDC" w14:textId="77777777" w:rsidR="00535B30" w:rsidRDefault="00535B30" w:rsidP="00535B30">
      <w:pPr>
        <w:pStyle w:val="Heading1"/>
        <w:ind w:left="0"/>
      </w:pPr>
    </w:p>
    <w:p w14:paraId="0361405E" w14:textId="63D3C32F" w:rsidR="005267DB" w:rsidRDefault="00086265" w:rsidP="00535B30">
      <w:pPr>
        <w:pStyle w:val="Heading1"/>
        <w:ind w:left="0"/>
      </w:pPr>
      <w:r>
        <w:t>DAFTAR PUSTAKA</w:t>
      </w:r>
    </w:p>
    <w:p w14:paraId="2A95E010" w14:textId="109F2390" w:rsidR="00535B30" w:rsidRDefault="00535B30" w:rsidP="00535B30">
      <w:pPr>
        <w:ind w:left="567" w:hanging="567"/>
        <w:jc w:val="both"/>
      </w:pPr>
      <w:r>
        <w:t xml:space="preserve">Aini, Nike Nur dan Nur Cahyonowati. 2011. </w:t>
      </w:r>
      <w:r w:rsidRPr="004A55C9">
        <w:rPr>
          <w:i/>
        </w:rPr>
        <w:t>Pengaruh Good Corporate Governance terhadap Pengungkapan Corporate Social Responsibility</w:t>
      </w:r>
      <w:r>
        <w:t>. Semarang: Universitas Diponegoro.</w:t>
      </w:r>
    </w:p>
    <w:p w14:paraId="44240E13" w14:textId="77777777" w:rsidR="00535B30" w:rsidRDefault="00535B30" w:rsidP="00535B30">
      <w:pPr>
        <w:ind w:left="567" w:hanging="567"/>
        <w:jc w:val="both"/>
      </w:pPr>
    </w:p>
    <w:p w14:paraId="52C18EB8" w14:textId="363CC2AC" w:rsidR="00535B30" w:rsidRDefault="00535B30" w:rsidP="00535B30">
      <w:pPr>
        <w:ind w:left="567" w:hanging="567"/>
        <w:jc w:val="both"/>
      </w:pPr>
      <w:r w:rsidRPr="004A55C9">
        <w:t xml:space="preserve">Andikri, Yuandafi. 2019. </w:t>
      </w:r>
      <w:r w:rsidRPr="004A55C9">
        <w:rPr>
          <w:i/>
        </w:rPr>
        <w:t>Analisis Pengaruh Karakteristik Good Corporate Governance (GCG) Terhadap Tingkat Pengungkapan Corporate Social Responsibility (CSR) (Studi pada Perusahaan Maskapai yang Terdaftar di Bursa Efek se Asia Tenggara Periode 2014-2018).</w:t>
      </w:r>
      <w:r w:rsidRPr="004A55C9">
        <w:t xml:space="preserve"> Yogyakarta: Universitas Gadjah Mada</w:t>
      </w:r>
      <w:r>
        <w:t>.</w:t>
      </w:r>
    </w:p>
    <w:p w14:paraId="54051D2B" w14:textId="77777777" w:rsidR="00535B30" w:rsidRDefault="00535B30" w:rsidP="00535B30">
      <w:pPr>
        <w:ind w:left="567" w:hanging="567"/>
        <w:jc w:val="both"/>
      </w:pPr>
    </w:p>
    <w:p w14:paraId="668CF891" w14:textId="1C02364B" w:rsidR="00535B30" w:rsidRDefault="00535B30" w:rsidP="00535B30">
      <w:pPr>
        <w:ind w:left="567" w:hanging="567"/>
        <w:jc w:val="both"/>
      </w:pPr>
      <w:r>
        <w:t>Badjuri. 2011.</w:t>
      </w:r>
      <w:r w:rsidRPr="005770CA">
        <w:t xml:space="preserve"> </w:t>
      </w:r>
      <w:r w:rsidRPr="004A55C9">
        <w:rPr>
          <w:i/>
        </w:rPr>
        <w:t>Faktor-Faktor Fundamental, Mekasnisme Coorporate Governance, Pengungkapan Coorporate Social Responbility (CSR) Perusahaan Manufaktur dan Sumber Daya Alam di Indonesia</w:t>
      </w:r>
      <w:r>
        <w:t>. Semarang: Universitas Stikubank.</w:t>
      </w:r>
    </w:p>
    <w:p w14:paraId="1BE99039" w14:textId="77777777" w:rsidR="00535B30" w:rsidRDefault="00535B30" w:rsidP="00535B30">
      <w:pPr>
        <w:ind w:left="567" w:hanging="567"/>
        <w:jc w:val="both"/>
      </w:pPr>
    </w:p>
    <w:p w14:paraId="4928B6B4" w14:textId="6A4E9E4A" w:rsidR="00535B30" w:rsidRDefault="00535B30" w:rsidP="00535B30">
      <w:pPr>
        <w:ind w:left="567" w:hanging="567"/>
        <w:jc w:val="both"/>
      </w:pPr>
      <w:r>
        <w:t xml:space="preserve">Deegan, C. 2004. </w:t>
      </w:r>
      <w:r w:rsidRPr="004A55C9">
        <w:rPr>
          <w:i/>
        </w:rPr>
        <w:t>Financial Accounting Theory</w:t>
      </w:r>
      <w:r>
        <w:t>. Sydney: McGraw-Hill Book Company.</w:t>
      </w:r>
    </w:p>
    <w:p w14:paraId="651B76F0" w14:textId="77777777" w:rsidR="00535B30" w:rsidRDefault="00535B30" w:rsidP="00535B30">
      <w:pPr>
        <w:ind w:left="567" w:hanging="567"/>
        <w:jc w:val="both"/>
      </w:pPr>
    </w:p>
    <w:p w14:paraId="39F6040A" w14:textId="69AED144" w:rsidR="00535B30" w:rsidRDefault="00535B30" w:rsidP="00535B30">
      <w:pPr>
        <w:ind w:left="567" w:hanging="567"/>
        <w:jc w:val="both"/>
      </w:pPr>
      <w:r w:rsidRPr="004A55C9">
        <w:t>Effend</w:t>
      </w:r>
      <w:r>
        <w:t xml:space="preserve">i, Muh. Arief. 2009. </w:t>
      </w:r>
      <w:r w:rsidRPr="004A55C9">
        <w:rPr>
          <w:i/>
        </w:rPr>
        <w:t>The Power of Corporate Governance</w:t>
      </w:r>
      <w:r>
        <w:t xml:space="preserve">. </w:t>
      </w:r>
      <w:r w:rsidRPr="004A55C9">
        <w:t>Teori dan Implementasi. Jakarta: Salemba Empat</w:t>
      </w:r>
      <w:r>
        <w:t>.</w:t>
      </w:r>
    </w:p>
    <w:p w14:paraId="729F161C" w14:textId="77777777" w:rsidR="00535B30" w:rsidRDefault="00535B30" w:rsidP="00535B30">
      <w:pPr>
        <w:ind w:left="567" w:hanging="567"/>
        <w:jc w:val="both"/>
      </w:pPr>
    </w:p>
    <w:p w14:paraId="2E05B5A5" w14:textId="5C202C67" w:rsidR="00535B30" w:rsidRDefault="00535B30" w:rsidP="00535B30">
      <w:pPr>
        <w:ind w:left="567" w:hanging="567"/>
        <w:jc w:val="both"/>
        <w:rPr>
          <w:szCs w:val="24"/>
        </w:rPr>
      </w:pPr>
      <w:proofErr w:type="spellStart"/>
      <w:r>
        <w:rPr>
          <w:lang w:val="en-ID"/>
        </w:rPr>
        <w:t>Fajari</w:t>
      </w:r>
      <w:proofErr w:type="spellEnd"/>
      <w:r>
        <w:rPr>
          <w:lang w:val="en-ID"/>
        </w:rPr>
        <w:t xml:space="preserve">, Mentari Agustina dan </w:t>
      </w:r>
      <w:r w:rsidRPr="00D977D1">
        <w:rPr>
          <w:szCs w:val="24"/>
        </w:rPr>
        <w:t>Deannes Isynuwardhana</w:t>
      </w:r>
      <w:r>
        <w:rPr>
          <w:szCs w:val="24"/>
        </w:rPr>
        <w:t xml:space="preserve">. 2019. </w:t>
      </w:r>
      <w:r w:rsidRPr="004E622F">
        <w:rPr>
          <w:i/>
          <w:szCs w:val="24"/>
        </w:rPr>
        <w:t>Pengaruh Good Corporate Social Responsibility Terhadap Nilai Perusahaan (Studi Pada Perusahaan Sektor Industri Barang dan Konsumsi Yang Terdaftar di</w:t>
      </w:r>
      <w:r>
        <w:rPr>
          <w:i/>
          <w:szCs w:val="24"/>
        </w:rPr>
        <w:t xml:space="preserve"> </w:t>
      </w:r>
      <w:r w:rsidRPr="004E622F">
        <w:rPr>
          <w:i/>
          <w:szCs w:val="24"/>
        </w:rPr>
        <w:t>BEI Tahun 2014-2017)</w:t>
      </w:r>
      <w:r>
        <w:rPr>
          <w:szCs w:val="24"/>
        </w:rPr>
        <w:t>. Bandung: Universitas Telkom.</w:t>
      </w:r>
    </w:p>
    <w:p w14:paraId="59544B8D" w14:textId="77777777" w:rsidR="00535B30" w:rsidRDefault="00535B30" w:rsidP="00535B30">
      <w:pPr>
        <w:ind w:left="567" w:hanging="567"/>
        <w:jc w:val="both"/>
        <w:rPr>
          <w:szCs w:val="24"/>
        </w:rPr>
      </w:pPr>
    </w:p>
    <w:p w14:paraId="2C1655C2" w14:textId="11E33BCA" w:rsidR="00535B30" w:rsidRDefault="00535B30" w:rsidP="00535B30">
      <w:pPr>
        <w:ind w:left="567" w:hanging="567"/>
        <w:jc w:val="both"/>
      </w:pPr>
      <w:r>
        <w:t xml:space="preserve">FCGI. 2001. </w:t>
      </w:r>
      <w:r w:rsidRPr="004A55C9">
        <w:rPr>
          <w:i/>
        </w:rPr>
        <w:t>Peranan Dewan Komisaris dan Komite Audit dalam Pelaksanaan Corporate Governance (Tata Kelola Perusahaan).</w:t>
      </w:r>
      <w:r>
        <w:t xml:space="preserve"> Jilid II. FCGI. Edisi ke 2.</w:t>
      </w:r>
    </w:p>
    <w:p w14:paraId="55796682" w14:textId="77777777" w:rsidR="00535B30" w:rsidRDefault="00535B30" w:rsidP="00535B30">
      <w:pPr>
        <w:ind w:left="567" w:hanging="567"/>
        <w:jc w:val="both"/>
      </w:pPr>
    </w:p>
    <w:p w14:paraId="6FE4ACA5" w14:textId="2D5E76EC" w:rsidR="00535B30" w:rsidRDefault="00535B30" w:rsidP="00535B30">
      <w:pPr>
        <w:ind w:left="567" w:hanging="567"/>
        <w:jc w:val="both"/>
      </w:pPr>
      <w:r>
        <w:t xml:space="preserve">Freeman and Reed. 1983. </w:t>
      </w:r>
      <w:r w:rsidRPr="004A55C9">
        <w:rPr>
          <w:i/>
        </w:rPr>
        <w:t>Stockholders and Stakeholders: A New Perspective on Corporate Governance</w:t>
      </w:r>
      <w:r>
        <w:t>. Californian Management Review. Vol 25. No. 2. pp. 88-106.</w:t>
      </w:r>
    </w:p>
    <w:p w14:paraId="1C051294" w14:textId="77777777" w:rsidR="00535B30" w:rsidRDefault="00535B30" w:rsidP="00535B30">
      <w:pPr>
        <w:ind w:left="567" w:hanging="567"/>
        <w:jc w:val="both"/>
      </w:pPr>
    </w:p>
    <w:p w14:paraId="32C0267C" w14:textId="09A67F40" w:rsidR="00535B30" w:rsidRDefault="00535B30" w:rsidP="00535B30">
      <w:pPr>
        <w:ind w:left="567" w:hanging="567"/>
        <w:jc w:val="both"/>
        <w:rPr>
          <w:szCs w:val="24"/>
        </w:rPr>
      </w:pPr>
      <w:r w:rsidRPr="001902AA">
        <w:rPr>
          <w:szCs w:val="24"/>
        </w:rPr>
        <w:t xml:space="preserve">Ghozali, Imam. 2018. </w:t>
      </w:r>
      <w:r w:rsidRPr="00865439">
        <w:rPr>
          <w:i/>
          <w:szCs w:val="24"/>
        </w:rPr>
        <w:t>Aplikasi Analisis Multivariate dengan Program IBM SPSS 25</w:t>
      </w:r>
      <w:r w:rsidRPr="001902AA">
        <w:rPr>
          <w:szCs w:val="24"/>
        </w:rPr>
        <w:t>. Edisi 9. Semarang: Badan Penerbit Universitas Diponegoro</w:t>
      </w:r>
      <w:r>
        <w:rPr>
          <w:szCs w:val="24"/>
        </w:rPr>
        <w:t>.</w:t>
      </w:r>
    </w:p>
    <w:p w14:paraId="536C78AA" w14:textId="77777777" w:rsidR="00535B30" w:rsidRDefault="00535B30" w:rsidP="00535B30">
      <w:pPr>
        <w:ind w:left="567" w:hanging="567"/>
        <w:jc w:val="both"/>
        <w:rPr>
          <w:szCs w:val="24"/>
          <w:lang w:val="en-ID"/>
        </w:rPr>
      </w:pPr>
    </w:p>
    <w:p w14:paraId="1091364C" w14:textId="035DF75D" w:rsidR="00535B30" w:rsidRDefault="00535B30" w:rsidP="00535B30">
      <w:pPr>
        <w:ind w:left="567" w:hanging="567"/>
        <w:jc w:val="both"/>
      </w:pPr>
      <w:r w:rsidRPr="004A55C9">
        <w:t xml:space="preserve">Haruman, T. 2008. </w:t>
      </w:r>
      <w:r w:rsidRPr="004A55C9">
        <w:rPr>
          <w:i/>
        </w:rPr>
        <w:t>Pengaruh Struktur Kepemilikan Terhadap Keputusan Keuangan dan Nilai Perusahaan</w:t>
      </w:r>
      <w:r w:rsidRPr="004A55C9">
        <w:t>. Pontianak: Simposium Nasional Akuntansi XI.</w:t>
      </w:r>
    </w:p>
    <w:p w14:paraId="46E769F3" w14:textId="77777777" w:rsidR="00535B30" w:rsidRDefault="00535B30" w:rsidP="00535B30">
      <w:pPr>
        <w:ind w:left="567" w:hanging="567"/>
        <w:jc w:val="both"/>
      </w:pPr>
    </w:p>
    <w:p w14:paraId="2DDCAD85" w14:textId="36D86DD6" w:rsidR="00535B30" w:rsidRDefault="00535B30" w:rsidP="00535B30">
      <w:pPr>
        <w:ind w:left="567" w:hanging="567"/>
        <w:jc w:val="both"/>
      </w:pPr>
      <w:r w:rsidRPr="004A55C9">
        <w:lastRenderedPageBreak/>
        <w:t xml:space="preserve">Jensen, M.C. &amp; Meckling, W.H. (1976). </w:t>
      </w:r>
      <w:r w:rsidRPr="004A55C9">
        <w:rPr>
          <w:i/>
        </w:rPr>
        <w:t>Theory of the Firm: Managerial Behavior, Agency Cost and Ownership Structure</w:t>
      </w:r>
      <w:r w:rsidRPr="004A55C9">
        <w:t>. Journal of Financial Economics, 3, 305-360.</w:t>
      </w:r>
    </w:p>
    <w:p w14:paraId="27FA8D6D" w14:textId="77777777" w:rsidR="00535B30" w:rsidRDefault="00535B30" w:rsidP="00535B30">
      <w:pPr>
        <w:ind w:left="567" w:hanging="567"/>
        <w:jc w:val="both"/>
      </w:pPr>
    </w:p>
    <w:p w14:paraId="05F98BBB" w14:textId="77777777" w:rsidR="00535B30" w:rsidRDefault="00535B30" w:rsidP="00535B30">
      <w:pPr>
        <w:ind w:left="567" w:hanging="567"/>
        <w:jc w:val="both"/>
      </w:pPr>
      <w:r>
        <w:t xml:space="preserve">Kaihatu, T.S. 2018. </w:t>
      </w:r>
      <w:r w:rsidRPr="004A55C9">
        <w:rPr>
          <w:i/>
        </w:rPr>
        <w:t>Good Corporate Governance dan Penerapannya di Indonesia</w:t>
      </w:r>
      <w:r>
        <w:t xml:space="preserve">. </w:t>
      </w:r>
      <w:r w:rsidRPr="00541EC5">
        <w:t xml:space="preserve">Jurnal Manajemen dan Kewirausahaan </w:t>
      </w:r>
      <w:r>
        <w:t>.7(2): 81-88.</w:t>
      </w:r>
    </w:p>
    <w:p w14:paraId="51723231" w14:textId="52104A8A" w:rsidR="00535B30" w:rsidRDefault="00535B30" w:rsidP="00535B30">
      <w:pPr>
        <w:ind w:left="567" w:hanging="567"/>
        <w:jc w:val="both"/>
        <w:rPr>
          <w:szCs w:val="24"/>
        </w:rPr>
      </w:pPr>
      <w:r w:rsidRPr="001902AA">
        <w:rPr>
          <w:szCs w:val="24"/>
        </w:rPr>
        <w:t xml:space="preserve">Komite Nasional Kebijakan Governance (KNKG). 2006. </w:t>
      </w:r>
      <w:r w:rsidRPr="003743DC">
        <w:rPr>
          <w:i/>
          <w:szCs w:val="24"/>
        </w:rPr>
        <w:t>Pedoman Umum Good Corporate Governance Indonesia</w:t>
      </w:r>
      <w:r w:rsidRPr="001902AA">
        <w:rPr>
          <w:szCs w:val="24"/>
        </w:rPr>
        <w:t>. Jakarta</w:t>
      </w:r>
      <w:r>
        <w:rPr>
          <w:szCs w:val="24"/>
        </w:rPr>
        <w:t>.</w:t>
      </w:r>
    </w:p>
    <w:p w14:paraId="560875F6" w14:textId="77777777" w:rsidR="00535B30" w:rsidRDefault="00535B30" w:rsidP="00535B30">
      <w:pPr>
        <w:ind w:left="567" w:hanging="567"/>
        <w:jc w:val="both"/>
        <w:rPr>
          <w:szCs w:val="24"/>
        </w:rPr>
      </w:pPr>
    </w:p>
    <w:p w14:paraId="24FC508D" w14:textId="1DA23270" w:rsidR="00535B30" w:rsidRDefault="00535B30" w:rsidP="00535B30">
      <w:pPr>
        <w:ind w:left="567" w:hanging="567"/>
        <w:jc w:val="both"/>
      </w:pPr>
      <w:r w:rsidRPr="004A55C9">
        <w:t xml:space="preserve">Manossoh, Hendrik. 2016. </w:t>
      </w:r>
      <w:r w:rsidRPr="004A55C9">
        <w:rPr>
          <w:i/>
        </w:rPr>
        <w:t>Good Corporate Governance untuk Meningkatkan Kualitas Laporan Keuangan</w:t>
      </w:r>
      <w:r w:rsidRPr="004A55C9">
        <w:t>. Bandung: PT Norlive Kharisma Indonesia.</w:t>
      </w:r>
    </w:p>
    <w:p w14:paraId="7275C4E2" w14:textId="77777777" w:rsidR="00535B30" w:rsidRDefault="00535B30" w:rsidP="00535B30">
      <w:pPr>
        <w:ind w:left="567" w:hanging="567"/>
        <w:jc w:val="both"/>
      </w:pPr>
    </w:p>
    <w:p w14:paraId="7EAB0763" w14:textId="2B0EF5E8" w:rsidR="00535B30" w:rsidRDefault="00535B30" w:rsidP="00535B30">
      <w:pPr>
        <w:ind w:left="567" w:hanging="567"/>
        <w:jc w:val="both"/>
      </w:pPr>
      <w:r>
        <w:t xml:space="preserve">Nugraeni. 2011. </w:t>
      </w:r>
      <w:r w:rsidRPr="00B47DEA">
        <w:rPr>
          <w:i/>
        </w:rPr>
        <w:t>Pengaruh Struktur Kepemilikan terhadap Pengungkapan Tanggungjawab Sosial/ Social Disclosure</w:t>
      </w:r>
      <w:r>
        <w:t>. Yogyakarta: Lembaga Penelitian dan Pengabdian kepada Masyarakat (LPPM) Universitas Mercu Buana Yogyakarta.</w:t>
      </w:r>
    </w:p>
    <w:p w14:paraId="77FC9D05" w14:textId="77777777" w:rsidR="00535B30" w:rsidRPr="00B47DEA" w:rsidRDefault="00535B30" w:rsidP="00535B30">
      <w:pPr>
        <w:ind w:left="567" w:hanging="567"/>
        <w:jc w:val="both"/>
      </w:pPr>
    </w:p>
    <w:p w14:paraId="02475CD3" w14:textId="3120BD8E" w:rsidR="00535B30" w:rsidRDefault="00535B30" w:rsidP="00535B30">
      <w:pPr>
        <w:ind w:left="567" w:hanging="567"/>
        <w:jc w:val="both"/>
      </w:pPr>
      <w:r>
        <w:t xml:space="preserve">Nugroho, Mirza Nudin dan Agung Yulianto. 2015. </w:t>
      </w:r>
      <w:r w:rsidRPr="004A55C9">
        <w:rPr>
          <w:i/>
        </w:rPr>
        <w:t>Pengaruh Profitabilitas dan Mekanisme Corporate Governance Terhadap Pengungkapan CSR Perusahaan Terdaftar JII 2011-2013</w:t>
      </w:r>
      <w:r>
        <w:t xml:space="preserve">. </w:t>
      </w:r>
      <w:r w:rsidRPr="007B63FD">
        <w:t>Accounting Analysis Journal Universitas Semarang ISSN: 2252-6765, Vol. 4, No. 1.</w:t>
      </w:r>
    </w:p>
    <w:p w14:paraId="5014CA6D" w14:textId="77777777" w:rsidR="00535B30" w:rsidRDefault="00535B30" w:rsidP="00535B30">
      <w:pPr>
        <w:ind w:left="567" w:hanging="567"/>
        <w:jc w:val="both"/>
      </w:pPr>
    </w:p>
    <w:p w14:paraId="06C0C7DF" w14:textId="48A68945" w:rsidR="00535B30" w:rsidRDefault="00535B30" w:rsidP="00535B30">
      <w:pPr>
        <w:ind w:left="567" w:hanging="567"/>
        <w:jc w:val="both"/>
        <w:rPr>
          <w:szCs w:val="24"/>
          <w:lang w:val="en-ID"/>
        </w:rPr>
      </w:pPr>
      <w:r>
        <w:rPr>
          <w:szCs w:val="24"/>
        </w:rPr>
        <w:t xml:space="preserve">Pamungkas, Muhammad Wildan. 2018. </w:t>
      </w:r>
      <w:r w:rsidRPr="00B37DF8">
        <w:rPr>
          <w:szCs w:val="24"/>
          <w:lang w:val="id-ID"/>
        </w:rPr>
        <w:t>Pengaruh</w:t>
      </w:r>
      <w:r>
        <w:rPr>
          <w:szCs w:val="24"/>
          <w:lang w:val="id-ID"/>
        </w:rPr>
        <w:t xml:space="preserve"> </w:t>
      </w:r>
      <w:r w:rsidRPr="00E63FEB">
        <w:rPr>
          <w:i/>
          <w:szCs w:val="24"/>
          <w:lang w:val="id-ID"/>
        </w:rPr>
        <w:t>Good Corporate Governance</w:t>
      </w:r>
      <w:r w:rsidRPr="00B37DF8">
        <w:rPr>
          <w:szCs w:val="24"/>
          <w:lang w:val="id-ID"/>
        </w:rPr>
        <w:t xml:space="preserve"> (GCG) </w:t>
      </w:r>
      <w:r>
        <w:rPr>
          <w:szCs w:val="24"/>
          <w:lang w:val="id-ID"/>
        </w:rPr>
        <w:t xml:space="preserve">dan Karakteristik Perusahaan </w:t>
      </w:r>
      <w:r w:rsidRPr="00B37DF8">
        <w:rPr>
          <w:szCs w:val="24"/>
          <w:lang w:val="id-ID"/>
        </w:rPr>
        <w:t xml:space="preserve">Terhadap Tingkat Pengungkapan </w:t>
      </w:r>
      <w:r w:rsidRPr="00E63FEB">
        <w:rPr>
          <w:i/>
          <w:szCs w:val="24"/>
          <w:lang w:val="id-ID"/>
        </w:rPr>
        <w:t>Corporate Social Responsibility</w:t>
      </w:r>
      <w:r w:rsidRPr="00B37DF8">
        <w:rPr>
          <w:szCs w:val="24"/>
          <w:lang w:val="id-ID"/>
        </w:rPr>
        <w:t xml:space="preserve"> (CSR) </w:t>
      </w:r>
      <w:r>
        <w:rPr>
          <w:szCs w:val="24"/>
          <w:lang w:val="id-ID"/>
        </w:rPr>
        <w:t xml:space="preserve">Pada Perusahaan Perbankan di Indonesia </w:t>
      </w:r>
      <w:r w:rsidRPr="00B37DF8">
        <w:rPr>
          <w:szCs w:val="24"/>
          <w:lang w:val="id-ID"/>
        </w:rPr>
        <w:t xml:space="preserve">(Studi </w:t>
      </w:r>
      <w:r>
        <w:rPr>
          <w:szCs w:val="24"/>
          <w:lang w:val="id-ID"/>
        </w:rPr>
        <w:t xml:space="preserve">empiris </w:t>
      </w:r>
      <w:r w:rsidRPr="00B37DF8">
        <w:rPr>
          <w:szCs w:val="24"/>
          <w:lang w:val="id-ID"/>
        </w:rPr>
        <w:t xml:space="preserve">pada Perusahaan </w:t>
      </w:r>
      <w:r>
        <w:rPr>
          <w:szCs w:val="24"/>
          <w:lang w:val="id-ID"/>
        </w:rPr>
        <w:t>Perbankan di Indonesia periode 2013-2017)</w:t>
      </w:r>
      <w:r>
        <w:rPr>
          <w:szCs w:val="24"/>
          <w:lang w:val="en-ID"/>
        </w:rPr>
        <w:t>. Yogyakarta: Universitas Islam Indonesia.</w:t>
      </w:r>
    </w:p>
    <w:p w14:paraId="37ECF575" w14:textId="77777777" w:rsidR="00535B30" w:rsidRDefault="00535B30" w:rsidP="00535B30">
      <w:pPr>
        <w:ind w:left="567" w:hanging="567"/>
        <w:jc w:val="both"/>
        <w:rPr>
          <w:szCs w:val="24"/>
          <w:lang w:val="en-ID"/>
        </w:rPr>
      </w:pPr>
    </w:p>
    <w:p w14:paraId="2CC078DA" w14:textId="189157BB" w:rsidR="00535B30" w:rsidRDefault="00535B30" w:rsidP="00535B30">
      <w:pPr>
        <w:ind w:left="567" w:hanging="567"/>
        <w:jc w:val="both"/>
        <w:rPr>
          <w:i/>
        </w:rPr>
      </w:pPr>
      <w:r>
        <w:t xml:space="preserve">Republik Indonesia. </w:t>
      </w:r>
      <w:r w:rsidRPr="004A55C9">
        <w:t xml:space="preserve">Surat Keputusan Menteri BUMN Nomor Kep-117/M-MBU/2002 tanggal 31 Juli 2002 tentang </w:t>
      </w:r>
      <w:r w:rsidRPr="004A55C9">
        <w:rPr>
          <w:i/>
        </w:rPr>
        <w:t>Praktik Good Corporeate Governance</w:t>
      </w:r>
    </w:p>
    <w:p w14:paraId="1ADF6CB0" w14:textId="77777777" w:rsidR="00535B30" w:rsidRDefault="00535B30" w:rsidP="00535B30">
      <w:pPr>
        <w:ind w:left="567" w:hanging="567"/>
        <w:jc w:val="both"/>
      </w:pPr>
    </w:p>
    <w:p w14:paraId="6EE90E90" w14:textId="085967EB" w:rsidR="00535B30" w:rsidRDefault="00535B30" w:rsidP="00535B30">
      <w:pPr>
        <w:ind w:left="567" w:hanging="567"/>
        <w:jc w:val="both"/>
        <w:rPr>
          <w:i/>
        </w:rPr>
      </w:pPr>
      <w:r>
        <w:t xml:space="preserve">Republik Indonesia. </w:t>
      </w:r>
      <w:r w:rsidRPr="004A55C9">
        <w:t xml:space="preserve">Undang-Undang Nomor 40 Tahun 2007 tentang </w:t>
      </w:r>
      <w:r w:rsidRPr="004A55C9">
        <w:rPr>
          <w:i/>
        </w:rPr>
        <w:t xml:space="preserve">Perseroan Terbatas. </w:t>
      </w:r>
    </w:p>
    <w:p w14:paraId="68F45CE3" w14:textId="77777777" w:rsidR="00535B30" w:rsidRPr="004A55C9" w:rsidRDefault="00535B30" w:rsidP="00535B30">
      <w:pPr>
        <w:ind w:left="567" w:hanging="567"/>
        <w:jc w:val="both"/>
        <w:rPr>
          <w:i/>
        </w:rPr>
      </w:pPr>
    </w:p>
    <w:p w14:paraId="7DE090EC" w14:textId="019C6B5A" w:rsidR="00535B30" w:rsidRDefault="00535B30" w:rsidP="00535B30">
      <w:pPr>
        <w:ind w:left="567" w:hanging="567"/>
        <w:jc w:val="both"/>
      </w:pPr>
      <w:r w:rsidRPr="004A55C9">
        <w:t xml:space="preserve">Republik Indonesia. Peraturan Pemerintah Nomor 47 Tahun 2012 tentang </w:t>
      </w:r>
      <w:r w:rsidRPr="004A55C9">
        <w:rPr>
          <w:i/>
        </w:rPr>
        <w:t>Tanggung Sosial dan Lingkungan Perseroan Terbatas</w:t>
      </w:r>
      <w:r w:rsidRPr="004A55C9">
        <w:t>.</w:t>
      </w:r>
    </w:p>
    <w:p w14:paraId="68CF0AF9" w14:textId="77777777" w:rsidR="00535B30" w:rsidRDefault="00535B30" w:rsidP="00535B30">
      <w:pPr>
        <w:ind w:left="567" w:hanging="567"/>
        <w:jc w:val="both"/>
      </w:pPr>
    </w:p>
    <w:p w14:paraId="2B24B7D4" w14:textId="69E4E3E6" w:rsidR="00535B30" w:rsidRDefault="00535B30" w:rsidP="00535B30">
      <w:pPr>
        <w:ind w:left="567" w:hanging="567"/>
        <w:jc w:val="both"/>
        <w:rPr>
          <w:bCs/>
          <w:i/>
          <w:szCs w:val="24"/>
          <w:lang w:val="en-ID"/>
        </w:rPr>
      </w:pPr>
      <w:r>
        <w:t xml:space="preserve">Republik Indonesia. </w:t>
      </w:r>
      <w:r w:rsidRPr="002C70A7">
        <w:rPr>
          <w:bCs/>
          <w:szCs w:val="24"/>
          <w:lang w:val="id-ID"/>
        </w:rPr>
        <w:t xml:space="preserve">Peraturan OJK No 55 Tahun 2015 tentang </w:t>
      </w:r>
      <w:r w:rsidRPr="004A55C9">
        <w:rPr>
          <w:bCs/>
          <w:i/>
          <w:szCs w:val="24"/>
          <w:lang w:val="id-ID"/>
        </w:rPr>
        <w:t>Pembentukan dan Pedoman Pelaksanaan Kerja Komite Audit</w:t>
      </w:r>
      <w:r>
        <w:rPr>
          <w:bCs/>
          <w:i/>
          <w:szCs w:val="24"/>
          <w:lang w:val="en-ID"/>
        </w:rPr>
        <w:t>.</w:t>
      </w:r>
    </w:p>
    <w:p w14:paraId="0D07D403" w14:textId="77777777" w:rsidR="00535B30" w:rsidRDefault="00535B30" w:rsidP="00535B30">
      <w:pPr>
        <w:ind w:left="567" w:hanging="567"/>
        <w:jc w:val="both"/>
        <w:rPr>
          <w:bCs/>
          <w:i/>
          <w:szCs w:val="24"/>
          <w:lang w:val="en-ID"/>
        </w:rPr>
      </w:pPr>
    </w:p>
    <w:p w14:paraId="3AAD10DD" w14:textId="56725835" w:rsidR="00535B30" w:rsidRDefault="00535B30" w:rsidP="00535B30">
      <w:pPr>
        <w:ind w:left="567" w:hanging="567"/>
        <w:jc w:val="both"/>
      </w:pPr>
      <w:r w:rsidRPr="004A55C9">
        <w:t xml:space="preserve">Ross, Stephen A. (1973). </w:t>
      </w:r>
      <w:r w:rsidRPr="004A55C9">
        <w:rPr>
          <w:i/>
        </w:rPr>
        <w:t>The Economic Theory of Agency: The Principal's Problem</w:t>
      </w:r>
      <w:r w:rsidRPr="004A55C9">
        <w:t>. American Economic Review 63, No. 2 (Mei): 134-139.</w:t>
      </w:r>
    </w:p>
    <w:p w14:paraId="7BAED29A" w14:textId="77777777" w:rsidR="00535B30" w:rsidRDefault="00535B30" w:rsidP="00535B30">
      <w:pPr>
        <w:ind w:left="567" w:hanging="567"/>
        <w:jc w:val="both"/>
      </w:pPr>
    </w:p>
    <w:p w14:paraId="1C6CC7C1" w14:textId="7CD2469E" w:rsidR="00535B30" w:rsidRDefault="00535B30" w:rsidP="00535B30">
      <w:pPr>
        <w:ind w:left="567" w:hanging="567"/>
        <w:jc w:val="both"/>
      </w:pPr>
      <w:r>
        <w:t xml:space="preserve">Rudito, Bambang dan Melia Famiola. 2014. </w:t>
      </w:r>
      <w:r w:rsidRPr="004A55C9">
        <w:rPr>
          <w:i/>
        </w:rPr>
        <w:t>Corporate Social Responsibility</w:t>
      </w:r>
      <w:r>
        <w:t>. Bandung: Rekayasa Sains.</w:t>
      </w:r>
    </w:p>
    <w:p w14:paraId="29EC1229" w14:textId="77777777" w:rsidR="00535B30" w:rsidRDefault="00535B30" w:rsidP="00535B30">
      <w:pPr>
        <w:ind w:left="567" w:hanging="567"/>
        <w:jc w:val="both"/>
      </w:pPr>
    </w:p>
    <w:p w14:paraId="1437E5F2" w14:textId="608184FC" w:rsidR="00535B30" w:rsidRDefault="00535B30" w:rsidP="00535B30">
      <w:pPr>
        <w:ind w:left="567" w:hanging="567"/>
        <w:jc w:val="both"/>
      </w:pPr>
      <w:r>
        <w:t xml:space="preserve">Sutedi, Adrian. 2011. </w:t>
      </w:r>
      <w:r w:rsidRPr="00395546">
        <w:rPr>
          <w:i/>
          <w:sz w:val="23"/>
          <w:szCs w:val="23"/>
        </w:rPr>
        <w:t>Good Corporate Governance</w:t>
      </w:r>
      <w:r>
        <w:t>. (Edisi 1. Cetakan ke 1). Yogyakarta: BPFE Yogyakarta.</w:t>
      </w:r>
    </w:p>
    <w:p w14:paraId="63D7AC6F" w14:textId="77777777" w:rsidR="00535B30" w:rsidRDefault="00535B30" w:rsidP="00535B30">
      <w:pPr>
        <w:ind w:left="567" w:hanging="567"/>
        <w:jc w:val="both"/>
      </w:pPr>
    </w:p>
    <w:p w14:paraId="3F7D3C8C" w14:textId="63FF05F3" w:rsidR="00535B30" w:rsidRDefault="00535B30" w:rsidP="00535B30">
      <w:pPr>
        <w:ind w:left="567" w:hanging="567"/>
        <w:jc w:val="both"/>
      </w:pPr>
      <w:r w:rsidRPr="004A55C9">
        <w:t>Ujiyant</w:t>
      </w:r>
      <w:r>
        <w:t xml:space="preserve">ho, A. M., dan Pramuka. B. </w:t>
      </w:r>
      <w:r w:rsidRPr="004A55C9">
        <w:t xml:space="preserve">A. 2007. </w:t>
      </w:r>
      <w:r w:rsidRPr="004A55C9">
        <w:rPr>
          <w:i/>
        </w:rPr>
        <w:t>Mekanisme Corporate Governance, Manajemen Laba dan Kinerja Keuangan</w:t>
      </w:r>
      <w:r w:rsidRPr="004A55C9">
        <w:t>. Makasar: Simposium Nasional Akuntansi X Makasar.</w:t>
      </w:r>
    </w:p>
    <w:p w14:paraId="49941D22" w14:textId="77777777" w:rsidR="00535B30" w:rsidRDefault="00535B30" w:rsidP="00535B30">
      <w:pPr>
        <w:ind w:left="567" w:hanging="567"/>
        <w:jc w:val="both"/>
      </w:pPr>
    </w:p>
    <w:p w14:paraId="42889336" w14:textId="522E83BB" w:rsidR="00535B30" w:rsidRDefault="00535B30" w:rsidP="00535B30">
      <w:pPr>
        <w:ind w:left="567" w:hanging="567"/>
        <w:jc w:val="both"/>
      </w:pPr>
      <w:r>
        <w:t xml:space="preserve">Wibisono, Yusuf. 2007. </w:t>
      </w:r>
      <w:r>
        <w:rPr>
          <w:i/>
        </w:rPr>
        <w:t>Membedah Konsep dan</w:t>
      </w:r>
      <w:r w:rsidRPr="004E622F">
        <w:rPr>
          <w:i/>
        </w:rPr>
        <w:t xml:space="preserve"> Aplikasi CSR (Corporate Social Responsibility)</w:t>
      </w:r>
      <w:r>
        <w:t>. Jakarta: PT Gramedia.</w:t>
      </w:r>
    </w:p>
    <w:p w14:paraId="5D8089BA" w14:textId="77777777" w:rsidR="00535B30" w:rsidRDefault="00535B30" w:rsidP="00535B30">
      <w:pPr>
        <w:ind w:left="567" w:hanging="567"/>
        <w:jc w:val="both"/>
      </w:pPr>
    </w:p>
    <w:p w14:paraId="0C845BFB" w14:textId="27309AE2" w:rsidR="00535B30" w:rsidRDefault="00535B30" w:rsidP="00535B30">
      <w:pPr>
        <w:ind w:left="567" w:hanging="567"/>
        <w:jc w:val="both"/>
        <w:rPr>
          <w:szCs w:val="24"/>
        </w:rPr>
      </w:pPr>
      <w:r w:rsidRPr="004E622F">
        <w:rPr>
          <w:szCs w:val="24"/>
        </w:rPr>
        <w:t>Widyaningsih, Dewi.</w:t>
      </w:r>
      <w:r>
        <w:rPr>
          <w:szCs w:val="24"/>
        </w:rPr>
        <w:t xml:space="preserve"> </w:t>
      </w:r>
      <w:r w:rsidRPr="004E622F">
        <w:rPr>
          <w:szCs w:val="24"/>
        </w:rPr>
        <w:t xml:space="preserve">2018. </w:t>
      </w:r>
      <w:r w:rsidRPr="004E622F">
        <w:rPr>
          <w:i/>
          <w:szCs w:val="24"/>
        </w:rPr>
        <w:t>Kepemilikan Manajerial, KepemilikanInstitusional, Komisaris Independen, Serta Komi</w:t>
      </w:r>
      <w:r>
        <w:rPr>
          <w:i/>
          <w:szCs w:val="24"/>
        </w:rPr>
        <w:t>te Audit Pada Nilai Perusahaan d</w:t>
      </w:r>
      <w:r w:rsidRPr="004E622F">
        <w:rPr>
          <w:i/>
          <w:szCs w:val="24"/>
        </w:rPr>
        <w:t>engan Pengungkapan CSR sebagai Variabel Moderating dan Firm Size sebagai Variabel Kontrol.</w:t>
      </w:r>
      <w:r w:rsidRPr="004E622F">
        <w:rPr>
          <w:szCs w:val="24"/>
        </w:rPr>
        <w:t xml:space="preserve"> Jurnal Akuntansi dan Pajak. ISSN 2579-3055, 19(01).</w:t>
      </w:r>
    </w:p>
    <w:p w14:paraId="0EB2A2AD" w14:textId="77777777" w:rsidR="00535B30" w:rsidRDefault="00535B30" w:rsidP="00535B30">
      <w:pPr>
        <w:ind w:left="567" w:hanging="567"/>
        <w:jc w:val="both"/>
        <w:rPr>
          <w:szCs w:val="24"/>
        </w:rPr>
      </w:pPr>
    </w:p>
    <w:p w14:paraId="4CC96C19" w14:textId="77777777" w:rsidR="00535B30" w:rsidRDefault="00535B30" w:rsidP="00535B30">
      <w:pPr>
        <w:ind w:left="567" w:hanging="567"/>
        <w:jc w:val="both"/>
      </w:pPr>
      <w:r w:rsidRPr="004A55C9">
        <w:t>World Business Council for Sustainable Development</w:t>
      </w:r>
      <w:r>
        <w:t xml:space="preserve">. 2002. </w:t>
      </w:r>
      <w:r w:rsidRPr="004A55C9">
        <w:rPr>
          <w:i/>
        </w:rPr>
        <w:t>Corporate Social Responsibility</w:t>
      </w:r>
      <w:r w:rsidRPr="00541EC5">
        <w:t xml:space="preserve">: </w:t>
      </w:r>
      <w:r w:rsidRPr="004A55C9">
        <w:t>The WBCSD’s journey</w:t>
      </w:r>
      <w:r>
        <w:t>, PP. 1. Retrieved M</w:t>
      </w:r>
      <w:r w:rsidRPr="00541EC5">
        <w:t>e</w:t>
      </w:r>
      <w:r>
        <w:t>i. 2015. f</w:t>
      </w:r>
      <w:r w:rsidRPr="00541EC5">
        <w:t xml:space="preserve">rom </w:t>
      </w:r>
      <w:hyperlink r:id="rId9" w:history="1">
        <w:r w:rsidRPr="004A55C9">
          <w:t>http://www.wbcsd.org</w:t>
        </w:r>
      </w:hyperlink>
      <w:r>
        <w:t>.</w:t>
      </w:r>
    </w:p>
    <w:p w14:paraId="4DF3E13A" w14:textId="77777777" w:rsidR="00535B30" w:rsidRDefault="00535B30" w:rsidP="00535B30">
      <w:pPr>
        <w:pStyle w:val="Heading1"/>
        <w:ind w:left="0"/>
      </w:pPr>
    </w:p>
    <w:p w14:paraId="5B19C4FF" w14:textId="77777777" w:rsidR="00535B30" w:rsidRDefault="00535B30" w:rsidP="00535B30">
      <w:pPr>
        <w:pStyle w:val="Heading1"/>
        <w:ind w:left="0"/>
      </w:pPr>
    </w:p>
    <w:p w14:paraId="22AE0F3F" w14:textId="77777777" w:rsidR="008D2A77" w:rsidRDefault="008D2A77">
      <w:pPr>
        <w:pStyle w:val="BodyText"/>
        <w:ind w:left="658" w:right="399" w:hanging="540"/>
        <w:jc w:val="both"/>
      </w:pPr>
    </w:p>
    <w:sectPr w:rsidR="008D2A77">
      <w:headerReference w:type="even" r:id="rId10"/>
      <w:headerReference w:type="default" r:id="rId11"/>
      <w:footerReference w:type="default" r:id="rId12"/>
      <w:pgSz w:w="11910" w:h="16840"/>
      <w:pgMar w:top="1600" w:right="1300" w:bottom="920" w:left="1300" w:header="409"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93991" w14:textId="77777777" w:rsidR="00535B30" w:rsidRDefault="00535B30">
      <w:r>
        <w:separator/>
      </w:r>
    </w:p>
  </w:endnote>
  <w:endnote w:type="continuationSeparator" w:id="0">
    <w:p w14:paraId="0D3C5DDA" w14:textId="77777777" w:rsidR="00535B30" w:rsidRDefault="0053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564FC" w14:textId="0F0B0C02" w:rsidR="00535B30" w:rsidRDefault="00535B3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BEF48" w14:textId="77777777" w:rsidR="00535B30" w:rsidRDefault="00535B30">
      <w:r>
        <w:separator/>
      </w:r>
    </w:p>
  </w:footnote>
  <w:footnote w:type="continuationSeparator" w:id="0">
    <w:p w14:paraId="19DEC306" w14:textId="77777777" w:rsidR="00535B30" w:rsidRDefault="0053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DAC66" w14:textId="7BC19A08" w:rsidR="00535B30" w:rsidRDefault="00264E3E">
    <w:pPr>
      <w:pStyle w:val="BodyText"/>
      <w:spacing w:line="14" w:lineRule="auto"/>
      <w:rPr>
        <w:sz w:val="20"/>
      </w:rPr>
    </w:pPr>
    <w:r>
      <w:rPr>
        <w:noProof/>
      </w:rPr>
      <mc:AlternateContent>
        <mc:Choice Requires="wps">
          <w:drawing>
            <wp:anchor distT="0" distB="0" distL="114300" distR="114300" simplePos="0" relativeHeight="486906368" behindDoc="1" locked="0" layoutInCell="1" allowOverlap="1" wp14:anchorId="0D907B0D" wp14:editId="7B04A1D6">
              <wp:simplePos x="0" y="0"/>
              <wp:positionH relativeFrom="page">
                <wp:posOffset>1061720</wp:posOffset>
              </wp:positionH>
              <wp:positionV relativeFrom="page">
                <wp:posOffset>424815</wp:posOffset>
              </wp:positionV>
              <wp:extent cx="3477260" cy="3365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8E11A" w14:textId="4FE6D8FF" w:rsidR="00535B30" w:rsidRDefault="00535B30">
                          <w:pPr>
                            <w:ind w:left="20"/>
                            <w:rPr>
                              <w:rFonts w:ascii="Carlito"/>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07B0D" id="_x0000_t202" coordsize="21600,21600" o:spt="202" path="m,l,21600r21600,l21600,xe">
              <v:stroke joinstyle="miter"/>
              <v:path gradientshapeok="t" o:connecttype="rect"/>
            </v:shapetype>
            <v:shape id="Text Box 9" o:spid="_x0000_s1026" type="#_x0000_t202" style="position:absolute;margin-left:83.6pt;margin-top:33.45pt;width:273.8pt;height:26.5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" filled="f" stroked="f">
              <v:textbox inset="0,0,0,0">
                <w:txbxContent>
                  <w:p w14:paraId="46B8E11A" w14:textId="4FE6D8FF" w:rsidR="00535B30" w:rsidRDefault="00535B30">
                    <w:pPr>
                      <w:ind w:left="20"/>
                      <w:rPr>
                        <w:rFonts w:ascii="Carlito"/>
                        <w: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485A5" w14:textId="572AC193" w:rsidR="00535B30" w:rsidRDefault="00535B3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131A3"/>
    <w:multiLevelType w:val="multilevel"/>
    <w:tmpl w:val="65ECA41C"/>
    <w:lvl w:ilvl="0">
      <w:start w:val="1"/>
      <w:numFmt w:val="decimal"/>
      <w:lvlText w:val="%1."/>
      <w:lvlJc w:val="left"/>
      <w:pPr>
        <w:ind w:left="1494" w:hanging="360"/>
      </w:pPr>
      <w:rPr>
        <w:rFonts w:hint="default"/>
      </w:rPr>
    </w:lvl>
    <w:lvl w:ilvl="1">
      <w:start w:val="5"/>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15:restartNumberingAfterBreak="0">
    <w:nsid w:val="39D615A5"/>
    <w:multiLevelType w:val="hybridMultilevel"/>
    <w:tmpl w:val="17162C38"/>
    <w:lvl w:ilvl="0" w:tplc="0409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15:restartNumberingAfterBreak="0">
    <w:nsid w:val="5AF370B5"/>
    <w:multiLevelType w:val="multilevel"/>
    <w:tmpl w:val="0F06D4BA"/>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 w15:restartNumberingAfterBreak="0">
    <w:nsid w:val="5F1740B8"/>
    <w:multiLevelType w:val="hybridMultilevel"/>
    <w:tmpl w:val="0EE47ED8"/>
    <w:lvl w:ilvl="0" w:tplc="B6A2E5D8">
      <w:start w:val="1"/>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6AEA5EEB"/>
    <w:multiLevelType w:val="multilevel"/>
    <w:tmpl w:val="11984DF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DB"/>
    <w:rsid w:val="00033747"/>
    <w:rsid w:val="000406B6"/>
    <w:rsid w:val="00086265"/>
    <w:rsid w:val="00117AEC"/>
    <w:rsid w:val="00264E3E"/>
    <w:rsid w:val="005267DB"/>
    <w:rsid w:val="00535B30"/>
    <w:rsid w:val="00663BD8"/>
    <w:rsid w:val="006658A4"/>
    <w:rsid w:val="006B1072"/>
    <w:rsid w:val="006F32CE"/>
    <w:rsid w:val="008D2A77"/>
    <w:rsid w:val="00B770F1"/>
    <w:rsid w:val="00BE72A8"/>
    <w:rsid w:val="00F6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4982F"/>
  <w15:docId w15:val="{D9B3076F-F43D-49F3-A0C8-1C9507C4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line="250" w:lineRule="exact"/>
      <w:ind w:left="4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6265"/>
    <w:pPr>
      <w:tabs>
        <w:tab w:val="center" w:pos="4680"/>
        <w:tab w:val="right" w:pos="9360"/>
      </w:tabs>
    </w:pPr>
  </w:style>
  <w:style w:type="character" w:customStyle="1" w:styleId="HeaderChar">
    <w:name w:val="Header Char"/>
    <w:basedOn w:val="DefaultParagraphFont"/>
    <w:link w:val="Header"/>
    <w:uiPriority w:val="99"/>
    <w:rsid w:val="00086265"/>
    <w:rPr>
      <w:rFonts w:ascii="Times New Roman" w:eastAsia="Times New Roman" w:hAnsi="Times New Roman" w:cs="Times New Roman"/>
      <w:lang w:val="id"/>
    </w:rPr>
  </w:style>
  <w:style w:type="paragraph" w:styleId="Footer">
    <w:name w:val="footer"/>
    <w:basedOn w:val="Normal"/>
    <w:link w:val="FooterChar"/>
    <w:uiPriority w:val="99"/>
    <w:unhideWhenUsed/>
    <w:rsid w:val="00086265"/>
    <w:pPr>
      <w:tabs>
        <w:tab w:val="center" w:pos="4680"/>
        <w:tab w:val="right" w:pos="9360"/>
      </w:tabs>
    </w:pPr>
  </w:style>
  <w:style w:type="character" w:customStyle="1" w:styleId="FooterChar">
    <w:name w:val="Footer Char"/>
    <w:basedOn w:val="DefaultParagraphFont"/>
    <w:link w:val="Footer"/>
    <w:uiPriority w:val="99"/>
    <w:rsid w:val="00086265"/>
    <w:rPr>
      <w:rFonts w:ascii="Times New Roman" w:eastAsia="Times New Roman" w:hAnsi="Times New Roman" w:cs="Times New Roman"/>
      <w:lang w:val="id"/>
    </w:rPr>
  </w:style>
  <w:style w:type="character" w:customStyle="1" w:styleId="ListParagraphChar">
    <w:name w:val="List Paragraph Char"/>
    <w:basedOn w:val="DefaultParagraphFont"/>
    <w:link w:val="ListParagraph"/>
    <w:uiPriority w:val="34"/>
    <w:rsid w:val="008D2A77"/>
    <w:rPr>
      <w:rFonts w:ascii="Times New Roman" w:eastAsia="Times New Roman" w:hAnsi="Times New Roman" w:cs="Times New Roman"/>
      <w:lang w:val="id"/>
    </w:rPr>
  </w:style>
  <w:style w:type="paragraph" w:styleId="Caption">
    <w:name w:val="caption"/>
    <w:basedOn w:val="Normal"/>
    <w:next w:val="Normal"/>
    <w:uiPriority w:val="35"/>
    <w:unhideWhenUsed/>
    <w:qFormat/>
    <w:rsid w:val="00663BD8"/>
    <w:pPr>
      <w:widowControl/>
      <w:autoSpaceDE/>
      <w:autoSpaceDN/>
      <w:spacing w:after="200"/>
    </w:pPr>
    <w:rPr>
      <w:rFonts w:eastAsiaTheme="minorHAnsi" w:cstheme="minorBidi"/>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endang@mercubuana-yogya.ac.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bc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4276</Words>
  <Characters>24378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4</cp:revision>
  <cp:lastPrinted>2021-01-20T05:05:00Z</cp:lastPrinted>
  <dcterms:created xsi:type="dcterms:W3CDTF">2021-01-20T05:04:00Z</dcterms:created>
  <dcterms:modified xsi:type="dcterms:W3CDTF">2021-01-20T05:06:00Z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2010</vt:lpwstr>
  </property>
  <property fmtid="{D5CDD505-2E9C-101B-9397-08002B2CF9AE}" pid="4" name="LastSaved">
    <vt:filetime>2021-01-20T00:00:00Z</vt:filetime>
  </property>
</Properties>
</file>