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A4C" w:rsidRDefault="008B6A4C" w:rsidP="008B6A4C">
      <w:pPr>
        <w:spacing w:line="240" w:lineRule="auto"/>
        <w:jc w:val="center"/>
        <w:rPr>
          <w:rFonts w:ascii="Times New Roman" w:hAnsi="Times New Roman"/>
          <w:b/>
          <w:sz w:val="24"/>
          <w:szCs w:val="24"/>
          <w:lang w:val="id-ID"/>
        </w:rPr>
      </w:pPr>
      <w:r w:rsidRPr="00B561A0">
        <w:rPr>
          <w:rFonts w:ascii="Times New Roman" w:hAnsi="Times New Roman"/>
          <w:b/>
          <w:sz w:val="24"/>
          <w:szCs w:val="24"/>
        </w:rPr>
        <w:t xml:space="preserve">HUBUNGAN ANTARA PERSEPSI DUKUNGAN ATASAN DENGAN </w:t>
      </w:r>
      <w:r w:rsidRPr="00B561A0">
        <w:rPr>
          <w:rFonts w:ascii="Times New Roman" w:hAnsi="Times New Roman"/>
          <w:b/>
          <w:i/>
          <w:sz w:val="24"/>
          <w:szCs w:val="24"/>
        </w:rPr>
        <w:t>WORK ENGAGEMENT</w:t>
      </w:r>
      <w:r w:rsidRPr="00B561A0">
        <w:rPr>
          <w:rFonts w:ascii="Times New Roman" w:hAnsi="Times New Roman"/>
          <w:b/>
          <w:sz w:val="24"/>
          <w:szCs w:val="24"/>
        </w:rPr>
        <w:t xml:space="preserve"> PADA KARYAWAN GENERASI MILENIAL </w:t>
      </w:r>
    </w:p>
    <w:p w:rsidR="008B6A4C" w:rsidRDefault="008B6A4C" w:rsidP="008B6A4C">
      <w:pPr>
        <w:spacing w:line="240" w:lineRule="auto"/>
        <w:jc w:val="center"/>
        <w:rPr>
          <w:rFonts w:ascii="Times New Roman" w:hAnsi="Times New Roman"/>
          <w:b/>
          <w:sz w:val="24"/>
          <w:szCs w:val="24"/>
          <w:lang w:val="id-ID"/>
        </w:rPr>
      </w:pPr>
    </w:p>
    <w:p w:rsidR="00E07606" w:rsidRDefault="00E07606" w:rsidP="008B6A4C">
      <w:pPr>
        <w:spacing w:line="240" w:lineRule="auto"/>
        <w:jc w:val="center"/>
        <w:rPr>
          <w:rFonts w:ascii="Times New Roman" w:hAnsi="Times New Roman"/>
          <w:b/>
          <w:i/>
          <w:sz w:val="24"/>
          <w:szCs w:val="24"/>
        </w:rPr>
      </w:pPr>
    </w:p>
    <w:p w:rsidR="008B6A4C" w:rsidRPr="002C3063" w:rsidRDefault="008B6A4C" w:rsidP="008B6A4C">
      <w:pPr>
        <w:spacing w:line="240" w:lineRule="auto"/>
        <w:jc w:val="center"/>
        <w:rPr>
          <w:rFonts w:ascii="Times New Roman" w:hAnsi="Times New Roman"/>
          <w:b/>
          <w:i/>
          <w:sz w:val="24"/>
          <w:szCs w:val="24"/>
          <w:lang w:val="id-ID"/>
        </w:rPr>
      </w:pPr>
      <w:r w:rsidRPr="00B561A0">
        <w:rPr>
          <w:rFonts w:ascii="Times New Roman" w:hAnsi="Times New Roman"/>
          <w:b/>
          <w:i/>
          <w:sz w:val="24"/>
          <w:szCs w:val="24"/>
        </w:rPr>
        <w:t>RELATIONSHIP BETWEEN PERCEIVED SUPERVISOR SUPPORT AND MILENNIAL GENERATION EMPLOYEE WORK ENGAGEMENT</w:t>
      </w:r>
    </w:p>
    <w:p w:rsidR="008B6A4C" w:rsidRPr="003D2E92" w:rsidRDefault="008B6A4C" w:rsidP="008B6A4C">
      <w:pPr>
        <w:rPr>
          <w:rFonts w:ascii="Times New Roman" w:hAnsi="Times New Roman"/>
          <w:b/>
          <w:i/>
          <w:sz w:val="24"/>
          <w:szCs w:val="24"/>
          <w:lang w:val="id-ID"/>
        </w:rPr>
      </w:pPr>
    </w:p>
    <w:p w:rsidR="008B6A4C" w:rsidRPr="00A8303C" w:rsidRDefault="008B6A4C" w:rsidP="008B6A4C">
      <w:pPr>
        <w:spacing w:line="240" w:lineRule="auto"/>
        <w:jc w:val="center"/>
        <w:rPr>
          <w:rFonts w:ascii="Times New Roman" w:hAnsi="Times New Roman"/>
          <w:b/>
          <w:vertAlign w:val="superscript"/>
          <w:lang w:val="id-ID"/>
        </w:rPr>
      </w:pPr>
      <w:r w:rsidRPr="00A8303C">
        <w:rPr>
          <w:rFonts w:ascii="Times New Roman" w:hAnsi="Times New Roman"/>
          <w:b/>
        </w:rPr>
        <w:t>Kunti Nur Farkhati Rahayuningsih</w:t>
      </w:r>
    </w:p>
    <w:p w:rsidR="008B6A4C" w:rsidRDefault="008B6A4C" w:rsidP="008B6A4C">
      <w:pPr>
        <w:spacing w:line="240" w:lineRule="auto"/>
        <w:jc w:val="center"/>
        <w:rPr>
          <w:rFonts w:ascii="Times New Roman" w:hAnsi="Times New Roman"/>
          <w:sz w:val="20"/>
          <w:szCs w:val="20"/>
        </w:rPr>
      </w:pPr>
      <w:r w:rsidRPr="00B561A0">
        <w:rPr>
          <w:rFonts w:ascii="Times New Roman" w:hAnsi="Times New Roman"/>
          <w:sz w:val="20"/>
          <w:szCs w:val="20"/>
        </w:rPr>
        <w:t>Universitas Mercu Buana Yogyakarta</w:t>
      </w:r>
    </w:p>
    <w:p w:rsidR="008B6A4C" w:rsidRDefault="00FB0F25" w:rsidP="008B6A4C">
      <w:pPr>
        <w:spacing w:line="240" w:lineRule="auto"/>
        <w:jc w:val="center"/>
        <w:rPr>
          <w:rStyle w:val="Hyperlink"/>
          <w:rFonts w:ascii="Times New Roman" w:hAnsi="Times New Roman"/>
          <w:sz w:val="20"/>
          <w:szCs w:val="20"/>
        </w:rPr>
      </w:pPr>
      <w:hyperlink r:id="rId6" w:history="1">
        <w:r w:rsidR="008B6A4C" w:rsidRPr="0015456B">
          <w:rPr>
            <w:rStyle w:val="Hyperlink"/>
            <w:rFonts w:ascii="Times New Roman" w:hAnsi="Times New Roman"/>
            <w:sz w:val="20"/>
            <w:szCs w:val="20"/>
          </w:rPr>
          <w:t>Farhaaa30@gmail.com</w:t>
        </w:r>
      </w:hyperlink>
    </w:p>
    <w:p w:rsidR="00127D59" w:rsidRDefault="00127D59" w:rsidP="008B6A4C">
      <w:pPr>
        <w:spacing w:line="240" w:lineRule="auto"/>
        <w:jc w:val="center"/>
        <w:rPr>
          <w:rFonts w:ascii="Times New Roman" w:hAnsi="Times New Roman"/>
          <w:sz w:val="20"/>
          <w:szCs w:val="20"/>
        </w:rPr>
      </w:pPr>
      <w:r>
        <w:rPr>
          <w:rStyle w:val="Hyperlink"/>
          <w:rFonts w:ascii="Times New Roman" w:hAnsi="Times New Roman"/>
          <w:sz w:val="20"/>
          <w:szCs w:val="20"/>
        </w:rPr>
        <w:t>08562625702</w:t>
      </w:r>
    </w:p>
    <w:p w:rsidR="008B6A4C" w:rsidRDefault="008B6A4C" w:rsidP="008B6A4C">
      <w:pPr>
        <w:rPr>
          <w:rFonts w:ascii="Times New Roman" w:hAnsi="Times New Roman"/>
          <w:sz w:val="20"/>
          <w:szCs w:val="20"/>
        </w:rPr>
      </w:pPr>
    </w:p>
    <w:p w:rsidR="008B6A4C" w:rsidRDefault="008B6A4C" w:rsidP="008B6A4C">
      <w:pPr>
        <w:jc w:val="center"/>
        <w:rPr>
          <w:rFonts w:ascii="Times New Roman" w:hAnsi="Times New Roman"/>
          <w:b/>
          <w:sz w:val="20"/>
          <w:szCs w:val="20"/>
        </w:rPr>
      </w:pPr>
      <w:r w:rsidRPr="00B561A0">
        <w:rPr>
          <w:rFonts w:ascii="Times New Roman" w:hAnsi="Times New Roman"/>
          <w:b/>
          <w:sz w:val="20"/>
          <w:szCs w:val="20"/>
        </w:rPr>
        <w:t>Abstrak</w:t>
      </w:r>
    </w:p>
    <w:p w:rsidR="008B6A4C" w:rsidRPr="002C3063" w:rsidRDefault="008B6A4C" w:rsidP="008B6A4C">
      <w:pPr>
        <w:spacing w:line="240" w:lineRule="auto"/>
        <w:rPr>
          <w:rFonts w:ascii="Times New Roman" w:hAnsi="Times New Roman"/>
          <w:sz w:val="20"/>
          <w:szCs w:val="20"/>
          <w:lang w:val="id-ID"/>
        </w:rPr>
      </w:pPr>
      <w:r w:rsidRPr="002C3063">
        <w:rPr>
          <w:rFonts w:ascii="Times New Roman" w:hAnsi="Times New Roman"/>
          <w:sz w:val="20"/>
          <w:szCs w:val="20"/>
        </w:rPr>
        <w:t xml:space="preserve">Penelitian ini bertujuan untuk mengetahui </w:t>
      </w:r>
      <w:r w:rsidRPr="002C3063">
        <w:rPr>
          <w:rFonts w:ascii="Times New Roman" w:hAnsi="Times New Roman"/>
          <w:sz w:val="20"/>
          <w:szCs w:val="20"/>
          <w:lang w:val="en-ID"/>
        </w:rPr>
        <w:t>hubungan antara</w:t>
      </w:r>
      <w:r w:rsidRPr="002C3063">
        <w:rPr>
          <w:rFonts w:ascii="Times New Roman" w:hAnsi="Times New Roman"/>
          <w:iCs/>
          <w:sz w:val="20"/>
          <w:szCs w:val="20"/>
          <w:lang w:val="id-ID"/>
        </w:rPr>
        <w:t xml:space="preserve"> persepsi dukungan atasan dengan </w:t>
      </w:r>
      <w:r w:rsidRPr="002C3063">
        <w:rPr>
          <w:rFonts w:ascii="Times New Roman" w:hAnsi="Times New Roman"/>
          <w:i/>
          <w:iCs/>
          <w:sz w:val="20"/>
          <w:szCs w:val="20"/>
          <w:lang w:val="id-ID"/>
        </w:rPr>
        <w:t>work engagement</w:t>
      </w:r>
      <w:r w:rsidRPr="002C3063">
        <w:rPr>
          <w:rFonts w:ascii="Times New Roman" w:hAnsi="Times New Roman"/>
          <w:iCs/>
          <w:sz w:val="20"/>
          <w:szCs w:val="20"/>
          <w:lang w:val="id-ID"/>
        </w:rPr>
        <w:t xml:space="preserve"> karyawan generasi milenial</w:t>
      </w:r>
      <w:r w:rsidRPr="002C3063">
        <w:rPr>
          <w:rFonts w:ascii="Times New Roman" w:hAnsi="Times New Roman"/>
          <w:sz w:val="20"/>
          <w:szCs w:val="20"/>
          <w:lang w:val="en-ID"/>
        </w:rPr>
        <w:t xml:space="preserve">. Subjek penelitian ini berjumlah </w:t>
      </w:r>
      <w:r w:rsidRPr="002C3063">
        <w:rPr>
          <w:rFonts w:ascii="Times New Roman" w:hAnsi="Times New Roman"/>
          <w:sz w:val="20"/>
          <w:szCs w:val="20"/>
          <w:lang w:val="id-ID"/>
        </w:rPr>
        <w:t>87</w:t>
      </w:r>
      <w:r w:rsidRPr="002C3063">
        <w:rPr>
          <w:rFonts w:ascii="Times New Roman" w:hAnsi="Times New Roman"/>
          <w:sz w:val="20"/>
          <w:szCs w:val="20"/>
          <w:lang w:val="en-ID"/>
        </w:rPr>
        <w:t xml:space="preserve"> </w:t>
      </w:r>
      <w:r w:rsidRPr="002C3063">
        <w:rPr>
          <w:rFonts w:ascii="Times New Roman" w:hAnsi="Times New Roman"/>
          <w:sz w:val="20"/>
          <w:szCs w:val="20"/>
          <w:lang w:val="id-ID"/>
        </w:rPr>
        <w:t xml:space="preserve">karyawan generasi milenial yang ada di </w:t>
      </w:r>
      <w:proofErr w:type="gramStart"/>
      <w:r w:rsidRPr="002C3063">
        <w:rPr>
          <w:rFonts w:ascii="Times New Roman" w:hAnsi="Times New Roman"/>
          <w:sz w:val="20"/>
          <w:szCs w:val="20"/>
          <w:lang w:val="id-ID"/>
        </w:rPr>
        <w:t>Indonesia ,</w:t>
      </w:r>
      <w:proofErr w:type="gramEnd"/>
      <w:r w:rsidRPr="002C3063">
        <w:rPr>
          <w:rFonts w:ascii="Times New Roman" w:hAnsi="Times New Roman"/>
          <w:sz w:val="20"/>
          <w:szCs w:val="20"/>
          <w:lang w:val="id-ID"/>
        </w:rPr>
        <w:t xml:space="preserve"> </w:t>
      </w:r>
      <w:r w:rsidRPr="002C3063">
        <w:rPr>
          <w:rFonts w:ascii="Times New Roman" w:hAnsi="Times New Roman"/>
          <w:sz w:val="20"/>
          <w:szCs w:val="20"/>
        </w:rPr>
        <w:t xml:space="preserve">berusia </w:t>
      </w:r>
      <w:r w:rsidRPr="002C3063">
        <w:rPr>
          <w:rFonts w:ascii="Times New Roman" w:hAnsi="Times New Roman"/>
          <w:sz w:val="20"/>
          <w:szCs w:val="20"/>
          <w:lang w:val="id-ID"/>
        </w:rPr>
        <w:t xml:space="preserve">minimal 20 tahun dan lama bekerja minimal 1 tahun. </w:t>
      </w:r>
      <w:r w:rsidRPr="002C3063">
        <w:rPr>
          <w:rFonts w:ascii="Times New Roman" w:hAnsi="Times New Roman"/>
          <w:sz w:val="20"/>
          <w:szCs w:val="20"/>
          <w:lang w:val="en-ID"/>
        </w:rPr>
        <w:t>Metode pengumpulan data dalam penelitian ini menggunakan Skala</w:t>
      </w:r>
      <w:r w:rsidRPr="002C3063">
        <w:rPr>
          <w:rFonts w:ascii="Times New Roman" w:hAnsi="Times New Roman"/>
          <w:iCs/>
          <w:sz w:val="20"/>
          <w:szCs w:val="20"/>
          <w:lang w:val="id-ID"/>
        </w:rPr>
        <w:t xml:space="preserve"> persepsi dukungan atasan dan </w:t>
      </w:r>
      <w:r w:rsidRPr="002C3063">
        <w:rPr>
          <w:rFonts w:ascii="Times New Roman" w:hAnsi="Times New Roman"/>
          <w:i/>
          <w:iCs/>
          <w:sz w:val="20"/>
          <w:szCs w:val="20"/>
          <w:lang w:val="id-ID"/>
        </w:rPr>
        <w:t>work engagement</w:t>
      </w:r>
      <w:r w:rsidRPr="002C3063">
        <w:rPr>
          <w:rFonts w:ascii="Times New Roman" w:hAnsi="Times New Roman"/>
          <w:i/>
          <w:sz w:val="20"/>
          <w:szCs w:val="20"/>
          <w:lang w:val="en-ID"/>
        </w:rPr>
        <w:t xml:space="preserve">, </w:t>
      </w:r>
      <w:r w:rsidRPr="002C3063">
        <w:rPr>
          <w:rFonts w:ascii="Times New Roman" w:hAnsi="Times New Roman"/>
          <w:sz w:val="20"/>
          <w:szCs w:val="20"/>
          <w:lang w:val="en-ID"/>
        </w:rPr>
        <w:t xml:space="preserve">metode analisis dalam penelitian ini menggunakan metode analisis korelasi </w:t>
      </w:r>
      <w:r w:rsidRPr="002C3063">
        <w:rPr>
          <w:rFonts w:ascii="Times New Roman" w:hAnsi="Times New Roman"/>
          <w:i/>
          <w:sz w:val="20"/>
          <w:szCs w:val="20"/>
          <w:lang w:val="en-ID"/>
        </w:rPr>
        <w:t xml:space="preserve">product moment. </w:t>
      </w:r>
      <w:r w:rsidRPr="002C3063">
        <w:rPr>
          <w:rFonts w:ascii="Times New Roman" w:hAnsi="Times New Roman"/>
          <w:sz w:val="20"/>
          <w:szCs w:val="20"/>
          <w:lang w:val="en-ID"/>
        </w:rPr>
        <w:t xml:space="preserve">Hasil analisis data diperoleh hasil </w:t>
      </w:r>
      <w:r w:rsidRPr="002C3063">
        <w:rPr>
          <w:rFonts w:ascii="Times New Roman" w:hAnsi="Times New Roman"/>
          <w:color w:val="000000"/>
          <w:sz w:val="20"/>
          <w:szCs w:val="20"/>
          <w:lang w:val="en-ID"/>
        </w:rPr>
        <w:t xml:space="preserve">korelasi </w:t>
      </w:r>
      <w:r w:rsidRPr="002C3063">
        <w:rPr>
          <w:rFonts w:ascii="Times New Roman" w:hAnsi="Times New Roman"/>
          <w:color w:val="000000"/>
          <w:sz w:val="20"/>
          <w:szCs w:val="20"/>
        </w:rPr>
        <w:t xml:space="preserve">(rxy) </w:t>
      </w:r>
      <w:r w:rsidRPr="002C3063">
        <w:rPr>
          <w:rFonts w:ascii="Times New Roman" w:hAnsi="Times New Roman"/>
          <w:color w:val="000000"/>
          <w:sz w:val="20"/>
          <w:szCs w:val="20"/>
          <w:lang w:val="id-ID"/>
        </w:rPr>
        <w:t>0,490 dengan p = 0,000</w:t>
      </w:r>
      <w:r w:rsidRPr="002C3063">
        <w:rPr>
          <w:rFonts w:ascii="Times New Roman" w:hAnsi="Times New Roman"/>
          <w:color w:val="000000"/>
          <w:sz w:val="20"/>
          <w:szCs w:val="20"/>
        </w:rPr>
        <w:t xml:space="preserve"> (p &lt; 0,050)</w:t>
      </w:r>
      <w:r w:rsidRPr="002C3063">
        <w:rPr>
          <w:b/>
          <w:color w:val="000000"/>
          <w:sz w:val="20"/>
          <w:szCs w:val="20"/>
        </w:rPr>
        <w:t xml:space="preserve"> </w:t>
      </w:r>
      <w:r w:rsidRPr="002C3063">
        <w:rPr>
          <w:rFonts w:ascii="Times New Roman" w:hAnsi="Times New Roman"/>
          <w:color w:val="000000"/>
          <w:sz w:val="20"/>
          <w:szCs w:val="20"/>
        </w:rPr>
        <w:t xml:space="preserve">yang </w:t>
      </w:r>
      <w:r w:rsidRPr="002C3063">
        <w:rPr>
          <w:rFonts w:ascii="Times New Roman" w:hAnsi="Times New Roman"/>
          <w:sz w:val="20"/>
          <w:szCs w:val="20"/>
        </w:rPr>
        <w:t xml:space="preserve">berarti bahwa terdapat hubungan yang positif </w:t>
      </w:r>
      <w:r w:rsidRPr="002C3063">
        <w:rPr>
          <w:rFonts w:ascii="Times New Roman" w:hAnsi="Times New Roman"/>
          <w:sz w:val="20"/>
          <w:szCs w:val="20"/>
          <w:lang w:val="en-ID"/>
        </w:rPr>
        <w:t xml:space="preserve">antara </w:t>
      </w:r>
      <w:r w:rsidRPr="002C3063">
        <w:rPr>
          <w:rFonts w:ascii="Times New Roman" w:hAnsi="Times New Roman"/>
          <w:iCs/>
          <w:sz w:val="20"/>
          <w:szCs w:val="20"/>
          <w:lang w:val="id-ID"/>
        </w:rPr>
        <w:t xml:space="preserve">persepsi dukungan atasan </w:t>
      </w:r>
      <w:r w:rsidRPr="002C3063">
        <w:rPr>
          <w:rFonts w:ascii="Times New Roman" w:hAnsi="Times New Roman"/>
          <w:iCs/>
          <w:sz w:val="20"/>
          <w:szCs w:val="20"/>
        </w:rPr>
        <w:t xml:space="preserve">dengan </w:t>
      </w:r>
      <w:r w:rsidRPr="002C3063">
        <w:rPr>
          <w:rFonts w:ascii="Times New Roman" w:hAnsi="Times New Roman"/>
          <w:i/>
          <w:iCs/>
          <w:sz w:val="20"/>
          <w:szCs w:val="20"/>
          <w:lang w:val="id-ID"/>
        </w:rPr>
        <w:t>work engagement</w:t>
      </w:r>
      <w:r w:rsidRPr="002C3063">
        <w:rPr>
          <w:rFonts w:ascii="Times New Roman" w:hAnsi="Times New Roman"/>
          <w:iCs/>
          <w:sz w:val="20"/>
          <w:szCs w:val="20"/>
          <w:lang w:val="id-ID"/>
        </w:rPr>
        <w:t xml:space="preserve"> karyawan generasi milenial, </w:t>
      </w:r>
      <w:r w:rsidRPr="002C3063">
        <w:rPr>
          <w:rFonts w:ascii="Times New Roman" w:hAnsi="Times New Roman"/>
          <w:sz w:val="20"/>
          <w:szCs w:val="20"/>
          <w:lang w:val="en-ID"/>
        </w:rPr>
        <w:t xml:space="preserve">semakin positif </w:t>
      </w:r>
      <w:r w:rsidRPr="002C3063">
        <w:rPr>
          <w:rFonts w:ascii="Times New Roman" w:hAnsi="Times New Roman"/>
          <w:iCs/>
          <w:sz w:val="20"/>
          <w:szCs w:val="20"/>
          <w:lang w:val="id-ID"/>
        </w:rPr>
        <w:t xml:space="preserve">persepsi dukungan atasan </w:t>
      </w:r>
      <w:proofErr w:type="gramStart"/>
      <w:r w:rsidRPr="002C3063">
        <w:rPr>
          <w:rFonts w:ascii="Times New Roman" w:hAnsi="Times New Roman"/>
          <w:sz w:val="20"/>
          <w:szCs w:val="20"/>
          <w:lang w:val="en-ID"/>
        </w:rPr>
        <w:t>akan</w:t>
      </w:r>
      <w:proofErr w:type="gramEnd"/>
      <w:r w:rsidRPr="002C3063">
        <w:rPr>
          <w:rFonts w:ascii="Times New Roman" w:hAnsi="Times New Roman"/>
          <w:sz w:val="20"/>
          <w:szCs w:val="20"/>
          <w:lang w:val="en-ID"/>
        </w:rPr>
        <w:t xml:space="preserve"> cenderung diikuti oleh semakin tingginya</w:t>
      </w:r>
      <w:r w:rsidRPr="002C3063">
        <w:rPr>
          <w:rFonts w:ascii="Times New Roman" w:hAnsi="Times New Roman"/>
          <w:iCs/>
          <w:sz w:val="20"/>
          <w:szCs w:val="20"/>
          <w:lang w:val="id-ID"/>
        </w:rPr>
        <w:t xml:space="preserve"> </w:t>
      </w:r>
      <w:r w:rsidRPr="002C3063">
        <w:rPr>
          <w:rFonts w:ascii="Times New Roman" w:hAnsi="Times New Roman"/>
          <w:i/>
          <w:iCs/>
          <w:sz w:val="20"/>
          <w:szCs w:val="20"/>
          <w:lang w:val="id-ID"/>
        </w:rPr>
        <w:t>work engagement</w:t>
      </w:r>
      <w:r w:rsidRPr="002C3063">
        <w:rPr>
          <w:rFonts w:ascii="Times New Roman" w:hAnsi="Times New Roman"/>
          <w:sz w:val="20"/>
          <w:szCs w:val="20"/>
          <w:lang w:val="en-ID"/>
        </w:rPr>
        <w:t xml:space="preserve">. Sumbangan efektif </w:t>
      </w:r>
      <w:r w:rsidRPr="002C3063">
        <w:rPr>
          <w:rFonts w:ascii="Times New Roman" w:hAnsi="Times New Roman"/>
          <w:sz w:val="20"/>
          <w:szCs w:val="20"/>
          <w:lang w:val="id-ID"/>
        </w:rPr>
        <w:t xml:space="preserve">persepsi dukungan atasan </w:t>
      </w:r>
      <w:r w:rsidRPr="002C3063">
        <w:rPr>
          <w:rFonts w:ascii="Times New Roman" w:hAnsi="Times New Roman"/>
          <w:sz w:val="20"/>
          <w:szCs w:val="20"/>
          <w:lang w:val="en-ID"/>
        </w:rPr>
        <w:t xml:space="preserve">terhadap </w:t>
      </w:r>
      <w:r w:rsidRPr="002C3063">
        <w:rPr>
          <w:rFonts w:ascii="Times New Roman" w:hAnsi="Times New Roman"/>
          <w:i/>
          <w:sz w:val="20"/>
          <w:szCs w:val="20"/>
          <w:lang w:val="id-ID"/>
        </w:rPr>
        <w:t>work engagement</w:t>
      </w:r>
      <w:r w:rsidRPr="002C3063">
        <w:rPr>
          <w:rFonts w:ascii="Times New Roman" w:hAnsi="Times New Roman"/>
          <w:sz w:val="20"/>
          <w:szCs w:val="20"/>
          <w:lang w:val="id-ID"/>
        </w:rPr>
        <w:t xml:space="preserve"> sebesar 24,1% yang ditunjukan dari nilai koefisien determinasi </w:t>
      </w:r>
      <w:r w:rsidRPr="002C3063">
        <w:rPr>
          <w:rFonts w:ascii="Times New Roman" w:hAnsi="Times New Roman"/>
          <w:sz w:val="20"/>
          <w:szCs w:val="20"/>
        </w:rPr>
        <w:t>(R²)</w:t>
      </w:r>
      <w:r w:rsidRPr="002C3063">
        <w:rPr>
          <w:rFonts w:ascii="Times New Roman" w:hAnsi="Times New Roman"/>
          <w:sz w:val="20"/>
          <w:szCs w:val="20"/>
          <w:lang w:val="id-ID"/>
        </w:rPr>
        <w:t xml:space="preserve"> sebesar 0,241 dan 75,9%</w:t>
      </w:r>
      <w:r w:rsidRPr="002C3063">
        <w:rPr>
          <w:rFonts w:ascii="Times New Roman" w:hAnsi="Times New Roman"/>
          <w:b/>
          <w:sz w:val="20"/>
          <w:szCs w:val="20"/>
          <w:lang w:val="id-ID"/>
        </w:rPr>
        <w:t xml:space="preserve"> </w:t>
      </w:r>
      <w:r w:rsidRPr="002C3063">
        <w:rPr>
          <w:rFonts w:ascii="Times New Roman" w:hAnsi="Times New Roman"/>
          <w:sz w:val="20"/>
          <w:szCs w:val="20"/>
          <w:lang w:val="id-ID"/>
        </w:rPr>
        <w:t>dipengaruhi oleh faktor-faktor lainnya.</w:t>
      </w:r>
      <w:r w:rsidRPr="002C3063">
        <w:rPr>
          <w:rFonts w:ascii="Times New Roman" w:hAnsi="Times New Roman"/>
          <w:b/>
          <w:sz w:val="20"/>
          <w:szCs w:val="20"/>
          <w:lang w:val="id-ID"/>
        </w:rPr>
        <w:t xml:space="preserve"> </w:t>
      </w:r>
    </w:p>
    <w:p w:rsidR="008B6A4C" w:rsidRPr="002C3063" w:rsidRDefault="008B6A4C" w:rsidP="008B6A4C">
      <w:pPr>
        <w:spacing w:line="240" w:lineRule="auto"/>
        <w:rPr>
          <w:rFonts w:ascii="Times New Roman" w:hAnsi="Times New Roman"/>
          <w:sz w:val="20"/>
          <w:szCs w:val="20"/>
          <w:lang w:val="id-ID"/>
        </w:rPr>
      </w:pPr>
    </w:p>
    <w:p w:rsidR="008B6A4C" w:rsidRDefault="008B6A4C" w:rsidP="008B6A4C">
      <w:pPr>
        <w:tabs>
          <w:tab w:val="left" w:pos="1276"/>
        </w:tabs>
        <w:spacing w:line="240" w:lineRule="auto"/>
        <w:ind w:left="1276" w:hanging="1276"/>
        <w:rPr>
          <w:rFonts w:ascii="Times New Roman" w:hAnsi="Times New Roman"/>
          <w:sz w:val="20"/>
          <w:szCs w:val="20"/>
          <w:lang w:val="id-ID"/>
        </w:rPr>
      </w:pPr>
      <w:r w:rsidRPr="002C3063">
        <w:rPr>
          <w:rFonts w:ascii="Times New Roman" w:hAnsi="Times New Roman"/>
          <w:b/>
          <w:sz w:val="20"/>
          <w:szCs w:val="20"/>
        </w:rPr>
        <w:t xml:space="preserve">Kata </w:t>
      </w:r>
      <w:proofErr w:type="gramStart"/>
      <w:r w:rsidRPr="002C3063">
        <w:rPr>
          <w:rFonts w:ascii="Times New Roman" w:hAnsi="Times New Roman"/>
          <w:b/>
          <w:sz w:val="20"/>
          <w:szCs w:val="20"/>
        </w:rPr>
        <w:t>kunci :</w:t>
      </w:r>
      <w:proofErr w:type="gramEnd"/>
      <w:r w:rsidRPr="002C3063">
        <w:rPr>
          <w:rFonts w:ascii="Times New Roman" w:hAnsi="Times New Roman"/>
          <w:b/>
          <w:sz w:val="20"/>
          <w:szCs w:val="20"/>
        </w:rPr>
        <w:tab/>
      </w:r>
      <w:r w:rsidRPr="002C3063">
        <w:rPr>
          <w:rFonts w:ascii="Times New Roman" w:hAnsi="Times New Roman"/>
          <w:sz w:val="20"/>
          <w:szCs w:val="20"/>
          <w:lang w:val="id-ID"/>
        </w:rPr>
        <w:t xml:space="preserve">Persepsi dukungan atasan , </w:t>
      </w:r>
      <w:r w:rsidRPr="002C3063">
        <w:rPr>
          <w:rFonts w:ascii="Times New Roman" w:hAnsi="Times New Roman"/>
          <w:i/>
          <w:sz w:val="20"/>
          <w:szCs w:val="20"/>
          <w:lang w:val="id-ID"/>
        </w:rPr>
        <w:t>work engagement</w:t>
      </w:r>
      <w:r w:rsidRPr="002C3063">
        <w:rPr>
          <w:rFonts w:ascii="Times New Roman" w:hAnsi="Times New Roman"/>
          <w:sz w:val="20"/>
          <w:szCs w:val="20"/>
          <w:lang w:val="id-ID"/>
        </w:rPr>
        <w:t>, karyawan generasi milenial</w:t>
      </w:r>
    </w:p>
    <w:p w:rsidR="008B6A4C" w:rsidRDefault="008B6A4C" w:rsidP="008B6A4C">
      <w:pPr>
        <w:tabs>
          <w:tab w:val="left" w:pos="1276"/>
        </w:tabs>
        <w:spacing w:line="240" w:lineRule="auto"/>
        <w:ind w:left="1276" w:hanging="1276"/>
        <w:rPr>
          <w:rFonts w:ascii="Times New Roman" w:hAnsi="Times New Roman"/>
          <w:sz w:val="20"/>
          <w:szCs w:val="20"/>
          <w:lang w:val="id-ID"/>
        </w:rPr>
      </w:pPr>
    </w:p>
    <w:p w:rsidR="008B6A4C" w:rsidRDefault="008B6A4C" w:rsidP="008B6A4C">
      <w:pPr>
        <w:tabs>
          <w:tab w:val="left" w:pos="1276"/>
        </w:tabs>
        <w:spacing w:line="240" w:lineRule="auto"/>
        <w:ind w:left="1276" w:hanging="1276"/>
        <w:rPr>
          <w:rFonts w:ascii="Times New Roman" w:hAnsi="Times New Roman"/>
          <w:sz w:val="20"/>
          <w:szCs w:val="20"/>
          <w:lang w:val="id-ID"/>
        </w:rPr>
      </w:pPr>
    </w:p>
    <w:p w:rsidR="008B6A4C" w:rsidRPr="002C3063" w:rsidRDefault="008B6A4C" w:rsidP="008B6A4C">
      <w:pPr>
        <w:tabs>
          <w:tab w:val="left" w:pos="1276"/>
        </w:tabs>
        <w:spacing w:line="240" w:lineRule="auto"/>
        <w:ind w:left="1276" w:hanging="1276"/>
        <w:rPr>
          <w:rFonts w:ascii="Times New Roman" w:hAnsi="Times New Roman"/>
          <w:sz w:val="20"/>
          <w:szCs w:val="20"/>
          <w:lang w:val="id-ID"/>
        </w:rPr>
      </w:pPr>
    </w:p>
    <w:p w:rsidR="008B6A4C" w:rsidRPr="002C3063" w:rsidRDefault="008B6A4C" w:rsidP="008B6A4C">
      <w:pPr>
        <w:tabs>
          <w:tab w:val="left" w:pos="1276"/>
        </w:tabs>
        <w:spacing w:line="240" w:lineRule="auto"/>
        <w:ind w:left="1276" w:hanging="1276"/>
        <w:jc w:val="center"/>
        <w:rPr>
          <w:rFonts w:ascii="Times New Roman" w:hAnsi="Times New Roman"/>
          <w:sz w:val="20"/>
          <w:szCs w:val="20"/>
          <w:lang w:val="id-ID"/>
        </w:rPr>
      </w:pPr>
      <w:r w:rsidRPr="002C3063">
        <w:rPr>
          <w:rFonts w:ascii="Times New Roman" w:hAnsi="Times New Roman"/>
          <w:b/>
          <w:i/>
          <w:sz w:val="20"/>
          <w:szCs w:val="20"/>
          <w:lang w:val="id-ID"/>
        </w:rPr>
        <w:t>ABSTRACT</w:t>
      </w:r>
    </w:p>
    <w:p w:rsidR="008B6A4C" w:rsidRPr="002C3063" w:rsidRDefault="008B6A4C" w:rsidP="008B6A4C">
      <w:pPr>
        <w:spacing w:line="240" w:lineRule="auto"/>
        <w:rPr>
          <w:rFonts w:ascii="Times New Roman" w:hAnsi="Times New Roman"/>
          <w:i/>
          <w:sz w:val="20"/>
          <w:szCs w:val="20"/>
          <w:lang w:val="id-ID"/>
        </w:rPr>
      </w:pPr>
      <w:r w:rsidRPr="002C3063">
        <w:rPr>
          <w:rFonts w:ascii="Times New Roman" w:hAnsi="Times New Roman"/>
          <w:i/>
          <w:sz w:val="20"/>
          <w:szCs w:val="20"/>
          <w:lang w:val="id-ID"/>
        </w:rPr>
        <w:t>This study aims to determine the relationship between perceived supervior support and work engagement of millennial employees. The subjects of this study amounted to 87 millennial generation employees in Indonesia, aged at least 20 years and working at least 1 year. The data collection method in this study uses the perceived supervisor support and work engagement scale, the analytical method in this study uses the product moment correlation analysis method. The results of data analysis obtained a correlation (rxy) of 0.490 with p = 0.000 (p &lt; 0.050) which means that there is a positive relationship between perceived supervisor support and work engagement of millennial employees, the more positive the perception of superior support will tend to be followed by higher work engagement. The effective contribution of perceived superior support to work engagement is 24.1%, which is indicated by the coefficient of determination (R²) of 0.241 and 75.9% is influenced by other factors.</w:t>
      </w:r>
    </w:p>
    <w:p w:rsidR="008B6A4C" w:rsidRDefault="008B6A4C" w:rsidP="008B6A4C">
      <w:pPr>
        <w:spacing w:line="240" w:lineRule="auto"/>
        <w:rPr>
          <w:rFonts w:ascii="Times New Roman" w:hAnsi="Times New Roman"/>
          <w:b/>
          <w:sz w:val="20"/>
          <w:szCs w:val="20"/>
          <w:lang w:val="id-ID"/>
        </w:rPr>
      </w:pPr>
    </w:p>
    <w:p w:rsidR="008B6A4C" w:rsidRPr="002C3063" w:rsidRDefault="008B6A4C" w:rsidP="008B6A4C">
      <w:pPr>
        <w:spacing w:line="240" w:lineRule="auto"/>
        <w:rPr>
          <w:rFonts w:ascii="Times New Roman" w:hAnsi="Times New Roman"/>
          <w:sz w:val="20"/>
          <w:szCs w:val="20"/>
          <w:lang w:val="id-ID"/>
        </w:rPr>
      </w:pPr>
      <w:r w:rsidRPr="002C3063">
        <w:rPr>
          <w:rFonts w:ascii="Times New Roman" w:hAnsi="Times New Roman"/>
          <w:b/>
          <w:i/>
          <w:sz w:val="20"/>
          <w:szCs w:val="20"/>
          <w:lang w:val="id-ID"/>
        </w:rPr>
        <w:t>Key words :</w:t>
      </w:r>
      <w:r>
        <w:rPr>
          <w:rFonts w:ascii="Times New Roman" w:hAnsi="Times New Roman"/>
          <w:b/>
          <w:i/>
          <w:sz w:val="20"/>
          <w:szCs w:val="20"/>
          <w:lang w:val="id-ID"/>
        </w:rPr>
        <w:t xml:space="preserve"> </w:t>
      </w:r>
      <w:r w:rsidRPr="002C3063">
        <w:rPr>
          <w:rFonts w:ascii="Times New Roman" w:hAnsi="Times New Roman"/>
          <w:i/>
          <w:sz w:val="20"/>
          <w:szCs w:val="20"/>
          <w:lang w:val="id-ID"/>
        </w:rPr>
        <w:t>perceived supervior support, work engagement</w:t>
      </w:r>
      <w:r w:rsidRPr="002C3063">
        <w:rPr>
          <w:rFonts w:ascii="Times New Roman" w:hAnsi="Times New Roman"/>
          <w:sz w:val="20"/>
          <w:szCs w:val="20"/>
          <w:lang w:val="id-ID"/>
        </w:rPr>
        <w:t xml:space="preserve">, </w:t>
      </w:r>
      <w:r>
        <w:rPr>
          <w:rFonts w:ascii="Times New Roman" w:hAnsi="Times New Roman"/>
          <w:i/>
          <w:sz w:val="20"/>
          <w:szCs w:val="20"/>
          <w:lang w:val="id-ID"/>
        </w:rPr>
        <w:t xml:space="preserve">millennial </w:t>
      </w:r>
      <w:r w:rsidRPr="002C3063">
        <w:rPr>
          <w:rFonts w:ascii="Times New Roman" w:hAnsi="Times New Roman"/>
          <w:i/>
          <w:sz w:val="20"/>
          <w:szCs w:val="20"/>
          <w:lang w:val="id-ID"/>
        </w:rPr>
        <w:t>generation employees.</w:t>
      </w:r>
    </w:p>
    <w:p w:rsidR="00127D59" w:rsidRDefault="00901345" w:rsidP="008B6A4C">
      <w:pPr>
        <w:spacing w:after="160" w:line="259" w:lineRule="auto"/>
        <w:jc w:val="left"/>
        <w:rPr>
          <w:rFonts w:ascii="Times New Roman" w:hAnsi="Times New Roman"/>
          <w:b/>
        </w:rPr>
      </w:pPr>
      <w:r>
        <w:rPr>
          <w:rFonts w:ascii="Times New Roman" w:hAnsi="Times New Roman"/>
          <w:noProof/>
          <w:sz w:val="20"/>
          <w:szCs w:val="20"/>
          <w:lang w:val="en-US"/>
        </w:rPr>
        <mc:AlternateContent>
          <mc:Choice Requires="wps">
            <w:drawing>
              <wp:anchor distT="0" distB="0" distL="114300" distR="114300" simplePos="0" relativeHeight="251658752" behindDoc="0" locked="0" layoutInCell="1" allowOverlap="1" wp14:anchorId="2C63EAF5" wp14:editId="10398882">
                <wp:simplePos x="0" y="0"/>
                <wp:positionH relativeFrom="column">
                  <wp:posOffset>0</wp:posOffset>
                </wp:positionH>
                <wp:positionV relativeFrom="paragraph">
                  <wp:posOffset>190500</wp:posOffset>
                </wp:positionV>
                <wp:extent cx="57531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753100" cy="19050"/>
                        </a:xfrm>
                        <a:prstGeom prst="line">
                          <a:avLst/>
                        </a:prstGeom>
                        <a:noFill/>
                        <a:ln w="9525" cap="flat" cmpd="sng" algn="ctr">
                          <a:solidFill>
                            <a:sysClr val="windowText" lastClr="000000">
                              <a:shade val="95000"/>
                              <a:satMod val="105000"/>
                            </a:sysClr>
                          </a:solidFill>
                          <a:prstDash val="sysDot"/>
                        </a:ln>
                        <a:effectLst/>
                      </wps:spPr>
                      <wps:bodyPr/>
                    </wps:wsp>
                  </a:graphicData>
                </a:graphic>
              </wp:anchor>
            </w:drawing>
          </mc:Choice>
          <mc:Fallback>
            <w:pict>
              <v:line w14:anchorId="29130A37" id="Straight Connector 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0,15pt" to="45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">
                <v:stroke dashstyle="1 1"/>
              </v:line>
            </w:pict>
          </mc:Fallback>
        </mc:AlternateContent>
      </w:r>
    </w:p>
    <w:p w:rsidR="00127D59" w:rsidRDefault="00127D59" w:rsidP="00127D59">
      <w:pPr>
        <w:spacing w:after="160" w:line="259" w:lineRule="auto"/>
        <w:jc w:val="left"/>
        <w:rPr>
          <w:rFonts w:ascii="Times New Roman" w:hAnsi="Times New Roman"/>
          <w:b/>
        </w:rPr>
      </w:pPr>
      <w:r>
        <w:rPr>
          <w:rFonts w:ascii="Times New Roman" w:hAnsi="Times New Roman"/>
          <w:noProof/>
          <w:sz w:val="20"/>
          <w:szCs w:val="20"/>
          <w:lang w:val="en-US"/>
        </w:rPr>
        <mc:AlternateContent>
          <mc:Choice Requires="wps">
            <w:drawing>
              <wp:anchor distT="0" distB="0" distL="114300" distR="114300" simplePos="0" relativeHeight="251655680" behindDoc="0" locked="0" layoutInCell="1" allowOverlap="1" wp14:anchorId="719B266F" wp14:editId="681E6296">
                <wp:simplePos x="0" y="0"/>
                <wp:positionH relativeFrom="column">
                  <wp:posOffset>0</wp:posOffset>
                </wp:positionH>
                <wp:positionV relativeFrom="paragraph">
                  <wp:posOffset>0</wp:posOffset>
                </wp:positionV>
                <wp:extent cx="57531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753100" cy="19050"/>
                        </a:xfrm>
                        <a:prstGeom prst="line">
                          <a:avLst/>
                        </a:prstGeom>
                        <a:noFill/>
                        <a:ln w="9525" cap="flat" cmpd="sng" algn="ctr">
                          <a:solidFill>
                            <a:sysClr val="windowText" lastClr="000000">
                              <a:shade val="95000"/>
                              <a:satMod val="105000"/>
                            </a:sysClr>
                          </a:solidFill>
                          <a:prstDash val="sysDot"/>
                        </a:ln>
                        <a:effectLst/>
                      </wps:spPr>
                      <wps:bodyPr/>
                    </wps:wsp>
                  </a:graphicData>
                </a:graphic>
              </wp:anchor>
            </w:drawing>
          </mc:Choice>
          <mc:Fallback>
            <w:pict>
              <v:line w14:anchorId="0D5937F0" id="Straight Connector 1"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0,0" to="45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">
                <v:stroke dashstyle="1 1"/>
              </v:line>
            </w:pict>
          </mc:Fallback>
        </mc:AlternateContent>
      </w:r>
    </w:p>
    <w:p w:rsidR="008B6A4C" w:rsidRPr="00F55BE6" w:rsidRDefault="008B6A4C" w:rsidP="00127D59">
      <w:pPr>
        <w:spacing w:after="160" w:line="259" w:lineRule="auto"/>
        <w:jc w:val="left"/>
        <w:rPr>
          <w:rFonts w:ascii="Times New Roman" w:hAnsi="Times New Roman"/>
          <w:b/>
        </w:rPr>
      </w:pPr>
      <w:r w:rsidRPr="00F55BE6">
        <w:rPr>
          <w:rFonts w:ascii="Times New Roman" w:hAnsi="Times New Roman"/>
          <w:b/>
        </w:rPr>
        <w:t>PENDAHULUAN</w:t>
      </w:r>
    </w:p>
    <w:p w:rsidR="008B6A4C" w:rsidRPr="00B348F3" w:rsidRDefault="008B6A4C" w:rsidP="00901345">
      <w:pPr>
        <w:spacing w:line="360" w:lineRule="auto"/>
        <w:ind w:firstLine="360"/>
        <w:rPr>
          <w:rFonts w:ascii="Times New Roman" w:hAnsi="Times New Roman"/>
          <w:lang w:val="id-ID"/>
        </w:rPr>
      </w:pPr>
      <w:r w:rsidRPr="00B348F3">
        <w:rPr>
          <w:rFonts w:ascii="Times New Roman" w:hAnsi="Times New Roman"/>
        </w:rPr>
        <w:t>Masuknya generasi milenial di dunia kerja menjadi perhatian khusus bagi perusahaan.</w:t>
      </w:r>
      <w:r w:rsidRPr="00B348F3">
        <w:rPr>
          <w:rFonts w:ascii="Times New Roman" w:hAnsi="Times New Roman"/>
          <w:lang w:val="id-ID"/>
        </w:rPr>
        <w:t xml:space="preserve"> </w:t>
      </w:r>
      <w:r w:rsidRPr="00B348F3">
        <w:rPr>
          <w:rFonts w:ascii="Times New Roman" w:hAnsi="Times New Roman"/>
        </w:rPr>
        <w:t>Generasi Milenial mulai mendominasi dibandingkan generasi lainnya. Jumlah generasi milenial mencapai sekitar 88 juta atau 33</w:t>
      </w:r>
      <w:proofErr w:type="gramStart"/>
      <w:r w:rsidRPr="00B348F3">
        <w:rPr>
          <w:rFonts w:ascii="Times New Roman" w:hAnsi="Times New Roman"/>
        </w:rPr>
        <w:t>,75</w:t>
      </w:r>
      <w:proofErr w:type="gramEnd"/>
      <w:r w:rsidRPr="00B348F3">
        <w:rPr>
          <w:rFonts w:ascii="Times New Roman" w:hAnsi="Times New Roman"/>
        </w:rPr>
        <w:t>% dari total penduduk Indonesia (Susenas dalam</w:t>
      </w:r>
      <w:r w:rsidRPr="00B348F3">
        <w:rPr>
          <w:rFonts w:ascii="Times New Roman" w:hAnsi="Times New Roman"/>
          <w:lang w:val="id-ID"/>
        </w:rPr>
        <w:t xml:space="preserve"> Budiati et al</w:t>
      </w:r>
      <w:r w:rsidRPr="00B348F3">
        <w:rPr>
          <w:rFonts w:ascii="Times New Roman" w:hAnsi="Times New Roman"/>
        </w:rPr>
        <w:t>, 2018). Secara global, generasi ini diproyeksikan akan mencapai porsi 50% di dalam dunia kerja (Novita &amp; Nugr</w:t>
      </w:r>
      <w:r w:rsidRPr="00B348F3">
        <w:rPr>
          <w:rFonts w:ascii="Times New Roman" w:hAnsi="Times New Roman"/>
          <w:lang w:val="id-ID"/>
        </w:rPr>
        <w:t>o</w:t>
      </w:r>
      <w:r w:rsidRPr="00B348F3">
        <w:rPr>
          <w:rFonts w:ascii="Times New Roman" w:hAnsi="Times New Roman"/>
        </w:rPr>
        <w:t xml:space="preserve">ho </w:t>
      </w:r>
      <w:r w:rsidRPr="00B348F3">
        <w:rPr>
          <w:rFonts w:ascii="Times New Roman" w:hAnsi="Times New Roman"/>
          <w:lang w:val="id-ID"/>
        </w:rPr>
        <w:t xml:space="preserve">dalam </w:t>
      </w:r>
      <w:proofErr w:type="gramStart"/>
      <w:r w:rsidRPr="00B348F3">
        <w:rPr>
          <w:rFonts w:ascii="Times New Roman" w:hAnsi="Times New Roman"/>
          <w:lang w:val="id-ID"/>
        </w:rPr>
        <w:t>Amalia  &amp;</w:t>
      </w:r>
      <w:proofErr w:type="gramEnd"/>
      <w:r w:rsidRPr="00B348F3">
        <w:rPr>
          <w:rFonts w:ascii="Times New Roman" w:hAnsi="Times New Roman"/>
          <w:lang w:val="id-ID"/>
        </w:rPr>
        <w:t xml:space="preserve"> </w:t>
      </w:r>
      <w:r w:rsidRPr="00B348F3">
        <w:rPr>
          <w:rFonts w:ascii="Times New Roman" w:hAnsi="Times New Roman"/>
        </w:rPr>
        <w:t xml:space="preserve">Hadi, 2019). </w:t>
      </w:r>
      <w:r w:rsidRPr="00B348F3">
        <w:rPr>
          <w:rFonts w:ascii="Times New Roman" w:hAnsi="Times New Roman"/>
          <w:lang w:val="id-ID"/>
        </w:rPr>
        <w:t xml:space="preserve">Dari hasil data badan pusat statistik </w:t>
      </w:r>
      <w:r w:rsidRPr="00B348F3">
        <w:rPr>
          <w:rFonts w:ascii="Times New Roman" w:hAnsi="Times New Roman"/>
        </w:rPr>
        <w:t>mengu</w:t>
      </w:r>
      <w:r w:rsidRPr="00B348F3">
        <w:rPr>
          <w:rFonts w:ascii="Times New Roman" w:hAnsi="Times New Roman"/>
          <w:lang w:val="id-ID"/>
        </w:rPr>
        <w:t>n</w:t>
      </w:r>
      <w:r w:rsidRPr="00B348F3">
        <w:rPr>
          <w:rFonts w:ascii="Times New Roman" w:hAnsi="Times New Roman"/>
        </w:rPr>
        <w:t xml:space="preserve">gkapkan bahwa jumlah generasi </w:t>
      </w:r>
      <w:r w:rsidRPr="00B348F3">
        <w:rPr>
          <w:rFonts w:ascii="Times New Roman" w:hAnsi="Times New Roman"/>
        </w:rPr>
        <w:lastRenderedPageBreak/>
        <w:t xml:space="preserve">milenial berusia 20-35 tahun mencapai 24%, setara dengan 63,4 juta dari 179,1 juta jiwa yang merupakan usia produktif, sehingga tidak salah </w:t>
      </w:r>
      <w:r w:rsidRPr="00B348F3">
        <w:rPr>
          <w:rFonts w:ascii="Times New Roman" w:hAnsi="Times New Roman"/>
          <w:lang w:val="id-ID"/>
        </w:rPr>
        <w:t>apa</w:t>
      </w:r>
      <w:r w:rsidRPr="00B348F3">
        <w:rPr>
          <w:rFonts w:ascii="Times New Roman" w:hAnsi="Times New Roman"/>
        </w:rPr>
        <w:t>bila generasi milenial disebut sebagai penentu masa depan Indonesia</w:t>
      </w:r>
      <w:r w:rsidRPr="00B348F3">
        <w:rPr>
          <w:rFonts w:ascii="Times New Roman" w:hAnsi="Times New Roman"/>
          <w:lang w:val="id-ID"/>
        </w:rPr>
        <w:t xml:space="preserve"> (Budiati et al, 2018). </w:t>
      </w:r>
      <w:r w:rsidRPr="00B348F3">
        <w:rPr>
          <w:rFonts w:ascii="Times New Roman" w:hAnsi="Times New Roman"/>
        </w:rPr>
        <w:t xml:space="preserve">Menurut </w:t>
      </w:r>
      <w:r w:rsidRPr="00B348F3">
        <w:rPr>
          <w:rFonts w:ascii="Times New Roman" w:hAnsi="Times New Roman"/>
          <w:color w:val="241F1F"/>
        </w:rPr>
        <w:t>Hasanuddin</w:t>
      </w:r>
      <w:r w:rsidRPr="00B348F3">
        <w:rPr>
          <w:rFonts w:ascii="Times New Roman" w:hAnsi="Times New Roman"/>
          <w:color w:val="241F1F"/>
          <w:lang w:val="id-ID"/>
        </w:rPr>
        <w:t xml:space="preserve">, Lilik </w:t>
      </w:r>
      <w:r w:rsidRPr="00B348F3">
        <w:rPr>
          <w:rFonts w:ascii="Times New Roman" w:hAnsi="Times New Roman"/>
          <w:color w:val="241F1F"/>
        </w:rPr>
        <w:t xml:space="preserve">dalam </w:t>
      </w:r>
      <w:r w:rsidRPr="00B348F3">
        <w:rPr>
          <w:rFonts w:ascii="Times New Roman" w:hAnsi="Times New Roman"/>
          <w:color w:val="241F1F"/>
          <w:lang w:val="id-ID"/>
        </w:rPr>
        <w:t xml:space="preserve">Budiati et al </w:t>
      </w:r>
      <w:r w:rsidRPr="00B348F3">
        <w:rPr>
          <w:rFonts w:ascii="Times New Roman" w:hAnsi="Times New Roman"/>
          <w:color w:val="241F1F"/>
        </w:rPr>
        <w:t xml:space="preserve">(2018)  </w:t>
      </w:r>
      <w:r w:rsidRPr="00B348F3">
        <w:rPr>
          <w:rFonts w:ascii="Times New Roman" w:hAnsi="Times New Roman"/>
        </w:rPr>
        <w:t xml:space="preserve">usia generasi milenial pada saat ini yaitu kelahiran pada tahun 1982 hingga awal tahun 2000. Pada tahun 2021 generasi milenial berada pada rentang </w:t>
      </w:r>
      <w:proofErr w:type="gramStart"/>
      <w:r w:rsidRPr="00B348F3">
        <w:rPr>
          <w:rFonts w:ascii="Times New Roman" w:hAnsi="Times New Roman"/>
        </w:rPr>
        <w:t>usia</w:t>
      </w:r>
      <w:proofErr w:type="gramEnd"/>
      <w:r w:rsidRPr="00B348F3">
        <w:rPr>
          <w:rFonts w:ascii="Times New Roman" w:hAnsi="Times New Roman"/>
        </w:rPr>
        <w:t xml:space="preserve"> 2</w:t>
      </w:r>
      <w:r w:rsidRPr="00B348F3">
        <w:rPr>
          <w:rFonts w:ascii="Times New Roman" w:hAnsi="Times New Roman"/>
          <w:lang w:val="id-ID"/>
        </w:rPr>
        <w:t>0</w:t>
      </w:r>
      <w:r w:rsidRPr="00B348F3">
        <w:rPr>
          <w:rFonts w:ascii="Times New Roman" w:hAnsi="Times New Roman"/>
        </w:rPr>
        <w:t xml:space="preserve">-39 tahun. Menurut Yoris dalam </w:t>
      </w:r>
      <w:r w:rsidRPr="00B348F3">
        <w:rPr>
          <w:rFonts w:ascii="Times New Roman" w:hAnsi="Times New Roman"/>
          <w:lang w:val="id-ID"/>
        </w:rPr>
        <w:t xml:space="preserve">Budiati, et al </w:t>
      </w:r>
      <w:r w:rsidRPr="00B348F3">
        <w:rPr>
          <w:rFonts w:ascii="Times New Roman" w:hAnsi="Times New Roman"/>
        </w:rPr>
        <w:t>(2018) terdapat beberapa karakteristik generasi milenial yaitu serba cepat, kreatif, dinamis, melek terhadap teknologi, dekat dengan media sosial, dan mudah berpindah pekerjaan dalam waktu yang singkat atau tidak mudah terikat.</w:t>
      </w:r>
      <w:r w:rsidRPr="00B348F3">
        <w:rPr>
          <w:rFonts w:ascii="Times New Roman" w:hAnsi="Times New Roman"/>
          <w:lang w:val="id-ID"/>
        </w:rPr>
        <w:t xml:space="preserve"> </w:t>
      </w:r>
      <w:r w:rsidRPr="00B348F3">
        <w:rPr>
          <w:rFonts w:ascii="Times New Roman" w:hAnsi="Times New Roman"/>
        </w:rPr>
        <w:t xml:space="preserve">Milenial identik dengan angka </w:t>
      </w:r>
      <w:r w:rsidRPr="00B348F3">
        <w:rPr>
          <w:rFonts w:ascii="Times New Roman" w:hAnsi="Times New Roman"/>
          <w:i/>
        </w:rPr>
        <w:t>turnover</w:t>
      </w:r>
      <w:r w:rsidRPr="00B348F3">
        <w:rPr>
          <w:rFonts w:ascii="Times New Roman" w:hAnsi="Times New Roman"/>
        </w:rPr>
        <w:t xml:space="preserve"> yang tinggi, bahkan hal ini juga terjadi di perusahaan </w:t>
      </w:r>
      <w:r w:rsidRPr="00B348F3">
        <w:rPr>
          <w:rFonts w:ascii="Times New Roman" w:hAnsi="Times New Roman"/>
          <w:i/>
        </w:rPr>
        <w:t>start up</w:t>
      </w:r>
      <w:r w:rsidRPr="00B348F3">
        <w:rPr>
          <w:rFonts w:ascii="Times New Roman" w:hAnsi="Times New Roman"/>
        </w:rPr>
        <w:t xml:space="preserve"> yang diyakini merupakan perusahaan yang lingkungan kerjanya banyak di cari oleh generasi milenial. </w:t>
      </w:r>
    </w:p>
    <w:p w:rsidR="008B6A4C" w:rsidRPr="00B348F3" w:rsidRDefault="008B6A4C" w:rsidP="00901345">
      <w:pPr>
        <w:spacing w:line="360" w:lineRule="auto"/>
        <w:ind w:firstLine="360"/>
        <w:rPr>
          <w:rFonts w:ascii="Times New Roman" w:hAnsi="Times New Roman"/>
          <w:lang w:val="id-ID"/>
        </w:rPr>
      </w:pPr>
      <w:r w:rsidRPr="00B348F3">
        <w:rPr>
          <w:rFonts w:ascii="Times New Roman" w:hAnsi="Times New Roman"/>
        </w:rPr>
        <w:t>Generasi milenial menyukai kebebasan, dan memiliki karakter yang sangat penting bagi kebutuhan tenaga kerja di masa depan, namun rentang perhatian (</w:t>
      </w:r>
      <w:r w:rsidRPr="00B348F3">
        <w:rPr>
          <w:rFonts w:ascii="Times New Roman" w:hAnsi="Times New Roman"/>
          <w:i/>
        </w:rPr>
        <w:t>attention span</w:t>
      </w:r>
      <w:r w:rsidRPr="00B348F3">
        <w:rPr>
          <w:rFonts w:ascii="Times New Roman" w:hAnsi="Times New Roman"/>
        </w:rPr>
        <w:t>) mereka juga lebih cepat, sehingga mereka juga lebih cepat dan berkeinginan untuk mengganti posisi atau berpindah pekerjaan (Deloitte, 2019).</w:t>
      </w:r>
      <w:r w:rsidRPr="00B348F3">
        <w:rPr>
          <w:rFonts w:ascii="Times New Roman" w:hAnsi="Times New Roman"/>
          <w:lang w:val="id-ID"/>
        </w:rPr>
        <w:t xml:space="preserve"> Menurut Fahreza et al (2019) g</w:t>
      </w:r>
      <w:r w:rsidRPr="00B348F3">
        <w:rPr>
          <w:rFonts w:ascii="Times New Roman" w:hAnsi="Times New Roman"/>
        </w:rPr>
        <w:t xml:space="preserve">enerasi </w:t>
      </w:r>
      <w:r w:rsidRPr="00B348F3">
        <w:rPr>
          <w:rFonts w:ascii="Times New Roman" w:hAnsi="Times New Roman"/>
          <w:lang w:val="id-ID"/>
        </w:rPr>
        <w:t>m</w:t>
      </w:r>
      <w:r w:rsidRPr="00B348F3">
        <w:rPr>
          <w:rFonts w:ascii="Times New Roman" w:hAnsi="Times New Roman"/>
        </w:rPr>
        <w:t xml:space="preserve">ilenial memiliki tingkat </w:t>
      </w:r>
      <w:r w:rsidRPr="00B348F3">
        <w:rPr>
          <w:rFonts w:ascii="Times New Roman" w:hAnsi="Times New Roman"/>
          <w:i/>
          <w:lang w:val="id-ID"/>
        </w:rPr>
        <w:t>work</w:t>
      </w:r>
      <w:r w:rsidRPr="00B348F3">
        <w:rPr>
          <w:rFonts w:ascii="Times New Roman" w:hAnsi="Times New Roman"/>
          <w:lang w:val="id-ID"/>
        </w:rPr>
        <w:t xml:space="preserve"> </w:t>
      </w:r>
      <w:r w:rsidRPr="00B348F3">
        <w:rPr>
          <w:rFonts w:ascii="Times New Roman" w:hAnsi="Times New Roman"/>
          <w:i/>
        </w:rPr>
        <w:t>engagement</w:t>
      </w:r>
      <w:r w:rsidRPr="00B348F3">
        <w:rPr>
          <w:rFonts w:ascii="Times New Roman" w:hAnsi="Times New Roman"/>
        </w:rPr>
        <w:t xml:space="preserve"> yang paling rendah dibanding generasi lainnya</w:t>
      </w:r>
      <w:r w:rsidRPr="00B348F3">
        <w:rPr>
          <w:rFonts w:ascii="Times New Roman" w:hAnsi="Times New Roman"/>
          <w:lang w:val="id-ID"/>
        </w:rPr>
        <w:t>, sehingga hal</w:t>
      </w:r>
      <w:r w:rsidRPr="00B348F3">
        <w:rPr>
          <w:rFonts w:ascii="Times New Roman" w:hAnsi="Times New Roman"/>
        </w:rPr>
        <w:t xml:space="preserve"> tersebut harus diakomodasi oleh perusahaan dengan merumuskan strategi peningkatan </w:t>
      </w:r>
      <w:r w:rsidRPr="00B348F3">
        <w:rPr>
          <w:rFonts w:ascii="Times New Roman" w:hAnsi="Times New Roman"/>
          <w:i/>
        </w:rPr>
        <w:t xml:space="preserve">engagement </w:t>
      </w:r>
      <w:r w:rsidRPr="00B348F3">
        <w:rPr>
          <w:rFonts w:ascii="Times New Roman" w:hAnsi="Times New Roman"/>
        </w:rPr>
        <w:t xml:space="preserve">bagi </w:t>
      </w:r>
      <w:r w:rsidRPr="00B348F3">
        <w:rPr>
          <w:rFonts w:ascii="Times New Roman" w:hAnsi="Times New Roman"/>
          <w:lang w:val="id-ID"/>
        </w:rPr>
        <w:t>g</w:t>
      </w:r>
      <w:r w:rsidRPr="00B348F3">
        <w:rPr>
          <w:rFonts w:ascii="Times New Roman" w:hAnsi="Times New Roman"/>
        </w:rPr>
        <w:t xml:space="preserve">enerasi </w:t>
      </w:r>
      <w:r w:rsidRPr="00B348F3">
        <w:rPr>
          <w:rFonts w:ascii="Times New Roman" w:hAnsi="Times New Roman"/>
          <w:lang w:val="id-ID"/>
        </w:rPr>
        <w:t>m</w:t>
      </w:r>
      <w:r w:rsidRPr="00B348F3">
        <w:rPr>
          <w:rFonts w:ascii="Times New Roman" w:hAnsi="Times New Roman"/>
        </w:rPr>
        <w:t>ilenial</w:t>
      </w:r>
      <w:r w:rsidRPr="00B348F3">
        <w:rPr>
          <w:rFonts w:ascii="Times New Roman" w:hAnsi="Times New Roman"/>
          <w:lang w:val="id-ID"/>
        </w:rPr>
        <w:t xml:space="preserve">. Generasi milenial dinilai mempunyai </w:t>
      </w:r>
      <w:r w:rsidRPr="00B348F3">
        <w:rPr>
          <w:rFonts w:ascii="Times New Roman" w:hAnsi="Times New Roman"/>
          <w:i/>
          <w:lang w:val="id-ID"/>
        </w:rPr>
        <w:t>engagement</w:t>
      </w:r>
      <w:r w:rsidRPr="00B348F3">
        <w:rPr>
          <w:rFonts w:ascii="Times New Roman" w:hAnsi="Times New Roman"/>
          <w:lang w:val="id-ID"/>
        </w:rPr>
        <w:t xml:space="preserve"> yang kurang terhadap perusahaan (Sugiharto , 2019). </w:t>
      </w:r>
    </w:p>
    <w:p w:rsidR="00601388" w:rsidRPr="00B348F3" w:rsidRDefault="00601388" w:rsidP="00901345">
      <w:pPr>
        <w:spacing w:line="360" w:lineRule="auto"/>
        <w:ind w:firstLine="360"/>
        <w:rPr>
          <w:rFonts w:ascii="Times New Roman" w:hAnsi="Times New Roman"/>
        </w:rPr>
      </w:pPr>
      <w:r w:rsidRPr="00B348F3">
        <w:rPr>
          <w:rFonts w:ascii="Times New Roman" w:hAnsi="Times New Roman"/>
          <w:i/>
        </w:rPr>
        <w:t>Work engagement</w:t>
      </w:r>
      <w:r w:rsidRPr="00B348F3">
        <w:rPr>
          <w:rFonts w:ascii="Times New Roman" w:hAnsi="Times New Roman"/>
        </w:rPr>
        <w:t xml:space="preserve"> atau keterikatan kerja merupakan situasi yang memberikan motivasi positif dan pemenuhan pandangan terhadap kondisi kerja (Schaufeli </w:t>
      </w:r>
      <w:r w:rsidRPr="00B348F3">
        <w:rPr>
          <w:rFonts w:ascii="Times New Roman" w:hAnsi="Times New Roman"/>
          <w:lang w:val="id-ID"/>
        </w:rPr>
        <w:t>&amp; Bakker</w:t>
      </w:r>
      <w:r w:rsidRPr="00B348F3">
        <w:rPr>
          <w:rFonts w:ascii="Times New Roman" w:hAnsi="Times New Roman"/>
        </w:rPr>
        <w:t xml:space="preserve">, 2002). Keterikatan kerja sangat penting untuk menentukan masa depan organisasi (Shuck &amp; Wollard, 2010). Menurut </w:t>
      </w:r>
      <w:r w:rsidRPr="00B348F3">
        <w:rPr>
          <w:rFonts w:ascii="Times New Roman" w:hAnsi="Times New Roman"/>
          <w:lang w:eastAsia="en-GB"/>
        </w:rPr>
        <w:t>Schaufeli dan Bakker (200</w:t>
      </w:r>
      <w:r w:rsidRPr="00B348F3">
        <w:rPr>
          <w:rFonts w:ascii="Times New Roman" w:hAnsi="Times New Roman"/>
          <w:lang w:val="id-ID" w:eastAsia="en-GB"/>
        </w:rPr>
        <w:t>2</w:t>
      </w:r>
      <w:r w:rsidRPr="00B348F3">
        <w:rPr>
          <w:rFonts w:ascii="Times New Roman" w:hAnsi="Times New Roman"/>
          <w:lang w:eastAsia="en-GB"/>
        </w:rPr>
        <w:t xml:space="preserve">) </w:t>
      </w:r>
      <w:r w:rsidRPr="00B348F3">
        <w:rPr>
          <w:rFonts w:ascii="Times New Roman" w:hAnsi="Times New Roman"/>
          <w:i/>
          <w:lang w:eastAsia="en-GB"/>
        </w:rPr>
        <w:t xml:space="preserve">work engagement </w:t>
      </w:r>
      <w:r w:rsidRPr="00B348F3">
        <w:rPr>
          <w:rFonts w:ascii="Times New Roman" w:hAnsi="Times New Roman"/>
          <w:lang w:eastAsia="en-GB"/>
        </w:rPr>
        <w:t>adalah pemikiran positif dari individu untuk menyelesaikan setiap masalah dan semua hal yang berkaitan dengan pekerjaan.</w:t>
      </w:r>
      <w:r w:rsidRPr="00B348F3">
        <w:rPr>
          <w:rFonts w:ascii="Times New Roman" w:hAnsi="Times New Roman"/>
          <w:color w:val="000000"/>
          <w:lang w:eastAsia="en-GB"/>
        </w:rPr>
        <w:t xml:space="preserve"> </w:t>
      </w:r>
    </w:p>
    <w:p w:rsidR="00601388" w:rsidRPr="00B348F3" w:rsidRDefault="00601388" w:rsidP="00901345">
      <w:pPr>
        <w:spacing w:line="360" w:lineRule="auto"/>
        <w:ind w:firstLine="360"/>
        <w:rPr>
          <w:rFonts w:ascii="Times New Roman" w:hAnsi="Times New Roman"/>
          <w:sz w:val="24"/>
          <w:szCs w:val="24"/>
        </w:rPr>
      </w:pPr>
      <w:r w:rsidRPr="00B348F3">
        <w:rPr>
          <w:rFonts w:ascii="Times New Roman" w:hAnsi="Times New Roman"/>
        </w:rPr>
        <w:t>Menurut Schaufeli dan Bakker (200</w:t>
      </w:r>
      <w:r w:rsidRPr="00B348F3">
        <w:rPr>
          <w:rFonts w:ascii="Times New Roman" w:hAnsi="Times New Roman"/>
          <w:lang w:val="id-ID"/>
        </w:rPr>
        <w:t>2</w:t>
      </w:r>
      <w:r w:rsidRPr="00B348F3">
        <w:rPr>
          <w:rFonts w:ascii="Times New Roman" w:hAnsi="Times New Roman"/>
        </w:rPr>
        <w:t xml:space="preserve">) , terdapat tiga aspek dalam </w:t>
      </w:r>
      <w:r w:rsidRPr="00B348F3">
        <w:rPr>
          <w:rFonts w:ascii="Times New Roman" w:hAnsi="Times New Roman"/>
          <w:i/>
        </w:rPr>
        <w:t>work engagement</w:t>
      </w:r>
      <w:r w:rsidRPr="00B348F3">
        <w:rPr>
          <w:rFonts w:ascii="Times New Roman" w:hAnsi="Times New Roman"/>
        </w:rPr>
        <w:t xml:space="preserve">, yaitu : 1) </w:t>
      </w:r>
      <w:r w:rsidRPr="00B348F3">
        <w:rPr>
          <w:rFonts w:ascii="Times New Roman" w:hAnsi="Times New Roman"/>
          <w:i/>
        </w:rPr>
        <w:t>Vigor</w:t>
      </w:r>
      <w:r w:rsidRPr="00B348F3">
        <w:rPr>
          <w:rFonts w:ascii="Times New Roman" w:hAnsi="Times New Roman"/>
        </w:rPr>
        <w:t xml:space="preserve"> (semangat) yaitu energi yang dikeluarkan, kemauan untuk memberikan usaha yang bisa dipertimbangkan, dan menunjukan ketekunan ketika menghadapi kesulitan, 2) </w:t>
      </w:r>
      <w:r w:rsidRPr="00B348F3">
        <w:rPr>
          <w:rFonts w:ascii="Times New Roman" w:hAnsi="Times New Roman"/>
          <w:i/>
        </w:rPr>
        <w:t>Dedication</w:t>
      </w:r>
      <w:r w:rsidRPr="00B348F3">
        <w:rPr>
          <w:rFonts w:ascii="Times New Roman" w:hAnsi="Times New Roman"/>
        </w:rPr>
        <w:t xml:space="preserve"> (dedikasi) yaitu antusiasme, memiliki inspirasi, dan bangga terhadap apa yang  </w:t>
      </w:r>
      <w:r w:rsidRPr="00B348F3">
        <w:rPr>
          <w:rFonts w:ascii="Times New Roman" w:hAnsi="Times New Roman"/>
          <w:lang w:val="id-ID"/>
        </w:rPr>
        <w:t>di</w:t>
      </w:r>
      <w:r w:rsidRPr="00B348F3">
        <w:rPr>
          <w:rFonts w:ascii="Times New Roman" w:hAnsi="Times New Roman"/>
        </w:rPr>
        <w:t xml:space="preserve">kerjakan, dan memiliki identifikasi yang kuat terhadap suatu pekerjaan, 3) </w:t>
      </w:r>
      <w:r w:rsidRPr="00B348F3">
        <w:rPr>
          <w:rFonts w:ascii="Times New Roman" w:hAnsi="Times New Roman"/>
          <w:i/>
        </w:rPr>
        <w:t>Absorption</w:t>
      </w:r>
      <w:r w:rsidRPr="00B348F3">
        <w:rPr>
          <w:rFonts w:ascii="Times New Roman" w:hAnsi="Times New Roman"/>
        </w:rPr>
        <w:t xml:space="preserve"> (penyerapan terhadap pekerjaan) yaitu memiliki karakteristik berupa keterlibatan penuh </w:t>
      </w:r>
      <w:r w:rsidRPr="00B348F3">
        <w:rPr>
          <w:rFonts w:ascii="Times New Roman" w:hAnsi="Times New Roman"/>
          <w:lang w:val="id-ID"/>
        </w:rPr>
        <w:t>karyawan</w:t>
      </w:r>
      <w:r w:rsidRPr="00B348F3">
        <w:rPr>
          <w:rFonts w:ascii="Times New Roman" w:hAnsi="Times New Roman"/>
        </w:rPr>
        <w:t xml:space="preserve"> pada pekerjaannya dengan berkonsentrasi penuh dan menyenangi pekerjaannya, sehingga karyawan tersebut dapat merasakan bahwa waktu berjalan dengan cepat dan juga merasa sulit untuk memisahkan diri dari pekerjaannya. Sehingga apabila salah satu aspek tersebut tidak terpenuhi, maka </w:t>
      </w:r>
      <w:proofErr w:type="gramStart"/>
      <w:r w:rsidRPr="00B348F3">
        <w:rPr>
          <w:rFonts w:ascii="Times New Roman" w:hAnsi="Times New Roman"/>
        </w:rPr>
        <w:t>akan</w:t>
      </w:r>
      <w:proofErr w:type="gramEnd"/>
      <w:r w:rsidRPr="00B348F3">
        <w:rPr>
          <w:rFonts w:ascii="Times New Roman" w:hAnsi="Times New Roman"/>
        </w:rPr>
        <w:t xml:space="preserve"> membuat rendahnya tingkat </w:t>
      </w:r>
      <w:r w:rsidRPr="00B348F3">
        <w:rPr>
          <w:rFonts w:ascii="Times New Roman" w:hAnsi="Times New Roman"/>
          <w:i/>
        </w:rPr>
        <w:t xml:space="preserve">work engagement </w:t>
      </w:r>
      <w:r w:rsidRPr="00B348F3">
        <w:rPr>
          <w:rFonts w:ascii="Times New Roman" w:hAnsi="Times New Roman"/>
        </w:rPr>
        <w:t xml:space="preserve">pada karyawan. Keterikatan kerja atau biasa disebut </w:t>
      </w:r>
      <w:r w:rsidRPr="00B348F3">
        <w:rPr>
          <w:rFonts w:ascii="Times New Roman" w:hAnsi="Times New Roman"/>
          <w:i/>
        </w:rPr>
        <w:t>work engagement</w:t>
      </w:r>
      <w:r w:rsidRPr="00B348F3">
        <w:rPr>
          <w:rFonts w:ascii="Times New Roman" w:hAnsi="Times New Roman"/>
        </w:rPr>
        <w:t xml:space="preserve"> adalah keadaan yang memperlihatkan keterlibatan individu dalam mencapai kinerja yang maksimal (</w:t>
      </w:r>
      <w:r w:rsidR="0012254E" w:rsidRPr="00B348F3">
        <w:rPr>
          <w:rFonts w:ascii="Times New Roman" w:hAnsi="Times New Roman"/>
        </w:rPr>
        <w:t>Hayuningtyas &amp; Helmi, 2016</w:t>
      </w:r>
      <w:r w:rsidRPr="00B348F3">
        <w:rPr>
          <w:rFonts w:ascii="Times New Roman" w:hAnsi="Times New Roman"/>
        </w:rPr>
        <w:t xml:space="preserve">). Karyawan generasi milenial yang merasa </w:t>
      </w:r>
      <w:r w:rsidRPr="00B348F3">
        <w:rPr>
          <w:rFonts w:ascii="Times New Roman" w:hAnsi="Times New Roman"/>
          <w:i/>
        </w:rPr>
        <w:t>engaged</w:t>
      </w:r>
      <w:r w:rsidRPr="00B348F3">
        <w:rPr>
          <w:rFonts w:ascii="Times New Roman" w:hAnsi="Times New Roman"/>
        </w:rPr>
        <w:t xml:space="preserve"> atau terikat dengan pekerjaannya </w:t>
      </w:r>
      <w:proofErr w:type="gramStart"/>
      <w:r w:rsidRPr="00B348F3">
        <w:rPr>
          <w:rFonts w:ascii="Times New Roman" w:hAnsi="Times New Roman"/>
        </w:rPr>
        <w:t>akan</w:t>
      </w:r>
      <w:proofErr w:type="gramEnd"/>
      <w:r w:rsidRPr="00B348F3">
        <w:rPr>
          <w:rFonts w:ascii="Times New Roman" w:hAnsi="Times New Roman"/>
        </w:rPr>
        <w:t xml:space="preserve"> mengekspresikannya dengan tidak menunda-nunda pekerjaannya dan selalu ingin memahami </w:t>
      </w:r>
      <w:r w:rsidRPr="00B348F3">
        <w:rPr>
          <w:rFonts w:ascii="Times New Roman" w:hAnsi="Times New Roman"/>
          <w:i/>
        </w:rPr>
        <w:t>job description</w:t>
      </w:r>
      <w:r w:rsidRPr="00B348F3">
        <w:rPr>
          <w:rFonts w:ascii="Times New Roman" w:hAnsi="Times New Roman"/>
        </w:rPr>
        <w:t xml:space="preserve"> yang dikerjakannya.</w:t>
      </w:r>
      <w:r w:rsidR="00B348F3" w:rsidRPr="00B348F3">
        <w:rPr>
          <w:rFonts w:ascii="Times New Roman" w:hAnsi="Times New Roman"/>
        </w:rPr>
        <w:t xml:space="preserve"> </w:t>
      </w:r>
      <w:r w:rsidR="00B348F3" w:rsidRPr="00B348F3">
        <w:rPr>
          <w:rFonts w:ascii="Times New Roman" w:hAnsi="Times New Roman"/>
          <w:sz w:val="24"/>
          <w:szCs w:val="24"/>
        </w:rPr>
        <w:t xml:space="preserve">Keterlibatan diasumsikan dapat menghasilkan hasil yang positif, </w:t>
      </w:r>
      <w:r w:rsidR="00B348F3" w:rsidRPr="00B348F3">
        <w:rPr>
          <w:rFonts w:ascii="Times New Roman" w:hAnsi="Times New Roman"/>
          <w:sz w:val="24"/>
          <w:szCs w:val="24"/>
        </w:rPr>
        <w:lastRenderedPageBreak/>
        <w:t>baik di tingkat individu pertumbu</w:t>
      </w:r>
      <w:r w:rsidR="00B348F3" w:rsidRPr="00B348F3">
        <w:rPr>
          <w:rFonts w:ascii="Times New Roman" w:hAnsi="Times New Roman"/>
          <w:sz w:val="24"/>
          <w:szCs w:val="24"/>
          <w:lang w:val="id-ID"/>
        </w:rPr>
        <w:t>h</w:t>
      </w:r>
      <w:r w:rsidR="00B348F3" w:rsidRPr="00B348F3">
        <w:rPr>
          <w:rFonts w:ascii="Times New Roman" w:hAnsi="Times New Roman"/>
          <w:sz w:val="24"/>
          <w:szCs w:val="24"/>
        </w:rPr>
        <w:t>an, dan perkembangan pribadi serta level organisasi atau kualitas kinerja (Kahn, 1990</w:t>
      </w:r>
      <w:r w:rsidR="00B348F3" w:rsidRPr="00B348F3">
        <w:rPr>
          <w:rFonts w:ascii="Times New Roman" w:hAnsi="Times New Roman"/>
          <w:sz w:val="24"/>
          <w:szCs w:val="24"/>
        </w:rPr>
        <w:t>).</w:t>
      </w:r>
      <w:r w:rsidRPr="00B348F3">
        <w:rPr>
          <w:rFonts w:ascii="Times New Roman" w:hAnsi="Times New Roman"/>
        </w:rPr>
        <w:t xml:space="preserve"> Dalam bekerja, karyawan generasi milenial tidak hanya menggunakan kemampuan kognitif dan sikap kerjanya saja, tetapi juga memperhatikan kondisi emosional </w:t>
      </w:r>
      <w:r w:rsidRPr="00B348F3">
        <w:rPr>
          <w:rFonts w:ascii="Times New Roman" w:hAnsi="Times New Roman"/>
          <w:lang w:val="id-ID"/>
        </w:rPr>
        <w:t xml:space="preserve">atau </w:t>
      </w:r>
      <w:r w:rsidRPr="00B348F3">
        <w:rPr>
          <w:rFonts w:ascii="Times New Roman" w:hAnsi="Times New Roman"/>
        </w:rPr>
        <w:t>perasaan,</w:t>
      </w:r>
      <w:r w:rsidRPr="00B348F3">
        <w:rPr>
          <w:rFonts w:ascii="Times New Roman" w:hAnsi="Times New Roman"/>
          <w:lang w:val="id-ID"/>
        </w:rPr>
        <w:t xml:space="preserve"> </w:t>
      </w:r>
      <w:r w:rsidRPr="00B348F3">
        <w:rPr>
          <w:rFonts w:ascii="Times New Roman" w:hAnsi="Times New Roman"/>
        </w:rPr>
        <w:t xml:space="preserve">hal ini dapat memunculkan kondisi dimana karyawan generasi milenial merasa dapat menikmati pekerjaan dan merasa dihargai serta dipercaya oleh atasan sebagai bentuk dukungan. </w:t>
      </w:r>
    </w:p>
    <w:p w:rsidR="00601388" w:rsidRPr="00B348F3" w:rsidRDefault="00601388" w:rsidP="00901345">
      <w:pPr>
        <w:spacing w:line="360" w:lineRule="auto"/>
        <w:ind w:firstLine="360"/>
        <w:rPr>
          <w:rFonts w:ascii="Times New Roman" w:hAnsi="Times New Roman"/>
          <w:lang w:val="id-ID"/>
        </w:rPr>
      </w:pPr>
      <w:r w:rsidRPr="00B348F3">
        <w:rPr>
          <w:rFonts w:ascii="Times New Roman" w:hAnsi="Times New Roman"/>
        </w:rPr>
        <w:t xml:space="preserve">Hasil penelitian oleh </w:t>
      </w:r>
      <w:r w:rsidRPr="00B348F3">
        <w:rPr>
          <w:rFonts w:ascii="Times New Roman" w:hAnsi="Times New Roman"/>
          <w:color w:val="000000"/>
        </w:rPr>
        <w:t xml:space="preserve">Dale Carneige (2017) </w:t>
      </w:r>
      <w:r w:rsidRPr="00B348F3">
        <w:rPr>
          <w:rFonts w:ascii="Times New Roman" w:hAnsi="Times New Roman"/>
        </w:rPr>
        <w:t xml:space="preserve">menemukan bahwa hanya 25% karyawan generasi milenial yang terikat atau terlibat secara penuh dengan perusahaan dimana </w:t>
      </w:r>
      <w:proofErr w:type="gramStart"/>
      <w:r w:rsidRPr="00B348F3">
        <w:rPr>
          <w:rFonts w:ascii="Times New Roman" w:hAnsi="Times New Roman"/>
        </w:rPr>
        <w:t>ia</w:t>
      </w:r>
      <w:proofErr w:type="gramEnd"/>
      <w:r w:rsidRPr="00B348F3">
        <w:rPr>
          <w:rFonts w:ascii="Times New Roman" w:hAnsi="Times New Roman"/>
        </w:rPr>
        <w:t xml:space="preserve"> bekerja. Sebanyak 66% tidak terikat atau terlibat sebagian, dan 9% terikat atau terlibat, dengan kata lain hanya 1 dari 4 karyawan yang terikat penuh dengan perusahaan. Data lain menyebutkan hal serupa</w:t>
      </w:r>
      <w:r w:rsidRPr="00B348F3">
        <w:rPr>
          <w:rFonts w:ascii="Times New Roman" w:hAnsi="Times New Roman"/>
          <w:lang w:val="id-ID"/>
        </w:rPr>
        <w:t>,</w:t>
      </w:r>
      <w:r w:rsidRPr="00B348F3">
        <w:rPr>
          <w:rFonts w:ascii="Times New Roman" w:hAnsi="Times New Roman"/>
        </w:rPr>
        <w:t xml:space="preserve"> bahwa 65</w:t>
      </w:r>
      <w:proofErr w:type="gramStart"/>
      <w:r w:rsidRPr="00B348F3">
        <w:rPr>
          <w:rFonts w:ascii="Times New Roman" w:hAnsi="Times New Roman"/>
        </w:rPr>
        <w:t>,8</w:t>
      </w:r>
      <w:proofErr w:type="gramEnd"/>
      <w:r w:rsidRPr="00B348F3">
        <w:rPr>
          <w:rFonts w:ascii="Times New Roman" w:hAnsi="Times New Roman"/>
        </w:rPr>
        <w:t xml:space="preserve">% generasi milenial di Indonesia memilih meninggalkan perusahaan tempat </w:t>
      </w:r>
      <w:r w:rsidRPr="00B348F3">
        <w:rPr>
          <w:rFonts w:ascii="Times New Roman" w:hAnsi="Times New Roman"/>
          <w:lang w:val="id-ID"/>
        </w:rPr>
        <w:t xml:space="preserve">milenial </w:t>
      </w:r>
      <w:r w:rsidRPr="00B348F3">
        <w:rPr>
          <w:rFonts w:ascii="Times New Roman" w:hAnsi="Times New Roman"/>
        </w:rPr>
        <w:t>bekerja setelah 12 bulan (Lie &amp; Andreani</w:t>
      </w:r>
      <w:r w:rsidRPr="00B348F3">
        <w:rPr>
          <w:rFonts w:ascii="Times New Roman" w:hAnsi="Times New Roman"/>
          <w:lang w:val="id-ID"/>
        </w:rPr>
        <w:t xml:space="preserve">, </w:t>
      </w:r>
      <w:r w:rsidRPr="00B348F3">
        <w:rPr>
          <w:rFonts w:ascii="Times New Roman" w:hAnsi="Times New Roman"/>
        </w:rPr>
        <w:t xml:space="preserve">2017). Berdasarkan penelitian yang dilakukan oleh (Aon Hewitt dalam Fahreza, et al 2019) terdapat perbedaan tingkat </w:t>
      </w:r>
      <w:r w:rsidRPr="00B348F3">
        <w:rPr>
          <w:rFonts w:ascii="Times New Roman" w:hAnsi="Times New Roman"/>
          <w:i/>
        </w:rPr>
        <w:t>engagement</w:t>
      </w:r>
      <w:r w:rsidRPr="00B348F3">
        <w:rPr>
          <w:rFonts w:ascii="Times New Roman" w:hAnsi="Times New Roman"/>
        </w:rPr>
        <w:t xml:space="preserve"> karyawan berdasarkan generasi. Tingkat </w:t>
      </w:r>
      <w:r w:rsidRPr="00B348F3">
        <w:rPr>
          <w:rFonts w:ascii="Times New Roman" w:hAnsi="Times New Roman"/>
          <w:i/>
        </w:rPr>
        <w:t xml:space="preserve">engagement </w:t>
      </w:r>
      <w:r w:rsidRPr="00B348F3">
        <w:rPr>
          <w:rFonts w:ascii="Times New Roman" w:hAnsi="Times New Roman"/>
        </w:rPr>
        <w:t>karyawan generasi milenial (63%) menjadi lebih rendah dibanding generasi X (66%). Fakta tersebut perlu mendapat perhatian khusus</w:t>
      </w:r>
      <w:r w:rsidRPr="00B348F3">
        <w:rPr>
          <w:rFonts w:ascii="Times New Roman" w:hAnsi="Times New Roman"/>
          <w:lang w:val="id-ID"/>
        </w:rPr>
        <w:t>,</w:t>
      </w:r>
      <w:r w:rsidRPr="00B348F3">
        <w:rPr>
          <w:rFonts w:ascii="Times New Roman" w:hAnsi="Times New Roman"/>
        </w:rPr>
        <w:t xml:space="preserve"> pada tahun 2020 generasi ini diproyeksikan </w:t>
      </w:r>
      <w:proofErr w:type="gramStart"/>
      <w:r w:rsidRPr="00B348F3">
        <w:rPr>
          <w:rFonts w:ascii="Times New Roman" w:hAnsi="Times New Roman"/>
        </w:rPr>
        <w:t>akan</w:t>
      </w:r>
      <w:proofErr w:type="gramEnd"/>
      <w:r w:rsidRPr="00B348F3">
        <w:rPr>
          <w:rFonts w:ascii="Times New Roman" w:hAnsi="Times New Roman"/>
        </w:rPr>
        <w:t xml:space="preserve"> menjadi generasi terbesar dalam dunia kerja. Trend </w:t>
      </w:r>
      <w:r w:rsidRPr="00B348F3">
        <w:rPr>
          <w:rFonts w:ascii="Times New Roman" w:hAnsi="Times New Roman"/>
          <w:i/>
          <w:iCs/>
        </w:rPr>
        <w:t xml:space="preserve">work engagement </w:t>
      </w:r>
      <w:r w:rsidRPr="00B348F3">
        <w:rPr>
          <w:rFonts w:ascii="Times New Roman" w:hAnsi="Times New Roman"/>
        </w:rPr>
        <w:t>di Indonesia digambarkan rendah</w:t>
      </w:r>
      <w:r w:rsidRPr="00B348F3">
        <w:rPr>
          <w:rFonts w:ascii="Times New Roman" w:hAnsi="Times New Roman"/>
          <w:lang w:val="id-ID"/>
        </w:rPr>
        <w:t>.</w:t>
      </w:r>
    </w:p>
    <w:p w:rsidR="00601388" w:rsidRPr="00B348F3" w:rsidRDefault="00601388" w:rsidP="00901345">
      <w:pPr>
        <w:spacing w:line="360" w:lineRule="auto"/>
        <w:ind w:firstLine="360"/>
        <w:rPr>
          <w:rFonts w:ascii="Times New Roman" w:hAnsi="Times New Roman"/>
          <w:color w:val="000000"/>
        </w:rPr>
      </w:pPr>
      <w:r w:rsidRPr="00B348F3">
        <w:rPr>
          <w:rFonts w:ascii="Times New Roman" w:hAnsi="Times New Roman"/>
          <w:color w:val="000000"/>
        </w:rPr>
        <w:t>Peneliti melakukan studi pendahulua</w:t>
      </w:r>
      <w:r w:rsidRPr="00B348F3">
        <w:rPr>
          <w:rFonts w:ascii="Times New Roman" w:hAnsi="Times New Roman"/>
          <w:color w:val="000000"/>
          <w:lang w:val="id-ID"/>
        </w:rPr>
        <w:t xml:space="preserve">n dengan menggunakan </w:t>
      </w:r>
      <w:r w:rsidRPr="00B348F3">
        <w:rPr>
          <w:rFonts w:ascii="Times New Roman" w:hAnsi="Times New Roman"/>
          <w:i/>
          <w:color w:val="000000"/>
          <w:lang w:val="id-ID"/>
        </w:rPr>
        <w:t>google form</w:t>
      </w:r>
      <w:r w:rsidRPr="00B348F3">
        <w:rPr>
          <w:rFonts w:ascii="Times New Roman" w:hAnsi="Times New Roman"/>
          <w:color w:val="000000"/>
        </w:rPr>
        <w:t xml:space="preserve"> terhadap sembilan karyawan generasi milenial yang bekerja pada beberapa perusahaan</w:t>
      </w:r>
      <w:r w:rsidRPr="00B348F3">
        <w:rPr>
          <w:rFonts w:ascii="Times New Roman" w:hAnsi="Times New Roman"/>
          <w:color w:val="000000"/>
          <w:lang w:val="id-ID"/>
        </w:rPr>
        <w:t xml:space="preserve">. </w:t>
      </w:r>
      <w:r w:rsidRPr="00B348F3">
        <w:rPr>
          <w:rFonts w:ascii="Times New Roman" w:hAnsi="Times New Roman"/>
          <w:color w:val="000000"/>
        </w:rPr>
        <w:t xml:space="preserve">Dari hasil </w:t>
      </w:r>
      <w:r w:rsidRPr="00B348F3">
        <w:rPr>
          <w:rFonts w:ascii="Times New Roman" w:hAnsi="Times New Roman"/>
          <w:i/>
          <w:color w:val="000000"/>
        </w:rPr>
        <w:t>survey</w:t>
      </w:r>
      <w:r w:rsidRPr="00B348F3">
        <w:rPr>
          <w:rFonts w:ascii="Times New Roman" w:hAnsi="Times New Roman"/>
          <w:color w:val="000000"/>
        </w:rPr>
        <w:t xml:space="preserve"> tersebut menunjukan bahwa 7 dari 9 subjek mengatakan bahwa subjek merasa tidak menyukai pekerjaannya, merasa malas untuk bekerja, tidak memiliki rasa antusias, bosan dengan pekerjaan yang dilakukan dan memiliki keinginan untuk berpindah lokasi pekerjaan, dalam arti subjek sudah memiliki keinginan untuk tidak terikat dengan perusahaan dimana subjek bekerja. </w:t>
      </w:r>
    </w:p>
    <w:p w:rsidR="007B7B11" w:rsidRPr="00B348F3" w:rsidRDefault="00601388" w:rsidP="00901345">
      <w:pPr>
        <w:spacing w:line="360" w:lineRule="auto"/>
        <w:ind w:firstLine="360"/>
        <w:rPr>
          <w:rFonts w:ascii="Times New Roman" w:hAnsi="Times New Roman"/>
        </w:rPr>
      </w:pPr>
      <w:r w:rsidRPr="00B348F3">
        <w:rPr>
          <w:rFonts w:ascii="Times New Roman" w:hAnsi="Times New Roman"/>
        </w:rPr>
        <w:t xml:space="preserve">Salah satu faktor yang dapat mempengaruhi </w:t>
      </w:r>
      <w:r w:rsidRPr="00B348F3">
        <w:rPr>
          <w:rFonts w:ascii="Times New Roman" w:hAnsi="Times New Roman"/>
          <w:i/>
        </w:rPr>
        <w:t>work engagement</w:t>
      </w:r>
      <w:r w:rsidRPr="00B348F3">
        <w:rPr>
          <w:rFonts w:ascii="Times New Roman" w:hAnsi="Times New Roman"/>
        </w:rPr>
        <w:t xml:space="preserve"> karyawan adalah dukungan sosial. Dalam dunia kerja dukungan sosial dapat berasal dari dukungan organisasi (Rhoades &amp; Eisenberger, 2002).</w:t>
      </w:r>
      <w:r w:rsidRPr="00B348F3">
        <w:rPr>
          <w:rFonts w:ascii="Times New Roman" w:hAnsi="Times New Roman"/>
        </w:rPr>
        <w:t xml:space="preserve"> </w:t>
      </w:r>
      <w:r w:rsidRPr="00B348F3">
        <w:rPr>
          <w:rFonts w:ascii="Times New Roman" w:hAnsi="Times New Roman"/>
        </w:rPr>
        <w:t>Karyawan yang diperlakukan secara baik oleh organisasi cenderung menunjukan sikap yang baik juga terhadap organisasi (Meyer &amp; Allen, 199</w:t>
      </w:r>
      <w:r w:rsidRPr="00B348F3">
        <w:rPr>
          <w:rFonts w:ascii="Times New Roman" w:hAnsi="Times New Roman"/>
          <w:lang w:val="id-ID"/>
        </w:rPr>
        <w:t>3</w:t>
      </w:r>
      <w:r w:rsidRPr="00B348F3">
        <w:rPr>
          <w:rFonts w:ascii="Times New Roman" w:hAnsi="Times New Roman"/>
        </w:rPr>
        <w:t xml:space="preserve">). </w:t>
      </w:r>
      <w:r w:rsidRPr="00B348F3">
        <w:rPr>
          <w:rFonts w:ascii="Times New Roman" w:hAnsi="Times New Roman"/>
          <w:color w:val="000000"/>
        </w:rPr>
        <w:t xml:space="preserve">Generasi milenial memiliki karakteristik ketika bekerja dan berhubungan dengan atasan, tidak menginginkan atasan yang suka memerintah dan mengontrol </w:t>
      </w:r>
      <w:r w:rsidRPr="00B348F3">
        <w:rPr>
          <w:rFonts w:ascii="Times New Roman" w:hAnsi="Times New Roman"/>
          <w:color w:val="000000"/>
          <w:lang w:val="id-ID"/>
        </w:rPr>
        <w:t>(Budiati et al, 2018).</w:t>
      </w:r>
      <w:r w:rsidRPr="00B348F3">
        <w:rPr>
          <w:rFonts w:ascii="Times New Roman" w:hAnsi="Times New Roman"/>
          <w:color w:val="000000"/>
          <w:lang w:val="en-US"/>
        </w:rPr>
        <w:t xml:space="preserve"> </w:t>
      </w:r>
      <w:r w:rsidRPr="00B348F3">
        <w:rPr>
          <w:rFonts w:ascii="Times New Roman" w:hAnsi="Times New Roman"/>
        </w:rPr>
        <w:t>Persepsi karyawan yang baik terhadap dukungan organisasi dapat membuat karyawan memiliki kewajiban untuk memelihara kesejahteraan organisasi.</w:t>
      </w:r>
      <w:r w:rsidRPr="00B348F3">
        <w:rPr>
          <w:rFonts w:ascii="Times New Roman" w:hAnsi="Times New Roman"/>
        </w:rPr>
        <w:t xml:space="preserve"> </w:t>
      </w:r>
      <w:r w:rsidRPr="00B348F3">
        <w:rPr>
          <w:rFonts w:ascii="Times New Roman" w:hAnsi="Times New Roman"/>
          <w:lang w:eastAsia="en-GB"/>
        </w:rPr>
        <w:t>Menurut Kreitner d</w:t>
      </w:r>
      <w:r w:rsidRPr="00B348F3">
        <w:rPr>
          <w:rFonts w:ascii="Times New Roman" w:hAnsi="Times New Roman"/>
          <w:lang w:eastAsia="en-GB"/>
        </w:rPr>
        <w:t>an Kinicki (2014</w:t>
      </w:r>
      <w:r w:rsidRPr="00B348F3">
        <w:rPr>
          <w:rFonts w:ascii="Times New Roman" w:hAnsi="Times New Roman"/>
          <w:lang w:eastAsia="en-GB"/>
        </w:rPr>
        <w:t>), yang dimaksud dengan presepsi yaitu proses interpretasi seseorang terhadap lingkungannya</w:t>
      </w:r>
      <w:r w:rsidRPr="00B348F3">
        <w:rPr>
          <w:rFonts w:ascii="Times New Roman" w:hAnsi="Times New Roman"/>
        </w:rPr>
        <w:t xml:space="preserve">. Persepsi dukungan atasan membuat karyawan lebih bersemangat dan senang saat bekerja. </w:t>
      </w:r>
      <w:proofErr w:type="gramStart"/>
      <w:r w:rsidRPr="00B348F3">
        <w:rPr>
          <w:rFonts w:ascii="Times New Roman" w:hAnsi="Times New Roman"/>
        </w:rPr>
        <w:t>hal</w:t>
      </w:r>
      <w:proofErr w:type="gramEnd"/>
      <w:r w:rsidRPr="00B348F3">
        <w:rPr>
          <w:rFonts w:ascii="Times New Roman" w:hAnsi="Times New Roman"/>
        </w:rPr>
        <w:t xml:space="preserve"> ini sesuai dengan ya</w:t>
      </w:r>
      <w:r w:rsidRPr="00B348F3">
        <w:rPr>
          <w:rFonts w:ascii="Times New Roman" w:hAnsi="Times New Roman"/>
        </w:rPr>
        <w:t>ng dinyatakan oleh Schaufeli &amp;</w:t>
      </w:r>
      <w:r w:rsidRPr="00B348F3">
        <w:rPr>
          <w:rFonts w:ascii="Times New Roman" w:hAnsi="Times New Roman"/>
        </w:rPr>
        <w:t xml:space="preserve"> Bakker (2004) , bahwa adanya dukungan atasan sebagai salah satu alat dari </w:t>
      </w:r>
      <w:r w:rsidRPr="00B348F3">
        <w:rPr>
          <w:rFonts w:ascii="Times New Roman" w:hAnsi="Times New Roman"/>
          <w:i/>
        </w:rPr>
        <w:t>job resource</w:t>
      </w:r>
      <w:r w:rsidRPr="00B348F3">
        <w:rPr>
          <w:rFonts w:ascii="Times New Roman" w:hAnsi="Times New Roman"/>
        </w:rPr>
        <w:t xml:space="preserve"> dapat membuat karyawan melaksanakan tugas mereka dengan lebih baik dan dapat menginspirasi karyawan untuk tetap </w:t>
      </w:r>
      <w:r w:rsidRPr="00B348F3">
        <w:rPr>
          <w:rFonts w:ascii="Times New Roman" w:hAnsi="Times New Roman"/>
          <w:i/>
        </w:rPr>
        <w:t>engaged</w:t>
      </w:r>
      <w:r w:rsidRPr="00B348F3">
        <w:rPr>
          <w:rFonts w:ascii="Times New Roman" w:hAnsi="Times New Roman"/>
        </w:rPr>
        <w:t xml:space="preserve"> dalam pekerjannya.</w:t>
      </w:r>
      <w:r w:rsidRPr="00B348F3">
        <w:rPr>
          <w:rFonts w:ascii="Times New Roman" w:hAnsi="Times New Roman"/>
        </w:rPr>
        <w:t xml:space="preserve"> </w:t>
      </w:r>
      <w:r w:rsidRPr="00B348F3">
        <w:rPr>
          <w:rFonts w:ascii="Times New Roman" w:hAnsi="Times New Roman"/>
        </w:rPr>
        <w:t>Menurut Eisenberger</w:t>
      </w:r>
      <w:r w:rsidRPr="00B348F3">
        <w:rPr>
          <w:rFonts w:ascii="Times New Roman" w:hAnsi="Times New Roman"/>
          <w:lang w:val="id-ID"/>
        </w:rPr>
        <w:t xml:space="preserve"> et al</w:t>
      </w:r>
      <w:r w:rsidRPr="00B348F3">
        <w:rPr>
          <w:rFonts w:ascii="Times New Roman" w:hAnsi="Times New Roman"/>
        </w:rPr>
        <w:t xml:space="preserve"> (2002) Persepsi dukungan atasan mencakup perasaan karyawan tentang atasannya</w:t>
      </w:r>
      <w:r w:rsidRPr="00B348F3">
        <w:rPr>
          <w:rFonts w:ascii="Times New Roman" w:hAnsi="Times New Roman"/>
          <w:lang w:val="id-ID"/>
        </w:rPr>
        <w:t xml:space="preserve"> </w:t>
      </w:r>
      <w:r w:rsidRPr="00B348F3">
        <w:rPr>
          <w:rFonts w:ascii="Times New Roman" w:hAnsi="Times New Roman"/>
        </w:rPr>
        <w:t>ketika atasan menilai pekerjaan yang karyawan lakukan.</w:t>
      </w:r>
    </w:p>
    <w:p w:rsidR="007B7B11" w:rsidRPr="00B348F3" w:rsidRDefault="007B7B11" w:rsidP="00901345">
      <w:pPr>
        <w:spacing w:line="360" w:lineRule="auto"/>
        <w:ind w:firstLine="360"/>
        <w:rPr>
          <w:rFonts w:ascii="Times New Roman" w:hAnsi="Times New Roman"/>
        </w:rPr>
      </w:pPr>
      <w:r w:rsidRPr="00B348F3">
        <w:rPr>
          <w:rFonts w:ascii="Times New Roman" w:hAnsi="Times New Roman"/>
        </w:rPr>
        <w:lastRenderedPageBreak/>
        <w:t xml:space="preserve">Persepsi dukungan atasan secara positif dapat berhubungan dengan </w:t>
      </w:r>
      <w:r w:rsidRPr="00B348F3">
        <w:rPr>
          <w:rFonts w:ascii="Times New Roman" w:hAnsi="Times New Roman"/>
          <w:i/>
        </w:rPr>
        <w:t>work engagement</w:t>
      </w:r>
      <w:r w:rsidRPr="00B348F3">
        <w:rPr>
          <w:rFonts w:ascii="Times New Roman" w:hAnsi="Times New Roman"/>
        </w:rPr>
        <w:t xml:space="preserve"> pada karyawan generasi milenial dengan </w:t>
      </w:r>
      <w:proofErr w:type="gramStart"/>
      <w:r w:rsidRPr="00B348F3">
        <w:rPr>
          <w:rFonts w:ascii="Times New Roman" w:hAnsi="Times New Roman"/>
        </w:rPr>
        <w:t>cara</w:t>
      </w:r>
      <w:proofErr w:type="gramEnd"/>
      <w:r w:rsidRPr="00B348F3">
        <w:rPr>
          <w:rFonts w:ascii="Times New Roman" w:hAnsi="Times New Roman"/>
        </w:rPr>
        <w:t xml:space="preserve"> atasan menunjukan kepedulian terhadap perasaan dan kebutuhan karyawan, sehingga karyawan generasi milenial merasa bahwa atasannya peduli oleh mereka.</w:t>
      </w:r>
      <w:r w:rsidRPr="00B348F3">
        <w:rPr>
          <w:rFonts w:ascii="Times New Roman" w:hAnsi="Times New Roman"/>
        </w:rPr>
        <w:t xml:space="preserve"> </w:t>
      </w:r>
      <w:r w:rsidRPr="00B348F3">
        <w:rPr>
          <w:rFonts w:ascii="Times New Roman" w:hAnsi="Times New Roman"/>
        </w:rPr>
        <w:t>Persepsi dukungan atasan</w:t>
      </w:r>
      <w:r w:rsidRPr="00B348F3">
        <w:rPr>
          <w:rFonts w:ascii="Times New Roman" w:hAnsi="Times New Roman"/>
          <w:i/>
          <w:lang w:val="id-ID"/>
        </w:rPr>
        <w:t xml:space="preserve"> </w:t>
      </w:r>
      <w:r w:rsidRPr="00B348F3">
        <w:rPr>
          <w:rFonts w:ascii="Times New Roman" w:hAnsi="Times New Roman"/>
        </w:rPr>
        <w:t>dapat terjadi ketika, karyawan</w:t>
      </w:r>
      <w:r w:rsidRPr="00B348F3">
        <w:rPr>
          <w:rFonts w:ascii="Times New Roman" w:hAnsi="Times New Roman"/>
          <w:lang w:val="id-ID"/>
        </w:rPr>
        <w:t xml:space="preserve"> dapat</w:t>
      </w:r>
      <w:r w:rsidRPr="00B348F3">
        <w:rPr>
          <w:rFonts w:ascii="Times New Roman" w:hAnsi="Times New Roman"/>
        </w:rPr>
        <w:t xml:space="preserve"> mengembangkan pandangan umum</w:t>
      </w:r>
      <w:r w:rsidRPr="00B348F3">
        <w:rPr>
          <w:rFonts w:ascii="Times New Roman" w:hAnsi="Times New Roman"/>
          <w:lang w:val="id-ID"/>
        </w:rPr>
        <w:t xml:space="preserve"> </w:t>
      </w:r>
      <w:r w:rsidRPr="00B348F3">
        <w:rPr>
          <w:rFonts w:ascii="Times New Roman" w:hAnsi="Times New Roman"/>
        </w:rPr>
        <w:t>tentang sejauh mana atasan</w:t>
      </w:r>
      <w:r w:rsidRPr="00B348F3">
        <w:rPr>
          <w:rFonts w:ascii="Times New Roman" w:hAnsi="Times New Roman"/>
          <w:lang w:val="id-ID"/>
        </w:rPr>
        <w:t xml:space="preserve"> </w:t>
      </w:r>
      <w:r w:rsidRPr="00B348F3">
        <w:rPr>
          <w:rFonts w:ascii="Times New Roman" w:hAnsi="Times New Roman"/>
        </w:rPr>
        <w:t>dapat peduli pada kesejahteraan</w:t>
      </w:r>
      <w:r w:rsidRPr="00B348F3">
        <w:rPr>
          <w:rFonts w:ascii="Times New Roman" w:hAnsi="Times New Roman"/>
          <w:lang w:val="id-ID"/>
        </w:rPr>
        <w:t xml:space="preserve"> karyawan,</w:t>
      </w:r>
      <w:r w:rsidRPr="00B348F3">
        <w:rPr>
          <w:rFonts w:ascii="Times New Roman" w:hAnsi="Times New Roman"/>
        </w:rPr>
        <w:t xml:space="preserve"> dan mempengaruhi kontribusi</w:t>
      </w:r>
      <w:r w:rsidRPr="00B348F3">
        <w:rPr>
          <w:rFonts w:ascii="Times New Roman" w:hAnsi="Times New Roman"/>
          <w:lang w:val="id-ID"/>
        </w:rPr>
        <w:t xml:space="preserve"> karyawan</w:t>
      </w:r>
      <w:r w:rsidRPr="00B348F3">
        <w:rPr>
          <w:rFonts w:ascii="Times New Roman" w:hAnsi="Times New Roman"/>
        </w:rPr>
        <w:t xml:space="preserve"> terhadap organisasi secara signifikan (Maertz</w:t>
      </w:r>
      <w:r w:rsidRPr="00B348F3">
        <w:rPr>
          <w:rFonts w:ascii="Times New Roman" w:hAnsi="Times New Roman"/>
          <w:lang w:val="id-ID"/>
        </w:rPr>
        <w:t xml:space="preserve"> et al</w:t>
      </w:r>
      <w:r w:rsidRPr="00B348F3">
        <w:rPr>
          <w:rFonts w:ascii="Times New Roman" w:hAnsi="Times New Roman"/>
        </w:rPr>
        <w:t>, 2007).</w:t>
      </w:r>
      <w:r w:rsidRPr="00B348F3">
        <w:rPr>
          <w:rFonts w:ascii="Times New Roman" w:hAnsi="Times New Roman"/>
        </w:rPr>
        <w:t xml:space="preserve"> </w:t>
      </w:r>
      <w:r w:rsidRPr="00B348F3">
        <w:rPr>
          <w:rFonts w:ascii="Times New Roman" w:hAnsi="Times New Roman"/>
        </w:rPr>
        <w:t>Menurut Cole</w:t>
      </w:r>
      <w:r w:rsidRPr="00B348F3">
        <w:rPr>
          <w:rFonts w:ascii="Times New Roman" w:hAnsi="Times New Roman"/>
          <w:lang w:val="id-ID"/>
        </w:rPr>
        <w:t xml:space="preserve"> et al</w:t>
      </w:r>
      <w:r w:rsidRPr="00B348F3">
        <w:rPr>
          <w:rFonts w:ascii="Times New Roman" w:hAnsi="Times New Roman"/>
        </w:rPr>
        <w:t xml:space="preserve"> (2006) persepsi dukungan atasan terdiri dari interaksi antara atasan dengan karyawannya yang dianggap positif.</w:t>
      </w:r>
      <w:r w:rsidRPr="00B348F3">
        <w:rPr>
          <w:rFonts w:ascii="Times New Roman" w:hAnsi="Times New Roman"/>
        </w:rPr>
        <w:t xml:space="preserve"> </w:t>
      </w:r>
      <w:r w:rsidRPr="00B348F3">
        <w:rPr>
          <w:rFonts w:ascii="Times New Roman" w:hAnsi="Times New Roman"/>
          <w:lang w:val="id-ID"/>
        </w:rPr>
        <w:t xml:space="preserve">Menurut Othman &amp; Nasrudin (2011), adanya persepsi dukungan atasan pada karyawan secara positif, menjadikan karyawan merasa lebih semangat, berdedikasi serta dapat memiliki konsentrasi yang penuh dalam bekerja. </w:t>
      </w:r>
      <w:r w:rsidRPr="00B348F3">
        <w:rPr>
          <w:rFonts w:ascii="Times New Roman" w:hAnsi="Times New Roman"/>
        </w:rPr>
        <w:t>Menurut Dalecarnegie.id (2017) apabila persepsi dukungan atasan rendah</w:t>
      </w:r>
      <w:r w:rsidRPr="00B348F3">
        <w:rPr>
          <w:rFonts w:ascii="Times New Roman" w:hAnsi="Times New Roman"/>
          <w:i/>
        </w:rPr>
        <w:t xml:space="preserve"> </w:t>
      </w:r>
      <w:r w:rsidRPr="00B348F3">
        <w:rPr>
          <w:rFonts w:ascii="Times New Roman" w:hAnsi="Times New Roman"/>
        </w:rPr>
        <w:t xml:space="preserve">maka dapat berdampak juga pada </w:t>
      </w:r>
      <w:r w:rsidRPr="00B348F3">
        <w:rPr>
          <w:rFonts w:ascii="Times New Roman" w:hAnsi="Times New Roman"/>
          <w:i/>
        </w:rPr>
        <w:t>work engagement</w:t>
      </w:r>
      <w:r w:rsidRPr="00B348F3">
        <w:rPr>
          <w:rFonts w:ascii="Times New Roman" w:hAnsi="Times New Roman"/>
        </w:rPr>
        <w:t xml:space="preserve"> karyawan generasi milenial, sehingga niat berpindah-pindah pekerjaan pun semakin besar, dan menyebabkan banyaknya karyawan generasi milenial yang keluar dari perusahaan tempat mereka bekerja.</w:t>
      </w:r>
    </w:p>
    <w:p w:rsidR="007B7B11" w:rsidRPr="00B348F3" w:rsidRDefault="007B7B11" w:rsidP="007B7B11">
      <w:pPr>
        <w:ind w:left="360" w:firstLine="360"/>
        <w:rPr>
          <w:rFonts w:ascii="Times New Roman" w:hAnsi="Times New Roman"/>
          <w:sz w:val="24"/>
          <w:szCs w:val="24"/>
        </w:rPr>
      </w:pPr>
    </w:p>
    <w:p w:rsidR="007B7B11" w:rsidRPr="00B348F3" w:rsidRDefault="007B7B11" w:rsidP="007B7B11">
      <w:pPr>
        <w:spacing w:line="360" w:lineRule="auto"/>
        <w:rPr>
          <w:rFonts w:ascii="Times New Roman" w:hAnsi="Times New Roman"/>
          <w:b/>
        </w:rPr>
      </w:pPr>
      <w:r w:rsidRPr="00B348F3">
        <w:rPr>
          <w:rFonts w:ascii="Times New Roman" w:hAnsi="Times New Roman"/>
          <w:b/>
        </w:rPr>
        <w:t>METODE</w:t>
      </w:r>
    </w:p>
    <w:p w:rsidR="007B7B11" w:rsidRPr="00B348F3" w:rsidRDefault="007B7B11" w:rsidP="00B348F3">
      <w:pPr>
        <w:spacing w:line="360" w:lineRule="auto"/>
        <w:ind w:firstLine="720"/>
        <w:rPr>
          <w:rFonts w:ascii="Times New Roman" w:hAnsi="Times New Roman"/>
        </w:rPr>
      </w:pPr>
      <w:r w:rsidRPr="00B348F3">
        <w:rPr>
          <w:rFonts w:ascii="Times New Roman" w:hAnsi="Times New Roman"/>
        </w:rPr>
        <w:t xml:space="preserve">Variabel bebas dalam penelitian ini adalah persepsi dukungan atasan, yaitu Karyawan membentuk pandangan atau persepsi umum tentang sejauh mana atasan dapat menilai kontribusi mereka dan peduli terhadap kesejahteraan mereka (Kottke &amp; Shafafinski, 1988). Persepsi dukungan atasan diungkap menggunakan skala persepsi dukungan supervisor yang disusun oleh Worley, Fuqua dan Hellman (2009) yaitu aspek pandangan umum karyawan sejauh mana </w:t>
      </w:r>
      <w:r w:rsidRPr="00B348F3">
        <w:rPr>
          <w:rFonts w:ascii="Times New Roman" w:hAnsi="Times New Roman"/>
          <w:i/>
        </w:rPr>
        <w:t>supervisor</w:t>
      </w:r>
      <w:r w:rsidRPr="00B348F3">
        <w:rPr>
          <w:rFonts w:ascii="Times New Roman" w:hAnsi="Times New Roman"/>
        </w:rPr>
        <w:t xml:space="preserve"> menyadari dan menghargai kontribusi karyawan. Yang kedua yakni pandangan umum karyawan mengenai sejauhmana </w:t>
      </w:r>
      <w:r w:rsidRPr="00B348F3">
        <w:rPr>
          <w:rFonts w:ascii="Times New Roman" w:hAnsi="Times New Roman"/>
          <w:i/>
        </w:rPr>
        <w:t xml:space="preserve">supervisor </w:t>
      </w:r>
      <w:r w:rsidRPr="00B348F3">
        <w:rPr>
          <w:rFonts w:ascii="Times New Roman" w:hAnsi="Times New Roman"/>
        </w:rPr>
        <w:t xml:space="preserve">peduli terhadap kesejahteraannya. </w:t>
      </w:r>
    </w:p>
    <w:p w:rsidR="007B7B11" w:rsidRPr="00B348F3" w:rsidRDefault="007B7B11" w:rsidP="00B348F3">
      <w:pPr>
        <w:spacing w:line="360" w:lineRule="auto"/>
        <w:ind w:firstLine="720"/>
        <w:rPr>
          <w:rFonts w:ascii="Times New Roman" w:hAnsi="Times New Roman"/>
        </w:rPr>
      </w:pPr>
      <w:r w:rsidRPr="00B348F3">
        <w:rPr>
          <w:rFonts w:ascii="Times New Roman" w:hAnsi="Times New Roman"/>
        </w:rPr>
        <w:t xml:space="preserve">Variabel tergantung adalah </w:t>
      </w:r>
      <w:r w:rsidRPr="00B348F3">
        <w:rPr>
          <w:rFonts w:ascii="Times New Roman" w:hAnsi="Times New Roman"/>
          <w:i/>
        </w:rPr>
        <w:t>work engagement</w:t>
      </w:r>
      <w:r w:rsidRPr="00B348F3">
        <w:rPr>
          <w:rFonts w:ascii="Times New Roman" w:hAnsi="Times New Roman"/>
        </w:rPr>
        <w:t xml:space="preserve"> yaitu keterikatan kerja dimana individu mampu </w:t>
      </w:r>
      <w:proofErr w:type="gramStart"/>
      <w:r w:rsidRPr="00B348F3">
        <w:rPr>
          <w:rFonts w:ascii="Times New Roman" w:hAnsi="Times New Roman"/>
        </w:rPr>
        <w:t>memperlihatkan  keterlibatannya</w:t>
      </w:r>
      <w:proofErr w:type="gramEnd"/>
      <w:r w:rsidRPr="00B348F3">
        <w:rPr>
          <w:rFonts w:ascii="Times New Roman" w:hAnsi="Times New Roman"/>
        </w:rPr>
        <w:t xml:space="preserve"> dalam mencapai kinerja yang  maksimal. Skala </w:t>
      </w:r>
      <w:r w:rsidRPr="00B348F3">
        <w:rPr>
          <w:rFonts w:ascii="Times New Roman" w:hAnsi="Times New Roman"/>
          <w:i/>
        </w:rPr>
        <w:t xml:space="preserve">work engagement </w:t>
      </w:r>
      <w:r w:rsidRPr="00B348F3">
        <w:rPr>
          <w:rFonts w:ascii="Times New Roman" w:hAnsi="Times New Roman"/>
        </w:rPr>
        <w:t xml:space="preserve">yang disusun oleh peneliti dan mengacu pada aspek </w:t>
      </w:r>
      <w:r w:rsidRPr="00B348F3">
        <w:rPr>
          <w:rFonts w:ascii="Times New Roman" w:hAnsi="Times New Roman"/>
          <w:i/>
        </w:rPr>
        <w:t>work engagement</w:t>
      </w:r>
      <w:r w:rsidRPr="00B348F3">
        <w:rPr>
          <w:rFonts w:ascii="Times New Roman" w:hAnsi="Times New Roman"/>
        </w:rPr>
        <w:t xml:space="preserve"> me</w:t>
      </w:r>
      <w:r w:rsidRPr="00B348F3">
        <w:rPr>
          <w:rFonts w:ascii="Times New Roman" w:hAnsi="Times New Roman"/>
        </w:rPr>
        <w:t>nurut Schaufeli dan Bakker (2002</w:t>
      </w:r>
      <w:r w:rsidRPr="00B348F3">
        <w:rPr>
          <w:rFonts w:ascii="Times New Roman" w:hAnsi="Times New Roman"/>
        </w:rPr>
        <w:t xml:space="preserve">), yaitu </w:t>
      </w:r>
      <w:r w:rsidRPr="00B348F3">
        <w:rPr>
          <w:rFonts w:ascii="Times New Roman" w:hAnsi="Times New Roman"/>
          <w:i/>
        </w:rPr>
        <w:t>Vigor</w:t>
      </w:r>
      <w:r w:rsidRPr="00B348F3">
        <w:rPr>
          <w:rFonts w:ascii="Times New Roman" w:hAnsi="Times New Roman"/>
        </w:rPr>
        <w:t xml:space="preserve"> (semangat), </w:t>
      </w:r>
      <w:r w:rsidRPr="00B348F3">
        <w:rPr>
          <w:rFonts w:ascii="Times New Roman" w:hAnsi="Times New Roman"/>
          <w:i/>
        </w:rPr>
        <w:t>Dedication</w:t>
      </w:r>
      <w:r w:rsidRPr="00B348F3">
        <w:rPr>
          <w:rFonts w:ascii="Times New Roman" w:hAnsi="Times New Roman"/>
        </w:rPr>
        <w:t xml:space="preserve"> (dedikasi), dan </w:t>
      </w:r>
      <w:r w:rsidRPr="00B348F3">
        <w:rPr>
          <w:rFonts w:ascii="Times New Roman" w:hAnsi="Times New Roman"/>
          <w:i/>
        </w:rPr>
        <w:t xml:space="preserve">Absorption </w:t>
      </w:r>
      <w:r w:rsidRPr="00B348F3">
        <w:rPr>
          <w:rFonts w:ascii="Times New Roman" w:hAnsi="Times New Roman"/>
        </w:rPr>
        <w:t>(penyerapan)</w:t>
      </w:r>
      <w:r w:rsidRPr="00B348F3">
        <w:rPr>
          <w:rFonts w:ascii="Times New Roman" w:hAnsi="Times New Roman"/>
          <w:i/>
        </w:rPr>
        <w:t xml:space="preserve">. </w:t>
      </w:r>
      <w:r w:rsidRPr="00B348F3">
        <w:rPr>
          <w:rFonts w:ascii="Times New Roman" w:hAnsi="Times New Roman"/>
        </w:rPr>
        <w:t>Skala-skala yang digunakan dalam penelitian</w:t>
      </w:r>
      <w:r w:rsidRPr="00B348F3">
        <w:rPr>
          <w:rFonts w:ascii="Times New Roman" w:hAnsi="Times New Roman"/>
          <w:spacing w:val="1"/>
        </w:rPr>
        <w:t xml:space="preserve"> </w:t>
      </w:r>
      <w:r w:rsidRPr="00B348F3">
        <w:rPr>
          <w:rFonts w:ascii="Times New Roman" w:hAnsi="Times New Roman"/>
        </w:rPr>
        <w:t>ini</w:t>
      </w:r>
      <w:r w:rsidRPr="00B348F3">
        <w:rPr>
          <w:rFonts w:ascii="Times New Roman" w:hAnsi="Times New Roman"/>
          <w:spacing w:val="1"/>
        </w:rPr>
        <w:t xml:space="preserve"> </w:t>
      </w:r>
      <w:r w:rsidRPr="00B348F3">
        <w:rPr>
          <w:rFonts w:ascii="Times New Roman" w:hAnsi="Times New Roman"/>
        </w:rPr>
        <w:t>terdiri</w:t>
      </w:r>
      <w:r w:rsidRPr="00B348F3">
        <w:rPr>
          <w:rFonts w:ascii="Times New Roman" w:hAnsi="Times New Roman"/>
          <w:spacing w:val="1"/>
        </w:rPr>
        <w:t xml:space="preserve"> </w:t>
      </w:r>
      <w:r w:rsidRPr="00B348F3">
        <w:rPr>
          <w:rFonts w:ascii="Times New Roman" w:hAnsi="Times New Roman"/>
        </w:rPr>
        <w:t>dari</w:t>
      </w:r>
      <w:r w:rsidRPr="00B348F3">
        <w:rPr>
          <w:rFonts w:ascii="Times New Roman" w:hAnsi="Times New Roman"/>
          <w:spacing w:val="1"/>
        </w:rPr>
        <w:t xml:space="preserve"> </w:t>
      </w:r>
      <w:r w:rsidRPr="00B348F3">
        <w:rPr>
          <w:rFonts w:ascii="Times New Roman" w:hAnsi="Times New Roman"/>
        </w:rPr>
        <w:t>empat</w:t>
      </w:r>
      <w:r w:rsidRPr="00B348F3">
        <w:rPr>
          <w:rFonts w:ascii="Times New Roman" w:hAnsi="Times New Roman"/>
          <w:spacing w:val="60"/>
        </w:rPr>
        <w:t xml:space="preserve"> </w:t>
      </w:r>
      <w:r w:rsidRPr="00B348F3">
        <w:rPr>
          <w:rFonts w:ascii="Times New Roman" w:hAnsi="Times New Roman"/>
        </w:rPr>
        <w:t>alternative</w:t>
      </w:r>
      <w:r w:rsidRPr="00B348F3">
        <w:rPr>
          <w:rFonts w:ascii="Times New Roman" w:hAnsi="Times New Roman"/>
          <w:spacing w:val="60"/>
        </w:rPr>
        <w:t xml:space="preserve"> </w:t>
      </w:r>
      <w:r w:rsidRPr="00B348F3">
        <w:rPr>
          <w:rFonts w:ascii="Times New Roman" w:hAnsi="Times New Roman"/>
        </w:rPr>
        <w:t>jawaban</w:t>
      </w:r>
      <w:r w:rsidRPr="00B348F3">
        <w:rPr>
          <w:rFonts w:ascii="Times New Roman" w:hAnsi="Times New Roman"/>
          <w:spacing w:val="1"/>
        </w:rPr>
        <w:t xml:space="preserve"> </w:t>
      </w:r>
      <w:r w:rsidRPr="00B348F3">
        <w:rPr>
          <w:rFonts w:ascii="Times New Roman" w:hAnsi="Times New Roman"/>
        </w:rPr>
        <w:t>yaitu</w:t>
      </w:r>
      <w:r w:rsidRPr="00B348F3">
        <w:rPr>
          <w:rFonts w:ascii="Times New Roman" w:hAnsi="Times New Roman"/>
          <w:spacing w:val="1"/>
        </w:rPr>
        <w:t xml:space="preserve"> </w:t>
      </w:r>
      <w:r w:rsidRPr="00B348F3">
        <w:rPr>
          <w:rFonts w:ascii="Times New Roman" w:hAnsi="Times New Roman"/>
        </w:rPr>
        <w:t>sangat</w:t>
      </w:r>
      <w:r w:rsidRPr="00B348F3">
        <w:rPr>
          <w:rFonts w:ascii="Times New Roman" w:hAnsi="Times New Roman"/>
          <w:spacing w:val="1"/>
        </w:rPr>
        <w:t xml:space="preserve"> </w:t>
      </w:r>
      <w:r w:rsidRPr="00B348F3">
        <w:rPr>
          <w:rFonts w:ascii="Times New Roman" w:hAnsi="Times New Roman"/>
        </w:rPr>
        <w:t>sesuai</w:t>
      </w:r>
      <w:r w:rsidRPr="00B348F3">
        <w:rPr>
          <w:rFonts w:ascii="Times New Roman" w:hAnsi="Times New Roman"/>
          <w:spacing w:val="1"/>
        </w:rPr>
        <w:t xml:space="preserve"> </w:t>
      </w:r>
      <w:r w:rsidRPr="00B348F3">
        <w:rPr>
          <w:rFonts w:ascii="Times New Roman" w:hAnsi="Times New Roman"/>
        </w:rPr>
        <w:t>(SS),</w:t>
      </w:r>
      <w:r w:rsidRPr="00B348F3">
        <w:rPr>
          <w:rFonts w:ascii="Times New Roman" w:hAnsi="Times New Roman"/>
          <w:spacing w:val="1"/>
        </w:rPr>
        <w:t xml:space="preserve"> </w:t>
      </w:r>
      <w:r w:rsidRPr="00B348F3">
        <w:rPr>
          <w:rFonts w:ascii="Times New Roman" w:hAnsi="Times New Roman"/>
        </w:rPr>
        <w:t>sesuai</w:t>
      </w:r>
      <w:r w:rsidRPr="00B348F3">
        <w:rPr>
          <w:rFonts w:ascii="Times New Roman" w:hAnsi="Times New Roman"/>
          <w:spacing w:val="1"/>
        </w:rPr>
        <w:t xml:space="preserve"> </w:t>
      </w:r>
      <w:r w:rsidRPr="00B348F3">
        <w:rPr>
          <w:rFonts w:ascii="Times New Roman" w:hAnsi="Times New Roman"/>
        </w:rPr>
        <w:t>(S),</w:t>
      </w:r>
      <w:r w:rsidRPr="00B348F3">
        <w:rPr>
          <w:rFonts w:ascii="Times New Roman" w:hAnsi="Times New Roman"/>
          <w:spacing w:val="1"/>
        </w:rPr>
        <w:t xml:space="preserve"> </w:t>
      </w:r>
      <w:r w:rsidRPr="00B348F3">
        <w:rPr>
          <w:rFonts w:ascii="Times New Roman" w:hAnsi="Times New Roman"/>
        </w:rPr>
        <w:t>tidak</w:t>
      </w:r>
      <w:r w:rsidRPr="00B348F3">
        <w:rPr>
          <w:rFonts w:ascii="Times New Roman" w:hAnsi="Times New Roman"/>
          <w:spacing w:val="1"/>
        </w:rPr>
        <w:t xml:space="preserve"> </w:t>
      </w:r>
      <w:r w:rsidRPr="00B348F3">
        <w:rPr>
          <w:rFonts w:ascii="Times New Roman" w:hAnsi="Times New Roman"/>
        </w:rPr>
        <w:t>sesuai</w:t>
      </w:r>
      <w:r w:rsidRPr="00B348F3">
        <w:rPr>
          <w:rFonts w:ascii="Times New Roman" w:hAnsi="Times New Roman"/>
          <w:spacing w:val="1"/>
        </w:rPr>
        <w:t xml:space="preserve"> </w:t>
      </w:r>
      <w:r w:rsidRPr="00B348F3">
        <w:rPr>
          <w:rFonts w:ascii="Times New Roman" w:hAnsi="Times New Roman"/>
        </w:rPr>
        <w:t>(TS)</w:t>
      </w:r>
      <w:r w:rsidRPr="00B348F3">
        <w:rPr>
          <w:rFonts w:ascii="Times New Roman" w:hAnsi="Times New Roman"/>
          <w:spacing w:val="1"/>
        </w:rPr>
        <w:t xml:space="preserve"> </w:t>
      </w:r>
      <w:r w:rsidRPr="00B348F3">
        <w:rPr>
          <w:rFonts w:ascii="Times New Roman" w:hAnsi="Times New Roman"/>
        </w:rPr>
        <w:t>dan</w:t>
      </w:r>
      <w:r w:rsidRPr="00B348F3">
        <w:rPr>
          <w:rFonts w:ascii="Times New Roman" w:hAnsi="Times New Roman"/>
          <w:spacing w:val="1"/>
        </w:rPr>
        <w:t xml:space="preserve"> </w:t>
      </w:r>
      <w:r w:rsidRPr="00B348F3">
        <w:rPr>
          <w:rFonts w:ascii="Times New Roman" w:hAnsi="Times New Roman"/>
        </w:rPr>
        <w:t>sangat</w:t>
      </w:r>
      <w:r w:rsidRPr="00B348F3">
        <w:rPr>
          <w:rFonts w:ascii="Times New Roman" w:hAnsi="Times New Roman"/>
          <w:spacing w:val="1"/>
        </w:rPr>
        <w:t xml:space="preserve"> </w:t>
      </w:r>
      <w:r w:rsidRPr="00B348F3">
        <w:rPr>
          <w:rFonts w:ascii="Times New Roman" w:hAnsi="Times New Roman"/>
        </w:rPr>
        <w:t>tidak</w:t>
      </w:r>
      <w:r w:rsidRPr="00B348F3">
        <w:rPr>
          <w:rFonts w:ascii="Times New Roman" w:hAnsi="Times New Roman"/>
          <w:spacing w:val="1"/>
        </w:rPr>
        <w:t xml:space="preserve"> </w:t>
      </w:r>
      <w:r w:rsidRPr="00B348F3">
        <w:rPr>
          <w:rFonts w:ascii="Times New Roman" w:hAnsi="Times New Roman"/>
        </w:rPr>
        <w:t>sesuai</w:t>
      </w:r>
      <w:r w:rsidRPr="00B348F3">
        <w:rPr>
          <w:rFonts w:ascii="Times New Roman" w:hAnsi="Times New Roman"/>
          <w:spacing w:val="1"/>
        </w:rPr>
        <w:t xml:space="preserve"> </w:t>
      </w:r>
      <w:r w:rsidRPr="00B348F3">
        <w:rPr>
          <w:rFonts w:ascii="Times New Roman" w:hAnsi="Times New Roman"/>
        </w:rPr>
        <w:t>(STS).</w:t>
      </w:r>
      <w:r w:rsidRPr="00B348F3">
        <w:rPr>
          <w:rFonts w:ascii="Times New Roman" w:hAnsi="Times New Roman"/>
          <w:spacing w:val="-57"/>
        </w:rPr>
        <w:t xml:space="preserve">                      </w:t>
      </w:r>
      <w:r w:rsidRPr="00B348F3">
        <w:rPr>
          <w:rFonts w:ascii="Times New Roman" w:hAnsi="Times New Roman"/>
        </w:rPr>
        <w:t xml:space="preserve"> Bagi aitem </w:t>
      </w:r>
      <w:r w:rsidRPr="00B348F3">
        <w:rPr>
          <w:rFonts w:ascii="Times New Roman" w:hAnsi="Times New Roman"/>
          <w:i/>
        </w:rPr>
        <w:t xml:space="preserve">favourable </w:t>
      </w:r>
      <w:r w:rsidRPr="00B348F3">
        <w:rPr>
          <w:rFonts w:ascii="Times New Roman" w:hAnsi="Times New Roman"/>
        </w:rPr>
        <w:t>SS memiliki skor 4, S</w:t>
      </w:r>
      <w:r w:rsidRPr="00B348F3">
        <w:rPr>
          <w:rFonts w:ascii="Times New Roman" w:hAnsi="Times New Roman"/>
          <w:spacing w:val="1"/>
        </w:rPr>
        <w:t xml:space="preserve"> </w:t>
      </w:r>
      <w:r w:rsidRPr="00B348F3">
        <w:rPr>
          <w:rFonts w:ascii="Times New Roman" w:hAnsi="Times New Roman"/>
        </w:rPr>
        <w:t>memiliki skor 3, TS memiliki skor 2, dan STS</w:t>
      </w:r>
      <w:r w:rsidRPr="00B348F3">
        <w:rPr>
          <w:rFonts w:ascii="Times New Roman" w:hAnsi="Times New Roman"/>
          <w:spacing w:val="-57"/>
        </w:rPr>
        <w:t xml:space="preserve"> </w:t>
      </w:r>
      <w:r w:rsidRPr="00B348F3">
        <w:rPr>
          <w:rFonts w:ascii="Times New Roman" w:hAnsi="Times New Roman"/>
        </w:rPr>
        <w:t>memiliki</w:t>
      </w:r>
      <w:r w:rsidRPr="00B348F3">
        <w:rPr>
          <w:rFonts w:ascii="Times New Roman" w:hAnsi="Times New Roman"/>
          <w:spacing w:val="1"/>
        </w:rPr>
        <w:t xml:space="preserve"> </w:t>
      </w:r>
      <w:r w:rsidRPr="00B348F3">
        <w:rPr>
          <w:rFonts w:ascii="Times New Roman" w:hAnsi="Times New Roman"/>
        </w:rPr>
        <w:t>skor</w:t>
      </w:r>
      <w:r w:rsidRPr="00B348F3">
        <w:rPr>
          <w:rFonts w:ascii="Times New Roman" w:hAnsi="Times New Roman"/>
          <w:spacing w:val="1"/>
        </w:rPr>
        <w:t xml:space="preserve"> </w:t>
      </w:r>
      <w:r w:rsidRPr="00B348F3">
        <w:rPr>
          <w:rFonts w:ascii="Times New Roman" w:hAnsi="Times New Roman"/>
        </w:rPr>
        <w:t>1.</w:t>
      </w:r>
      <w:r w:rsidRPr="00B348F3">
        <w:rPr>
          <w:rFonts w:ascii="Times New Roman" w:hAnsi="Times New Roman"/>
          <w:spacing w:val="1"/>
        </w:rPr>
        <w:t xml:space="preserve"> </w:t>
      </w:r>
      <w:r w:rsidRPr="00B348F3">
        <w:rPr>
          <w:rFonts w:ascii="Times New Roman" w:hAnsi="Times New Roman"/>
        </w:rPr>
        <w:t>Sebaliknya</w:t>
      </w:r>
      <w:r w:rsidRPr="00B348F3">
        <w:rPr>
          <w:rFonts w:ascii="Times New Roman" w:hAnsi="Times New Roman"/>
          <w:spacing w:val="1"/>
        </w:rPr>
        <w:t xml:space="preserve"> </w:t>
      </w:r>
      <w:r w:rsidRPr="00B348F3">
        <w:rPr>
          <w:rFonts w:ascii="Times New Roman" w:hAnsi="Times New Roman"/>
        </w:rPr>
        <w:t>untuk</w:t>
      </w:r>
      <w:r w:rsidRPr="00B348F3">
        <w:rPr>
          <w:rFonts w:ascii="Times New Roman" w:hAnsi="Times New Roman"/>
          <w:spacing w:val="1"/>
        </w:rPr>
        <w:t xml:space="preserve"> </w:t>
      </w:r>
      <w:r w:rsidRPr="00B348F3">
        <w:rPr>
          <w:rFonts w:ascii="Times New Roman" w:hAnsi="Times New Roman"/>
        </w:rPr>
        <w:t>aitem</w:t>
      </w:r>
      <w:r w:rsidRPr="00B348F3">
        <w:rPr>
          <w:rFonts w:ascii="Times New Roman" w:hAnsi="Times New Roman"/>
          <w:spacing w:val="1"/>
        </w:rPr>
        <w:t xml:space="preserve"> </w:t>
      </w:r>
      <w:r w:rsidRPr="00B348F3">
        <w:rPr>
          <w:rFonts w:ascii="Times New Roman" w:hAnsi="Times New Roman"/>
          <w:i/>
        </w:rPr>
        <w:t xml:space="preserve">unfavourable </w:t>
      </w:r>
      <w:r w:rsidRPr="00B348F3">
        <w:rPr>
          <w:rFonts w:ascii="Times New Roman" w:hAnsi="Times New Roman"/>
        </w:rPr>
        <w:t>SS memiliki skor 1, S memiliki</w:t>
      </w:r>
      <w:r w:rsidRPr="00B348F3">
        <w:rPr>
          <w:rFonts w:ascii="Times New Roman" w:hAnsi="Times New Roman"/>
          <w:spacing w:val="1"/>
        </w:rPr>
        <w:t xml:space="preserve"> </w:t>
      </w:r>
      <w:r w:rsidRPr="00B348F3">
        <w:rPr>
          <w:rFonts w:ascii="Times New Roman" w:hAnsi="Times New Roman"/>
        </w:rPr>
        <w:t>skor 2, TS memiliki skor 3, dan STS</w:t>
      </w:r>
      <w:r w:rsidRPr="00B348F3">
        <w:rPr>
          <w:rFonts w:ascii="Times New Roman" w:hAnsi="Times New Roman"/>
          <w:lang w:val="id-ID"/>
        </w:rPr>
        <w:t xml:space="preserve"> memiliki skor 4. </w:t>
      </w:r>
      <w:r w:rsidRPr="00B348F3">
        <w:rPr>
          <w:rFonts w:ascii="Times New Roman" w:hAnsi="Times New Roman"/>
        </w:rPr>
        <w:t>Subjek penelitian ini adalah karyawan generasi milenial,</w:t>
      </w:r>
      <w:r w:rsidRPr="00B348F3">
        <w:rPr>
          <w:rFonts w:ascii="Times New Roman" w:hAnsi="Times New Roman"/>
          <w:spacing w:val="1"/>
        </w:rPr>
        <w:t xml:space="preserve"> </w:t>
      </w:r>
      <w:r w:rsidRPr="00B348F3">
        <w:rPr>
          <w:rFonts w:ascii="Times New Roman" w:hAnsi="Times New Roman"/>
        </w:rPr>
        <w:t xml:space="preserve">jenis kelamin laki-laki dan perempuan, </w:t>
      </w:r>
      <w:proofErr w:type="gramStart"/>
      <w:r w:rsidRPr="00B348F3">
        <w:rPr>
          <w:rFonts w:ascii="Times New Roman" w:hAnsi="Times New Roman"/>
        </w:rPr>
        <w:t>usia</w:t>
      </w:r>
      <w:proofErr w:type="gramEnd"/>
      <w:r w:rsidRPr="00B348F3">
        <w:rPr>
          <w:rFonts w:ascii="Times New Roman" w:hAnsi="Times New Roman"/>
          <w:spacing w:val="1"/>
        </w:rPr>
        <w:t xml:space="preserve"> </w:t>
      </w:r>
      <w:r w:rsidRPr="00B348F3">
        <w:rPr>
          <w:rFonts w:ascii="Times New Roman" w:hAnsi="Times New Roman"/>
        </w:rPr>
        <w:t>20-39 Tahun, masa kerja minimal 1 tahun. Pengujian</w:t>
      </w:r>
      <w:r w:rsidRPr="00B348F3">
        <w:rPr>
          <w:rFonts w:ascii="Times New Roman" w:hAnsi="Times New Roman"/>
          <w:spacing w:val="1"/>
        </w:rPr>
        <w:t xml:space="preserve"> </w:t>
      </w:r>
      <w:r w:rsidRPr="00B348F3">
        <w:rPr>
          <w:rFonts w:ascii="Times New Roman" w:hAnsi="Times New Roman"/>
        </w:rPr>
        <w:t>hipotesis</w:t>
      </w:r>
      <w:r w:rsidRPr="00B348F3">
        <w:rPr>
          <w:rFonts w:ascii="Times New Roman" w:hAnsi="Times New Roman"/>
          <w:spacing w:val="1"/>
        </w:rPr>
        <w:t xml:space="preserve"> </w:t>
      </w:r>
      <w:r w:rsidRPr="00B348F3">
        <w:rPr>
          <w:rFonts w:ascii="Times New Roman" w:hAnsi="Times New Roman"/>
        </w:rPr>
        <w:t>menggunakan</w:t>
      </w:r>
      <w:r w:rsidRPr="00B348F3">
        <w:rPr>
          <w:rFonts w:ascii="Times New Roman" w:hAnsi="Times New Roman"/>
          <w:spacing w:val="1"/>
        </w:rPr>
        <w:t xml:space="preserve"> </w:t>
      </w:r>
      <w:r w:rsidRPr="00B348F3">
        <w:rPr>
          <w:rFonts w:ascii="Times New Roman" w:hAnsi="Times New Roman"/>
        </w:rPr>
        <w:t>teknik</w:t>
      </w:r>
      <w:r w:rsidRPr="00B348F3">
        <w:rPr>
          <w:rFonts w:ascii="Times New Roman" w:hAnsi="Times New Roman"/>
          <w:spacing w:val="-1"/>
        </w:rPr>
        <w:t xml:space="preserve"> </w:t>
      </w:r>
      <w:r w:rsidRPr="00B348F3">
        <w:rPr>
          <w:rFonts w:ascii="Times New Roman" w:hAnsi="Times New Roman"/>
          <w:i/>
        </w:rPr>
        <w:t>product moment</w:t>
      </w:r>
      <w:r w:rsidRPr="00B348F3">
        <w:rPr>
          <w:rFonts w:ascii="Times New Roman" w:hAnsi="Times New Roman"/>
          <w:i/>
          <w:spacing w:val="-1"/>
        </w:rPr>
        <w:t xml:space="preserve"> </w:t>
      </w:r>
      <w:r w:rsidRPr="00B348F3">
        <w:rPr>
          <w:rFonts w:ascii="Times New Roman" w:hAnsi="Times New Roman"/>
        </w:rPr>
        <w:t>dari Pearson.</w:t>
      </w:r>
    </w:p>
    <w:p w:rsidR="00127D59" w:rsidRPr="00B348F3" w:rsidRDefault="00127D59" w:rsidP="00B348F3">
      <w:pPr>
        <w:spacing w:line="360" w:lineRule="auto"/>
        <w:ind w:firstLine="720"/>
        <w:rPr>
          <w:rFonts w:ascii="Times New Roman" w:hAnsi="Times New Roman"/>
          <w:i/>
          <w:lang w:val="id-ID"/>
        </w:rPr>
      </w:pPr>
    </w:p>
    <w:p w:rsidR="007B7B11" w:rsidRPr="00B348F3" w:rsidRDefault="007B7B11" w:rsidP="00B348F3">
      <w:pPr>
        <w:spacing w:line="360" w:lineRule="auto"/>
        <w:rPr>
          <w:rFonts w:ascii="Times New Roman" w:hAnsi="Times New Roman"/>
          <w:b/>
        </w:rPr>
      </w:pPr>
      <w:r w:rsidRPr="00B348F3">
        <w:rPr>
          <w:rFonts w:ascii="Times New Roman" w:hAnsi="Times New Roman"/>
          <w:b/>
        </w:rPr>
        <w:t>HASIL DAN PEMBAHASAN</w:t>
      </w:r>
    </w:p>
    <w:p w:rsidR="007B7B11" w:rsidRPr="00B348F3" w:rsidRDefault="007B7B11" w:rsidP="00B348F3">
      <w:pPr>
        <w:spacing w:line="360" w:lineRule="auto"/>
        <w:ind w:firstLine="360"/>
        <w:rPr>
          <w:rFonts w:ascii="Times New Roman" w:hAnsi="Times New Roman"/>
          <w:color w:val="000000"/>
          <w:sz w:val="24"/>
          <w:szCs w:val="24"/>
          <w:lang w:val="en-ID"/>
        </w:rPr>
      </w:pPr>
      <w:r w:rsidRPr="00B348F3">
        <w:rPr>
          <w:rFonts w:ascii="Times New Roman" w:hAnsi="Times New Roman"/>
        </w:rPr>
        <w:t xml:space="preserve">Data yang diperoleh dari skala penelitian persepsi dukungan atasan dan </w:t>
      </w:r>
      <w:r w:rsidRPr="00B348F3">
        <w:rPr>
          <w:rFonts w:ascii="Times New Roman" w:hAnsi="Times New Roman"/>
          <w:i/>
        </w:rPr>
        <w:t>work engagement</w:t>
      </w:r>
      <w:r w:rsidRPr="00B348F3">
        <w:rPr>
          <w:rFonts w:ascii="Times New Roman" w:hAnsi="Times New Roman"/>
        </w:rPr>
        <w:t xml:space="preserve"> digunakan sebagai dasar pengujian hipotesis. Hasil perhitungan skor </w:t>
      </w:r>
      <w:r w:rsidRPr="00B348F3">
        <w:rPr>
          <w:rFonts w:ascii="Times New Roman" w:hAnsi="Times New Roman"/>
          <w:color w:val="000000"/>
          <w:lang w:val="en-ID"/>
        </w:rPr>
        <w:t xml:space="preserve">skala </w:t>
      </w:r>
      <w:r w:rsidRPr="00B348F3">
        <w:rPr>
          <w:rFonts w:ascii="Times New Roman" w:hAnsi="Times New Roman"/>
          <w:iCs/>
          <w:color w:val="000000"/>
        </w:rPr>
        <w:t xml:space="preserve">persepsi dukungan atasan </w:t>
      </w:r>
      <w:r w:rsidRPr="00B348F3">
        <w:rPr>
          <w:rFonts w:ascii="Times New Roman" w:hAnsi="Times New Roman"/>
          <w:color w:val="000000"/>
          <w:lang w:val="en-ID"/>
        </w:rPr>
        <w:lastRenderedPageBreak/>
        <w:t xml:space="preserve">skala memiliki skor minimum 1 x </w:t>
      </w:r>
      <w:r w:rsidRPr="00B348F3">
        <w:rPr>
          <w:rFonts w:ascii="Times New Roman" w:hAnsi="Times New Roman"/>
          <w:color w:val="000000"/>
        </w:rPr>
        <w:t>44</w:t>
      </w:r>
      <w:r w:rsidRPr="00B348F3">
        <w:rPr>
          <w:rFonts w:ascii="Times New Roman" w:hAnsi="Times New Roman"/>
          <w:color w:val="000000"/>
          <w:lang w:val="en-ID"/>
        </w:rPr>
        <w:t xml:space="preserve"> = </w:t>
      </w:r>
      <w:r w:rsidRPr="00B348F3">
        <w:rPr>
          <w:rFonts w:ascii="Times New Roman" w:hAnsi="Times New Roman"/>
          <w:color w:val="000000"/>
        </w:rPr>
        <w:t>44</w:t>
      </w:r>
      <w:r w:rsidRPr="00B348F3">
        <w:rPr>
          <w:rFonts w:ascii="Times New Roman" w:hAnsi="Times New Roman"/>
          <w:color w:val="000000"/>
          <w:lang w:val="en-ID"/>
        </w:rPr>
        <w:t xml:space="preserve"> dan skor maksimum 4 x </w:t>
      </w:r>
      <w:r w:rsidRPr="00B348F3">
        <w:rPr>
          <w:rFonts w:ascii="Times New Roman" w:hAnsi="Times New Roman"/>
          <w:color w:val="000000"/>
        </w:rPr>
        <w:t>44</w:t>
      </w:r>
      <w:r w:rsidRPr="00B348F3">
        <w:rPr>
          <w:rFonts w:ascii="Times New Roman" w:hAnsi="Times New Roman"/>
          <w:color w:val="000000"/>
          <w:lang w:val="en-ID"/>
        </w:rPr>
        <w:t xml:space="preserve"> = </w:t>
      </w:r>
      <w:r w:rsidRPr="00B348F3">
        <w:rPr>
          <w:rFonts w:ascii="Times New Roman" w:hAnsi="Times New Roman"/>
          <w:color w:val="000000"/>
        </w:rPr>
        <w:t>176</w:t>
      </w:r>
      <w:r w:rsidRPr="00B348F3">
        <w:rPr>
          <w:rFonts w:ascii="Times New Roman" w:hAnsi="Times New Roman"/>
          <w:color w:val="000000"/>
          <w:lang w:val="en-ID"/>
        </w:rPr>
        <w:t>. Rerata hipotetik</w:t>
      </w:r>
      <w:r w:rsidRPr="00B348F3">
        <w:rPr>
          <w:rFonts w:ascii="Times New Roman" w:hAnsi="Times New Roman"/>
          <w:lang w:val="en-ID"/>
        </w:rPr>
        <w:t xml:space="preserve"> (</w:t>
      </w:r>
      <w:r w:rsidRPr="00B348F3">
        <w:rPr>
          <w:rFonts w:ascii="Times New Roman" w:hAnsi="Times New Roman"/>
        </w:rPr>
        <w:t>176</w:t>
      </w:r>
      <w:r w:rsidRPr="00B348F3">
        <w:rPr>
          <w:rFonts w:ascii="Times New Roman" w:hAnsi="Times New Roman"/>
          <w:lang w:val="en-ID"/>
        </w:rPr>
        <w:t xml:space="preserve"> + </w:t>
      </w:r>
      <w:r w:rsidRPr="00B348F3">
        <w:rPr>
          <w:rFonts w:ascii="Times New Roman" w:hAnsi="Times New Roman"/>
        </w:rPr>
        <w:t>44</w:t>
      </w:r>
      <w:r w:rsidRPr="00B348F3">
        <w:rPr>
          <w:rFonts w:ascii="Times New Roman" w:hAnsi="Times New Roman"/>
          <w:lang w:val="en-ID"/>
        </w:rPr>
        <w:t xml:space="preserve">): </w:t>
      </w:r>
      <w:r w:rsidRPr="00B348F3">
        <w:rPr>
          <w:rFonts w:ascii="Times New Roman" w:hAnsi="Times New Roman"/>
        </w:rPr>
        <w:t>2</w:t>
      </w:r>
      <w:r w:rsidRPr="00B348F3">
        <w:rPr>
          <w:rFonts w:ascii="Times New Roman" w:hAnsi="Times New Roman"/>
          <w:lang w:val="en-ID"/>
        </w:rPr>
        <w:t xml:space="preserve"> = </w:t>
      </w:r>
      <w:r w:rsidRPr="00B348F3">
        <w:rPr>
          <w:rFonts w:ascii="Times New Roman" w:hAnsi="Times New Roman"/>
        </w:rPr>
        <w:t>110</w:t>
      </w:r>
      <w:r w:rsidRPr="00B348F3">
        <w:rPr>
          <w:rFonts w:ascii="Times New Roman" w:hAnsi="Times New Roman"/>
          <w:lang w:val="en-ID"/>
        </w:rPr>
        <w:t xml:space="preserve"> dengan standar deviasi sebesar (</w:t>
      </w:r>
      <w:r w:rsidRPr="00B348F3">
        <w:rPr>
          <w:rFonts w:ascii="Times New Roman" w:hAnsi="Times New Roman"/>
        </w:rPr>
        <w:t>176</w:t>
      </w:r>
      <w:r w:rsidRPr="00B348F3">
        <w:rPr>
          <w:rFonts w:ascii="Times New Roman" w:hAnsi="Times New Roman"/>
        </w:rPr>
        <w:t xml:space="preserve"> </w:t>
      </w:r>
      <w:r w:rsidRPr="00B348F3">
        <w:rPr>
          <w:rFonts w:ascii="Times New Roman" w:hAnsi="Times New Roman"/>
          <w:lang w:val="en-ID"/>
        </w:rPr>
        <w:t>-</w:t>
      </w:r>
      <w:r w:rsidRPr="00B348F3">
        <w:rPr>
          <w:rFonts w:ascii="Times New Roman" w:hAnsi="Times New Roman"/>
        </w:rPr>
        <w:t xml:space="preserve"> </w:t>
      </w:r>
      <w:r w:rsidRPr="00B348F3">
        <w:rPr>
          <w:rFonts w:ascii="Times New Roman" w:hAnsi="Times New Roman"/>
        </w:rPr>
        <w:t>44</w:t>
      </w:r>
      <w:r w:rsidRPr="00B348F3">
        <w:rPr>
          <w:rFonts w:ascii="Times New Roman" w:hAnsi="Times New Roman"/>
          <w:lang w:val="en-ID"/>
        </w:rPr>
        <w:t xml:space="preserve">): 6 = </w:t>
      </w:r>
      <w:r w:rsidRPr="00B348F3">
        <w:rPr>
          <w:rFonts w:ascii="Times New Roman" w:hAnsi="Times New Roman"/>
        </w:rPr>
        <w:t>22</w:t>
      </w:r>
      <w:r w:rsidRPr="00B348F3">
        <w:rPr>
          <w:rFonts w:ascii="Times New Roman" w:hAnsi="Times New Roman"/>
          <w:lang w:val="en-ID"/>
        </w:rPr>
        <w:t xml:space="preserve">. </w:t>
      </w:r>
      <w:r w:rsidRPr="00B348F3">
        <w:rPr>
          <w:rFonts w:ascii="Times New Roman" w:hAnsi="Times New Roman"/>
          <w:color w:val="000000"/>
          <w:sz w:val="24"/>
          <w:szCs w:val="24"/>
          <w:lang w:val="en-ID"/>
        </w:rPr>
        <w:t>Berdasarkan data empirik diperoleh</w:t>
      </w:r>
      <w:r w:rsidRPr="00B348F3">
        <w:rPr>
          <w:rFonts w:ascii="Times New Roman" w:hAnsi="Times New Roman"/>
          <w:color w:val="000000"/>
          <w:sz w:val="24"/>
          <w:szCs w:val="24"/>
          <w:lang w:val="id-ID"/>
        </w:rPr>
        <w:t xml:space="preserve"> skor</w:t>
      </w:r>
      <w:r w:rsidRPr="00B348F3">
        <w:rPr>
          <w:rFonts w:ascii="Times New Roman" w:hAnsi="Times New Roman"/>
          <w:color w:val="000000"/>
          <w:sz w:val="24"/>
          <w:szCs w:val="24"/>
          <w:lang w:val="en-ID"/>
        </w:rPr>
        <w:t xml:space="preserve"> minimum sebesar </w:t>
      </w:r>
      <w:r w:rsidRPr="00B348F3">
        <w:rPr>
          <w:rFonts w:ascii="Times New Roman" w:hAnsi="Times New Roman"/>
          <w:color w:val="000000"/>
          <w:sz w:val="24"/>
          <w:szCs w:val="24"/>
          <w:lang w:val="id-ID"/>
        </w:rPr>
        <w:t>75</w:t>
      </w:r>
      <w:r w:rsidRPr="00B348F3">
        <w:rPr>
          <w:rFonts w:ascii="Times New Roman" w:hAnsi="Times New Roman"/>
          <w:color w:val="000000"/>
          <w:sz w:val="24"/>
          <w:szCs w:val="24"/>
          <w:lang w:val="en-ID"/>
        </w:rPr>
        <w:t xml:space="preserve"> dan skor maksimum sebesar </w:t>
      </w:r>
      <w:r w:rsidRPr="00B348F3">
        <w:rPr>
          <w:rFonts w:ascii="Times New Roman" w:hAnsi="Times New Roman"/>
          <w:color w:val="000000"/>
          <w:sz w:val="24"/>
          <w:szCs w:val="24"/>
          <w:lang w:val="id-ID"/>
        </w:rPr>
        <w:t>173</w:t>
      </w:r>
      <w:r w:rsidRPr="00B348F3">
        <w:rPr>
          <w:rFonts w:ascii="Times New Roman" w:hAnsi="Times New Roman"/>
          <w:color w:val="000000"/>
          <w:sz w:val="24"/>
          <w:szCs w:val="24"/>
          <w:lang w:val="en-ID"/>
        </w:rPr>
        <w:t xml:space="preserve">. Rerata empirik sebesar </w:t>
      </w:r>
      <w:r w:rsidRPr="00B348F3">
        <w:rPr>
          <w:rFonts w:ascii="Times New Roman" w:hAnsi="Times New Roman"/>
          <w:color w:val="000000"/>
          <w:sz w:val="24"/>
          <w:szCs w:val="24"/>
          <w:lang w:val="id-ID"/>
        </w:rPr>
        <w:t>74.02</w:t>
      </w:r>
      <w:r w:rsidRPr="00B348F3">
        <w:rPr>
          <w:rFonts w:ascii="Times New Roman" w:hAnsi="Times New Roman"/>
          <w:color w:val="000000"/>
          <w:sz w:val="24"/>
          <w:szCs w:val="24"/>
          <w:lang w:val="en-ID"/>
        </w:rPr>
        <w:t xml:space="preserve"> dengan standar deviasi </w:t>
      </w:r>
      <w:r w:rsidRPr="00B348F3">
        <w:rPr>
          <w:rFonts w:ascii="Times New Roman" w:hAnsi="Times New Roman"/>
          <w:color w:val="000000"/>
          <w:sz w:val="24"/>
          <w:szCs w:val="24"/>
          <w:lang w:val="id-ID"/>
        </w:rPr>
        <w:t>23.440</w:t>
      </w:r>
      <w:r w:rsidRPr="00B348F3">
        <w:rPr>
          <w:rFonts w:ascii="Times New Roman" w:hAnsi="Times New Roman"/>
          <w:color w:val="000000"/>
          <w:sz w:val="24"/>
          <w:szCs w:val="24"/>
          <w:lang w:val="en-ID"/>
        </w:rPr>
        <w:t xml:space="preserve">. </w:t>
      </w:r>
    </w:p>
    <w:p w:rsidR="007B7B11" w:rsidRPr="00B348F3" w:rsidRDefault="007B7B11" w:rsidP="00B348F3">
      <w:pPr>
        <w:spacing w:line="360" w:lineRule="auto"/>
        <w:ind w:firstLine="720"/>
        <w:rPr>
          <w:rFonts w:ascii="Times New Roman" w:hAnsi="Times New Roman"/>
          <w:sz w:val="24"/>
          <w:szCs w:val="24"/>
          <w:lang w:val="id-ID"/>
        </w:rPr>
      </w:pPr>
      <w:r w:rsidRPr="00B348F3">
        <w:rPr>
          <w:rFonts w:ascii="Times New Roman" w:hAnsi="Times New Roman"/>
          <w:color w:val="000000"/>
          <w:sz w:val="24"/>
          <w:szCs w:val="24"/>
          <w:lang w:val="en-ID"/>
        </w:rPr>
        <w:t>Selanjutnya, hasil perhitungan</w:t>
      </w:r>
      <w:r w:rsidRPr="00B348F3">
        <w:rPr>
          <w:rFonts w:ascii="Times New Roman" w:hAnsi="Times New Roman"/>
          <w:color w:val="000000"/>
          <w:sz w:val="24"/>
          <w:szCs w:val="24"/>
          <w:lang w:val="id-ID"/>
        </w:rPr>
        <w:t xml:space="preserve"> </w:t>
      </w:r>
      <w:r w:rsidRPr="00B348F3">
        <w:rPr>
          <w:rFonts w:ascii="Times New Roman" w:hAnsi="Times New Roman"/>
          <w:color w:val="000000"/>
          <w:sz w:val="24"/>
          <w:szCs w:val="24"/>
          <w:lang w:val="en-ID"/>
        </w:rPr>
        <w:t xml:space="preserve">skala </w:t>
      </w:r>
      <w:r w:rsidRPr="00B348F3">
        <w:rPr>
          <w:rFonts w:ascii="Times New Roman" w:hAnsi="Times New Roman"/>
          <w:i/>
          <w:iCs/>
          <w:color w:val="000000"/>
          <w:sz w:val="24"/>
          <w:szCs w:val="24"/>
          <w:lang w:val="id-ID"/>
        </w:rPr>
        <w:t>work engagement</w:t>
      </w:r>
      <w:r w:rsidRPr="00B348F3">
        <w:rPr>
          <w:rFonts w:ascii="Times New Roman" w:hAnsi="Times New Roman"/>
          <w:iCs/>
          <w:color w:val="000000"/>
          <w:sz w:val="24"/>
          <w:szCs w:val="24"/>
          <w:lang w:val="id-ID"/>
        </w:rPr>
        <w:t xml:space="preserve"> </w:t>
      </w:r>
      <w:r w:rsidRPr="00B348F3">
        <w:rPr>
          <w:rFonts w:ascii="Times New Roman" w:hAnsi="Times New Roman"/>
          <w:color w:val="000000"/>
          <w:sz w:val="24"/>
          <w:szCs w:val="24"/>
          <w:lang w:val="en-ID"/>
        </w:rPr>
        <w:t xml:space="preserve">memiliki skor minimum hipotetik 1 </w:t>
      </w:r>
      <w:r w:rsidRPr="00B348F3">
        <w:rPr>
          <w:rFonts w:ascii="Times New Roman" w:hAnsi="Times New Roman"/>
          <w:color w:val="000000"/>
          <w:sz w:val="24"/>
          <w:szCs w:val="24"/>
          <w:lang w:val="id-ID"/>
        </w:rPr>
        <w:t>x</w:t>
      </w:r>
      <w:r w:rsidRPr="00B348F3">
        <w:rPr>
          <w:rFonts w:ascii="Times New Roman" w:hAnsi="Times New Roman"/>
          <w:color w:val="000000"/>
          <w:sz w:val="24"/>
          <w:szCs w:val="24"/>
          <w:lang w:val="en-ID"/>
        </w:rPr>
        <w:t xml:space="preserve"> </w:t>
      </w:r>
      <w:r w:rsidRPr="00B348F3">
        <w:rPr>
          <w:rFonts w:ascii="Times New Roman" w:hAnsi="Times New Roman"/>
          <w:color w:val="000000"/>
          <w:sz w:val="24"/>
          <w:szCs w:val="24"/>
        </w:rPr>
        <w:t>2</w:t>
      </w:r>
      <w:r w:rsidRPr="00B348F3">
        <w:rPr>
          <w:rFonts w:ascii="Times New Roman" w:hAnsi="Times New Roman"/>
          <w:color w:val="000000"/>
          <w:sz w:val="24"/>
          <w:szCs w:val="24"/>
          <w:lang w:val="id-ID"/>
        </w:rPr>
        <w:t>7</w:t>
      </w:r>
      <w:r w:rsidRPr="00B348F3">
        <w:rPr>
          <w:rFonts w:ascii="Times New Roman" w:hAnsi="Times New Roman"/>
          <w:color w:val="000000"/>
          <w:sz w:val="24"/>
          <w:szCs w:val="24"/>
          <w:lang w:val="en-ID"/>
        </w:rPr>
        <w:t xml:space="preserve"> = </w:t>
      </w:r>
      <w:r w:rsidRPr="00B348F3">
        <w:rPr>
          <w:rFonts w:ascii="Times New Roman" w:hAnsi="Times New Roman"/>
          <w:color w:val="000000"/>
          <w:sz w:val="24"/>
          <w:szCs w:val="24"/>
        </w:rPr>
        <w:t>2</w:t>
      </w:r>
      <w:r w:rsidRPr="00B348F3">
        <w:rPr>
          <w:rFonts w:ascii="Times New Roman" w:hAnsi="Times New Roman"/>
          <w:color w:val="000000"/>
          <w:sz w:val="24"/>
          <w:szCs w:val="24"/>
          <w:lang w:val="id-ID"/>
        </w:rPr>
        <w:t>7</w:t>
      </w:r>
      <w:r w:rsidRPr="00B348F3">
        <w:rPr>
          <w:rFonts w:ascii="Times New Roman" w:hAnsi="Times New Roman"/>
          <w:color w:val="000000"/>
          <w:sz w:val="24"/>
          <w:szCs w:val="24"/>
          <w:lang w:val="en-ID"/>
        </w:rPr>
        <w:t xml:space="preserve"> dan skor maksimum 4 x </w:t>
      </w:r>
      <w:r w:rsidRPr="00B348F3">
        <w:rPr>
          <w:rFonts w:ascii="Times New Roman" w:hAnsi="Times New Roman"/>
          <w:color w:val="000000"/>
          <w:sz w:val="24"/>
          <w:szCs w:val="24"/>
        </w:rPr>
        <w:t>2</w:t>
      </w:r>
      <w:r w:rsidRPr="00B348F3">
        <w:rPr>
          <w:rFonts w:ascii="Times New Roman" w:hAnsi="Times New Roman"/>
          <w:color w:val="000000"/>
          <w:sz w:val="24"/>
          <w:szCs w:val="24"/>
          <w:lang w:val="id-ID"/>
        </w:rPr>
        <w:t>7</w:t>
      </w:r>
      <w:r w:rsidRPr="00B348F3">
        <w:rPr>
          <w:rFonts w:ascii="Times New Roman" w:hAnsi="Times New Roman"/>
          <w:color w:val="000000"/>
          <w:sz w:val="24"/>
          <w:szCs w:val="24"/>
          <w:lang w:val="en-ID"/>
        </w:rPr>
        <w:t xml:space="preserve"> =</w:t>
      </w:r>
      <w:r w:rsidRPr="00B348F3">
        <w:rPr>
          <w:rFonts w:ascii="Times New Roman" w:hAnsi="Times New Roman"/>
          <w:color w:val="000000"/>
          <w:sz w:val="24"/>
          <w:szCs w:val="24"/>
          <w:lang w:val="id-ID"/>
        </w:rPr>
        <w:t>108</w:t>
      </w:r>
      <w:r w:rsidRPr="00B348F3">
        <w:rPr>
          <w:rFonts w:ascii="Times New Roman" w:hAnsi="Times New Roman"/>
          <w:color w:val="000000"/>
          <w:sz w:val="24"/>
          <w:szCs w:val="24"/>
          <w:lang w:val="en-ID"/>
        </w:rPr>
        <w:t>. Rerata hipotetik (</w:t>
      </w:r>
      <w:r w:rsidRPr="00B348F3">
        <w:rPr>
          <w:rFonts w:ascii="Times New Roman" w:hAnsi="Times New Roman"/>
          <w:color w:val="000000"/>
          <w:sz w:val="24"/>
          <w:szCs w:val="24"/>
          <w:lang w:val="id-ID"/>
        </w:rPr>
        <w:t>108</w:t>
      </w:r>
      <w:r w:rsidRPr="00B348F3">
        <w:rPr>
          <w:rFonts w:ascii="Times New Roman" w:hAnsi="Times New Roman"/>
          <w:color w:val="000000"/>
          <w:sz w:val="24"/>
          <w:szCs w:val="24"/>
          <w:lang w:val="en-ID"/>
        </w:rPr>
        <w:t xml:space="preserve"> + </w:t>
      </w:r>
      <w:r w:rsidRPr="00B348F3">
        <w:rPr>
          <w:rFonts w:ascii="Times New Roman" w:hAnsi="Times New Roman"/>
          <w:color w:val="000000"/>
          <w:sz w:val="24"/>
          <w:szCs w:val="24"/>
          <w:lang w:val="id-ID"/>
        </w:rPr>
        <w:t>27</w:t>
      </w:r>
      <w:proofErr w:type="gramStart"/>
      <w:r w:rsidRPr="00B348F3">
        <w:rPr>
          <w:rFonts w:ascii="Times New Roman" w:hAnsi="Times New Roman"/>
          <w:color w:val="000000"/>
          <w:sz w:val="24"/>
          <w:szCs w:val="24"/>
          <w:lang w:val="en-ID"/>
        </w:rPr>
        <w:t>)</w:t>
      </w:r>
      <w:r w:rsidRPr="00B348F3">
        <w:rPr>
          <w:rFonts w:ascii="Times New Roman" w:hAnsi="Times New Roman"/>
          <w:color w:val="000000"/>
          <w:sz w:val="24"/>
          <w:szCs w:val="24"/>
          <w:lang w:val="id-ID"/>
        </w:rPr>
        <w:t xml:space="preserve"> </w:t>
      </w:r>
      <w:r w:rsidRPr="00B348F3">
        <w:rPr>
          <w:rFonts w:ascii="Times New Roman" w:hAnsi="Times New Roman"/>
          <w:color w:val="000000"/>
          <w:sz w:val="24"/>
          <w:szCs w:val="24"/>
          <w:lang w:val="en-ID"/>
        </w:rPr>
        <w:t>:</w:t>
      </w:r>
      <w:proofErr w:type="gramEnd"/>
      <w:r w:rsidRPr="00B348F3">
        <w:rPr>
          <w:rFonts w:ascii="Times New Roman" w:hAnsi="Times New Roman"/>
          <w:color w:val="000000"/>
          <w:sz w:val="24"/>
          <w:szCs w:val="24"/>
          <w:lang w:val="en-ID"/>
        </w:rPr>
        <w:t xml:space="preserve"> 2 = </w:t>
      </w:r>
      <w:r w:rsidRPr="00B348F3">
        <w:rPr>
          <w:rFonts w:ascii="Times New Roman" w:hAnsi="Times New Roman"/>
          <w:color w:val="000000"/>
          <w:sz w:val="24"/>
          <w:szCs w:val="24"/>
          <w:lang w:val="id-ID"/>
        </w:rPr>
        <w:t>67.5</w:t>
      </w:r>
      <w:r w:rsidRPr="00B348F3">
        <w:rPr>
          <w:rFonts w:ascii="Times New Roman" w:hAnsi="Times New Roman"/>
          <w:color w:val="000000"/>
          <w:sz w:val="24"/>
          <w:szCs w:val="24"/>
          <w:lang w:val="en-ID"/>
        </w:rPr>
        <w:t xml:space="preserve"> dengan standar deviasi sebesar (</w:t>
      </w:r>
      <w:r w:rsidRPr="00B348F3">
        <w:rPr>
          <w:rFonts w:ascii="Times New Roman" w:hAnsi="Times New Roman"/>
          <w:color w:val="000000"/>
          <w:sz w:val="24"/>
          <w:szCs w:val="24"/>
          <w:lang w:val="id-ID"/>
        </w:rPr>
        <w:t>108 - 27</w:t>
      </w:r>
      <w:r w:rsidRPr="00B348F3">
        <w:rPr>
          <w:rFonts w:ascii="Times New Roman" w:hAnsi="Times New Roman"/>
          <w:color w:val="000000"/>
          <w:sz w:val="24"/>
          <w:szCs w:val="24"/>
          <w:lang w:val="en-ID"/>
        </w:rPr>
        <w:t>)</w:t>
      </w:r>
      <w:r w:rsidRPr="00B348F3">
        <w:rPr>
          <w:rFonts w:ascii="Times New Roman" w:hAnsi="Times New Roman"/>
          <w:color w:val="000000"/>
          <w:sz w:val="24"/>
          <w:szCs w:val="24"/>
          <w:lang w:val="id-ID"/>
        </w:rPr>
        <w:t xml:space="preserve"> </w:t>
      </w:r>
      <w:r w:rsidRPr="00B348F3">
        <w:rPr>
          <w:rFonts w:ascii="Times New Roman" w:hAnsi="Times New Roman"/>
          <w:color w:val="000000"/>
          <w:sz w:val="24"/>
          <w:szCs w:val="24"/>
          <w:lang w:val="en-ID"/>
        </w:rPr>
        <w:t xml:space="preserve">: 6 = </w:t>
      </w:r>
      <w:r w:rsidRPr="00B348F3">
        <w:rPr>
          <w:rFonts w:ascii="Times New Roman" w:hAnsi="Times New Roman"/>
          <w:color w:val="000000"/>
          <w:sz w:val="24"/>
          <w:szCs w:val="24"/>
          <w:lang w:val="id-ID"/>
        </w:rPr>
        <w:t>13.5</w:t>
      </w:r>
      <w:r w:rsidRPr="00B348F3">
        <w:rPr>
          <w:rFonts w:ascii="Times New Roman" w:hAnsi="Times New Roman"/>
          <w:color w:val="000000"/>
          <w:sz w:val="24"/>
          <w:szCs w:val="24"/>
          <w:lang w:val="en-ID"/>
        </w:rPr>
        <w:t xml:space="preserve">. </w:t>
      </w:r>
      <w:r w:rsidRPr="00B348F3">
        <w:rPr>
          <w:rFonts w:ascii="Times New Roman" w:hAnsi="Times New Roman"/>
          <w:color w:val="000000"/>
          <w:sz w:val="24"/>
          <w:szCs w:val="24"/>
        </w:rPr>
        <w:t>B</w:t>
      </w:r>
      <w:r w:rsidRPr="00B348F3">
        <w:rPr>
          <w:rFonts w:ascii="Times New Roman" w:hAnsi="Times New Roman"/>
          <w:color w:val="000000"/>
          <w:sz w:val="24"/>
          <w:szCs w:val="24"/>
          <w:lang w:val="en-ID"/>
        </w:rPr>
        <w:t xml:space="preserve">erdasarkan data empirik diperoleh skor minimum sebesar </w:t>
      </w:r>
      <w:r w:rsidRPr="00B348F3">
        <w:rPr>
          <w:rFonts w:ascii="Times New Roman" w:hAnsi="Times New Roman"/>
          <w:color w:val="000000"/>
          <w:sz w:val="24"/>
          <w:szCs w:val="24"/>
          <w:lang w:val="id-ID"/>
        </w:rPr>
        <w:t>44</w:t>
      </w:r>
      <w:r w:rsidRPr="00B348F3">
        <w:rPr>
          <w:rFonts w:ascii="Times New Roman" w:hAnsi="Times New Roman"/>
          <w:color w:val="000000"/>
          <w:sz w:val="24"/>
          <w:szCs w:val="24"/>
          <w:lang w:val="en-ID"/>
        </w:rPr>
        <w:t xml:space="preserve"> dan skor maksimum sebesar </w:t>
      </w:r>
      <w:r w:rsidRPr="00B348F3">
        <w:rPr>
          <w:rFonts w:ascii="Times New Roman" w:hAnsi="Times New Roman"/>
          <w:color w:val="000000"/>
          <w:sz w:val="24"/>
          <w:szCs w:val="24"/>
          <w:lang w:val="id-ID"/>
        </w:rPr>
        <w:t>99</w:t>
      </w:r>
      <w:r w:rsidRPr="00B348F3">
        <w:rPr>
          <w:rFonts w:ascii="Times New Roman" w:hAnsi="Times New Roman"/>
          <w:color w:val="000000"/>
          <w:sz w:val="24"/>
          <w:szCs w:val="24"/>
          <w:lang w:val="en-ID"/>
        </w:rPr>
        <w:t xml:space="preserve">. Rerata empirik sebesar </w:t>
      </w:r>
      <w:r w:rsidRPr="00B348F3">
        <w:rPr>
          <w:rFonts w:ascii="Times New Roman" w:hAnsi="Times New Roman"/>
          <w:color w:val="000000"/>
          <w:sz w:val="24"/>
          <w:szCs w:val="24"/>
          <w:lang w:val="id-ID"/>
        </w:rPr>
        <w:t>123.83</w:t>
      </w:r>
      <w:r w:rsidRPr="00B348F3">
        <w:rPr>
          <w:rFonts w:ascii="Times New Roman" w:hAnsi="Times New Roman"/>
          <w:color w:val="000000"/>
          <w:sz w:val="24"/>
          <w:szCs w:val="24"/>
          <w:lang w:val="en-ID"/>
        </w:rPr>
        <w:t xml:space="preserve"> dengan standar deviasi </w:t>
      </w:r>
      <w:r w:rsidRPr="00B348F3">
        <w:rPr>
          <w:rFonts w:ascii="Times New Roman" w:hAnsi="Times New Roman"/>
          <w:color w:val="000000"/>
          <w:sz w:val="24"/>
          <w:szCs w:val="24"/>
          <w:lang w:val="id-ID"/>
        </w:rPr>
        <w:t>12.342.</w:t>
      </w:r>
      <w:r w:rsidRPr="00B348F3">
        <w:rPr>
          <w:rFonts w:ascii="Times New Roman" w:hAnsi="Times New Roman"/>
          <w:color w:val="000000"/>
          <w:sz w:val="24"/>
          <w:szCs w:val="24"/>
          <w:lang w:val="en-ID"/>
        </w:rPr>
        <w:t xml:space="preserve"> </w:t>
      </w:r>
    </w:p>
    <w:p w:rsidR="007B7B11" w:rsidRPr="00B348F3" w:rsidRDefault="007B7B11" w:rsidP="00B348F3">
      <w:pPr>
        <w:spacing w:line="360" w:lineRule="auto"/>
        <w:ind w:firstLine="720"/>
        <w:rPr>
          <w:rFonts w:ascii="Times New Roman" w:hAnsi="Times New Roman"/>
          <w:b/>
          <w:lang w:val="id-ID"/>
        </w:rPr>
      </w:pPr>
      <w:r w:rsidRPr="00B348F3">
        <w:rPr>
          <w:rFonts w:ascii="Times New Roman" w:hAnsi="Times New Roman"/>
        </w:rPr>
        <w:t>Menurut Azwar (2015</w:t>
      </w:r>
      <w:r w:rsidRPr="00B348F3">
        <w:rPr>
          <w:rFonts w:ascii="Times New Roman" w:hAnsi="Times New Roman"/>
        </w:rPr>
        <w:t>), untuk mengetahui variabel-variabel penelitian pada subjek yang termasuk tinggi atau rendah dapat dilakukan dengan membuat kriteria kategorisasi. Kategorisasi skor jawaban subjek dalam penelitian ini menggunakan tiga kriteria yaitu tinggi, sedang, rendah.</w:t>
      </w:r>
      <w:bookmarkStart w:id="0" w:name="_Toc77419271"/>
    </w:p>
    <w:p w:rsidR="007B7B11" w:rsidRPr="00B348F3" w:rsidRDefault="007B7B11" w:rsidP="00B348F3">
      <w:pPr>
        <w:spacing w:line="360" w:lineRule="auto"/>
        <w:ind w:firstLine="720"/>
        <w:jc w:val="center"/>
        <w:rPr>
          <w:rFonts w:ascii="Times New Roman" w:hAnsi="Times New Roman"/>
        </w:rPr>
      </w:pPr>
      <w:r w:rsidRPr="00B348F3">
        <w:rPr>
          <w:rFonts w:ascii="Times New Roman" w:hAnsi="Times New Roman"/>
          <w:b/>
        </w:rPr>
        <w:t>Tabel 1. Kategorisasi Skala Persepsi Dukungan Atasan</w:t>
      </w:r>
      <w:bookmarkEnd w:id="0"/>
    </w:p>
    <w:tbl>
      <w:tblPr>
        <w:tblW w:w="8364" w:type="dxa"/>
        <w:jc w:val="center"/>
        <w:tblLayout w:type="fixed"/>
        <w:tblLook w:val="04A0" w:firstRow="1" w:lastRow="0" w:firstColumn="1" w:lastColumn="0" w:noHBand="0" w:noVBand="1"/>
      </w:tblPr>
      <w:tblGrid>
        <w:gridCol w:w="1702"/>
        <w:gridCol w:w="3260"/>
        <w:gridCol w:w="1417"/>
        <w:gridCol w:w="709"/>
        <w:gridCol w:w="1276"/>
      </w:tblGrid>
      <w:tr w:rsidR="007B7B11" w:rsidRPr="00B348F3" w:rsidTr="00B348F3">
        <w:trPr>
          <w:trHeight w:val="337"/>
          <w:jc w:val="center"/>
        </w:trPr>
        <w:tc>
          <w:tcPr>
            <w:tcW w:w="1702" w:type="dxa"/>
            <w:tcBorders>
              <w:top w:val="single" w:sz="4" w:space="0" w:color="auto"/>
              <w:left w:val="nil"/>
              <w:bottom w:val="single" w:sz="4" w:space="0" w:color="auto"/>
              <w:right w:val="nil"/>
            </w:tcBorders>
          </w:tcPr>
          <w:p w:rsidR="007B7B11" w:rsidRPr="00B348F3" w:rsidRDefault="007B7B11" w:rsidP="00B348F3">
            <w:pPr>
              <w:spacing w:line="360" w:lineRule="auto"/>
              <w:jc w:val="center"/>
              <w:rPr>
                <w:rFonts w:ascii="Times New Roman" w:hAnsi="Times New Roman"/>
                <w:color w:val="000000"/>
              </w:rPr>
            </w:pPr>
            <w:r w:rsidRPr="00B348F3">
              <w:rPr>
                <w:rFonts w:ascii="Times New Roman" w:hAnsi="Times New Roman"/>
                <w:color w:val="000000"/>
              </w:rPr>
              <w:t>Kategori</w:t>
            </w:r>
          </w:p>
        </w:tc>
        <w:tc>
          <w:tcPr>
            <w:tcW w:w="3260" w:type="dxa"/>
            <w:tcBorders>
              <w:top w:val="single" w:sz="4" w:space="0" w:color="auto"/>
              <w:left w:val="nil"/>
              <w:bottom w:val="single" w:sz="4" w:space="0" w:color="auto"/>
              <w:right w:val="nil"/>
            </w:tcBorders>
          </w:tcPr>
          <w:p w:rsidR="007B7B11" w:rsidRPr="00B348F3" w:rsidRDefault="007B7B11" w:rsidP="00B348F3">
            <w:pPr>
              <w:spacing w:line="360" w:lineRule="auto"/>
              <w:jc w:val="center"/>
              <w:rPr>
                <w:rFonts w:ascii="Times New Roman" w:hAnsi="Times New Roman"/>
                <w:color w:val="000000"/>
              </w:rPr>
            </w:pPr>
            <w:r w:rsidRPr="00B348F3">
              <w:rPr>
                <w:rFonts w:ascii="Times New Roman" w:hAnsi="Times New Roman"/>
                <w:color w:val="000000"/>
              </w:rPr>
              <w:t>Pedoman</w:t>
            </w:r>
          </w:p>
        </w:tc>
        <w:tc>
          <w:tcPr>
            <w:tcW w:w="1417" w:type="dxa"/>
            <w:tcBorders>
              <w:top w:val="single" w:sz="4" w:space="0" w:color="auto"/>
              <w:left w:val="nil"/>
              <w:bottom w:val="single" w:sz="4" w:space="0" w:color="auto"/>
              <w:right w:val="nil"/>
            </w:tcBorders>
          </w:tcPr>
          <w:p w:rsidR="007B7B11" w:rsidRPr="00B348F3" w:rsidRDefault="007B7B11" w:rsidP="00B348F3">
            <w:pPr>
              <w:spacing w:line="360" w:lineRule="auto"/>
              <w:jc w:val="center"/>
              <w:rPr>
                <w:rFonts w:ascii="Times New Roman" w:hAnsi="Times New Roman"/>
                <w:color w:val="000000"/>
              </w:rPr>
            </w:pPr>
            <w:r w:rsidRPr="00B348F3">
              <w:rPr>
                <w:rFonts w:ascii="Times New Roman" w:hAnsi="Times New Roman"/>
                <w:color w:val="000000"/>
              </w:rPr>
              <w:t>Skor</w:t>
            </w:r>
          </w:p>
        </w:tc>
        <w:tc>
          <w:tcPr>
            <w:tcW w:w="709" w:type="dxa"/>
            <w:tcBorders>
              <w:top w:val="single" w:sz="4" w:space="0" w:color="auto"/>
              <w:left w:val="nil"/>
              <w:bottom w:val="single" w:sz="4" w:space="0" w:color="auto"/>
              <w:right w:val="nil"/>
            </w:tcBorders>
          </w:tcPr>
          <w:p w:rsidR="007B7B11" w:rsidRPr="00B348F3" w:rsidRDefault="007B7B11" w:rsidP="00B348F3">
            <w:pPr>
              <w:spacing w:line="360" w:lineRule="auto"/>
              <w:jc w:val="center"/>
              <w:rPr>
                <w:rFonts w:ascii="Times New Roman" w:hAnsi="Times New Roman"/>
                <w:color w:val="000000"/>
              </w:rPr>
            </w:pPr>
            <w:r w:rsidRPr="00B348F3">
              <w:rPr>
                <w:rFonts w:ascii="Times New Roman" w:hAnsi="Times New Roman"/>
                <w:color w:val="000000"/>
              </w:rPr>
              <w:t>N</w:t>
            </w:r>
          </w:p>
        </w:tc>
        <w:tc>
          <w:tcPr>
            <w:tcW w:w="1276" w:type="dxa"/>
            <w:tcBorders>
              <w:top w:val="single" w:sz="4" w:space="0" w:color="auto"/>
              <w:left w:val="nil"/>
              <w:bottom w:val="single" w:sz="4" w:space="0" w:color="auto"/>
              <w:right w:val="nil"/>
            </w:tcBorders>
          </w:tcPr>
          <w:p w:rsidR="007B7B11" w:rsidRPr="00B348F3" w:rsidRDefault="007B7B11" w:rsidP="00B348F3">
            <w:pPr>
              <w:spacing w:line="360" w:lineRule="auto"/>
              <w:jc w:val="center"/>
              <w:rPr>
                <w:rFonts w:ascii="Times New Roman" w:hAnsi="Times New Roman"/>
                <w:color w:val="000000"/>
              </w:rPr>
            </w:pPr>
            <w:r w:rsidRPr="00B348F3">
              <w:rPr>
                <w:rFonts w:ascii="Times New Roman" w:hAnsi="Times New Roman"/>
                <w:color w:val="000000"/>
              </w:rPr>
              <w:t>Persentase</w:t>
            </w:r>
          </w:p>
        </w:tc>
      </w:tr>
      <w:tr w:rsidR="007B7B11" w:rsidRPr="00B348F3" w:rsidTr="00B348F3">
        <w:trPr>
          <w:trHeight w:val="278"/>
          <w:jc w:val="center"/>
        </w:trPr>
        <w:tc>
          <w:tcPr>
            <w:tcW w:w="1702" w:type="dxa"/>
            <w:tcBorders>
              <w:top w:val="single" w:sz="4" w:space="0" w:color="auto"/>
              <w:left w:val="nil"/>
              <w:bottom w:val="nil"/>
              <w:right w:val="nil"/>
            </w:tcBorders>
          </w:tcPr>
          <w:p w:rsidR="007B7B11" w:rsidRPr="00B348F3" w:rsidRDefault="007B7B11" w:rsidP="00B348F3">
            <w:pPr>
              <w:spacing w:line="360" w:lineRule="auto"/>
              <w:rPr>
                <w:rFonts w:ascii="Times New Roman" w:hAnsi="Times New Roman"/>
                <w:color w:val="000000"/>
              </w:rPr>
            </w:pPr>
            <w:r w:rsidRPr="00B348F3">
              <w:rPr>
                <w:rFonts w:ascii="Times New Roman" w:hAnsi="Times New Roman"/>
                <w:color w:val="000000"/>
              </w:rPr>
              <w:t>Tinggi</w:t>
            </w:r>
          </w:p>
        </w:tc>
        <w:tc>
          <w:tcPr>
            <w:tcW w:w="3260" w:type="dxa"/>
            <w:tcBorders>
              <w:top w:val="single" w:sz="4" w:space="0" w:color="auto"/>
              <w:left w:val="nil"/>
              <w:bottom w:val="nil"/>
              <w:right w:val="nil"/>
            </w:tcBorders>
          </w:tcPr>
          <w:p w:rsidR="007B7B11" w:rsidRPr="00B348F3" w:rsidRDefault="007B7B11" w:rsidP="00B348F3">
            <w:pPr>
              <w:spacing w:line="360" w:lineRule="auto"/>
              <w:jc w:val="center"/>
              <w:rPr>
                <w:rFonts w:ascii="Times New Roman" w:hAnsi="Times New Roman"/>
                <w:color w:val="000000"/>
                <w:lang w:val="en-ID"/>
              </w:rPr>
            </w:pPr>
            <w:r w:rsidRPr="00B348F3">
              <w:rPr>
                <w:rFonts w:ascii="Cambria Math" w:hAnsi="Cambria Math" w:cs="Cambria Math"/>
                <w:color w:val="000000"/>
              </w:rPr>
              <w:t>𝑋</w:t>
            </w:r>
            <w:r w:rsidRPr="00B348F3">
              <w:rPr>
                <w:rFonts w:ascii="Times New Roman" w:hAnsi="Times New Roman"/>
                <w:color w:val="000000"/>
              </w:rPr>
              <w:t xml:space="preserve"> </w:t>
            </w:r>
            <w:r w:rsidRPr="00B348F3">
              <w:rPr>
                <w:rFonts w:ascii="Times New Roman" w:hAnsi="Times New Roman"/>
                <w:color w:val="000000"/>
                <w:lang w:val="en-ID"/>
              </w:rPr>
              <w:t>&gt;</w:t>
            </w:r>
            <w:r w:rsidRPr="00B348F3">
              <w:rPr>
                <w:rFonts w:ascii="Times New Roman" w:hAnsi="Times New Roman"/>
                <w:color w:val="000000"/>
              </w:rPr>
              <w:t xml:space="preserve"> ( </w:t>
            </w:r>
            <w:r w:rsidRPr="00B348F3">
              <w:rPr>
                <w:rFonts w:ascii="Cambria Math" w:hAnsi="Cambria Math" w:cs="Cambria Math"/>
                <w:color w:val="000000"/>
              </w:rPr>
              <w:t>𝜇</w:t>
            </w:r>
            <w:r w:rsidRPr="00B348F3">
              <w:rPr>
                <w:rFonts w:ascii="Times New Roman" w:hAnsi="Times New Roman"/>
                <w:color w:val="000000"/>
              </w:rPr>
              <w:t xml:space="preserve"> + 1 </w:t>
            </w:r>
            <w:r w:rsidRPr="00B348F3">
              <w:rPr>
                <w:rFonts w:ascii="Cambria Math" w:hAnsi="Cambria Math" w:cs="Cambria Math"/>
                <w:color w:val="000000"/>
              </w:rPr>
              <w:t>𝜎</w:t>
            </w:r>
            <w:r w:rsidRPr="00B348F3">
              <w:rPr>
                <w:rFonts w:ascii="Times New Roman" w:hAnsi="Times New Roman"/>
                <w:color w:val="000000"/>
                <w:lang w:val="en-ID"/>
              </w:rPr>
              <w:t>)</w:t>
            </w:r>
          </w:p>
        </w:tc>
        <w:tc>
          <w:tcPr>
            <w:tcW w:w="1417" w:type="dxa"/>
            <w:tcBorders>
              <w:top w:val="single" w:sz="4" w:space="0" w:color="auto"/>
              <w:left w:val="nil"/>
              <w:bottom w:val="nil"/>
              <w:right w:val="nil"/>
            </w:tcBorders>
          </w:tcPr>
          <w:p w:rsidR="007B7B11" w:rsidRPr="00B348F3" w:rsidRDefault="007B7B11" w:rsidP="00B348F3">
            <w:pPr>
              <w:spacing w:line="360" w:lineRule="auto"/>
              <w:jc w:val="center"/>
              <w:rPr>
                <w:rFonts w:ascii="Times New Roman" w:hAnsi="Times New Roman"/>
                <w:color w:val="000000"/>
              </w:rPr>
            </w:pPr>
            <w:r w:rsidRPr="00B348F3">
              <w:rPr>
                <w:rFonts w:ascii="Times New Roman" w:hAnsi="Times New Roman"/>
                <w:color w:val="000000"/>
              </w:rPr>
              <w:t xml:space="preserve">X </w:t>
            </w:r>
            <w:r w:rsidRPr="00B348F3">
              <w:rPr>
                <w:rFonts w:ascii="Times New Roman" w:hAnsi="Times New Roman"/>
                <w:color w:val="000000"/>
                <w:lang w:val="en-ID"/>
              </w:rPr>
              <w:t>&gt;</w:t>
            </w:r>
            <w:r w:rsidRPr="00B348F3">
              <w:rPr>
                <w:rFonts w:ascii="Times New Roman" w:hAnsi="Times New Roman"/>
                <w:color w:val="000000"/>
              </w:rPr>
              <w:t xml:space="preserve"> 132</w:t>
            </w:r>
          </w:p>
        </w:tc>
        <w:tc>
          <w:tcPr>
            <w:tcW w:w="709" w:type="dxa"/>
            <w:tcBorders>
              <w:top w:val="single" w:sz="4" w:space="0" w:color="auto"/>
              <w:left w:val="nil"/>
              <w:bottom w:val="nil"/>
              <w:right w:val="nil"/>
            </w:tcBorders>
          </w:tcPr>
          <w:p w:rsidR="007B7B11" w:rsidRPr="00B348F3" w:rsidRDefault="007B7B11" w:rsidP="00B348F3">
            <w:pPr>
              <w:spacing w:line="360" w:lineRule="auto"/>
              <w:jc w:val="center"/>
              <w:rPr>
                <w:rFonts w:ascii="Times New Roman" w:hAnsi="Times New Roman"/>
                <w:color w:val="000000"/>
              </w:rPr>
            </w:pPr>
            <w:r w:rsidRPr="00B348F3">
              <w:rPr>
                <w:rFonts w:ascii="Times New Roman" w:hAnsi="Times New Roman"/>
                <w:color w:val="000000"/>
              </w:rPr>
              <w:t>26</w:t>
            </w:r>
          </w:p>
        </w:tc>
        <w:tc>
          <w:tcPr>
            <w:tcW w:w="1276" w:type="dxa"/>
            <w:tcBorders>
              <w:top w:val="single" w:sz="4" w:space="0" w:color="auto"/>
              <w:left w:val="nil"/>
              <w:bottom w:val="nil"/>
              <w:right w:val="nil"/>
            </w:tcBorders>
          </w:tcPr>
          <w:p w:rsidR="007B7B11" w:rsidRPr="00B348F3" w:rsidRDefault="007B7B11" w:rsidP="00B348F3">
            <w:pPr>
              <w:spacing w:line="360" w:lineRule="auto"/>
              <w:jc w:val="center"/>
              <w:rPr>
                <w:rFonts w:ascii="Times New Roman" w:hAnsi="Times New Roman"/>
                <w:color w:val="000000"/>
                <w:lang w:val="en-ID"/>
              </w:rPr>
            </w:pPr>
            <w:r w:rsidRPr="00B348F3">
              <w:rPr>
                <w:rFonts w:ascii="Times New Roman" w:hAnsi="Times New Roman"/>
                <w:color w:val="000000"/>
              </w:rPr>
              <w:t>29.9</w:t>
            </w:r>
            <w:r w:rsidRPr="00B348F3">
              <w:rPr>
                <w:rFonts w:ascii="Times New Roman" w:hAnsi="Times New Roman"/>
                <w:color w:val="000000"/>
                <w:lang w:val="en-ID"/>
              </w:rPr>
              <w:t>%</w:t>
            </w:r>
          </w:p>
        </w:tc>
      </w:tr>
      <w:tr w:rsidR="007B7B11" w:rsidRPr="00B348F3" w:rsidTr="00B348F3">
        <w:trPr>
          <w:trHeight w:val="301"/>
          <w:jc w:val="center"/>
        </w:trPr>
        <w:tc>
          <w:tcPr>
            <w:tcW w:w="1702" w:type="dxa"/>
            <w:tcBorders>
              <w:top w:val="nil"/>
              <w:left w:val="nil"/>
              <w:bottom w:val="nil"/>
              <w:right w:val="nil"/>
            </w:tcBorders>
          </w:tcPr>
          <w:p w:rsidR="007B7B11" w:rsidRPr="00B348F3" w:rsidRDefault="007B7B11" w:rsidP="00B348F3">
            <w:pPr>
              <w:spacing w:line="360" w:lineRule="auto"/>
              <w:rPr>
                <w:rFonts w:ascii="Times New Roman" w:hAnsi="Times New Roman"/>
                <w:color w:val="000000"/>
              </w:rPr>
            </w:pPr>
            <w:r w:rsidRPr="00B348F3">
              <w:rPr>
                <w:rFonts w:ascii="Times New Roman" w:hAnsi="Times New Roman"/>
                <w:color w:val="000000"/>
              </w:rPr>
              <w:t>Sedang</w:t>
            </w:r>
          </w:p>
        </w:tc>
        <w:tc>
          <w:tcPr>
            <w:tcW w:w="3260" w:type="dxa"/>
            <w:tcBorders>
              <w:top w:val="nil"/>
              <w:left w:val="nil"/>
              <w:bottom w:val="nil"/>
              <w:right w:val="nil"/>
            </w:tcBorders>
          </w:tcPr>
          <w:p w:rsidR="007B7B11" w:rsidRPr="00B348F3" w:rsidRDefault="007B7B11" w:rsidP="00B348F3">
            <w:pPr>
              <w:spacing w:line="360" w:lineRule="auto"/>
              <w:jc w:val="center"/>
              <w:rPr>
                <w:rFonts w:ascii="Times New Roman" w:hAnsi="Times New Roman"/>
                <w:color w:val="000000"/>
              </w:rPr>
            </w:pPr>
            <w:r w:rsidRPr="00B348F3">
              <w:rPr>
                <w:rFonts w:ascii="Times New Roman" w:hAnsi="Times New Roman"/>
                <w:color w:val="000000"/>
              </w:rPr>
              <w:t>(</w:t>
            </w:r>
            <w:r w:rsidRPr="00B348F3">
              <w:rPr>
                <w:rFonts w:ascii="Cambria Math" w:hAnsi="Cambria Math" w:cs="Cambria Math"/>
                <w:color w:val="000000"/>
              </w:rPr>
              <w:t>𝜇</w:t>
            </w:r>
            <w:r w:rsidRPr="00B348F3">
              <w:rPr>
                <w:rFonts w:ascii="Times New Roman" w:hAnsi="Times New Roman"/>
                <w:color w:val="000000"/>
              </w:rPr>
              <w:t xml:space="preserve"> – 1 </w:t>
            </w:r>
            <w:r w:rsidRPr="00B348F3">
              <w:rPr>
                <w:rFonts w:ascii="Cambria Math" w:hAnsi="Cambria Math" w:cs="Cambria Math"/>
                <w:color w:val="000000"/>
              </w:rPr>
              <w:t>𝜎</w:t>
            </w:r>
            <w:r w:rsidRPr="00B348F3">
              <w:rPr>
                <w:rFonts w:ascii="Times New Roman" w:hAnsi="Times New Roman"/>
                <w:color w:val="000000"/>
              </w:rPr>
              <w:t xml:space="preserve">) &lt; </w:t>
            </w:r>
            <w:r w:rsidRPr="00B348F3">
              <w:rPr>
                <w:rFonts w:ascii="Cambria Math" w:hAnsi="Cambria Math" w:cs="Cambria Math"/>
                <w:color w:val="000000"/>
              </w:rPr>
              <w:t>𝑋</w:t>
            </w:r>
            <w:r w:rsidRPr="00B348F3">
              <w:rPr>
                <w:rFonts w:ascii="Times New Roman" w:hAnsi="Times New Roman"/>
                <w:color w:val="000000"/>
              </w:rPr>
              <w:t xml:space="preserve"> ≤ (</w:t>
            </w:r>
            <w:r w:rsidRPr="00B348F3">
              <w:rPr>
                <w:rFonts w:ascii="Cambria Math" w:hAnsi="Cambria Math" w:cs="Cambria Math"/>
                <w:color w:val="000000"/>
              </w:rPr>
              <w:t>𝜇</w:t>
            </w:r>
            <w:r w:rsidRPr="00B348F3">
              <w:rPr>
                <w:rFonts w:ascii="Times New Roman" w:hAnsi="Times New Roman"/>
                <w:color w:val="000000"/>
              </w:rPr>
              <w:t xml:space="preserve"> + 1 </w:t>
            </w:r>
            <w:r w:rsidRPr="00B348F3">
              <w:rPr>
                <w:rFonts w:ascii="Cambria Math" w:hAnsi="Cambria Math" w:cs="Cambria Math"/>
                <w:color w:val="000000"/>
              </w:rPr>
              <w:t>𝜎</w:t>
            </w:r>
            <w:r w:rsidRPr="00B348F3">
              <w:rPr>
                <w:rFonts w:ascii="Times New Roman" w:hAnsi="Times New Roman"/>
                <w:color w:val="000000"/>
              </w:rPr>
              <w:t>)</w:t>
            </w:r>
          </w:p>
        </w:tc>
        <w:tc>
          <w:tcPr>
            <w:tcW w:w="1417" w:type="dxa"/>
            <w:tcBorders>
              <w:top w:val="nil"/>
              <w:left w:val="nil"/>
              <w:bottom w:val="nil"/>
              <w:right w:val="nil"/>
            </w:tcBorders>
          </w:tcPr>
          <w:p w:rsidR="007B7B11" w:rsidRPr="00B348F3" w:rsidRDefault="007B7B11" w:rsidP="00B348F3">
            <w:pPr>
              <w:spacing w:line="360" w:lineRule="auto"/>
              <w:ind w:left="-287"/>
              <w:jc w:val="center"/>
              <w:rPr>
                <w:rFonts w:ascii="Times New Roman" w:hAnsi="Times New Roman"/>
                <w:color w:val="000000"/>
              </w:rPr>
            </w:pPr>
            <w:r w:rsidRPr="00B348F3">
              <w:rPr>
                <w:rFonts w:ascii="Times New Roman" w:hAnsi="Times New Roman"/>
                <w:color w:val="000000"/>
                <w:lang w:val="en-ID"/>
              </w:rPr>
              <w:t xml:space="preserve"> </w:t>
            </w:r>
            <w:r w:rsidRPr="00B348F3">
              <w:rPr>
                <w:rFonts w:ascii="Times New Roman" w:hAnsi="Times New Roman"/>
                <w:color w:val="000000"/>
              </w:rPr>
              <w:t>88 &lt; X ≤ 132</w:t>
            </w:r>
          </w:p>
        </w:tc>
        <w:tc>
          <w:tcPr>
            <w:tcW w:w="709" w:type="dxa"/>
            <w:tcBorders>
              <w:top w:val="nil"/>
              <w:left w:val="nil"/>
              <w:bottom w:val="nil"/>
              <w:right w:val="nil"/>
            </w:tcBorders>
          </w:tcPr>
          <w:p w:rsidR="007B7B11" w:rsidRPr="00B348F3" w:rsidRDefault="007B7B11" w:rsidP="00B348F3">
            <w:pPr>
              <w:spacing w:line="360" w:lineRule="auto"/>
              <w:jc w:val="center"/>
              <w:rPr>
                <w:rFonts w:ascii="Times New Roman" w:hAnsi="Times New Roman"/>
                <w:color w:val="000000"/>
              </w:rPr>
            </w:pPr>
            <w:r w:rsidRPr="00B348F3">
              <w:rPr>
                <w:rFonts w:ascii="Times New Roman" w:hAnsi="Times New Roman"/>
                <w:color w:val="000000"/>
              </w:rPr>
              <w:t>53</w:t>
            </w:r>
          </w:p>
        </w:tc>
        <w:tc>
          <w:tcPr>
            <w:tcW w:w="1276" w:type="dxa"/>
            <w:tcBorders>
              <w:top w:val="nil"/>
              <w:left w:val="nil"/>
              <w:bottom w:val="nil"/>
              <w:right w:val="nil"/>
            </w:tcBorders>
          </w:tcPr>
          <w:p w:rsidR="007B7B11" w:rsidRPr="00B348F3" w:rsidRDefault="007B7B11" w:rsidP="00B348F3">
            <w:pPr>
              <w:spacing w:line="360" w:lineRule="auto"/>
              <w:jc w:val="center"/>
              <w:rPr>
                <w:rFonts w:ascii="Times New Roman" w:hAnsi="Times New Roman"/>
                <w:color w:val="000000"/>
                <w:lang w:val="en-ID"/>
              </w:rPr>
            </w:pPr>
            <w:r w:rsidRPr="00B348F3">
              <w:rPr>
                <w:rFonts w:ascii="Times New Roman" w:hAnsi="Times New Roman"/>
                <w:color w:val="000000"/>
              </w:rPr>
              <w:t>60.9</w:t>
            </w:r>
            <w:r w:rsidRPr="00B348F3">
              <w:rPr>
                <w:rFonts w:ascii="Times New Roman" w:hAnsi="Times New Roman"/>
                <w:color w:val="000000"/>
                <w:lang w:val="en-ID"/>
              </w:rPr>
              <w:t>%</w:t>
            </w:r>
          </w:p>
        </w:tc>
      </w:tr>
      <w:tr w:rsidR="007B7B11" w:rsidRPr="00B348F3" w:rsidTr="00B348F3">
        <w:trPr>
          <w:trHeight w:val="301"/>
          <w:jc w:val="center"/>
        </w:trPr>
        <w:tc>
          <w:tcPr>
            <w:tcW w:w="1702" w:type="dxa"/>
            <w:tcBorders>
              <w:top w:val="nil"/>
              <w:left w:val="nil"/>
              <w:bottom w:val="nil"/>
              <w:right w:val="nil"/>
            </w:tcBorders>
          </w:tcPr>
          <w:p w:rsidR="007B7B11" w:rsidRPr="00B348F3" w:rsidRDefault="007B7B11" w:rsidP="00B348F3">
            <w:pPr>
              <w:spacing w:line="360" w:lineRule="auto"/>
              <w:rPr>
                <w:rFonts w:ascii="Times New Roman" w:hAnsi="Times New Roman"/>
                <w:color w:val="000000"/>
              </w:rPr>
            </w:pPr>
            <w:r w:rsidRPr="00B348F3">
              <w:rPr>
                <w:rFonts w:ascii="Times New Roman" w:hAnsi="Times New Roman"/>
                <w:color w:val="000000"/>
              </w:rPr>
              <w:t>Rendah</w:t>
            </w:r>
          </w:p>
        </w:tc>
        <w:tc>
          <w:tcPr>
            <w:tcW w:w="3260" w:type="dxa"/>
            <w:tcBorders>
              <w:top w:val="nil"/>
              <w:left w:val="nil"/>
              <w:bottom w:val="nil"/>
              <w:right w:val="nil"/>
            </w:tcBorders>
          </w:tcPr>
          <w:p w:rsidR="007B7B11" w:rsidRPr="00B348F3" w:rsidRDefault="007B7B11" w:rsidP="00B348F3">
            <w:pPr>
              <w:spacing w:line="360" w:lineRule="auto"/>
              <w:jc w:val="center"/>
              <w:rPr>
                <w:rFonts w:ascii="Times New Roman" w:hAnsi="Times New Roman"/>
                <w:color w:val="000000"/>
              </w:rPr>
            </w:pPr>
            <w:r w:rsidRPr="00B348F3">
              <w:rPr>
                <w:rFonts w:ascii="Cambria Math" w:hAnsi="Cambria Math" w:cs="Cambria Math"/>
                <w:color w:val="000000"/>
              </w:rPr>
              <w:t>𝑋</w:t>
            </w:r>
            <w:r w:rsidRPr="00B348F3">
              <w:rPr>
                <w:rFonts w:ascii="Times New Roman" w:hAnsi="Times New Roman"/>
                <w:color w:val="000000"/>
              </w:rPr>
              <w:t xml:space="preserve"> ≤ (</w:t>
            </w:r>
            <w:r w:rsidRPr="00B348F3">
              <w:rPr>
                <w:rFonts w:ascii="Cambria Math" w:hAnsi="Cambria Math" w:cs="Cambria Math"/>
                <w:color w:val="000000"/>
              </w:rPr>
              <w:t>𝜇</w:t>
            </w:r>
            <w:r w:rsidRPr="00B348F3">
              <w:rPr>
                <w:rFonts w:ascii="Times New Roman" w:hAnsi="Times New Roman"/>
                <w:color w:val="000000"/>
              </w:rPr>
              <w:t xml:space="preserve"> – 1 </w:t>
            </w:r>
            <w:r w:rsidRPr="00B348F3">
              <w:rPr>
                <w:rFonts w:ascii="Cambria Math" w:hAnsi="Cambria Math" w:cs="Cambria Math"/>
                <w:color w:val="000000"/>
              </w:rPr>
              <w:t>𝜎</w:t>
            </w:r>
            <w:r w:rsidRPr="00B348F3">
              <w:rPr>
                <w:rFonts w:ascii="Times New Roman" w:hAnsi="Times New Roman"/>
                <w:color w:val="000000"/>
              </w:rPr>
              <w:t>)</w:t>
            </w:r>
          </w:p>
        </w:tc>
        <w:tc>
          <w:tcPr>
            <w:tcW w:w="1417" w:type="dxa"/>
            <w:tcBorders>
              <w:top w:val="nil"/>
              <w:left w:val="nil"/>
              <w:bottom w:val="nil"/>
              <w:right w:val="nil"/>
            </w:tcBorders>
          </w:tcPr>
          <w:p w:rsidR="007B7B11" w:rsidRPr="00B348F3" w:rsidRDefault="007B7B11" w:rsidP="00B348F3">
            <w:pPr>
              <w:spacing w:line="360" w:lineRule="auto"/>
              <w:jc w:val="center"/>
              <w:rPr>
                <w:rFonts w:ascii="Times New Roman" w:hAnsi="Times New Roman"/>
                <w:color w:val="000000"/>
              </w:rPr>
            </w:pPr>
            <w:r w:rsidRPr="00B348F3">
              <w:rPr>
                <w:rFonts w:ascii="Cambria Math" w:hAnsi="Cambria Math" w:cs="Cambria Math"/>
                <w:color w:val="000000"/>
              </w:rPr>
              <w:t>𝑋</w:t>
            </w:r>
            <w:r w:rsidRPr="00B348F3">
              <w:rPr>
                <w:rFonts w:ascii="Times New Roman" w:hAnsi="Times New Roman"/>
                <w:color w:val="000000"/>
              </w:rPr>
              <w:t xml:space="preserve"> ≤ 88</w:t>
            </w:r>
          </w:p>
        </w:tc>
        <w:tc>
          <w:tcPr>
            <w:tcW w:w="709" w:type="dxa"/>
            <w:tcBorders>
              <w:top w:val="nil"/>
              <w:left w:val="nil"/>
              <w:bottom w:val="nil"/>
              <w:right w:val="nil"/>
            </w:tcBorders>
          </w:tcPr>
          <w:p w:rsidR="007B7B11" w:rsidRPr="00B348F3" w:rsidRDefault="007B7B11" w:rsidP="00B348F3">
            <w:pPr>
              <w:spacing w:line="360" w:lineRule="auto"/>
              <w:jc w:val="center"/>
              <w:rPr>
                <w:rFonts w:ascii="Times New Roman" w:hAnsi="Times New Roman"/>
                <w:color w:val="000000"/>
              </w:rPr>
            </w:pPr>
            <w:r w:rsidRPr="00B348F3">
              <w:rPr>
                <w:rFonts w:ascii="Times New Roman" w:hAnsi="Times New Roman"/>
                <w:color w:val="000000"/>
              </w:rPr>
              <w:t>8</w:t>
            </w:r>
          </w:p>
        </w:tc>
        <w:tc>
          <w:tcPr>
            <w:tcW w:w="1276" w:type="dxa"/>
            <w:tcBorders>
              <w:top w:val="nil"/>
              <w:left w:val="nil"/>
              <w:bottom w:val="nil"/>
              <w:right w:val="nil"/>
            </w:tcBorders>
          </w:tcPr>
          <w:p w:rsidR="007B7B11" w:rsidRPr="00B348F3" w:rsidRDefault="007B7B11" w:rsidP="00B348F3">
            <w:pPr>
              <w:spacing w:line="360" w:lineRule="auto"/>
              <w:jc w:val="center"/>
              <w:rPr>
                <w:rFonts w:ascii="Times New Roman" w:hAnsi="Times New Roman"/>
                <w:color w:val="000000"/>
                <w:lang w:val="en-ID"/>
              </w:rPr>
            </w:pPr>
            <w:r w:rsidRPr="00B348F3">
              <w:rPr>
                <w:rFonts w:ascii="Times New Roman" w:hAnsi="Times New Roman"/>
                <w:color w:val="000000"/>
              </w:rPr>
              <w:t>9,2</w:t>
            </w:r>
            <w:r w:rsidRPr="00B348F3">
              <w:rPr>
                <w:rFonts w:ascii="Times New Roman" w:hAnsi="Times New Roman"/>
                <w:color w:val="000000"/>
                <w:lang w:val="en-ID"/>
              </w:rPr>
              <w:t>%</w:t>
            </w:r>
          </w:p>
        </w:tc>
      </w:tr>
      <w:tr w:rsidR="007B7B11" w:rsidRPr="00B348F3" w:rsidTr="00B348F3">
        <w:trPr>
          <w:trHeight w:val="294"/>
          <w:jc w:val="center"/>
        </w:trPr>
        <w:tc>
          <w:tcPr>
            <w:tcW w:w="1702" w:type="dxa"/>
            <w:tcBorders>
              <w:top w:val="single" w:sz="4" w:space="0" w:color="auto"/>
              <w:left w:val="nil"/>
              <w:bottom w:val="single" w:sz="4" w:space="0" w:color="auto"/>
              <w:right w:val="nil"/>
            </w:tcBorders>
          </w:tcPr>
          <w:p w:rsidR="007B7B11" w:rsidRPr="00B348F3" w:rsidRDefault="007B7B11" w:rsidP="00B348F3">
            <w:pPr>
              <w:spacing w:line="360" w:lineRule="auto"/>
              <w:jc w:val="center"/>
              <w:rPr>
                <w:rFonts w:ascii="Times New Roman" w:hAnsi="Times New Roman"/>
                <w:color w:val="000000"/>
              </w:rPr>
            </w:pPr>
          </w:p>
        </w:tc>
        <w:tc>
          <w:tcPr>
            <w:tcW w:w="3260" w:type="dxa"/>
            <w:tcBorders>
              <w:top w:val="single" w:sz="4" w:space="0" w:color="auto"/>
              <w:left w:val="nil"/>
              <w:bottom w:val="single" w:sz="4" w:space="0" w:color="auto"/>
              <w:right w:val="nil"/>
            </w:tcBorders>
          </w:tcPr>
          <w:p w:rsidR="007B7B11" w:rsidRPr="00B348F3" w:rsidRDefault="007B7B11" w:rsidP="00B348F3">
            <w:pPr>
              <w:spacing w:line="360" w:lineRule="auto"/>
              <w:jc w:val="center"/>
              <w:rPr>
                <w:rFonts w:ascii="Times New Roman" w:hAnsi="Times New Roman"/>
                <w:color w:val="000000"/>
              </w:rPr>
            </w:pPr>
          </w:p>
        </w:tc>
        <w:tc>
          <w:tcPr>
            <w:tcW w:w="1417" w:type="dxa"/>
            <w:tcBorders>
              <w:top w:val="single" w:sz="4" w:space="0" w:color="auto"/>
              <w:left w:val="nil"/>
              <w:bottom w:val="single" w:sz="4" w:space="0" w:color="auto"/>
              <w:right w:val="nil"/>
            </w:tcBorders>
          </w:tcPr>
          <w:p w:rsidR="007B7B11" w:rsidRPr="00B348F3" w:rsidRDefault="007B7B11" w:rsidP="00B348F3">
            <w:pPr>
              <w:spacing w:line="360" w:lineRule="auto"/>
              <w:jc w:val="center"/>
              <w:rPr>
                <w:rFonts w:ascii="Times New Roman" w:hAnsi="Times New Roman"/>
                <w:color w:val="000000"/>
              </w:rPr>
            </w:pPr>
            <w:r w:rsidRPr="00B348F3">
              <w:rPr>
                <w:rFonts w:ascii="Times New Roman" w:hAnsi="Times New Roman"/>
                <w:color w:val="000000"/>
              </w:rPr>
              <w:t>Total</w:t>
            </w:r>
          </w:p>
        </w:tc>
        <w:tc>
          <w:tcPr>
            <w:tcW w:w="709" w:type="dxa"/>
            <w:tcBorders>
              <w:top w:val="single" w:sz="4" w:space="0" w:color="auto"/>
              <w:left w:val="nil"/>
              <w:bottom w:val="single" w:sz="4" w:space="0" w:color="auto"/>
              <w:right w:val="nil"/>
            </w:tcBorders>
          </w:tcPr>
          <w:p w:rsidR="007B7B11" w:rsidRPr="00B348F3" w:rsidRDefault="007B7B11" w:rsidP="00B348F3">
            <w:pPr>
              <w:spacing w:line="360" w:lineRule="auto"/>
              <w:jc w:val="center"/>
              <w:rPr>
                <w:rFonts w:ascii="Times New Roman" w:hAnsi="Times New Roman"/>
                <w:color w:val="000000"/>
              </w:rPr>
            </w:pPr>
            <w:r w:rsidRPr="00B348F3">
              <w:rPr>
                <w:rFonts w:ascii="Times New Roman" w:hAnsi="Times New Roman"/>
                <w:color w:val="000000"/>
              </w:rPr>
              <w:t>87</w:t>
            </w:r>
          </w:p>
        </w:tc>
        <w:tc>
          <w:tcPr>
            <w:tcW w:w="1276" w:type="dxa"/>
            <w:tcBorders>
              <w:top w:val="single" w:sz="4" w:space="0" w:color="auto"/>
              <w:left w:val="nil"/>
              <w:bottom w:val="single" w:sz="4" w:space="0" w:color="auto"/>
              <w:right w:val="nil"/>
            </w:tcBorders>
          </w:tcPr>
          <w:p w:rsidR="007B7B11" w:rsidRPr="00B348F3" w:rsidRDefault="007B7B11" w:rsidP="00B348F3">
            <w:pPr>
              <w:spacing w:line="360" w:lineRule="auto"/>
              <w:jc w:val="center"/>
              <w:rPr>
                <w:rFonts w:ascii="Times New Roman" w:hAnsi="Times New Roman"/>
                <w:color w:val="000000"/>
              </w:rPr>
            </w:pPr>
            <w:r w:rsidRPr="00B348F3">
              <w:rPr>
                <w:rFonts w:ascii="Times New Roman" w:hAnsi="Times New Roman"/>
                <w:color w:val="000000"/>
              </w:rPr>
              <w:t>100%</w:t>
            </w:r>
          </w:p>
        </w:tc>
      </w:tr>
    </w:tbl>
    <w:p w:rsidR="007B7B11" w:rsidRPr="00B348F3" w:rsidRDefault="007B7B11" w:rsidP="00B348F3">
      <w:pPr>
        <w:spacing w:line="360" w:lineRule="auto"/>
        <w:ind w:firstLine="360"/>
        <w:rPr>
          <w:rFonts w:ascii="Times New Roman" w:hAnsi="Times New Roman"/>
          <w:color w:val="000000"/>
        </w:rPr>
      </w:pPr>
      <w:r w:rsidRPr="00B348F3">
        <w:rPr>
          <w:rFonts w:ascii="Times New Roman" w:hAnsi="Times New Roman"/>
          <w:color w:val="000000"/>
        </w:rPr>
        <w:t>Berdasarkan hasil kategorisasi skala persepsi dukungan atasan menunjukan bahwa subjek yang berada dalam kategori tinggi sebesar 29.9% (26 subjek), sedang 60.9% (53 subjek), dan rendah 9</w:t>
      </w:r>
      <w:proofErr w:type="gramStart"/>
      <w:r w:rsidRPr="00B348F3">
        <w:rPr>
          <w:rFonts w:ascii="Times New Roman" w:hAnsi="Times New Roman"/>
          <w:color w:val="000000"/>
        </w:rPr>
        <w:t>,2</w:t>
      </w:r>
      <w:proofErr w:type="gramEnd"/>
      <w:r w:rsidRPr="00B348F3">
        <w:rPr>
          <w:rFonts w:ascii="Times New Roman" w:hAnsi="Times New Roman"/>
          <w:color w:val="000000"/>
        </w:rPr>
        <w:t>% (8 subjek). Sehingga dapat disimpulkan bahwa sebagian besar subjek memiliki persepsi dukungan atasan dalam kategori sedang.</w:t>
      </w:r>
    </w:p>
    <w:p w:rsidR="007B7B11" w:rsidRPr="00B348F3" w:rsidRDefault="007B7B11" w:rsidP="00B348F3">
      <w:pPr>
        <w:spacing w:line="360" w:lineRule="auto"/>
        <w:ind w:left="360"/>
        <w:jc w:val="center"/>
        <w:rPr>
          <w:rFonts w:ascii="Times New Roman" w:hAnsi="Times New Roman"/>
          <w:b/>
          <w:i/>
        </w:rPr>
      </w:pPr>
      <w:bookmarkStart w:id="1" w:name="_Toc77419272"/>
      <w:r w:rsidRPr="00B348F3">
        <w:rPr>
          <w:rFonts w:ascii="Times New Roman" w:hAnsi="Times New Roman"/>
          <w:b/>
        </w:rPr>
        <w:t xml:space="preserve">Tabel 2. Kategorisasi Skala </w:t>
      </w:r>
      <w:r w:rsidRPr="00B348F3">
        <w:rPr>
          <w:rFonts w:ascii="Times New Roman" w:hAnsi="Times New Roman"/>
          <w:b/>
          <w:i/>
        </w:rPr>
        <w:t>Work Engagement</w:t>
      </w:r>
      <w:bookmarkEnd w:id="1"/>
    </w:p>
    <w:tbl>
      <w:tblPr>
        <w:tblW w:w="8364" w:type="dxa"/>
        <w:jc w:val="center"/>
        <w:tblLayout w:type="fixed"/>
        <w:tblLook w:val="04A0" w:firstRow="1" w:lastRow="0" w:firstColumn="1" w:lastColumn="0" w:noHBand="0" w:noVBand="1"/>
      </w:tblPr>
      <w:tblGrid>
        <w:gridCol w:w="1702"/>
        <w:gridCol w:w="3260"/>
        <w:gridCol w:w="1417"/>
        <w:gridCol w:w="709"/>
        <w:gridCol w:w="1276"/>
      </w:tblGrid>
      <w:tr w:rsidR="007B7B11" w:rsidRPr="00B348F3" w:rsidTr="00B348F3">
        <w:trPr>
          <w:trHeight w:val="337"/>
          <w:jc w:val="center"/>
        </w:trPr>
        <w:tc>
          <w:tcPr>
            <w:tcW w:w="1702" w:type="dxa"/>
            <w:tcBorders>
              <w:top w:val="single" w:sz="4" w:space="0" w:color="auto"/>
              <w:left w:val="nil"/>
              <w:bottom w:val="single" w:sz="4" w:space="0" w:color="auto"/>
              <w:right w:val="nil"/>
            </w:tcBorders>
          </w:tcPr>
          <w:p w:rsidR="007B7B11" w:rsidRPr="00B348F3" w:rsidRDefault="007B7B11" w:rsidP="00B348F3">
            <w:pPr>
              <w:spacing w:line="360" w:lineRule="auto"/>
              <w:jc w:val="center"/>
              <w:rPr>
                <w:rFonts w:ascii="Times New Roman" w:hAnsi="Times New Roman"/>
                <w:color w:val="000000"/>
              </w:rPr>
            </w:pPr>
            <w:r w:rsidRPr="00B348F3">
              <w:rPr>
                <w:rFonts w:ascii="Times New Roman" w:hAnsi="Times New Roman"/>
                <w:color w:val="000000"/>
              </w:rPr>
              <w:t>Kategori</w:t>
            </w:r>
          </w:p>
        </w:tc>
        <w:tc>
          <w:tcPr>
            <w:tcW w:w="3260" w:type="dxa"/>
            <w:tcBorders>
              <w:top w:val="single" w:sz="4" w:space="0" w:color="auto"/>
              <w:left w:val="nil"/>
              <w:bottom w:val="single" w:sz="4" w:space="0" w:color="auto"/>
              <w:right w:val="nil"/>
            </w:tcBorders>
          </w:tcPr>
          <w:p w:rsidR="007B7B11" w:rsidRPr="00B348F3" w:rsidRDefault="007B7B11" w:rsidP="00B348F3">
            <w:pPr>
              <w:spacing w:line="360" w:lineRule="auto"/>
              <w:jc w:val="center"/>
              <w:rPr>
                <w:rFonts w:ascii="Times New Roman" w:hAnsi="Times New Roman"/>
                <w:color w:val="000000"/>
              </w:rPr>
            </w:pPr>
            <w:r w:rsidRPr="00B348F3">
              <w:rPr>
                <w:rFonts w:ascii="Times New Roman" w:hAnsi="Times New Roman"/>
                <w:color w:val="000000"/>
              </w:rPr>
              <w:t>Pedoman</w:t>
            </w:r>
          </w:p>
        </w:tc>
        <w:tc>
          <w:tcPr>
            <w:tcW w:w="1417" w:type="dxa"/>
            <w:tcBorders>
              <w:top w:val="single" w:sz="4" w:space="0" w:color="auto"/>
              <w:left w:val="nil"/>
              <w:bottom w:val="single" w:sz="4" w:space="0" w:color="auto"/>
              <w:right w:val="nil"/>
            </w:tcBorders>
          </w:tcPr>
          <w:p w:rsidR="007B7B11" w:rsidRPr="00B348F3" w:rsidRDefault="007B7B11" w:rsidP="00B348F3">
            <w:pPr>
              <w:spacing w:line="360" w:lineRule="auto"/>
              <w:jc w:val="center"/>
              <w:rPr>
                <w:rFonts w:ascii="Times New Roman" w:hAnsi="Times New Roman"/>
                <w:color w:val="000000"/>
              </w:rPr>
            </w:pPr>
            <w:r w:rsidRPr="00B348F3">
              <w:rPr>
                <w:rFonts w:ascii="Times New Roman" w:hAnsi="Times New Roman"/>
                <w:color w:val="000000"/>
              </w:rPr>
              <w:t>Skor</w:t>
            </w:r>
          </w:p>
        </w:tc>
        <w:tc>
          <w:tcPr>
            <w:tcW w:w="709" w:type="dxa"/>
            <w:tcBorders>
              <w:top w:val="single" w:sz="4" w:space="0" w:color="auto"/>
              <w:left w:val="nil"/>
              <w:bottom w:val="single" w:sz="4" w:space="0" w:color="auto"/>
              <w:right w:val="nil"/>
            </w:tcBorders>
          </w:tcPr>
          <w:p w:rsidR="007B7B11" w:rsidRPr="00B348F3" w:rsidRDefault="007B7B11" w:rsidP="00B348F3">
            <w:pPr>
              <w:spacing w:line="360" w:lineRule="auto"/>
              <w:jc w:val="center"/>
              <w:rPr>
                <w:rFonts w:ascii="Times New Roman" w:hAnsi="Times New Roman"/>
                <w:color w:val="000000"/>
              </w:rPr>
            </w:pPr>
            <w:r w:rsidRPr="00B348F3">
              <w:rPr>
                <w:rFonts w:ascii="Times New Roman" w:hAnsi="Times New Roman"/>
                <w:color w:val="000000"/>
              </w:rPr>
              <w:t>N</w:t>
            </w:r>
          </w:p>
        </w:tc>
        <w:tc>
          <w:tcPr>
            <w:tcW w:w="1276" w:type="dxa"/>
            <w:tcBorders>
              <w:top w:val="single" w:sz="4" w:space="0" w:color="auto"/>
              <w:left w:val="nil"/>
              <w:bottom w:val="single" w:sz="4" w:space="0" w:color="auto"/>
              <w:right w:val="nil"/>
            </w:tcBorders>
          </w:tcPr>
          <w:p w:rsidR="007B7B11" w:rsidRPr="00B348F3" w:rsidRDefault="007B7B11" w:rsidP="00B348F3">
            <w:pPr>
              <w:spacing w:line="360" w:lineRule="auto"/>
              <w:jc w:val="center"/>
              <w:rPr>
                <w:rFonts w:ascii="Times New Roman" w:hAnsi="Times New Roman"/>
                <w:color w:val="000000"/>
              </w:rPr>
            </w:pPr>
            <w:r w:rsidRPr="00B348F3">
              <w:rPr>
                <w:rFonts w:ascii="Times New Roman" w:hAnsi="Times New Roman"/>
                <w:color w:val="000000"/>
              </w:rPr>
              <w:t>Persentase</w:t>
            </w:r>
          </w:p>
        </w:tc>
      </w:tr>
      <w:tr w:rsidR="007B7B11" w:rsidRPr="00B348F3" w:rsidTr="00B348F3">
        <w:trPr>
          <w:trHeight w:val="278"/>
          <w:jc w:val="center"/>
        </w:trPr>
        <w:tc>
          <w:tcPr>
            <w:tcW w:w="1702" w:type="dxa"/>
            <w:tcBorders>
              <w:top w:val="single" w:sz="4" w:space="0" w:color="auto"/>
              <w:left w:val="nil"/>
              <w:bottom w:val="nil"/>
              <w:right w:val="nil"/>
            </w:tcBorders>
          </w:tcPr>
          <w:p w:rsidR="007B7B11" w:rsidRPr="00B348F3" w:rsidRDefault="007B7B11" w:rsidP="00B348F3">
            <w:pPr>
              <w:spacing w:line="360" w:lineRule="auto"/>
              <w:rPr>
                <w:rFonts w:ascii="Times New Roman" w:hAnsi="Times New Roman"/>
                <w:color w:val="000000"/>
              </w:rPr>
            </w:pPr>
            <w:r w:rsidRPr="00B348F3">
              <w:rPr>
                <w:rFonts w:ascii="Times New Roman" w:hAnsi="Times New Roman"/>
                <w:color w:val="000000"/>
              </w:rPr>
              <w:t>Tinggi</w:t>
            </w:r>
          </w:p>
        </w:tc>
        <w:tc>
          <w:tcPr>
            <w:tcW w:w="3260" w:type="dxa"/>
            <w:tcBorders>
              <w:top w:val="single" w:sz="4" w:space="0" w:color="auto"/>
              <w:left w:val="nil"/>
              <w:bottom w:val="nil"/>
              <w:right w:val="nil"/>
            </w:tcBorders>
          </w:tcPr>
          <w:p w:rsidR="007B7B11" w:rsidRPr="00B348F3" w:rsidRDefault="007B7B11" w:rsidP="00B348F3">
            <w:pPr>
              <w:spacing w:line="360" w:lineRule="auto"/>
              <w:jc w:val="center"/>
              <w:rPr>
                <w:rFonts w:ascii="Times New Roman" w:hAnsi="Times New Roman"/>
                <w:color w:val="000000"/>
                <w:lang w:val="en-ID"/>
              </w:rPr>
            </w:pPr>
            <w:r w:rsidRPr="00B348F3">
              <w:rPr>
                <w:rFonts w:ascii="Cambria Math" w:hAnsi="Cambria Math" w:cs="Cambria Math"/>
                <w:color w:val="000000"/>
              </w:rPr>
              <w:t>𝑋</w:t>
            </w:r>
            <w:r w:rsidRPr="00B348F3">
              <w:rPr>
                <w:rFonts w:ascii="Times New Roman" w:hAnsi="Times New Roman"/>
                <w:color w:val="000000"/>
              </w:rPr>
              <w:t xml:space="preserve"> </w:t>
            </w:r>
            <w:r w:rsidRPr="00B348F3">
              <w:rPr>
                <w:rFonts w:ascii="Times New Roman" w:hAnsi="Times New Roman"/>
                <w:color w:val="000000"/>
                <w:lang w:val="en-ID"/>
              </w:rPr>
              <w:t>&gt;</w:t>
            </w:r>
            <w:r w:rsidRPr="00B348F3">
              <w:rPr>
                <w:rFonts w:ascii="Times New Roman" w:hAnsi="Times New Roman"/>
                <w:color w:val="000000"/>
              </w:rPr>
              <w:t xml:space="preserve"> ( </w:t>
            </w:r>
            <w:r w:rsidRPr="00B348F3">
              <w:rPr>
                <w:rFonts w:ascii="Cambria Math" w:hAnsi="Cambria Math" w:cs="Cambria Math"/>
                <w:color w:val="000000"/>
              </w:rPr>
              <w:t>𝜇</w:t>
            </w:r>
            <w:r w:rsidRPr="00B348F3">
              <w:rPr>
                <w:rFonts w:ascii="Times New Roman" w:hAnsi="Times New Roman"/>
                <w:color w:val="000000"/>
              </w:rPr>
              <w:t xml:space="preserve"> + 1 </w:t>
            </w:r>
            <w:r w:rsidRPr="00B348F3">
              <w:rPr>
                <w:rFonts w:ascii="Cambria Math" w:hAnsi="Cambria Math" w:cs="Cambria Math"/>
                <w:color w:val="000000"/>
              </w:rPr>
              <w:t>𝜎</w:t>
            </w:r>
            <w:r w:rsidRPr="00B348F3">
              <w:rPr>
                <w:rFonts w:ascii="Times New Roman" w:hAnsi="Times New Roman"/>
                <w:color w:val="000000"/>
                <w:lang w:val="en-ID"/>
              </w:rPr>
              <w:t>)</w:t>
            </w:r>
          </w:p>
        </w:tc>
        <w:tc>
          <w:tcPr>
            <w:tcW w:w="1417" w:type="dxa"/>
            <w:tcBorders>
              <w:top w:val="single" w:sz="4" w:space="0" w:color="auto"/>
              <w:left w:val="nil"/>
              <w:bottom w:val="nil"/>
              <w:right w:val="nil"/>
            </w:tcBorders>
          </w:tcPr>
          <w:p w:rsidR="007B7B11" w:rsidRPr="00B348F3" w:rsidRDefault="007B7B11" w:rsidP="00B348F3">
            <w:pPr>
              <w:spacing w:line="360" w:lineRule="auto"/>
              <w:jc w:val="center"/>
              <w:rPr>
                <w:rFonts w:ascii="Times New Roman" w:hAnsi="Times New Roman"/>
                <w:color w:val="000000"/>
              </w:rPr>
            </w:pPr>
            <w:r w:rsidRPr="00B348F3">
              <w:rPr>
                <w:rFonts w:ascii="Times New Roman" w:hAnsi="Times New Roman"/>
                <w:color w:val="000000"/>
              </w:rPr>
              <w:t xml:space="preserve">X </w:t>
            </w:r>
            <w:r w:rsidRPr="00B348F3">
              <w:rPr>
                <w:rFonts w:ascii="Times New Roman" w:hAnsi="Times New Roman"/>
                <w:color w:val="000000"/>
                <w:lang w:val="en-ID"/>
              </w:rPr>
              <w:t>&gt;</w:t>
            </w:r>
            <w:r w:rsidRPr="00B348F3">
              <w:rPr>
                <w:rFonts w:ascii="Times New Roman" w:hAnsi="Times New Roman"/>
                <w:color w:val="000000"/>
              </w:rPr>
              <w:t xml:space="preserve"> 81</w:t>
            </w:r>
          </w:p>
        </w:tc>
        <w:tc>
          <w:tcPr>
            <w:tcW w:w="709" w:type="dxa"/>
            <w:tcBorders>
              <w:top w:val="single" w:sz="4" w:space="0" w:color="auto"/>
              <w:left w:val="nil"/>
              <w:bottom w:val="nil"/>
              <w:right w:val="nil"/>
            </w:tcBorders>
          </w:tcPr>
          <w:p w:rsidR="007B7B11" w:rsidRPr="00B348F3" w:rsidRDefault="007B7B11" w:rsidP="00B348F3">
            <w:pPr>
              <w:spacing w:line="360" w:lineRule="auto"/>
              <w:jc w:val="center"/>
              <w:rPr>
                <w:rFonts w:ascii="Times New Roman" w:hAnsi="Times New Roman"/>
                <w:color w:val="000000"/>
              </w:rPr>
            </w:pPr>
            <w:r w:rsidRPr="00B348F3">
              <w:rPr>
                <w:rFonts w:ascii="Times New Roman" w:hAnsi="Times New Roman"/>
                <w:color w:val="000000"/>
              </w:rPr>
              <w:t>25</w:t>
            </w:r>
          </w:p>
        </w:tc>
        <w:tc>
          <w:tcPr>
            <w:tcW w:w="1276" w:type="dxa"/>
            <w:tcBorders>
              <w:top w:val="single" w:sz="4" w:space="0" w:color="auto"/>
              <w:left w:val="nil"/>
              <w:bottom w:val="nil"/>
              <w:right w:val="nil"/>
            </w:tcBorders>
          </w:tcPr>
          <w:p w:rsidR="007B7B11" w:rsidRPr="00B348F3" w:rsidRDefault="007B7B11" w:rsidP="00B348F3">
            <w:pPr>
              <w:spacing w:line="360" w:lineRule="auto"/>
              <w:jc w:val="center"/>
              <w:rPr>
                <w:rFonts w:ascii="Times New Roman" w:hAnsi="Times New Roman"/>
                <w:color w:val="000000"/>
                <w:lang w:val="en-ID"/>
              </w:rPr>
            </w:pPr>
            <w:r w:rsidRPr="00B348F3">
              <w:rPr>
                <w:rFonts w:ascii="Times New Roman" w:hAnsi="Times New Roman"/>
                <w:color w:val="000000"/>
              </w:rPr>
              <w:t>28.7</w:t>
            </w:r>
            <w:r w:rsidRPr="00B348F3">
              <w:rPr>
                <w:rFonts w:ascii="Times New Roman" w:hAnsi="Times New Roman"/>
                <w:color w:val="000000"/>
                <w:lang w:val="en-ID"/>
              </w:rPr>
              <w:t>%</w:t>
            </w:r>
          </w:p>
        </w:tc>
      </w:tr>
      <w:tr w:rsidR="007B7B11" w:rsidRPr="00B348F3" w:rsidTr="00B348F3">
        <w:trPr>
          <w:trHeight w:val="301"/>
          <w:jc w:val="center"/>
        </w:trPr>
        <w:tc>
          <w:tcPr>
            <w:tcW w:w="1702" w:type="dxa"/>
            <w:tcBorders>
              <w:top w:val="nil"/>
              <w:left w:val="nil"/>
              <w:bottom w:val="nil"/>
              <w:right w:val="nil"/>
            </w:tcBorders>
          </w:tcPr>
          <w:p w:rsidR="007B7B11" w:rsidRPr="00B348F3" w:rsidRDefault="007B7B11" w:rsidP="00B348F3">
            <w:pPr>
              <w:spacing w:line="360" w:lineRule="auto"/>
              <w:rPr>
                <w:rFonts w:ascii="Times New Roman" w:hAnsi="Times New Roman"/>
                <w:color w:val="000000"/>
              </w:rPr>
            </w:pPr>
            <w:r w:rsidRPr="00B348F3">
              <w:rPr>
                <w:rFonts w:ascii="Times New Roman" w:hAnsi="Times New Roman"/>
                <w:color w:val="000000"/>
              </w:rPr>
              <w:t>Sedang</w:t>
            </w:r>
          </w:p>
        </w:tc>
        <w:tc>
          <w:tcPr>
            <w:tcW w:w="3260" w:type="dxa"/>
            <w:tcBorders>
              <w:top w:val="nil"/>
              <w:left w:val="nil"/>
              <w:bottom w:val="nil"/>
              <w:right w:val="nil"/>
            </w:tcBorders>
          </w:tcPr>
          <w:p w:rsidR="007B7B11" w:rsidRPr="00B348F3" w:rsidRDefault="007B7B11" w:rsidP="00B348F3">
            <w:pPr>
              <w:spacing w:line="360" w:lineRule="auto"/>
              <w:jc w:val="center"/>
              <w:rPr>
                <w:rFonts w:ascii="Times New Roman" w:hAnsi="Times New Roman"/>
                <w:color w:val="000000"/>
              </w:rPr>
            </w:pPr>
            <w:r w:rsidRPr="00B348F3">
              <w:rPr>
                <w:rFonts w:ascii="Times New Roman" w:hAnsi="Times New Roman"/>
                <w:color w:val="000000"/>
              </w:rPr>
              <w:t>(</w:t>
            </w:r>
            <w:r w:rsidRPr="00B348F3">
              <w:rPr>
                <w:rFonts w:ascii="Cambria Math" w:hAnsi="Cambria Math" w:cs="Cambria Math"/>
                <w:color w:val="000000"/>
              </w:rPr>
              <w:t>𝜇</w:t>
            </w:r>
            <w:r w:rsidRPr="00B348F3">
              <w:rPr>
                <w:rFonts w:ascii="Times New Roman" w:hAnsi="Times New Roman"/>
                <w:color w:val="000000"/>
              </w:rPr>
              <w:t xml:space="preserve"> – 1 </w:t>
            </w:r>
            <w:r w:rsidRPr="00B348F3">
              <w:rPr>
                <w:rFonts w:ascii="Cambria Math" w:hAnsi="Cambria Math" w:cs="Cambria Math"/>
                <w:color w:val="000000"/>
              </w:rPr>
              <w:t>𝜎</w:t>
            </w:r>
            <w:r w:rsidRPr="00B348F3">
              <w:rPr>
                <w:rFonts w:ascii="Times New Roman" w:hAnsi="Times New Roman"/>
                <w:color w:val="000000"/>
              </w:rPr>
              <w:t xml:space="preserve">) &lt; </w:t>
            </w:r>
            <w:r w:rsidRPr="00B348F3">
              <w:rPr>
                <w:rFonts w:ascii="Cambria Math" w:hAnsi="Cambria Math" w:cs="Cambria Math"/>
                <w:color w:val="000000"/>
              </w:rPr>
              <w:t>𝑋</w:t>
            </w:r>
            <w:r w:rsidRPr="00B348F3">
              <w:rPr>
                <w:rFonts w:ascii="Times New Roman" w:hAnsi="Times New Roman"/>
                <w:color w:val="000000"/>
              </w:rPr>
              <w:t xml:space="preserve"> ≤ (</w:t>
            </w:r>
            <w:r w:rsidRPr="00B348F3">
              <w:rPr>
                <w:rFonts w:ascii="Cambria Math" w:hAnsi="Cambria Math" w:cs="Cambria Math"/>
                <w:color w:val="000000"/>
              </w:rPr>
              <w:t>𝜇</w:t>
            </w:r>
            <w:r w:rsidRPr="00B348F3">
              <w:rPr>
                <w:rFonts w:ascii="Times New Roman" w:hAnsi="Times New Roman"/>
                <w:color w:val="000000"/>
              </w:rPr>
              <w:t xml:space="preserve"> + 1 </w:t>
            </w:r>
            <w:r w:rsidRPr="00B348F3">
              <w:rPr>
                <w:rFonts w:ascii="Cambria Math" w:hAnsi="Cambria Math" w:cs="Cambria Math"/>
                <w:color w:val="000000"/>
              </w:rPr>
              <w:t>𝜎</w:t>
            </w:r>
            <w:r w:rsidRPr="00B348F3">
              <w:rPr>
                <w:rFonts w:ascii="Times New Roman" w:hAnsi="Times New Roman"/>
                <w:color w:val="000000"/>
              </w:rPr>
              <w:t>)</w:t>
            </w:r>
          </w:p>
        </w:tc>
        <w:tc>
          <w:tcPr>
            <w:tcW w:w="1417" w:type="dxa"/>
            <w:tcBorders>
              <w:top w:val="nil"/>
              <w:left w:val="nil"/>
              <w:bottom w:val="nil"/>
              <w:right w:val="nil"/>
            </w:tcBorders>
          </w:tcPr>
          <w:p w:rsidR="007B7B11" w:rsidRPr="00B348F3" w:rsidRDefault="007B7B11" w:rsidP="00B348F3">
            <w:pPr>
              <w:spacing w:line="360" w:lineRule="auto"/>
              <w:ind w:left="-287" w:right="-214"/>
              <w:jc w:val="center"/>
              <w:rPr>
                <w:rFonts w:ascii="Times New Roman" w:hAnsi="Times New Roman"/>
                <w:color w:val="000000"/>
              </w:rPr>
            </w:pPr>
            <w:r w:rsidRPr="00B348F3">
              <w:rPr>
                <w:rFonts w:ascii="Times New Roman" w:hAnsi="Times New Roman"/>
                <w:color w:val="000000"/>
                <w:lang w:val="en-ID"/>
              </w:rPr>
              <w:t xml:space="preserve"> </w:t>
            </w:r>
            <w:r w:rsidRPr="00B348F3">
              <w:rPr>
                <w:rFonts w:ascii="Times New Roman" w:hAnsi="Times New Roman"/>
                <w:color w:val="000000"/>
              </w:rPr>
              <w:t>54 &lt; X ≤ 81</w:t>
            </w:r>
          </w:p>
        </w:tc>
        <w:tc>
          <w:tcPr>
            <w:tcW w:w="709" w:type="dxa"/>
            <w:tcBorders>
              <w:top w:val="nil"/>
              <w:left w:val="nil"/>
              <w:bottom w:val="nil"/>
              <w:right w:val="nil"/>
            </w:tcBorders>
          </w:tcPr>
          <w:p w:rsidR="007B7B11" w:rsidRPr="00B348F3" w:rsidRDefault="007B7B11" w:rsidP="00B348F3">
            <w:pPr>
              <w:spacing w:line="360" w:lineRule="auto"/>
              <w:jc w:val="center"/>
              <w:rPr>
                <w:rFonts w:ascii="Times New Roman" w:hAnsi="Times New Roman"/>
                <w:color w:val="000000"/>
              </w:rPr>
            </w:pPr>
            <w:r w:rsidRPr="00B348F3">
              <w:rPr>
                <w:rFonts w:ascii="Times New Roman" w:hAnsi="Times New Roman"/>
                <w:color w:val="000000"/>
              </w:rPr>
              <w:t>57</w:t>
            </w:r>
          </w:p>
        </w:tc>
        <w:tc>
          <w:tcPr>
            <w:tcW w:w="1276" w:type="dxa"/>
            <w:tcBorders>
              <w:top w:val="nil"/>
              <w:left w:val="nil"/>
              <w:bottom w:val="nil"/>
              <w:right w:val="nil"/>
            </w:tcBorders>
          </w:tcPr>
          <w:p w:rsidR="007B7B11" w:rsidRPr="00B348F3" w:rsidRDefault="007B7B11" w:rsidP="00B348F3">
            <w:pPr>
              <w:spacing w:line="360" w:lineRule="auto"/>
              <w:jc w:val="center"/>
              <w:rPr>
                <w:rFonts w:ascii="Times New Roman" w:hAnsi="Times New Roman"/>
                <w:color w:val="000000"/>
                <w:lang w:val="en-ID"/>
              </w:rPr>
            </w:pPr>
            <w:r w:rsidRPr="00B348F3">
              <w:rPr>
                <w:rFonts w:ascii="Times New Roman" w:hAnsi="Times New Roman"/>
                <w:color w:val="000000"/>
              </w:rPr>
              <w:t>71.3</w:t>
            </w:r>
            <w:r w:rsidRPr="00B348F3">
              <w:rPr>
                <w:rFonts w:ascii="Times New Roman" w:hAnsi="Times New Roman"/>
                <w:color w:val="000000"/>
                <w:lang w:val="en-ID"/>
              </w:rPr>
              <w:t>%</w:t>
            </w:r>
          </w:p>
        </w:tc>
      </w:tr>
      <w:tr w:rsidR="007B7B11" w:rsidRPr="00B348F3" w:rsidTr="00B348F3">
        <w:trPr>
          <w:trHeight w:val="301"/>
          <w:jc w:val="center"/>
        </w:trPr>
        <w:tc>
          <w:tcPr>
            <w:tcW w:w="1702" w:type="dxa"/>
            <w:tcBorders>
              <w:top w:val="nil"/>
              <w:left w:val="nil"/>
              <w:bottom w:val="nil"/>
              <w:right w:val="nil"/>
            </w:tcBorders>
          </w:tcPr>
          <w:p w:rsidR="007B7B11" w:rsidRPr="00B348F3" w:rsidRDefault="007B7B11" w:rsidP="00B348F3">
            <w:pPr>
              <w:spacing w:line="360" w:lineRule="auto"/>
              <w:rPr>
                <w:rFonts w:ascii="Times New Roman" w:hAnsi="Times New Roman"/>
                <w:color w:val="000000"/>
              </w:rPr>
            </w:pPr>
            <w:r w:rsidRPr="00B348F3">
              <w:rPr>
                <w:rFonts w:ascii="Times New Roman" w:hAnsi="Times New Roman"/>
                <w:color w:val="000000"/>
              </w:rPr>
              <w:t>Rendah</w:t>
            </w:r>
          </w:p>
        </w:tc>
        <w:tc>
          <w:tcPr>
            <w:tcW w:w="3260" w:type="dxa"/>
            <w:tcBorders>
              <w:top w:val="nil"/>
              <w:left w:val="nil"/>
              <w:bottom w:val="nil"/>
              <w:right w:val="nil"/>
            </w:tcBorders>
          </w:tcPr>
          <w:p w:rsidR="007B7B11" w:rsidRPr="00B348F3" w:rsidRDefault="007B7B11" w:rsidP="00B348F3">
            <w:pPr>
              <w:spacing w:line="360" w:lineRule="auto"/>
              <w:jc w:val="center"/>
              <w:rPr>
                <w:rFonts w:ascii="Times New Roman" w:hAnsi="Times New Roman"/>
                <w:color w:val="000000"/>
              </w:rPr>
            </w:pPr>
            <w:r w:rsidRPr="00B348F3">
              <w:rPr>
                <w:rFonts w:ascii="Cambria Math" w:hAnsi="Cambria Math" w:cs="Cambria Math"/>
                <w:color w:val="000000"/>
              </w:rPr>
              <w:t>𝑋</w:t>
            </w:r>
            <w:r w:rsidRPr="00B348F3">
              <w:rPr>
                <w:rFonts w:ascii="Times New Roman" w:hAnsi="Times New Roman"/>
                <w:color w:val="000000"/>
              </w:rPr>
              <w:t xml:space="preserve"> ≤ (</w:t>
            </w:r>
            <w:r w:rsidRPr="00B348F3">
              <w:rPr>
                <w:rFonts w:ascii="Cambria Math" w:hAnsi="Cambria Math" w:cs="Cambria Math"/>
                <w:color w:val="000000"/>
              </w:rPr>
              <w:t>𝜇</w:t>
            </w:r>
            <w:r w:rsidRPr="00B348F3">
              <w:rPr>
                <w:rFonts w:ascii="Times New Roman" w:hAnsi="Times New Roman"/>
                <w:color w:val="000000"/>
              </w:rPr>
              <w:t xml:space="preserve"> – 1 </w:t>
            </w:r>
            <w:r w:rsidRPr="00B348F3">
              <w:rPr>
                <w:rFonts w:ascii="Cambria Math" w:hAnsi="Cambria Math" w:cs="Cambria Math"/>
                <w:color w:val="000000"/>
              </w:rPr>
              <w:t>𝜎</w:t>
            </w:r>
            <w:r w:rsidRPr="00B348F3">
              <w:rPr>
                <w:rFonts w:ascii="Times New Roman" w:hAnsi="Times New Roman"/>
                <w:color w:val="000000"/>
              </w:rPr>
              <w:t>)</w:t>
            </w:r>
          </w:p>
        </w:tc>
        <w:tc>
          <w:tcPr>
            <w:tcW w:w="1417" w:type="dxa"/>
            <w:tcBorders>
              <w:top w:val="nil"/>
              <w:left w:val="nil"/>
              <w:bottom w:val="nil"/>
              <w:right w:val="nil"/>
            </w:tcBorders>
          </w:tcPr>
          <w:p w:rsidR="007B7B11" w:rsidRPr="00B348F3" w:rsidRDefault="007B7B11" w:rsidP="00B348F3">
            <w:pPr>
              <w:spacing w:line="360" w:lineRule="auto"/>
              <w:jc w:val="center"/>
              <w:rPr>
                <w:rFonts w:ascii="Times New Roman" w:hAnsi="Times New Roman"/>
                <w:color w:val="000000"/>
              </w:rPr>
            </w:pPr>
            <w:r w:rsidRPr="00B348F3">
              <w:rPr>
                <w:rFonts w:ascii="Cambria Math" w:hAnsi="Cambria Math" w:cs="Cambria Math"/>
                <w:color w:val="000000"/>
              </w:rPr>
              <w:t>𝑋</w:t>
            </w:r>
            <w:r w:rsidRPr="00B348F3">
              <w:rPr>
                <w:rFonts w:ascii="Times New Roman" w:hAnsi="Times New Roman"/>
                <w:color w:val="000000"/>
              </w:rPr>
              <w:t xml:space="preserve"> ≤ 54</w:t>
            </w:r>
          </w:p>
        </w:tc>
        <w:tc>
          <w:tcPr>
            <w:tcW w:w="709" w:type="dxa"/>
            <w:tcBorders>
              <w:top w:val="nil"/>
              <w:left w:val="nil"/>
              <w:bottom w:val="nil"/>
              <w:right w:val="nil"/>
            </w:tcBorders>
          </w:tcPr>
          <w:p w:rsidR="007B7B11" w:rsidRPr="00B348F3" w:rsidRDefault="007B7B11" w:rsidP="00B348F3">
            <w:pPr>
              <w:spacing w:line="360" w:lineRule="auto"/>
              <w:jc w:val="center"/>
              <w:rPr>
                <w:rFonts w:ascii="Times New Roman" w:hAnsi="Times New Roman"/>
                <w:color w:val="000000"/>
              </w:rPr>
            </w:pPr>
            <w:r w:rsidRPr="00B348F3">
              <w:rPr>
                <w:rFonts w:ascii="Times New Roman" w:hAnsi="Times New Roman"/>
                <w:color w:val="000000"/>
              </w:rPr>
              <w:t>5</w:t>
            </w:r>
          </w:p>
        </w:tc>
        <w:tc>
          <w:tcPr>
            <w:tcW w:w="1276" w:type="dxa"/>
            <w:tcBorders>
              <w:top w:val="nil"/>
              <w:left w:val="nil"/>
              <w:bottom w:val="nil"/>
              <w:right w:val="nil"/>
            </w:tcBorders>
          </w:tcPr>
          <w:p w:rsidR="007B7B11" w:rsidRPr="00B348F3" w:rsidRDefault="007B7B11" w:rsidP="00B348F3">
            <w:pPr>
              <w:spacing w:line="360" w:lineRule="auto"/>
              <w:jc w:val="center"/>
              <w:rPr>
                <w:rFonts w:ascii="Times New Roman" w:hAnsi="Times New Roman"/>
                <w:color w:val="000000"/>
                <w:lang w:val="en-ID"/>
              </w:rPr>
            </w:pPr>
            <w:r w:rsidRPr="00B348F3">
              <w:rPr>
                <w:rFonts w:ascii="Times New Roman" w:hAnsi="Times New Roman"/>
                <w:color w:val="000000"/>
              </w:rPr>
              <w:t>5.7</w:t>
            </w:r>
            <w:r w:rsidRPr="00B348F3">
              <w:rPr>
                <w:rFonts w:ascii="Times New Roman" w:hAnsi="Times New Roman"/>
                <w:color w:val="000000"/>
                <w:lang w:val="en-ID"/>
              </w:rPr>
              <w:t>%</w:t>
            </w:r>
          </w:p>
        </w:tc>
      </w:tr>
      <w:tr w:rsidR="007B7B11" w:rsidRPr="00B348F3" w:rsidTr="00B348F3">
        <w:trPr>
          <w:trHeight w:val="294"/>
          <w:jc w:val="center"/>
        </w:trPr>
        <w:tc>
          <w:tcPr>
            <w:tcW w:w="1702" w:type="dxa"/>
            <w:tcBorders>
              <w:top w:val="single" w:sz="4" w:space="0" w:color="auto"/>
              <w:left w:val="nil"/>
              <w:bottom w:val="single" w:sz="4" w:space="0" w:color="auto"/>
              <w:right w:val="nil"/>
            </w:tcBorders>
          </w:tcPr>
          <w:p w:rsidR="007B7B11" w:rsidRPr="00B348F3" w:rsidRDefault="007B7B11" w:rsidP="00B348F3">
            <w:pPr>
              <w:spacing w:line="360" w:lineRule="auto"/>
              <w:jc w:val="center"/>
              <w:rPr>
                <w:rFonts w:ascii="Times New Roman" w:hAnsi="Times New Roman"/>
                <w:color w:val="000000"/>
              </w:rPr>
            </w:pPr>
          </w:p>
        </w:tc>
        <w:tc>
          <w:tcPr>
            <w:tcW w:w="3260" w:type="dxa"/>
            <w:tcBorders>
              <w:top w:val="single" w:sz="4" w:space="0" w:color="auto"/>
              <w:left w:val="nil"/>
              <w:bottom w:val="single" w:sz="4" w:space="0" w:color="auto"/>
              <w:right w:val="nil"/>
            </w:tcBorders>
          </w:tcPr>
          <w:p w:rsidR="007B7B11" w:rsidRPr="00B348F3" w:rsidRDefault="007B7B11" w:rsidP="00B348F3">
            <w:pPr>
              <w:spacing w:line="360" w:lineRule="auto"/>
              <w:jc w:val="center"/>
              <w:rPr>
                <w:rFonts w:ascii="Times New Roman" w:hAnsi="Times New Roman"/>
                <w:color w:val="000000"/>
              </w:rPr>
            </w:pPr>
          </w:p>
        </w:tc>
        <w:tc>
          <w:tcPr>
            <w:tcW w:w="1417" w:type="dxa"/>
            <w:tcBorders>
              <w:top w:val="single" w:sz="4" w:space="0" w:color="auto"/>
              <w:left w:val="nil"/>
              <w:bottom w:val="single" w:sz="4" w:space="0" w:color="auto"/>
              <w:right w:val="nil"/>
            </w:tcBorders>
          </w:tcPr>
          <w:p w:rsidR="007B7B11" w:rsidRPr="00B348F3" w:rsidRDefault="007B7B11" w:rsidP="00B348F3">
            <w:pPr>
              <w:spacing w:line="360" w:lineRule="auto"/>
              <w:jc w:val="center"/>
              <w:rPr>
                <w:rFonts w:ascii="Times New Roman" w:hAnsi="Times New Roman"/>
                <w:color w:val="000000"/>
              </w:rPr>
            </w:pPr>
            <w:r w:rsidRPr="00B348F3">
              <w:rPr>
                <w:rFonts w:ascii="Times New Roman" w:hAnsi="Times New Roman"/>
                <w:color w:val="000000"/>
              </w:rPr>
              <w:t>Total</w:t>
            </w:r>
          </w:p>
        </w:tc>
        <w:tc>
          <w:tcPr>
            <w:tcW w:w="709" w:type="dxa"/>
            <w:tcBorders>
              <w:top w:val="single" w:sz="4" w:space="0" w:color="auto"/>
              <w:left w:val="nil"/>
              <w:bottom w:val="single" w:sz="4" w:space="0" w:color="auto"/>
              <w:right w:val="nil"/>
            </w:tcBorders>
          </w:tcPr>
          <w:p w:rsidR="007B7B11" w:rsidRPr="00B348F3" w:rsidRDefault="007B7B11" w:rsidP="00B348F3">
            <w:pPr>
              <w:spacing w:line="360" w:lineRule="auto"/>
              <w:jc w:val="center"/>
              <w:rPr>
                <w:rFonts w:ascii="Times New Roman" w:hAnsi="Times New Roman"/>
                <w:color w:val="000000"/>
              </w:rPr>
            </w:pPr>
            <w:r w:rsidRPr="00B348F3">
              <w:rPr>
                <w:rFonts w:ascii="Times New Roman" w:hAnsi="Times New Roman"/>
                <w:color w:val="000000"/>
              </w:rPr>
              <w:t>87</w:t>
            </w:r>
          </w:p>
        </w:tc>
        <w:tc>
          <w:tcPr>
            <w:tcW w:w="1276" w:type="dxa"/>
            <w:tcBorders>
              <w:top w:val="single" w:sz="4" w:space="0" w:color="auto"/>
              <w:left w:val="nil"/>
              <w:bottom w:val="single" w:sz="4" w:space="0" w:color="auto"/>
              <w:right w:val="nil"/>
            </w:tcBorders>
          </w:tcPr>
          <w:p w:rsidR="007B7B11" w:rsidRPr="00B348F3" w:rsidRDefault="007B7B11" w:rsidP="00B348F3">
            <w:pPr>
              <w:spacing w:line="360" w:lineRule="auto"/>
              <w:jc w:val="center"/>
              <w:rPr>
                <w:rFonts w:ascii="Times New Roman" w:hAnsi="Times New Roman"/>
                <w:color w:val="000000"/>
              </w:rPr>
            </w:pPr>
            <w:r w:rsidRPr="00B348F3">
              <w:rPr>
                <w:rFonts w:ascii="Times New Roman" w:hAnsi="Times New Roman"/>
                <w:color w:val="000000"/>
              </w:rPr>
              <w:t>100%</w:t>
            </w:r>
          </w:p>
        </w:tc>
      </w:tr>
    </w:tbl>
    <w:p w:rsidR="007B7B11" w:rsidRPr="00B348F3" w:rsidRDefault="007B7B11" w:rsidP="00B348F3">
      <w:pPr>
        <w:spacing w:line="360" w:lineRule="auto"/>
        <w:ind w:firstLine="513"/>
        <w:rPr>
          <w:rFonts w:ascii="Times New Roman" w:hAnsi="Times New Roman"/>
          <w:color w:val="000000"/>
        </w:rPr>
      </w:pPr>
      <w:r w:rsidRPr="00B348F3">
        <w:rPr>
          <w:rFonts w:ascii="Times New Roman" w:hAnsi="Times New Roman"/>
          <w:color w:val="000000"/>
        </w:rPr>
        <w:t xml:space="preserve">Berdasarkan hasil kategorisasi skala </w:t>
      </w:r>
      <w:r w:rsidRPr="00B348F3">
        <w:rPr>
          <w:rFonts w:ascii="Times New Roman" w:hAnsi="Times New Roman"/>
          <w:i/>
          <w:color w:val="000000"/>
        </w:rPr>
        <w:t>work engagement</w:t>
      </w:r>
      <w:r w:rsidRPr="00B348F3">
        <w:rPr>
          <w:rFonts w:ascii="Times New Roman" w:hAnsi="Times New Roman"/>
          <w:color w:val="000000"/>
        </w:rPr>
        <w:t xml:space="preserve"> menunjukan bahwa subjek yang berada dalam kategori tinggi sebesar 28.7% (25 subjek), sedang 71.3% (57 subjek), </w:t>
      </w:r>
      <w:proofErr w:type="gramStart"/>
      <w:r w:rsidRPr="00B348F3">
        <w:rPr>
          <w:rFonts w:ascii="Times New Roman" w:hAnsi="Times New Roman"/>
          <w:color w:val="000000"/>
        </w:rPr>
        <w:t>dan</w:t>
      </w:r>
      <w:proofErr w:type="gramEnd"/>
      <w:r w:rsidRPr="00B348F3">
        <w:rPr>
          <w:rFonts w:ascii="Times New Roman" w:hAnsi="Times New Roman"/>
          <w:color w:val="000000"/>
        </w:rPr>
        <w:t xml:space="preserve"> rendah 5.7% (5 subjek). Sehingga dapat disimpulkan bahwa sebagian besar subjek memiliki </w:t>
      </w:r>
      <w:r w:rsidRPr="00B348F3">
        <w:rPr>
          <w:rFonts w:ascii="Times New Roman" w:hAnsi="Times New Roman"/>
          <w:i/>
          <w:color w:val="000000"/>
        </w:rPr>
        <w:t>work engagement</w:t>
      </w:r>
      <w:r w:rsidRPr="00B348F3">
        <w:rPr>
          <w:rFonts w:ascii="Times New Roman" w:hAnsi="Times New Roman"/>
          <w:color w:val="000000"/>
        </w:rPr>
        <w:t xml:space="preserve"> dalam kategori sedang. </w:t>
      </w:r>
    </w:p>
    <w:p w:rsidR="007B7B11" w:rsidRPr="00B348F3" w:rsidRDefault="007B7B11" w:rsidP="00B348F3">
      <w:pPr>
        <w:spacing w:line="360" w:lineRule="auto"/>
        <w:ind w:firstLine="513"/>
        <w:rPr>
          <w:rFonts w:ascii="Times New Roman" w:hAnsi="Times New Roman"/>
          <w:color w:val="000000"/>
        </w:rPr>
      </w:pPr>
      <w:r w:rsidRPr="00B348F3">
        <w:rPr>
          <w:rFonts w:ascii="Times New Roman" w:hAnsi="Times New Roman"/>
        </w:rPr>
        <w:t xml:space="preserve">Uji normalitas menggunakan teknik analisis model </w:t>
      </w:r>
      <w:r w:rsidRPr="00B348F3">
        <w:rPr>
          <w:rFonts w:ascii="Times New Roman" w:hAnsi="Times New Roman"/>
          <w:i/>
        </w:rPr>
        <w:t>one sample Kolmogorov-Smirnov</w:t>
      </w:r>
      <w:r w:rsidRPr="00B348F3">
        <w:rPr>
          <w:rFonts w:ascii="Times New Roman" w:hAnsi="Times New Roman"/>
        </w:rPr>
        <w:t xml:space="preserve"> (KS-Z). </w:t>
      </w:r>
      <w:r w:rsidRPr="00B348F3">
        <w:rPr>
          <w:rFonts w:ascii="Times New Roman" w:hAnsi="Times New Roman"/>
          <w:color w:val="000000"/>
        </w:rPr>
        <w:t xml:space="preserve">Berdasarkan hasil uji normalitas variabel persepsi dukungan atasan diperoleh KS-Z = 0,081 dengan p = 0,200 berarti sebaran data persepsi dukungan atasan mengikuti sebaran data normal. Pada uji normalitas variabel </w:t>
      </w:r>
      <w:r w:rsidRPr="00B348F3">
        <w:rPr>
          <w:rFonts w:ascii="Times New Roman" w:hAnsi="Times New Roman"/>
          <w:i/>
          <w:color w:val="000000"/>
        </w:rPr>
        <w:t>work engagement</w:t>
      </w:r>
      <w:r w:rsidRPr="00B348F3">
        <w:rPr>
          <w:rFonts w:ascii="Times New Roman" w:hAnsi="Times New Roman"/>
          <w:color w:val="000000"/>
        </w:rPr>
        <w:t xml:space="preserve"> diperoleh KS-Z = 0,055 dengan p = 0,200 berarti sebaran data </w:t>
      </w:r>
      <w:r w:rsidRPr="00B348F3">
        <w:rPr>
          <w:rFonts w:ascii="Times New Roman" w:hAnsi="Times New Roman"/>
          <w:i/>
          <w:color w:val="000000"/>
        </w:rPr>
        <w:lastRenderedPageBreak/>
        <w:t>work engagement</w:t>
      </w:r>
      <w:r w:rsidRPr="00B348F3">
        <w:rPr>
          <w:rFonts w:ascii="Times New Roman" w:hAnsi="Times New Roman"/>
          <w:color w:val="000000"/>
        </w:rPr>
        <w:t xml:space="preserve"> mengikuti sebaran data normal. Hasil uji linieritas diperoleh F = 29,519 dan p = 0.000 berarti hubungan antara persepsi dukungan atasan dengan </w:t>
      </w:r>
      <w:r w:rsidRPr="00B348F3">
        <w:rPr>
          <w:rFonts w:ascii="Times New Roman" w:hAnsi="Times New Roman"/>
          <w:i/>
          <w:color w:val="000000"/>
        </w:rPr>
        <w:t>work engagement</w:t>
      </w:r>
      <w:r w:rsidRPr="00B348F3">
        <w:rPr>
          <w:rFonts w:ascii="Times New Roman" w:hAnsi="Times New Roman"/>
          <w:color w:val="000000"/>
        </w:rPr>
        <w:t xml:space="preserve"> merupakan hubungan yang linier. </w:t>
      </w:r>
    </w:p>
    <w:p w:rsidR="007B7B11" w:rsidRPr="00B348F3" w:rsidRDefault="007B7B11" w:rsidP="00B348F3">
      <w:pPr>
        <w:spacing w:line="360" w:lineRule="auto"/>
        <w:ind w:firstLine="513"/>
        <w:rPr>
          <w:rFonts w:ascii="Times New Roman" w:hAnsi="Times New Roman"/>
        </w:rPr>
      </w:pPr>
      <w:r w:rsidRPr="00B348F3">
        <w:rPr>
          <w:rFonts w:ascii="Times New Roman" w:hAnsi="Times New Roman"/>
        </w:rPr>
        <w:t xml:space="preserve">Setelah dilakukan uji normalitas dan uji linieritas maka analisis data dilanjutkan dengan menguji koefisien korelasi antara persepsi dukungan atasan dengan </w:t>
      </w:r>
      <w:r w:rsidRPr="00B348F3">
        <w:rPr>
          <w:rFonts w:ascii="Times New Roman" w:hAnsi="Times New Roman"/>
          <w:i/>
        </w:rPr>
        <w:t>work engagement</w:t>
      </w:r>
      <w:r w:rsidRPr="00B348F3">
        <w:rPr>
          <w:rFonts w:ascii="Times New Roman" w:hAnsi="Times New Roman"/>
        </w:rPr>
        <w:t>.</w:t>
      </w:r>
      <w:r w:rsidRPr="00B348F3">
        <w:rPr>
          <w:rFonts w:ascii="Times New Roman" w:hAnsi="Times New Roman"/>
          <w:color w:val="000000"/>
        </w:rPr>
        <w:t xml:space="preserve"> Hipotesis dalam penelitian ini menyatakan bahwa ada hubungan yang positif antara persepsi dukungan atasan dengan </w:t>
      </w:r>
      <w:r w:rsidRPr="00B348F3">
        <w:rPr>
          <w:rFonts w:ascii="Times New Roman" w:hAnsi="Times New Roman"/>
          <w:i/>
          <w:color w:val="000000"/>
        </w:rPr>
        <w:t>work engagement</w:t>
      </w:r>
      <w:r w:rsidRPr="00B348F3">
        <w:rPr>
          <w:rFonts w:ascii="Times New Roman" w:hAnsi="Times New Roman"/>
          <w:color w:val="000000"/>
        </w:rPr>
        <w:t xml:space="preserve">. Semakin positif persepsi dukungan atasan semakin tinggi </w:t>
      </w:r>
      <w:r w:rsidRPr="00B348F3">
        <w:rPr>
          <w:rFonts w:ascii="Times New Roman" w:hAnsi="Times New Roman"/>
          <w:i/>
          <w:color w:val="000000"/>
        </w:rPr>
        <w:t>work engagement</w:t>
      </w:r>
      <w:r w:rsidRPr="00B348F3">
        <w:rPr>
          <w:rFonts w:ascii="Times New Roman" w:hAnsi="Times New Roman"/>
          <w:color w:val="000000"/>
        </w:rPr>
        <w:t xml:space="preserve">. Sebaliknya semakin negatif persepsi dukungan atasan semakin rendah </w:t>
      </w:r>
      <w:r w:rsidRPr="00B348F3">
        <w:rPr>
          <w:rFonts w:ascii="Times New Roman" w:hAnsi="Times New Roman"/>
          <w:i/>
          <w:color w:val="000000"/>
        </w:rPr>
        <w:t>work engagement</w:t>
      </w:r>
      <w:r w:rsidRPr="00B348F3">
        <w:rPr>
          <w:rFonts w:ascii="Times New Roman" w:hAnsi="Times New Roman"/>
          <w:color w:val="000000"/>
        </w:rPr>
        <w:t xml:space="preserve">. Untuk menguji hipotesis tersebut, peneliti menggunakan teknik analisis korelasi product moment </w:t>
      </w:r>
      <w:r w:rsidRPr="00B348F3">
        <w:rPr>
          <w:rFonts w:ascii="Times New Roman" w:hAnsi="Times New Roman"/>
          <w:i/>
          <w:color w:val="000000"/>
        </w:rPr>
        <w:t>(</w:t>
      </w:r>
      <w:proofErr w:type="gramStart"/>
      <w:r w:rsidRPr="00B348F3">
        <w:rPr>
          <w:rFonts w:ascii="Times New Roman" w:hAnsi="Times New Roman"/>
          <w:i/>
          <w:color w:val="000000"/>
        </w:rPr>
        <w:t>pearson</w:t>
      </w:r>
      <w:proofErr w:type="gramEnd"/>
      <w:r w:rsidRPr="00B348F3">
        <w:rPr>
          <w:rFonts w:ascii="Times New Roman" w:hAnsi="Times New Roman"/>
          <w:i/>
          <w:color w:val="000000"/>
        </w:rPr>
        <w:t xml:space="preserve"> correlation)</w:t>
      </w:r>
      <w:r w:rsidRPr="00B348F3">
        <w:rPr>
          <w:rFonts w:ascii="Times New Roman" w:hAnsi="Times New Roman"/>
          <w:color w:val="000000"/>
        </w:rPr>
        <w:t xml:space="preserve"> yang dikembangkan oleh Karl Pearson (Sugiyono, 2016). </w:t>
      </w:r>
      <w:r w:rsidR="00127D59" w:rsidRPr="00B348F3">
        <w:rPr>
          <w:rFonts w:ascii="Times New Roman" w:hAnsi="Times New Roman"/>
        </w:rPr>
        <w:t xml:space="preserve">Berdasarkan hasil analisis korelasi product moment, diperoleh </w:t>
      </w:r>
      <w:r w:rsidR="00127D59" w:rsidRPr="00B348F3">
        <w:rPr>
          <w:rFonts w:ascii="Times New Roman" w:hAnsi="Times New Roman"/>
          <w:color w:val="000000"/>
        </w:rPr>
        <w:t xml:space="preserve">nilai korelasi (rxy) sebesar 0,490 dengan p = 0,000, hal ini menunjukan bahwa terdapat hubungan positif yang signifikan antara persepsi dukungan atasan dengan </w:t>
      </w:r>
      <w:r w:rsidR="00127D59" w:rsidRPr="00B348F3">
        <w:rPr>
          <w:rFonts w:ascii="Times New Roman" w:hAnsi="Times New Roman"/>
          <w:i/>
          <w:color w:val="000000"/>
        </w:rPr>
        <w:t>work engagement</w:t>
      </w:r>
      <w:r w:rsidR="00127D59" w:rsidRPr="00B348F3">
        <w:rPr>
          <w:rFonts w:ascii="Times New Roman" w:hAnsi="Times New Roman"/>
          <w:color w:val="000000"/>
        </w:rPr>
        <w:t xml:space="preserve"> pada karyawan generasi milenial, sehingga hipotesis yang diajukan dalam penelitian ini dapat diterima. Hasil analisis data tersebut menunjukan nilai koefisien determinasi </w:t>
      </w:r>
      <w:r w:rsidR="00127D59" w:rsidRPr="00B348F3">
        <w:rPr>
          <w:rFonts w:ascii="Times New Roman" w:hAnsi="Times New Roman"/>
        </w:rPr>
        <w:t>(R²) sebesar 0,241 menunjukan bahwa variabel persepsi dukungan atasan memberikan sumbangan efektif sebesar 24</w:t>
      </w:r>
      <w:proofErr w:type="gramStart"/>
      <w:r w:rsidR="00127D59" w:rsidRPr="00B348F3">
        <w:rPr>
          <w:rFonts w:ascii="Times New Roman" w:hAnsi="Times New Roman"/>
        </w:rPr>
        <w:t>,1</w:t>
      </w:r>
      <w:proofErr w:type="gramEnd"/>
      <w:r w:rsidR="00127D59" w:rsidRPr="00B348F3">
        <w:rPr>
          <w:rFonts w:ascii="Times New Roman" w:hAnsi="Times New Roman"/>
        </w:rPr>
        <w:t xml:space="preserve">% terhadap </w:t>
      </w:r>
      <w:r w:rsidR="00127D59" w:rsidRPr="00B348F3">
        <w:rPr>
          <w:rFonts w:ascii="Times New Roman" w:hAnsi="Times New Roman"/>
          <w:i/>
        </w:rPr>
        <w:t>work engagement</w:t>
      </w:r>
      <w:r w:rsidR="00127D59" w:rsidRPr="00B348F3">
        <w:rPr>
          <w:rFonts w:ascii="Times New Roman" w:hAnsi="Times New Roman"/>
        </w:rPr>
        <w:t xml:space="preserve"> dan sisanya</w:t>
      </w:r>
      <w:r w:rsidR="00127D59" w:rsidRPr="00B348F3">
        <w:rPr>
          <w:rFonts w:ascii="Times New Roman" w:hAnsi="Times New Roman"/>
          <w:b/>
        </w:rPr>
        <w:t xml:space="preserve"> </w:t>
      </w:r>
      <w:r w:rsidR="00127D59" w:rsidRPr="00B348F3">
        <w:rPr>
          <w:rFonts w:ascii="Times New Roman" w:hAnsi="Times New Roman"/>
        </w:rPr>
        <w:t>75,9%</w:t>
      </w:r>
      <w:r w:rsidR="00127D59" w:rsidRPr="00B348F3">
        <w:rPr>
          <w:rFonts w:ascii="Times New Roman" w:hAnsi="Times New Roman"/>
          <w:b/>
        </w:rPr>
        <w:t xml:space="preserve"> </w:t>
      </w:r>
      <w:r w:rsidR="00127D59" w:rsidRPr="00B348F3">
        <w:rPr>
          <w:rFonts w:ascii="Times New Roman" w:hAnsi="Times New Roman"/>
        </w:rPr>
        <w:t>dipengaruhi oleh faktor-faktor lainnya.</w:t>
      </w:r>
    </w:p>
    <w:p w:rsidR="00127D59" w:rsidRPr="00127D59" w:rsidRDefault="00127D59" w:rsidP="00B348F3">
      <w:pPr>
        <w:spacing w:line="360" w:lineRule="auto"/>
        <w:ind w:firstLine="720"/>
        <w:rPr>
          <w:rFonts w:ascii="Times New Roman" w:hAnsi="Times New Roman"/>
          <w:color w:val="000000" w:themeColor="text1"/>
          <w:szCs w:val="20"/>
        </w:rPr>
      </w:pPr>
      <w:r w:rsidRPr="00B348F3">
        <w:rPr>
          <w:rFonts w:ascii="Times New Roman" w:hAnsi="Times New Roman"/>
        </w:rPr>
        <w:t xml:space="preserve">Walaupun hanya </w:t>
      </w:r>
      <w:r w:rsidRPr="00B348F3">
        <w:rPr>
          <w:rFonts w:ascii="Times New Roman" w:hAnsi="Times New Roman"/>
          <w:color w:val="000000" w:themeColor="text1"/>
          <w:szCs w:val="20"/>
        </w:rPr>
        <w:t>Walaupun hanya berkontribusi 24</w:t>
      </w:r>
      <w:proofErr w:type="gramStart"/>
      <w:r w:rsidRPr="00B348F3">
        <w:rPr>
          <w:rFonts w:ascii="Times New Roman" w:hAnsi="Times New Roman"/>
          <w:color w:val="000000" w:themeColor="text1"/>
          <w:szCs w:val="20"/>
        </w:rPr>
        <w:t>,</w:t>
      </w:r>
      <w:r w:rsidRPr="00B348F3">
        <w:rPr>
          <w:rFonts w:ascii="Times New Roman" w:hAnsi="Times New Roman"/>
          <w:color w:val="000000" w:themeColor="text1"/>
          <w:szCs w:val="20"/>
        </w:rPr>
        <w:t>1</w:t>
      </w:r>
      <w:proofErr w:type="gramEnd"/>
      <w:r w:rsidRPr="00B348F3">
        <w:rPr>
          <w:rFonts w:ascii="Times New Roman" w:hAnsi="Times New Roman"/>
          <w:color w:val="000000" w:themeColor="text1"/>
          <w:szCs w:val="20"/>
        </w:rPr>
        <w:t>% namun tetap terdapat hubungan yang positi</w:t>
      </w:r>
      <w:r w:rsidRPr="00B348F3">
        <w:rPr>
          <w:rFonts w:ascii="Times New Roman" w:hAnsi="Times New Roman"/>
          <w:color w:val="000000" w:themeColor="text1"/>
          <w:szCs w:val="20"/>
        </w:rPr>
        <w:t>f</w:t>
      </w:r>
      <w:r w:rsidRPr="00B348F3">
        <w:rPr>
          <w:rFonts w:ascii="Times New Roman" w:hAnsi="Times New Roman"/>
          <w:color w:val="000000" w:themeColor="text1"/>
          <w:szCs w:val="20"/>
        </w:rPr>
        <w:t xml:space="preserve"> antara</w:t>
      </w:r>
      <w:r w:rsidRPr="00B348F3">
        <w:rPr>
          <w:rFonts w:ascii="Times New Roman" w:hAnsi="Times New Roman"/>
          <w:color w:val="000000" w:themeColor="text1"/>
          <w:szCs w:val="20"/>
        </w:rPr>
        <w:t xml:space="preserve"> persepsi dukungan atasan dengan </w:t>
      </w:r>
      <w:r w:rsidRPr="00B348F3">
        <w:rPr>
          <w:rFonts w:ascii="Times New Roman" w:hAnsi="Times New Roman"/>
          <w:i/>
          <w:color w:val="000000" w:themeColor="text1"/>
          <w:szCs w:val="20"/>
        </w:rPr>
        <w:t>work engagement</w:t>
      </w:r>
      <w:r w:rsidRPr="00B348F3">
        <w:rPr>
          <w:rFonts w:ascii="Times New Roman" w:hAnsi="Times New Roman"/>
          <w:color w:val="000000" w:themeColor="text1"/>
          <w:szCs w:val="20"/>
        </w:rPr>
        <w:t xml:space="preserve">. Yaitu berarti bahwa semakin </w:t>
      </w:r>
      <w:r w:rsidRPr="00B348F3">
        <w:rPr>
          <w:rFonts w:ascii="Times New Roman" w:hAnsi="Times New Roman"/>
          <w:color w:val="000000" w:themeColor="text1"/>
          <w:szCs w:val="20"/>
        </w:rPr>
        <w:t xml:space="preserve">positif persepsi </w:t>
      </w:r>
      <w:r w:rsidRPr="00B348F3">
        <w:rPr>
          <w:rFonts w:ascii="Times New Roman" w:hAnsi="Times New Roman"/>
          <w:color w:val="000000" w:themeColor="text1"/>
          <w:szCs w:val="20"/>
        </w:rPr>
        <w:t xml:space="preserve">dukungan </w:t>
      </w:r>
      <w:r w:rsidRPr="00B348F3">
        <w:rPr>
          <w:rFonts w:ascii="Times New Roman" w:hAnsi="Times New Roman"/>
          <w:color w:val="000000" w:themeColor="text1"/>
          <w:szCs w:val="20"/>
        </w:rPr>
        <w:t xml:space="preserve">atasan </w:t>
      </w:r>
      <w:r w:rsidRPr="00B348F3">
        <w:rPr>
          <w:rFonts w:ascii="Times New Roman" w:hAnsi="Times New Roman"/>
          <w:color w:val="000000" w:themeColor="text1"/>
          <w:szCs w:val="20"/>
        </w:rPr>
        <w:t xml:space="preserve">maka semakin tinggi </w:t>
      </w:r>
      <w:r w:rsidRPr="00B348F3">
        <w:rPr>
          <w:rFonts w:ascii="Times New Roman" w:hAnsi="Times New Roman"/>
          <w:i/>
          <w:color w:val="000000" w:themeColor="text1"/>
          <w:szCs w:val="20"/>
        </w:rPr>
        <w:t>work engagement</w:t>
      </w:r>
      <w:r w:rsidRPr="00B348F3">
        <w:rPr>
          <w:rFonts w:ascii="Times New Roman" w:hAnsi="Times New Roman"/>
          <w:color w:val="000000" w:themeColor="text1"/>
          <w:szCs w:val="20"/>
        </w:rPr>
        <w:t xml:space="preserve">, dan sebaliknya semakin </w:t>
      </w:r>
      <w:r w:rsidR="00B348F3" w:rsidRPr="00B348F3">
        <w:rPr>
          <w:rFonts w:ascii="Times New Roman" w:hAnsi="Times New Roman"/>
          <w:color w:val="000000" w:themeColor="text1"/>
          <w:szCs w:val="20"/>
        </w:rPr>
        <w:t>negatif</w:t>
      </w:r>
      <w:r w:rsidRPr="00B348F3">
        <w:rPr>
          <w:rFonts w:ascii="Times New Roman" w:hAnsi="Times New Roman"/>
          <w:color w:val="000000" w:themeColor="text1"/>
          <w:szCs w:val="20"/>
        </w:rPr>
        <w:t xml:space="preserve"> persepsi </w:t>
      </w:r>
      <w:r w:rsidRPr="00B348F3">
        <w:rPr>
          <w:rFonts w:ascii="Times New Roman" w:hAnsi="Times New Roman"/>
          <w:color w:val="000000" w:themeColor="text1"/>
          <w:szCs w:val="20"/>
        </w:rPr>
        <w:t xml:space="preserve">dukungan </w:t>
      </w:r>
      <w:r w:rsidRPr="00B348F3">
        <w:rPr>
          <w:rFonts w:ascii="Times New Roman" w:hAnsi="Times New Roman"/>
          <w:color w:val="000000" w:themeColor="text1"/>
          <w:szCs w:val="20"/>
        </w:rPr>
        <w:t xml:space="preserve">atasan </w:t>
      </w:r>
      <w:r w:rsidRPr="00B348F3">
        <w:rPr>
          <w:rFonts w:ascii="Times New Roman" w:hAnsi="Times New Roman"/>
          <w:color w:val="000000" w:themeColor="text1"/>
          <w:szCs w:val="20"/>
        </w:rPr>
        <w:t xml:space="preserve">maka semakin rendah pula </w:t>
      </w:r>
      <w:r w:rsidRPr="00B348F3">
        <w:rPr>
          <w:rFonts w:ascii="Times New Roman" w:hAnsi="Times New Roman"/>
          <w:i/>
          <w:color w:val="000000" w:themeColor="text1"/>
          <w:szCs w:val="20"/>
        </w:rPr>
        <w:t xml:space="preserve">work engagement </w:t>
      </w:r>
      <w:r w:rsidRPr="00B348F3">
        <w:rPr>
          <w:rFonts w:ascii="Times New Roman" w:hAnsi="Times New Roman"/>
          <w:color w:val="000000" w:themeColor="text1"/>
          <w:szCs w:val="20"/>
        </w:rPr>
        <w:t>karyawan generasi milenial</w:t>
      </w:r>
      <w:r>
        <w:rPr>
          <w:rFonts w:ascii="Times New Roman" w:hAnsi="Times New Roman"/>
          <w:color w:val="000000" w:themeColor="text1"/>
          <w:szCs w:val="20"/>
        </w:rPr>
        <w:t>.</w:t>
      </w:r>
    </w:p>
    <w:p w:rsidR="00845DEA" w:rsidRDefault="00845DEA" w:rsidP="00B348F3">
      <w:pPr>
        <w:spacing w:line="360" w:lineRule="auto"/>
        <w:rPr>
          <w:rFonts w:ascii="Times New Roman" w:hAnsi="Times New Roman"/>
          <w:color w:val="000000"/>
        </w:rPr>
      </w:pPr>
    </w:p>
    <w:p w:rsidR="00845DEA" w:rsidRDefault="00845DEA" w:rsidP="00B348F3">
      <w:pPr>
        <w:spacing w:line="360" w:lineRule="auto"/>
        <w:rPr>
          <w:rFonts w:ascii="Times New Roman" w:hAnsi="Times New Roman"/>
          <w:b/>
          <w:color w:val="000000"/>
        </w:rPr>
      </w:pPr>
      <w:r w:rsidRPr="00845DEA">
        <w:rPr>
          <w:rFonts w:ascii="Times New Roman" w:hAnsi="Times New Roman"/>
          <w:b/>
          <w:color w:val="000000"/>
        </w:rPr>
        <w:t>KESIMPULAN</w:t>
      </w:r>
    </w:p>
    <w:p w:rsidR="00845DEA" w:rsidRPr="00127D59" w:rsidRDefault="00845DEA" w:rsidP="00B348F3">
      <w:pPr>
        <w:spacing w:line="360" w:lineRule="auto"/>
        <w:ind w:firstLine="720"/>
        <w:rPr>
          <w:rFonts w:ascii="Times New Roman" w:hAnsi="Times New Roman"/>
          <w:color w:val="000000" w:themeColor="text1"/>
          <w:szCs w:val="20"/>
        </w:rPr>
      </w:pPr>
      <w:r w:rsidRPr="00752988">
        <w:rPr>
          <w:rFonts w:ascii="Times New Roman" w:hAnsi="Times New Roman"/>
          <w:color w:val="000000" w:themeColor="text1"/>
          <w:szCs w:val="20"/>
        </w:rPr>
        <w:t xml:space="preserve">Berdasarkan hasil penelitian dan pembahasan yang telah dilakukan dapat disimpulkan bahwa </w:t>
      </w:r>
      <w:r>
        <w:rPr>
          <w:rFonts w:ascii="Times New Roman" w:hAnsi="Times New Roman"/>
          <w:color w:val="000000" w:themeColor="text1"/>
          <w:szCs w:val="20"/>
        </w:rPr>
        <w:t xml:space="preserve">hipotesis yang diajukan diterima, yaitu </w:t>
      </w:r>
      <w:r w:rsidRPr="00752988">
        <w:rPr>
          <w:rFonts w:ascii="Times New Roman" w:hAnsi="Times New Roman"/>
          <w:color w:val="000000" w:themeColor="text1"/>
          <w:szCs w:val="20"/>
        </w:rPr>
        <w:t xml:space="preserve">terdapat hubungan yang positif antara </w:t>
      </w:r>
      <w:r>
        <w:rPr>
          <w:rFonts w:ascii="Times New Roman" w:hAnsi="Times New Roman"/>
          <w:color w:val="000000" w:themeColor="text1"/>
          <w:szCs w:val="20"/>
        </w:rPr>
        <w:t xml:space="preserve">persepsi </w:t>
      </w:r>
      <w:r w:rsidRPr="00752988">
        <w:rPr>
          <w:rFonts w:ascii="Times New Roman" w:hAnsi="Times New Roman"/>
          <w:color w:val="000000" w:themeColor="text1"/>
          <w:szCs w:val="20"/>
        </w:rPr>
        <w:t>dukungan</w:t>
      </w:r>
      <w:r>
        <w:rPr>
          <w:rFonts w:ascii="Times New Roman" w:hAnsi="Times New Roman"/>
          <w:color w:val="000000" w:themeColor="text1"/>
          <w:szCs w:val="20"/>
        </w:rPr>
        <w:t xml:space="preserve"> atasan dengan </w:t>
      </w:r>
      <w:r>
        <w:rPr>
          <w:rFonts w:ascii="Times New Roman" w:hAnsi="Times New Roman"/>
          <w:i/>
          <w:color w:val="000000" w:themeColor="text1"/>
          <w:szCs w:val="20"/>
        </w:rPr>
        <w:t xml:space="preserve">work engagement </w:t>
      </w:r>
      <w:r>
        <w:rPr>
          <w:rFonts w:ascii="Times New Roman" w:hAnsi="Times New Roman"/>
          <w:color w:val="000000" w:themeColor="text1"/>
          <w:szCs w:val="20"/>
        </w:rPr>
        <w:t>pada karyawan generasi milenial</w:t>
      </w:r>
      <w:r w:rsidRPr="00752988">
        <w:rPr>
          <w:rFonts w:ascii="Times New Roman" w:hAnsi="Times New Roman"/>
          <w:color w:val="000000" w:themeColor="text1"/>
          <w:szCs w:val="20"/>
        </w:rPr>
        <w:t xml:space="preserve">. Dimana berarti semakin </w:t>
      </w:r>
      <w:r>
        <w:rPr>
          <w:rFonts w:ascii="Times New Roman" w:hAnsi="Times New Roman"/>
          <w:color w:val="000000" w:themeColor="text1"/>
          <w:szCs w:val="20"/>
        </w:rPr>
        <w:t xml:space="preserve">positif persepsi </w:t>
      </w:r>
      <w:r w:rsidRPr="00752988">
        <w:rPr>
          <w:rFonts w:ascii="Times New Roman" w:hAnsi="Times New Roman"/>
          <w:color w:val="000000" w:themeColor="text1"/>
          <w:szCs w:val="20"/>
        </w:rPr>
        <w:t xml:space="preserve">dukungan </w:t>
      </w:r>
      <w:r w:rsidRPr="000A7B46">
        <w:rPr>
          <w:rFonts w:ascii="Times New Roman" w:hAnsi="Times New Roman"/>
          <w:color w:val="000000" w:themeColor="text1"/>
          <w:szCs w:val="20"/>
        </w:rPr>
        <w:t xml:space="preserve">maka semakin tinggi </w:t>
      </w:r>
      <w:r>
        <w:rPr>
          <w:rFonts w:ascii="Times New Roman" w:hAnsi="Times New Roman"/>
          <w:i/>
          <w:color w:val="000000" w:themeColor="text1"/>
          <w:szCs w:val="20"/>
        </w:rPr>
        <w:t>work engagement</w:t>
      </w:r>
      <w:r w:rsidRPr="000A7B46">
        <w:rPr>
          <w:rFonts w:ascii="Times New Roman" w:hAnsi="Times New Roman"/>
          <w:color w:val="000000" w:themeColor="text1"/>
          <w:szCs w:val="20"/>
        </w:rPr>
        <w:t xml:space="preserve">, dan sebaliknya semakin </w:t>
      </w:r>
      <w:r w:rsidR="00962F9E">
        <w:rPr>
          <w:rFonts w:ascii="Times New Roman" w:hAnsi="Times New Roman"/>
          <w:color w:val="000000" w:themeColor="text1"/>
          <w:szCs w:val="20"/>
        </w:rPr>
        <w:t>negatif</w:t>
      </w:r>
      <w:bookmarkStart w:id="2" w:name="_GoBack"/>
      <w:bookmarkEnd w:id="2"/>
      <w:r>
        <w:rPr>
          <w:rFonts w:ascii="Times New Roman" w:hAnsi="Times New Roman"/>
          <w:color w:val="000000" w:themeColor="text1"/>
          <w:szCs w:val="20"/>
        </w:rPr>
        <w:t xml:space="preserve"> persepsi </w:t>
      </w:r>
      <w:r w:rsidRPr="000A7B46">
        <w:rPr>
          <w:rFonts w:ascii="Times New Roman" w:hAnsi="Times New Roman"/>
          <w:color w:val="000000" w:themeColor="text1"/>
          <w:szCs w:val="20"/>
        </w:rPr>
        <w:t xml:space="preserve">dukungan </w:t>
      </w:r>
      <w:r>
        <w:rPr>
          <w:rFonts w:ascii="Times New Roman" w:hAnsi="Times New Roman"/>
          <w:color w:val="000000" w:themeColor="text1"/>
          <w:szCs w:val="20"/>
        </w:rPr>
        <w:t xml:space="preserve">atasan </w:t>
      </w:r>
      <w:r w:rsidRPr="000A7B46">
        <w:rPr>
          <w:rFonts w:ascii="Times New Roman" w:hAnsi="Times New Roman"/>
          <w:color w:val="000000" w:themeColor="text1"/>
          <w:szCs w:val="20"/>
        </w:rPr>
        <w:t xml:space="preserve">maka semakin rendah pula </w:t>
      </w:r>
      <w:r>
        <w:rPr>
          <w:rFonts w:ascii="Times New Roman" w:hAnsi="Times New Roman"/>
          <w:i/>
          <w:color w:val="000000" w:themeColor="text1"/>
          <w:szCs w:val="20"/>
        </w:rPr>
        <w:t xml:space="preserve">work engagement </w:t>
      </w:r>
      <w:r>
        <w:rPr>
          <w:rFonts w:ascii="Times New Roman" w:hAnsi="Times New Roman"/>
          <w:color w:val="000000" w:themeColor="text1"/>
          <w:szCs w:val="20"/>
        </w:rPr>
        <w:t>karyawan generasi milenial.</w:t>
      </w:r>
    </w:p>
    <w:p w:rsidR="00845DEA" w:rsidRDefault="00845DEA" w:rsidP="00845DEA">
      <w:pPr>
        <w:spacing w:line="360" w:lineRule="auto"/>
        <w:rPr>
          <w:rFonts w:ascii="Times New Roman" w:hAnsi="Times New Roman"/>
          <w:color w:val="000000" w:themeColor="text1"/>
          <w:szCs w:val="20"/>
        </w:rPr>
      </w:pPr>
    </w:p>
    <w:p w:rsidR="0012254E" w:rsidRPr="00B348F3" w:rsidRDefault="00845DEA" w:rsidP="00B348F3">
      <w:pPr>
        <w:spacing w:line="360" w:lineRule="auto"/>
        <w:rPr>
          <w:rFonts w:ascii="Times New Roman" w:hAnsi="Times New Roman"/>
          <w:b/>
          <w:color w:val="000000" w:themeColor="text1"/>
          <w:szCs w:val="20"/>
        </w:rPr>
      </w:pPr>
      <w:r w:rsidRPr="00845DEA">
        <w:rPr>
          <w:rFonts w:ascii="Times New Roman" w:hAnsi="Times New Roman"/>
          <w:b/>
          <w:color w:val="000000" w:themeColor="text1"/>
          <w:szCs w:val="20"/>
        </w:rPr>
        <w:t>DAFTAR PUSTAKA</w:t>
      </w:r>
    </w:p>
    <w:p w:rsidR="0012254E" w:rsidRPr="002B231C" w:rsidRDefault="0012254E" w:rsidP="0012254E">
      <w:pPr>
        <w:pStyle w:val="NormalWeb"/>
        <w:ind w:left="480" w:hanging="480"/>
        <w:jc w:val="both"/>
      </w:pPr>
      <w:r w:rsidRPr="002B231C">
        <w:t xml:space="preserve">Amalia, R. S., &amp; Hadi, C. (2019). Peran desain pekerjaan dan karir bagi karyawan generasi milenial. </w:t>
      </w:r>
      <w:r w:rsidRPr="002B231C">
        <w:rPr>
          <w:i/>
          <w:iCs/>
        </w:rPr>
        <w:t>Fenomena</w:t>
      </w:r>
      <w:r w:rsidRPr="002B231C">
        <w:t xml:space="preserve">, </w:t>
      </w:r>
      <w:r w:rsidRPr="002B231C">
        <w:rPr>
          <w:i/>
          <w:iCs/>
        </w:rPr>
        <w:t>28</w:t>
      </w:r>
      <w:r w:rsidRPr="002B231C">
        <w:t xml:space="preserve">(1), 10–21. </w:t>
      </w:r>
      <w:hyperlink r:id="rId7" w:history="1">
        <w:r w:rsidRPr="002B231C">
          <w:rPr>
            <w:rStyle w:val="Hyperlink"/>
          </w:rPr>
          <w:t>https://doi.org/10.30996/fn.v28i1.2421</w:t>
        </w:r>
      </w:hyperlink>
    </w:p>
    <w:p w:rsidR="0012254E" w:rsidRDefault="0012254E" w:rsidP="0012254E">
      <w:pPr>
        <w:pStyle w:val="NormalWeb"/>
        <w:ind w:left="480" w:hanging="480"/>
      </w:pPr>
      <w:r w:rsidRPr="002B231C">
        <w:t xml:space="preserve">Azwar, S. (2015). Penyusunan Skala Psikologi Edisi 2. </w:t>
      </w:r>
      <w:proofErr w:type="gramStart"/>
      <w:r w:rsidRPr="002B231C">
        <w:t>Yogyakarta :</w:t>
      </w:r>
      <w:proofErr w:type="gramEnd"/>
      <w:r w:rsidRPr="002B231C">
        <w:t xml:space="preserve"> Pustaka Belajar.</w:t>
      </w:r>
    </w:p>
    <w:p w:rsidR="0012254E" w:rsidRPr="002B231C" w:rsidRDefault="0012254E" w:rsidP="0012254E">
      <w:pPr>
        <w:pStyle w:val="NormalWeb"/>
        <w:ind w:left="480" w:hanging="480"/>
        <w:jc w:val="both"/>
      </w:pPr>
      <w:r w:rsidRPr="002B231C">
        <w:t xml:space="preserve">Budiati, I., Susianto, Y., Adi, W. P., Ayuni, S., Reagan, H. A., Larasaty, P., Setiyawati, N., Pratiwi, A. I., &amp; Saputri, V. G. (2018). </w:t>
      </w:r>
      <w:r w:rsidRPr="002B231C">
        <w:rPr>
          <w:i/>
          <w:iCs/>
        </w:rPr>
        <w:t>Profil Generasi Milenial Indonesia</w:t>
      </w:r>
      <w:r w:rsidRPr="002B231C">
        <w:t xml:space="preserve">. 1–153. </w:t>
      </w:r>
    </w:p>
    <w:p w:rsidR="0012254E" w:rsidRPr="002B231C" w:rsidRDefault="0012254E" w:rsidP="0012254E">
      <w:pPr>
        <w:spacing w:line="240" w:lineRule="auto"/>
        <w:rPr>
          <w:rFonts w:ascii="Times New Roman" w:hAnsi="Times New Roman"/>
          <w:sz w:val="24"/>
          <w:szCs w:val="24"/>
          <w:lang w:val="id-ID"/>
        </w:rPr>
      </w:pPr>
      <w:r w:rsidRPr="002B231C">
        <w:rPr>
          <w:rFonts w:ascii="Times New Roman" w:hAnsi="Times New Roman"/>
          <w:sz w:val="24"/>
          <w:szCs w:val="24"/>
        </w:rPr>
        <w:lastRenderedPageBreak/>
        <w:t xml:space="preserve">Cole, M. S., Bruch, H., &amp; Vogel, B. (2006). Emotion as mediators of the relations </w:t>
      </w:r>
      <w:r w:rsidRPr="002B231C">
        <w:rPr>
          <w:rFonts w:ascii="Times New Roman" w:hAnsi="Times New Roman"/>
          <w:sz w:val="24"/>
          <w:szCs w:val="24"/>
        </w:rPr>
        <w:br/>
        <w:t xml:space="preserve"> </w:t>
      </w:r>
      <w:r w:rsidRPr="002B231C">
        <w:rPr>
          <w:rFonts w:ascii="Times New Roman" w:hAnsi="Times New Roman"/>
          <w:sz w:val="24"/>
          <w:szCs w:val="24"/>
        </w:rPr>
        <w:tab/>
        <w:t xml:space="preserve">between perceived supervisor support and psychological hardiness on </w:t>
      </w:r>
      <w:r w:rsidRPr="002B231C">
        <w:rPr>
          <w:rFonts w:ascii="Times New Roman" w:hAnsi="Times New Roman"/>
          <w:sz w:val="24"/>
          <w:szCs w:val="24"/>
        </w:rPr>
        <w:br/>
        <w:t xml:space="preserve"> </w:t>
      </w:r>
      <w:r w:rsidRPr="002B231C">
        <w:rPr>
          <w:rFonts w:ascii="Times New Roman" w:hAnsi="Times New Roman"/>
          <w:sz w:val="24"/>
          <w:szCs w:val="24"/>
        </w:rPr>
        <w:tab/>
        <w:t xml:space="preserve">employee cynicism. </w:t>
      </w:r>
      <w:r w:rsidRPr="002B231C">
        <w:rPr>
          <w:rFonts w:ascii="Times New Roman" w:hAnsi="Times New Roman"/>
          <w:i/>
          <w:sz w:val="24"/>
          <w:szCs w:val="24"/>
        </w:rPr>
        <w:t>Journal of Organizational Behavior</w:t>
      </w:r>
      <w:r w:rsidRPr="002B231C">
        <w:rPr>
          <w:rFonts w:ascii="Times New Roman" w:hAnsi="Times New Roman"/>
          <w:sz w:val="24"/>
          <w:szCs w:val="24"/>
        </w:rPr>
        <w:t>, 484, 463–484.</w:t>
      </w:r>
    </w:p>
    <w:p w:rsidR="0012254E" w:rsidRDefault="0012254E" w:rsidP="0012254E">
      <w:pPr>
        <w:spacing w:line="240" w:lineRule="auto"/>
        <w:rPr>
          <w:rFonts w:ascii="Times New Roman" w:hAnsi="Times New Roman"/>
          <w:sz w:val="24"/>
          <w:szCs w:val="24"/>
          <w:lang w:val="ms-MY"/>
        </w:rPr>
      </w:pPr>
    </w:p>
    <w:p w:rsidR="0012254E" w:rsidRPr="0012254E" w:rsidRDefault="0012254E" w:rsidP="0012254E">
      <w:pPr>
        <w:spacing w:line="240" w:lineRule="auto"/>
        <w:rPr>
          <w:rFonts w:ascii="Times New Roman" w:hAnsi="Times New Roman"/>
          <w:sz w:val="24"/>
          <w:szCs w:val="24"/>
          <w:lang w:val="id-ID"/>
        </w:rPr>
      </w:pPr>
      <w:r w:rsidRPr="002B231C">
        <w:rPr>
          <w:rFonts w:ascii="Times New Roman" w:hAnsi="Times New Roman"/>
          <w:sz w:val="24"/>
          <w:szCs w:val="24"/>
          <w:lang w:val="ms-MY"/>
        </w:rPr>
        <w:t>Dale</w:t>
      </w:r>
      <w:r w:rsidRPr="002B231C">
        <w:rPr>
          <w:rFonts w:ascii="Times New Roman" w:hAnsi="Times New Roman"/>
          <w:spacing w:val="1"/>
          <w:sz w:val="24"/>
          <w:szCs w:val="24"/>
          <w:lang w:val="ms-MY"/>
        </w:rPr>
        <w:t xml:space="preserve"> </w:t>
      </w:r>
      <w:r w:rsidRPr="002B231C">
        <w:rPr>
          <w:rFonts w:ascii="Times New Roman" w:hAnsi="Times New Roman"/>
          <w:sz w:val="24"/>
          <w:szCs w:val="24"/>
          <w:lang w:val="ms-MY"/>
        </w:rPr>
        <w:t>Carnegie.</w:t>
      </w:r>
      <w:r w:rsidRPr="002B231C">
        <w:rPr>
          <w:rFonts w:ascii="Times New Roman" w:hAnsi="Times New Roman"/>
          <w:spacing w:val="1"/>
          <w:sz w:val="24"/>
          <w:szCs w:val="24"/>
          <w:lang w:val="ms-MY"/>
        </w:rPr>
        <w:t xml:space="preserve"> </w:t>
      </w:r>
      <w:r w:rsidRPr="002B231C">
        <w:rPr>
          <w:rFonts w:ascii="Times New Roman" w:hAnsi="Times New Roman"/>
          <w:sz w:val="24"/>
          <w:szCs w:val="24"/>
          <w:lang w:val="ms-MY"/>
        </w:rPr>
        <w:t>(2017).</w:t>
      </w:r>
      <w:r w:rsidRPr="002B231C">
        <w:rPr>
          <w:rFonts w:ascii="Times New Roman" w:hAnsi="Times New Roman"/>
          <w:spacing w:val="1"/>
          <w:sz w:val="24"/>
          <w:szCs w:val="24"/>
          <w:lang w:val="ms-MY"/>
        </w:rPr>
        <w:t xml:space="preserve"> </w:t>
      </w:r>
      <w:r w:rsidRPr="002B231C">
        <w:rPr>
          <w:rFonts w:ascii="Times New Roman" w:hAnsi="Times New Roman"/>
          <w:sz w:val="24"/>
          <w:szCs w:val="24"/>
          <w:lang w:val="ms-MY"/>
        </w:rPr>
        <w:t>Hanya</w:t>
      </w:r>
      <w:r w:rsidRPr="002B231C">
        <w:rPr>
          <w:rFonts w:ascii="Times New Roman" w:hAnsi="Times New Roman"/>
          <w:spacing w:val="1"/>
          <w:sz w:val="24"/>
          <w:szCs w:val="24"/>
          <w:lang w:val="ms-MY"/>
        </w:rPr>
        <w:t xml:space="preserve"> </w:t>
      </w:r>
      <w:r w:rsidRPr="002B231C">
        <w:rPr>
          <w:rFonts w:ascii="Times New Roman" w:hAnsi="Times New Roman"/>
          <w:sz w:val="24"/>
          <w:szCs w:val="24"/>
          <w:lang w:val="ms-MY"/>
        </w:rPr>
        <w:t>25</w:t>
      </w:r>
      <w:r w:rsidRPr="002B231C">
        <w:rPr>
          <w:rFonts w:ascii="Times New Roman" w:hAnsi="Times New Roman"/>
          <w:spacing w:val="1"/>
          <w:sz w:val="24"/>
          <w:szCs w:val="24"/>
          <w:lang w:val="ms-MY"/>
        </w:rPr>
        <w:t xml:space="preserve"> </w:t>
      </w:r>
      <w:r w:rsidRPr="002B231C">
        <w:rPr>
          <w:rFonts w:ascii="Times New Roman" w:hAnsi="Times New Roman"/>
          <w:sz w:val="24"/>
          <w:szCs w:val="24"/>
          <w:lang w:val="ms-MY"/>
        </w:rPr>
        <w:t>persen</w:t>
      </w:r>
      <w:r w:rsidRPr="002B231C">
        <w:rPr>
          <w:rFonts w:ascii="Times New Roman" w:hAnsi="Times New Roman"/>
          <w:spacing w:val="1"/>
          <w:sz w:val="24"/>
          <w:szCs w:val="24"/>
          <w:lang w:val="ms-MY"/>
        </w:rPr>
        <w:t xml:space="preserve"> </w:t>
      </w:r>
      <w:r w:rsidRPr="002B231C">
        <w:rPr>
          <w:rFonts w:ascii="Times New Roman" w:hAnsi="Times New Roman"/>
          <w:sz w:val="24"/>
          <w:szCs w:val="24"/>
          <w:lang w:val="ms-MY"/>
        </w:rPr>
        <w:t>Millennials</w:t>
      </w:r>
      <w:r w:rsidRPr="002B231C">
        <w:rPr>
          <w:rFonts w:ascii="Times New Roman" w:hAnsi="Times New Roman"/>
          <w:spacing w:val="1"/>
          <w:sz w:val="24"/>
          <w:szCs w:val="24"/>
          <w:lang w:val="ms-MY"/>
        </w:rPr>
        <w:t xml:space="preserve"> </w:t>
      </w:r>
      <w:r w:rsidRPr="002B231C">
        <w:rPr>
          <w:rFonts w:ascii="Times New Roman" w:hAnsi="Times New Roman"/>
          <w:sz w:val="24"/>
          <w:szCs w:val="24"/>
          <w:lang w:val="ms-MY"/>
        </w:rPr>
        <w:t>yang</w:t>
      </w:r>
      <w:r w:rsidRPr="002B231C">
        <w:rPr>
          <w:rFonts w:ascii="Times New Roman" w:hAnsi="Times New Roman"/>
          <w:spacing w:val="1"/>
          <w:sz w:val="24"/>
          <w:szCs w:val="24"/>
          <w:lang w:val="ms-MY"/>
        </w:rPr>
        <w:t xml:space="preserve"> </w:t>
      </w:r>
      <w:r w:rsidRPr="002B231C">
        <w:rPr>
          <w:rFonts w:ascii="Times New Roman" w:hAnsi="Times New Roman"/>
          <w:sz w:val="24"/>
          <w:szCs w:val="24"/>
          <w:lang w:val="ms-MY"/>
        </w:rPr>
        <w:t>Setia</w:t>
      </w:r>
      <w:r w:rsidRPr="002B231C">
        <w:rPr>
          <w:rFonts w:ascii="Times New Roman" w:hAnsi="Times New Roman"/>
          <w:spacing w:val="1"/>
          <w:sz w:val="24"/>
          <w:szCs w:val="24"/>
          <w:lang w:val="ms-MY"/>
        </w:rPr>
        <w:t xml:space="preserve"> </w:t>
      </w:r>
      <w:r w:rsidRPr="002B231C">
        <w:rPr>
          <w:rFonts w:ascii="Times New Roman" w:hAnsi="Times New Roman"/>
          <w:sz w:val="24"/>
          <w:szCs w:val="24"/>
          <w:lang w:val="ms-MY"/>
        </w:rPr>
        <w:t>Kepada</w:t>
      </w:r>
      <w:r w:rsidRPr="002B231C">
        <w:rPr>
          <w:rFonts w:ascii="Times New Roman" w:hAnsi="Times New Roman"/>
          <w:spacing w:val="-57"/>
          <w:sz w:val="24"/>
          <w:szCs w:val="24"/>
          <w:lang w:val="ms-MY"/>
        </w:rPr>
        <w:t xml:space="preserve"> </w:t>
      </w:r>
      <w:r w:rsidRPr="002B231C">
        <w:rPr>
          <w:rFonts w:ascii="Times New Roman" w:hAnsi="Times New Roman"/>
          <w:spacing w:val="-57"/>
          <w:sz w:val="24"/>
          <w:szCs w:val="24"/>
          <w:lang w:val="id-ID"/>
        </w:rPr>
        <w:br/>
        <w:t xml:space="preserve"> </w:t>
      </w:r>
      <w:r w:rsidRPr="002B231C">
        <w:rPr>
          <w:rFonts w:ascii="Times New Roman" w:hAnsi="Times New Roman"/>
          <w:spacing w:val="-57"/>
          <w:sz w:val="24"/>
          <w:szCs w:val="24"/>
          <w:lang w:val="id-ID"/>
        </w:rPr>
        <w:tab/>
      </w:r>
      <w:r w:rsidRPr="002B231C">
        <w:rPr>
          <w:rFonts w:ascii="Times New Roman" w:hAnsi="Times New Roman"/>
          <w:sz w:val="24"/>
          <w:szCs w:val="24"/>
          <w:lang w:val="ms-MY"/>
        </w:rPr>
        <w:t>Perusahaan</w:t>
      </w:r>
      <w:r w:rsidRPr="002B231C">
        <w:rPr>
          <w:lang w:val="ms-MY"/>
        </w:rPr>
        <w:t>.</w:t>
      </w:r>
      <w:r w:rsidRPr="002B231C">
        <w:rPr>
          <w:lang w:val="id-ID"/>
        </w:rPr>
        <w:t xml:space="preserve"> </w:t>
      </w:r>
      <w:r w:rsidRPr="002B231C">
        <w:rPr>
          <w:rFonts w:ascii="Times New Roman" w:hAnsi="Times New Roman"/>
          <w:i/>
          <w:sz w:val="24"/>
          <w:szCs w:val="24"/>
          <w:lang w:val="id-ID"/>
        </w:rPr>
        <w:t>Dalecarneige.id</w:t>
      </w:r>
    </w:p>
    <w:p w:rsidR="0012254E" w:rsidRDefault="0012254E" w:rsidP="0012254E">
      <w:pPr>
        <w:pStyle w:val="NormalWeb"/>
        <w:ind w:left="480" w:hanging="480"/>
        <w:jc w:val="both"/>
      </w:pPr>
      <w:r w:rsidRPr="002B231C">
        <w:t xml:space="preserve">Deloitte Indonesia. (2019). Generasi Milenial dalam Industri 4.0: Berkah Bagi Sumber Daya Manusia Indonesia atau Ancaman? </w:t>
      </w:r>
      <w:r w:rsidRPr="002B231C">
        <w:rPr>
          <w:i/>
          <w:iCs/>
        </w:rPr>
        <w:t>Deloitte Indonesia Perspectives</w:t>
      </w:r>
      <w:r w:rsidRPr="002B231C">
        <w:t xml:space="preserve">, </w:t>
      </w:r>
      <w:r w:rsidRPr="002B231C">
        <w:rPr>
          <w:i/>
          <w:iCs/>
        </w:rPr>
        <w:t>1</w:t>
      </w:r>
      <w:r w:rsidRPr="002B231C">
        <w:t>, 25–36.</w:t>
      </w:r>
    </w:p>
    <w:p w:rsidR="0012254E" w:rsidRPr="002B231C" w:rsidRDefault="0012254E" w:rsidP="0012254E">
      <w:pPr>
        <w:pStyle w:val="NormalWeb"/>
        <w:ind w:left="480" w:hanging="480"/>
        <w:jc w:val="both"/>
      </w:pPr>
      <w:r w:rsidRPr="002B231C">
        <w:t xml:space="preserve">Eisenberger, R., Stinglhamber, F., Vandenberghe, C., Sucharski, I. L., &amp; Rhoades, L. (2002). Perceived supervisor support: Contributions to perceived organizational support and employee retention. </w:t>
      </w:r>
      <w:r w:rsidRPr="002B231C">
        <w:rPr>
          <w:i/>
          <w:iCs/>
        </w:rPr>
        <w:t>Journal of Applied Psychology</w:t>
      </w:r>
      <w:r w:rsidRPr="002B231C">
        <w:t xml:space="preserve">, </w:t>
      </w:r>
      <w:r w:rsidRPr="002B231C">
        <w:rPr>
          <w:i/>
          <w:iCs/>
        </w:rPr>
        <w:t>87</w:t>
      </w:r>
      <w:r w:rsidRPr="002B231C">
        <w:t xml:space="preserve">(3), 565–573. </w:t>
      </w:r>
      <w:hyperlink r:id="rId8" w:history="1">
        <w:r w:rsidRPr="002B231C">
          <w:rPr>
            <w:rStyle w:val="Hyperlink"/>
          </w:rPr>
          <w:t>https://doi.org/10.1037/0021-9010.87.3.565</w:t>
        </w:r>
      </w:hyperlink>
    </w:p>
    <w:p w:rsidR="0012254E" w:rsidRPr="002B231C" w:rsidRDefault="0012254E" w:rsidP="0012254E">
      <w:pPr>
        <w:pStyle w:val="NormalWeb"/>
        <w:ind w:left="480" w:hanging="480"/>
        <w:jc w:val="both"/>
      </w:pPr>
      <w:r w:rsidRPr="002B231C">
        <w:t xml:space="preserve">Fahreza, S., Kartika, L., Sayekti, A., &amp; Manajemen, D. (2019). </w:t>
      </w:r>
      <w:r w:rsidRPr="002B231C">
        <w:rPr>
          <w:iCs/>
        </w:rPr>
        <w:t>Analisis Faktor Work Engagement Karyawan Generasi</w:t>
      </w:r>
      <w:r w:rsidRPr="002B231C">
        <w:rPr>
          <w:i/>
          <w:iCs/>
        </w:rPr>
        <w:t>. Jurnal Manajemen Indonesia</w:t>
      </w:r>
      <w:r w:rsidRPr="002B231C">
        <w:t xml:space="preserve">. </w:t>
      </w:r>
      <w:r w:rsidRPr="002B231C">
        <w:rPr>
          <w:i/>
          <w:iCs/>
        </w:rPr>
        <w:t>19</w:t>
      </w:r>
      <w:r w:rsidRPr="002B231C">
        <w:t>(1), 56–70.</w:t>
      </w:r>
    </w:p>
    <w:p w:rsidR="0012254E" w:rsidRDefault="0012254E" w:rsidP="0012254E">
      <w:pPr>
        <w:pStyle w:val="NormalWeb"/>
        <w:ind w:left="480" w:hanging="480"/>
        <w:jc w:val="both"/>
        <w:rPr>
          <w:lang w:val="id-ID"/>
        </w:rPr>
      </w:pPr>
      <w:r w:rsidRPr="002B231C">
        <w:t xml:space="preserve">Hayuningtyas, D. R. I., &amp; Helmi, A. F. (2016). Peran Kepemimpinan Otentik terhadap Work Engagement Dosen dengan Efikasi Diri sebagai Mediator. </w:t>
      </w:r>
      <w:r w:rsidRPr="002B231C">
        <w:rPr>
          <w:i/>
          <w:iCs/>
        </w:rPr>
        <w:t>Jurnal Psikologi UGM</w:t>
      </w:r>
      <w:r w:rsidRPr="002B231C">
        <w:t xml:space="preserve">, </w:t>
      </w:r>
      <w:r w:rsidRPr="002B231C">
        <w:rPr>
          <w:i/>
          <w:iCs/>
        </w:rPr>
        <w:t>1</w:t>
      </w:r>
      <w:r w:rsidRPr="002B231C">
        <w:t xml:space="preserve">(3), 167–179. </w:t>
      </w:r>
      <w:hyperlink r:id="rId9" w:history="1">
        <w:r w:rsidRPr="002B231C">
          <w:rPr>
            <w:rStyle w:val="Hyperlink"/>
          </w:rPr>
          <w:t>https://doi.org/10.22146/gamajop.8814</w:t>
        </w:r>
      </w:hyperlink>
      <w:r w:rsidRPr="002B231C">
        <w:rPr>
          <w:lang w:val="id-ID"/>
        </w:rPr>
        <w:t xml:space="preserve"> </w:t>
      </w:r>
    </w:p>
    <w:p w:rsidR="00B348F3" w:rsidRPr="002B231C" w:rsidRDefault="00B348F3" w:rsidP="001A0E12">
      <w:pPr>
        <w:pStyle w:val="NormalWeb"/>
        <w:ind w:left="480" w:hanging="480"/>
        <w:rPr>
          <w:lang w:val="id-ID"/>
        </w:rPr>
      </w:pPr>
      <w:r w:rsidRPr="002B231C">
        <w:t xml:space="preserve">Kahn, W. A. (1990). Psychological conditions of personal engagement and disengagement at work. </w:t>
      </w:r>
      <w:proofErr w:type="gramStart"/>
      <w:r w:rsidRPr="002B231C">
        <w:rPr>
          <w:i/>
        </w:rPr>
        <w:t xml:space="preserve">Journal </w:t>
      </w:r>
      <w:r w:rsidRPr="002B231C">
        <w:rPr>
          <w:i/>
          <w:lang w:val="id-ID"/>
        </w:rPr>
        <w:t xml:space="preserve"> a</w:t>
      </w:r>
      <w:r w:rsidRPr="002B231C">
        <w:rPr>
          <w:i/>
        </w:rPr>
        <w:t>cademy</w:t>
      </w:r>
      <w:proofErr w:type="gramEnd"/>
      <w:r w:rsidRPr="002B231C">
        <w:rPr>
          <w:i/>
        </w:rPr>
        <w:t xml:space="preserve"> of Management</w:t>
      </w:r>
      <w:r w:rsidRPr="002B231C">
        <w:t>, 33(4), 692–724.</w:t>
      </w:r>
    </w:p>
    <w:p w:rsidR="0012254E" w:rsidRPr="002B231C" w:rsidRDefault="0012254E" w:rsidP="0012254E">
      <w:pPr>
        <w:spacing w:line="240" w:lineRule="auto"/>
        <w:rPr>
          <w:rFonts w:ascii="Times New Roman" w:hAnsi="Times New Roman"/>
          <w:sz w:val="24"/>
          <w:szCs w:val="24"/>
          <w:lang w:val="id-ID"/>
        </w:rPr>
      </w:pPr>
      <w:r w:rsidRPr="002B231C">
        <w:rPr>
          <w:rFonts w:ascii="Times New Roman" w:hAnsi="Times New Roman"/>
          <w:sz w:val="24"/>
          <w:szCs w:val="24"/>
        </w:rPr>
        <w:t xml:space="preserve">Kreitner Robert dan Kinicki Angelo, 2014, Perilaku Organisasi, Edisi 9. Jakarta: </w:t>
      </w:r>
      <w:r w:rsidRPr="002B231C">
        <w:rPr>
          <w:rFonts w:ascii="Times New Roman" w:hAnsi="Times New Roman"/>
          <w:sz w:val="24"/>
          <w:szCs w:val="24"/>
        </w:rPr>
        <w:br/>
        <w:t xml:space="preserve"> </w:t>
      </w:r>
      <w:r w:rsidRPr="002B231C">
        <w:rPr>
          <w:rFonts w:ascii="Times New Roman" w:hAnsi="Times New Roman"/>
          <w:sz w:val="24"/>
          <w:szCs w:val="24"/>
        </w:rPr>
        <w:tab/>
        <w:t>Salemba Empat</w:t>
      </w:r>
    </w:p>
    <w:p w:rsidR="0012254E" w:rsidRPr="002B231C" w:rsidRDefault="0012254E" w:rsidP="0012254E">
      <w:pPr>
        <w:pStyle w:val="NormalWeb"/>
        <w:ind w:left="480" w:hanging="480"/>
        <w:jc w:val="both"/>
      </w:pPr>
      <w:r w:rsidRPr="002B231C">
        <w:t xml:space="preserve">Lie, V. L. (2017). Analisis Gap Antara Harapan Dan Persepsi Karyawan Tentang Keadilan Organisasi Di Pt Kali Jaya Putra. </w:t>
      </w:r>
      <w:r w:rsidRPr="002B231C">
        <w:rPr>
          <w:i/>
          <w:iCs/>
        </w:rPr>
        <w:t>Agora - Online Graduate Humanities Journal</w:t>
      </w:r>
      <w:r w:rsidRPr="002B231C">
        <w:t xml:space="preserve">, </w:t>
      </w:r>
      <w:r w:rsidRPr="002B231C">
        <w:rPr>
          <w:i/>
          <w:iCs/>
        </w:rPr>
        <w:t>5</w:t>
      </w:r>
      <w:r w:rsidRPr="002B231C">
        <w:t>(1).</w:t>
      </w:r>
    </w:p>
    <w:p w:rsidR="0012254E" w:rsidRPr="002B231C" w:rsidRDefault="0012254E" w:rsidP="0012254E">
      <w:pPr>
        <w:pStyle w:val="NormalWeb"/>
        <w:ind w:left="480" w:hanging="480"/>
        <w:jc w:val="both"/>
        <w:rPr>
          <w:lang w:val="id-ID"/>
        </w:rPr>
      </w:pPr>
      <w:r w:rsidRPr="002B231C">
        <w:t xml:space="preserve">Maertz, C. P., Griffeth, R.W., Campbell, N. S. &amp; Allen, D. (2007). The effect of </w:t>
      </w:r>
      <w:r w:rsidRPr="002B231C">
        <w:br/>
        <w:t xml:space="preserve"> </w:t>
      </w:r>
      <w:r w:rsidRPr="002B231C">
        <w:tab/>
        <w:t xml:space="preserve">perceived organizational support and perceived supervisor support on </w:t>
      </w:r>
      <w:r w:rsidRPr="002B231C">
        <w:br/>
        <w:t xml:space="preserve"> </w:t>
      </w:r>
      <w:r w:rsidRPr="002B231C">
        <w:tab/>
        <w:t xml:space="preserve">employee turnover. </w:t>
      </w:r>
      <w:r w:rsidRPr="002B231C">
        <w:rPr>
          <w:i/>
        </w:rPr>
        <w:t>Journal of Organizational Behavior</w:t>
      </w:r>
      <w:r w:rsidRPr="002B231C">
        <w:t>. 28. 1059-75</w:t>
      </w:r>
    </w:p>
    <w:p w:rsidR="0012254E" w:rsidRDefault="0012254E" w:rsidP="0012254E">
      <w:pPr>
        <w:pStyle w:val="NormalWeb"/>
        <w:ind w:left="480" w:hanging="480"/>
        <w:jc w:val="both"/>
      </w:pPr>
      <w:r w:rsidRPr="002B231C">
        <w:t xml:space="preserve">Meyer, J. P., Allen, N. J., &amp; Smith, C. A. (1993). Commitment to Organizations and Occupations: Extension and Test of a Three-Component Conceptualization. </w:t>
      </w:r>
      <w:r w:rsidRPr="002B231C">
        <w:rPr>
          <w:i/>
          <w:iCs/>
        </w:rPr>
        <w:t>Journal of Applied Psychology</w:t>
      </w:r>
      <w:r w:rsidRPr="002B231C">
        <w:t xml:space="preserve">, </w:t>
      </w:r>
      <w:r w:rsidRPr="002B231C">
        <w:rPr>
          <w:i/>
          <w:iCs/>
        </w:rPr>
        <w:t>78</w:t>
      </w:r>
      <w:r w:rsidRPr="002B231C">
        <w:t xml:space="preserve">(4), 538–551. </w:t>
      </w:r>
      <w:hyperlink r:id="rId10" w:history="1">
        <w:r w:rsidRPr="002B231C">
          <w:rPr>
            <w:rStyle w:val="Hyperlink"/>
          </w:rPr>
          <w:t>https://doi.org/10.1037/0021-9010.78.4.538</w:t>
        </w:r>
      </w:hyperlink>
    </w:p>
    <w:p w:rsidR="0012254E" w:rsidRPr="002B231C" w:rsidRDefault="0012254E" w:rsidP="0012254E">
      <w:pPr>
        <w:pStyle w:val="NormalWeb"/>
        <w:ind w:left="480" w:hanging="480"/>
        <w:jc w:val="both"/>
        <w:rPr>
          <w:lang w:val="id-ID"/>
        </w:rPr>
      </w:pPr>
      <w:r w:rsidRPr="002B231C">
        <w:t xml:space="preserve">Othman, N., &amp; Nasurdin, A. M. (2011). Work engagement of Malaysian nurses : Exploring the impact of hope and resilience. </w:t>
      </w:r>
      <w:r w:rsidRPr="002B231C">
        <w:rPr>
          <w:i/>
          <w:iCs/>
        </w:rPr>
        <w:t>World Academy of Science, Engineering and Technology</w:t>
      </w:r>
      <w:r w:rsidRPr="002B231C">
        <w:t xml:space="preserve">, </w:t>
      </w:r>
      <w:r w:rsidRPr="002B231C">
        <w:rPr>
          <w:i/>
          <w:iCs/>
        </w:rPr>
        <w:t>60</w:t>
      </w:r>
      <w:r w:rsidRPr="002B231C">
        <w:t>, 1702–1706.</w:t>
      </w:r>
    </w:p>
    <w:p w:rsidR="0012254E" w:rsidRDefault="0012254E" w:rsidP="0012254E">
      <w:pPr>
        <w:pStyle w:val="NormalWeb"/>
        <w:ind w:left="480" w:hanging="480"/>
        <w:jc w:val="both"/>
        <w:rPr>
          <w:lang w:val="id-ID"/>
        </w:rPr>
      </w:pPr>
      <w:r w:rsidRPr="002B231C">
        <w:t xml:space="preserve">Rhoades, L., &amp; Eisenberger, R. (2002). Perceived organizational support: A review of the literature. </w:t>
      </w:r>
      <w:r w:rsidRPr="002B231C">
        <w:rPr>
          <w:i/>
          <w:iCs/>
        </w:rPr>
        <w:t>Journal of Applied Psychology</w:t>
      </w:r>
      <w:r w:rsidRPr="002B231C">
        <w:t xml:space="preserve">, </w:t>
      </w:r>
      <w:r w:rsidRPr="002B231C">
        <w:rPr>
          <w:i/>
          <w:iCs/>
        </w:rPr>
        <w:t>87</w:t>
      </w:r>
      <w:r w:rsidRPr="002B231C">
        <w:t xml:space="preserve">(4), 698–714. </w:t>
      </w:r>
      <w:hyperlink r:id="rId11" w:history="1">
        <w:r w:rsidRPr="002B231C">
          <w:rPr>
            <w:rStyle w:val="Hyperlink"/>
          </w:rPr>
          <w:t>https://doi.org/10.1037/0021-9010.87.4.698</w:t>
        </w:r>
      </w:hyperlink>
      <w:r w:rsidRPr="002B231C">
        <w:rPr>
          <w:lang w:val="id-ID"/>
        </w:rPr>
        <w:t xml:space="preserve"> </w:t>
      </w:r>
    </w:p>
    <w:p w:rsidR="0012254E" w:rsidRPr="0026634F" w:rsidRDefault="0012254E" w:rsidP="0012254E">
      <w:pPr>
        <w:spacing w:line="240" w:lineRule="auto"/>
        <w:rPr>
          <w:rFonts w:ascii="Times New Roman" w:hAnsi="Times New Roman"/>
          <w:color w:val="000000"/>
          <w:sz w:val="24"/>
          <w:szCs w:val="24"/>
          <w:lang w:val="id-ID"/>
        </w:rPr>
      </w:pPr>
      <w:r w:rsidRPr="002B231C">
        <w:rPr>
          <w:rFonts w:ascii="Times New Roman" w:hAnsi="Times New Roman"/>
          <w:color w:val="000000"/>
          <w:sz w:val="24"/>
          <w:szCs w:val="24"/>
        </w:rPr>
        <w:t xml:space="preserve">Schaufeli, W.B., &amp; Bakker, A.B. (2002). </w:t>
      </w:r>
      <w:r>
        <w:rPr>
          <w:rFonts w:ascii="Times New Roman" w:hAnsi="Times New Roman"/>
          <w:color w:val="000000"/>
          <w:sz w:val="24"/>
          <w:szCs w:val="24"/>
          <w:lang w:val="id-ID"/>
        </w:rPr>
        <w:t xml:space="preserve">The Measurement Of Engagement and </w:t>
      </w:r>
      <w:r>
        <w:rPr>
          <w:rFonts w:ascii="Times New Roman" w:hAnsi="Times New Roman"/>
          <w:color w:val="000000"/>
          <w:sz w:val="24"/>
          <w:szCs w:val="24"/>
          <w:lang w:val="id-ID"/>
        </w:rPr>
        <w:br/>
        <w:t xml:space="preserve"> </w:t>
      </w:r>
      <w:r>
        <w:rPr>
          <w:rFonts w:ascii="Times New Roman" w:hAnsi="Times New Roman"/>
          <w:color w:val="000000"/>
          <w:sz w:val="24"/>
          <w:szCs w:val="24"/>
          <w:lang w:val="id-ID"/>
        </w:rPr>
        <w:tab/>
        <w:t xml:space="preserve">Burnout : a Two Sample Confirmatory Factor Analytic Approach. </w:t>
      </w:r>
      <w:r w:rsidRPr="008E64DE">
        <w:rPr>
          <w:rFonts w:ascii="Times New Roman" w:hAnsi="Times New Roman"/>
          <w:i/>
          <w:color w:val="000000"/>
          <w:sz w:val="24"/>
          <w:szCs w:val="24"/>
          <w:lang w:val="id-ID"/>
        </w:rPr>
        <w:t xml:space="preserve">Journal </w:t>
      </w:r>
      <w:r w:rsidRPr="008E64DE">
        <w:rPr>
          <w:rFonts w:ascii="Times New Roman" w:hAnsi="Times New Roman"/>
          <w:i/>
          <w:color w:val="000000"/>
          <w:sz w:val="24"/>
          <w:szCs w:val="24"/>
          <w:lang w:val="id-ID"/>
        </w:rPr>
        <w:br/>
        <w:t xml:space="preserve"> </w:t>
      </w:r>
      <w:r w:rsidRPr="008E64DE">
        <w:rPr>
          <w:rFonts w:ascii="Times New Roman" w:hAnsi="Times New Roman"/>
          <w:i/>
          <w:color w:val="000000"/>
          <w:sz w:val="24"/>
          <w:szCs w:val="24"/>
          <w:lang w:val="id-ID"/>
        </w:rPr>
        <w:tab/>
        <w:t>Of Happiness Studies</w:t>
      </w:r>
      <w:r>
        <w:rPr>
          <w:rFonts w:ascii="Times New Roman" w:hAnsi="Times New Roman"/>
          <w:color w:val="000000"/>
          <w:sz w:val="24"/>
          <w:szCs w:val="24"/>
          <w:lang w:val="id-ID"/>
        </w:rPr>
        <w:t xml:space="preserve"> 3 : 71-92</w:t>
      </w:r>
    </w:p>
    <w:p w:rsidR="0012254E" w:rsidRDefault="0012254E" w:rsidP="0012254E">
      <w:pPr>
        <w:pStyle w:val="NormalWeb"/>
        <w:jc w:val="both"/>
        <w:rPr>
          <w:lang w:val="id-ID"/>
        </w:rPr>
      </w:pPr>
      <w:r w:rsidRPr="002B231C">
        <w:lastRenderedPageBreak/>
        <w:t xml:space="preserve">Schaufeli, W. B., &amp; Bakker, A. B. (2004). Utrecht work engagement scale Preliminary </w:t>
      </w:r>
      <w:r>
        <w:br/>
        <w:t xml:space="preserve"> </w:t>
      </w:r>
      <w:r>
        <w:tab/>
      </w:r>
      <w:r w:rsidRPr="002B231C">
        <w:t xml:space="preserve">Manual Version 1.1. </w:t>
      </w:r>
      <w:r w:rsidRPr="002B231C">
        <w:rPr>
          <w:i/>
          <w:iCs/>
        </w:rPr>
        <w:t>Occupational Health Psychology Unit Utrecht University</w:t>
      </w:r>
      <w:r w:rsidRPr="002B231C">
        <w:t xml:space="preserve">, </w:t>
      </w:r>
      <w:r>
        <w:br/>
        <w:t xml:space="preserve"> </w:t>
      </w:r>
      <w:r>
        <w:tab/>
      </w:r>
      <w:r w:rsidRPr="002B231C">
        <w:rPr>
          <w:i/>
          <w:iCs/>
        </w:rPr>
        <w:t>December</w:t>
      </w:r>
      <w:r w:rsidRPr="002B231C">
        <w:t xml:space="preserve">, 1–60. </w:t>
      </w:r>
      <w:hyperlink r:id="rId12" w:history="1">
        <w:r w:rsidRPr="002B231C">
          <w:rPr>
            <w:rStyle w:val="Hyperlink"/>
          </w:rPr>
          <w:t>https://doi.org/10.1037/t01350-000</w:t>
        </w:r>
      </w:hyperlink>
      <w:r>
        <w:rPr>
          <w:lang w:val="id-ID"/>
        </w:rPr>
        <w:t xml:space="preserve"> </w:t>
      </w:r>
    </w:p>
    <w:p w:rsidR="0012254E" w:rsidRDefault="0012254E" w:rsidP="0012254E">
      <w:pPr>
        <w:pStyle w:val="NormalWeb"/>
        <w:ind w:left="480" w:hanging="480"/>
        <w:jc w:val="both"/>
      </w:pPr>
      <w:r w:rsidRPr="002B231C">
        <w:t xml:space="preserve">Shuck, B., &amp; Wollard, K. (2010). Employee engagement and HRD: A seminal review of the foundations. </w:t>
      </w:r>
      <w:r w:rsidRPr="002B231C">
        <w:rPr>
          <w:i/>
          <w:iCs/>
        </w:rPr>
        <w:t>Human Resource Development Review</w:t>
      </w:r>
      <w:r w:rsidRPr="002B231C">
        <w:t xml:space="preserve">, </w:t>
      </w:r>
      <w:r w:rsidRPr="002B231C">
        <w:rPr>
          <w:i/>
          <w:iCs/>
        </w:rPr>
        <w:t>9</w:t>
      </w:r>
      <w:r w:rsidRPr="002B231C">
        <w:t xml:space="preserve">(1), 89–110. </w:t>
      </w:r>
      <w:hyperlink r:id="rId13" w:history="1">
        <w:r w:rsidRPr="005942D5">
          <w:rPr>
            <w:rStyle w:val="Hyperlink"/>
          </w:rPr>
          <w:t>https://doi.org/10.1177/1534484309353560</w:t>
        </w:r>
      </w:hyperlink>
      <w:r>
        <w:t xml:space="preserve"> </w:t>
      </w:r>
    </w:p>
    <w:p w:rsidR="0012254E" w:rsidRDefault="0012254E" w:rsidP="0012254E">
      <w:pPr>
        <w:pStyle w:val="NormalWeb"/>
        <w:ind w:left="480" w:hanging="480"/>
        <w:jc w:val="both"/>
      </w:pPr>
      <w:r w:rsidRPr="002B231C">
        <w:t>Sugiharto, M.D.</w:t>
      </w:r>
      <w:r w:rsidRPr="002B231C">
        <w:rPr>
          <w:lang w:val="id-ID"/>
        </w:rPr>
        <w:t xml:space="preserve"> (</w:t>
      </w:r>
      <w:r w:rsidRPr="002B231C">
        <w:t xml:space="preserve">2019). Organisasi Terhadap Employee Engagement Generasi Y Transformational Leadership and Organizational Culture. </w:t>
      </w:r>
      <w:r w:rsidRPr="002B231C">
        <w:rPr>
          <w:i/>
          <w:iCs/>
        </w:rPr>
        <w:t>Jurnal Manajerial</w:t>
      </w:r>
      <w:r w:rsidRPr="002B231C">
        <w:t xml:space="preserve">, </w:t>
      </w:r>
      <w:r w:rsidRPr="002B231C">
        <w:rPr>
          <w:i/>
          <w:iCs/>
        </w:rPr>
        <w:t>18</w:t>
      </w:r>
      <w:r w:rsidRPr="002B231C">
        <w:t>(2), 63–74.</w:t>
      </w:r>
    </w:p>
    <w:p w:rsidR="00B348F3" w:rsidRPr="00B348F3" w:rsidRDefault="00B348F3" w:rsidP="00B348F3">
      <w:pPr>
        <w:spacing w:line="240" w:lineRule="auto"/>
        <w:rPr>
          <w:rFonts w:ascii="Times New Roman" w:hAnsi="Times New Roman"/>
          <w:color w:val="000000"/>
          <w:sz w:val="24"/>
          <w:szCs w:val="24"/>
          <w:lang w:val="id-ID"/>
        </w:rPr>
      </w:pPr>
      <w:r w:rsidRPr="002B231C">
        <w:rPr>
          <w:rFonts w:ascii="Times New Roman" w:hAnsi="Times New Roman"/>
          <w:color w:val="000000"/>
          <w:sz w:val="24"/>
          <w:szCs w:val="24"/>
        </w:rPr>
        <w:t xml:space="preserve">Sugiyono. (2016). Metode Penelitian Kuantitatif, Kualitatif dan R&amp;D. </w:t>
      </w:r>
      <w:proofErr w:type="gramStart"/>
      <w:r w:rsidRPr="002B231C">
        <w:rPr>
          <w:rFonts w:ascii="Times New Roman" w:hAnsi="Times New Roman"/>
          <w:color w:val="000000"/>
          <w:sz w:val="24"/>
          <w:szCs w:val="24"/>
        </w:rPr>
        <w:t>Bandung :</w:t>
      </w:r>
      <w:proofErr w:type="gramEnd"/>
      <w:r w:rsidRPr="002B231C">
        <w:rPr>
          <w:rFonts w:ascii="Times New Roman" w:hAnsi="Times New Roman"/>
          <w:color w:val="000000"/>
          <w:sz w:val="24"/>
          <w:szCs w:val="24"/>
        </w:rPr>
        <w:t xml:space="preserve">   </w:t>
      </w:r>
      <w:r w:rsidRPr="002B231C">
        <w:rPr>
          <w:rFonts w:ascii="Times New Roman" w:hAnsi="Times New Roman"/>
          <w:color w:val="000000"/>
          <w:sz w:val="24"/>
          <w:szCs w:val="24"/>
        </w:rPr>
        <w:br/>
        <w:t xml:space="preserve"> </w:t>
      </w:r>
      <w:r w:rsidRPr="002B231C">
        <w:rPr>
          <w:rFonts w:ascii="Times New Roman" w:hAnsi="Times New Roman"/>
          <w:color w:val="000000"/>
          <w:sz w:val="24"/>
          <w:szCs w:val="24"/>
        </w:rPr>
        <w:tab/>
        <w:t>Alfabeta</w:t>
      </w:r>
    </w:p>
    <w:p w:rsidR="0012254E" w:rsidRDefault="0012254E" w:rsidP="0012254E">
      <w:pPr>
        <w:pStyle w:val="NormalWeb"/>
        <w:ind w:left="480" w:hanging="480"/>
        <w:jc w:val="both"/>
        <w:rPr>
          <w:lang w:val="id-ID"/>
        </w:rPr>
      </w:pPr>
      <w:r w:rsidRPr="002B231C">
        <w:t xml:space="preserve">Worley, J. A., Fuqua, D. R., &amp; Hellman, C. M. (2009). The survey of perceived organisational support: Which measure should we use? </w:t>
      </w:r>
      <w:r w:rsidRPr="002B231C">
        <w:rPr>
          <w:i/>
          <w:iCs/>
        </w:rPr>
        <w:t>SA Journal of Industrial Psychology</w:t>
      </w:r>
      <w:r w:rsidRPr="002B231C">
        <w:t xml:space="preserve">, </w:t>
      </w:r>
      <w:r w:rsidRPr="002B231C">
        <w:rPr>
          <w:i/>
          <w:iCs/>
        </w:rPr>
        <w:t>35</w:t>
      </w:r>
      <w:r w:rsidRPr="002B231C">
        <w:t xml:space="preserve">(1). </w:t>
      </w:r>
      <w:hyperlink r:id="rId14" w:history="1">
        <w:r w:rsidRPr="002B231C">
          <w:rPr>
            <w:rStyle w:val="Hyperlink"/>
          </w:rPr>
          <w:t>https://doi.org/10.4102/sajip.v35i1.754</w:t>
        </w:r>
      </w:hyperlink>
      <w:r>
        <w:rPr>
          <w:lang w:val="id-ID"/>
        </w:rPr>
        <w:t xml:space="preserve"> </w:t>
      </w:r>
    </w:p>
    <w:p w:rsidR="00845DEA" w:rsidRPr="00F55BE6" w:rsidRDefault="00845DEA" w:rsidP="0012254E">
      <w:pPr>
        <w:spacing w:line="360" w:lineRule="auto"/>
        <w:rPr>
          <w:rFonts w:ascii="Times New Roman" w:hAnsi="Times New Roman"/>
          <w:color w:val="000000"/>
        </w:rPr>
      </w:pPr>
    </w:p>
    <w:p w:rsidR="007B7B11" w:rsidRPr="007B7B11" w:rsidRDefault="007B7B11" w:rsidP="007B7B11">
      <w:pPr>
        <w:rPr>
          <w:rFonts w:ascii="Times New Roman" w:hAnsi="Times New Roman"/>
          <w:sz w:val="24"/>
          <w:szCs w:val="24"/>
        </w:rPr>
      </w:pPr>
    </w:p>
    <w:p w:rsidR="007B7B11" w:rsidRPr="00601388" w:rsidRDefault="007B7B11" w:rsidP="00601388">
      <w:pPr>
        <w:ind w:left="360" w:firstLine="360"/>
        <w:rPr>
          <w:rFonts w:ascii="Times New Roman" w:hAnsi="Times New Roman"/>
          <w:sz w:val="24"/>
          <w:szCs w:val="24"/>
          <w:lang w:val="en-US"/>
        </w:rPr>
      </w:pPr>
    </w:p>
    <w:p w:rsidR="00601388" w:rsidRPr="00776600" w:rsidRDefault="00601388" w:rsidP="00601388">
      <w:pPr>
        <w:ind w:left="360" w:firstLine="360"/>
        <w:rPr>
          <w:rFonts w:ascii="Times New Roman" w:hAnsi="Times New Roman"/>
          <w:color w:val="000000"/>
          <w:sz w:val="24"/>
          <w:szCs w:val="24"/>
        </w:rPr>
      </w:pPr>
    </w:p>
    <w:p w:rsidR="00601388" w:rsidRPr="00CD7628" w:rsidRDefault="00601388" w:rsidP="00CD7628">
      <w:pPr>
        <w:spacing w:line="360" w:lineRule="auto"/>
        <w:ind w:left="360" w:firstLine="360"/>
        <w:rPr>
          <w:rFonts w:ascii="Times New Roman" w:hAnsi="Times New Roman"/>
          <w:lang w:val="id-ID"/>
        </w:rPr>
      </w:pPr>
    </w:p>
    <w:p w:rsidR="008B6A4C" w:rsidRPr="008B6A4C" w:rsidRDefault="008B6A4C" w:rsidP="00CD7628">
      <w:pPr>
        <w:spacing w:line="360" w:lineRule="auto"/>
        <w:ind w:left="360" w:firstLine="360"/>
        <w:rPr>
          <w:rFonts w:ascii="Times New Roman" w:hAnsi="Times New Roman"/>
          <w:sz w:val="24"/>
          <w:szCs w:val="24"/>
          <w:lang w:val="id-ID"/>
        </w:rPr>
      </w:pPr>
    </w:p>
    <w:p w:rsidR="001572ED" w:rsidRPr="008B6A4C" w:rsidRDefault="001572ED">
      <w:pPr>
        <w:rPr>
          <w:lang w:val="id-ID"/>
        </w:rPr>
      </w:pPr>
    </w:p>
    <w:sectPr w:rsidR="001572ED" w:rsidRPr="008B6A4C" w:rsidSect="00E07606">
      <w:head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F25" w:rsidRDefault="00FB0F25" w:rsidP="00E07606">
      <w:pPr>
        <w:spacing w:line="240" w:lineRule="auto"/>
      </w:pPr>
      <w:r>
        <w:separator/>
      </w:r>
    </w:p>
  </w:endnote>
  <w:endnote w:type="continuationSeparator" w:id="0">
    <w:p w:rsidR="00FB0F25" w:rsidRDefault="00FB0F25" w:rsidP="00E076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F25" w:rsidRDefault="00FB0F25" w:rsidP="00E07606">
      <w:pPr>
        <w:spacing w:line="240" w:lineRule="auto"/>
      </w:pPr>
      <w:r>
        <w:separator/>
      </w:r>
    </w:p>
  </w:footnote>
  <w:footnote w:type="continuationSeparator" w:id="0">
    <w:p w:rsidR="00FB0F25" w:rsidRDefault="00FB0F25" w:rsidP="00E076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606" w:rsidRPr="00E07606" w:rsidRDefault="00E07606">
    <w:pPr>
      <w:pStyle w:val="Header"/>
      <w:rPr>
        <w:i/>
      </w:rPr>
    </w:pPr>
    <w:r>
      <w:t xml:space="preserve">Persepsi Dukungan Atasan dengan </w:t>
    </w:r>
    <w:r>
      <w:rPr>
        <w:i/>
      </w:rPr>
      <w:t xml:space="preserve">Work Engagement </w:t>
    </w:r>
    <w:r>
      <w:t>p</w:t>
    </w:r>
    <w:r w:rsidRPr="00E07606">
      <w:t>ada</w:t>
    </w:r>
    <w:r>
      <w:rPr>
        <w:i/>
      </w:rPr>
      <w:t xml:space="preserve"> </w:t>
    </w:r>
    <w:r w:rsidRPr="00E07606">
      <w:t>Karyawan Generasi Milenial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A4C"/>
    <w:rsid w:val="0012254E"/>
    <w:rsid w:val="00127D59"/>
    <w:rsid w:val="001572ED"/>
    <w:rsid w:val="001A0E12"/>
    <w:rsid w:val="00601388"/>
    <w:rsid w:val="007B7B11"/>
    <w:rsid w:val="00845DEA"/>
    <w:rsid w:val="008B6A4C"/>
    <w:rsid w:val="00901345"/>
    <w:rsid w:val="00962F9E"/>
    <w:rsid w:val="00B348F3"/>
    <w:rsid w:val="00CA7E83"/>
    <w:rsid w:val="00CD7628"/>
    <w:rsid w:val="00E07606"/>
    <w:rsid w:val="00FB0F2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AEA8A2-1C21-410E-B72D-3EE4970C7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A4C"/>
    <w:pPr>
      <w:spacing w:after="0" w:line="480" w:lineRule="auto"/>
      <w:jc w:val="both"/>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6A4C"/>
    <w:rPr>
      <w:color w:val="0000FF" w:themeColor="hyperlink"/>
      <w:u w:val="single"/>
    </w:rPr>
  </w:style>
  <w:style w:type="paragraph" w:styleId="NormalWeb">
    <w:name w:val="Normal (Web)"/>
    <w:basedOn w:val="Normal"/>
    <w:uiPriority w:val="99"/>
    <w:unhideWhenUsed/>
    <w:rsid w:val="0012254E"/>
    <w:pPr>
      <w:spacing w:before="100" w:beforeAutospacing="1" w:after="100" w:afterAutospacing="1" w:line="240" w:lineRule="auto"/>
      <w:jc w:val="left"/>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E07606"/>
    <w:pPr>
      <w:tabs>
        <w:tab w:val="center" w:pos="4680"/>
        <w:tab w:val="right" w:pos="9360"/>
      </w:tabs>
      <w:spacing w:line="240" w:lineRule="auto"/>
    </w:pPr>
  </w:style>
  <w:style w:type="character" w:customStyle="1" w:styleId="HeaderChar">
    <w:name w:val="Header Char"/>
    <w:basedOn w:val="DefaultParagraphFont"/>
    <w:link w:val="Header"/>
    <w:uiPriority w:val="99"/>
    <w:rsid w:val="00E07606"/>
    <w:rPr>
      <w:rFonts w:ascii="Calibri" w:eastAsia="Calibri" w:hAnsi="Calibri" w:cs="Times New Roman"/>
      <w:lang w:val="en-GB"/>
    </w:rPr>
  </w:style>
  <w:style w:type="paragraph" w:styleId="Footer">
    <w:name w:val="footer"/>
    <w:basedOn w:val="Normal"/>
    <w:link w:val="FooterChar"/>
    <w:uiPriority w:val="99"/>
    <w:unhideWhenUsed/>
    <w:rsid w:val="00E07606"/>
    <w:pPr>
      <w:tabs>
        <w:tab w:val="center" w:pos="4680"/>
        <w:tab w:val="right" w:pos="9360"/>
      </w:tabs>
      <w:spacing w:line="240" w:lineRule="auto"/>
    </w:pPr>
  </w:style>
  <w:style w:type="character" w:customStyle="1" w:styleId="FooterChar">
    <w:name w:val="Footer Char"/>
    <w:basedOn w:val="DefaultParagraphFont"/>
    <w:link w:val="Footer"/>
    <w:uiPriority w:val="99"/>
    <w:rsid w:val="00E07606"/>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7/0021-9010.87.3.565" TargetMode="External"/><Relationship Id="rId13" Type="http://schemas.openxmlformats.org/officeDocument/2006/relationships/hyperlink" Target="https://doi.org/10.1177/1534484309353560" TargetMode="External"/><Relationship Id="rId3" Type="http://schemas.openxmlformats.org/officeDocument/2006/relationships/webSettings" Target="webSettings.xml"/><Relationship Id="rId7" Type="http://schemas.openxmlformats.org/officeDocument/2006/relationships/hyperlink" Target="https://doi.org/10.30996/fn.v28i1.2421" TargetMode="External"/><Relationship Id="rId12" Type="http://schemas.openxmlformats.org/officeDocument/2006/relationships/hyperlink" Target="https://doi.org/10.1037/t01350-00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Farhaaa30@gmail.com" TargetMode="External"/><Relationship Id="rId11" Type="http://schemas.openxmlformats.org/officeDocument/2006/relationships/hyperlink" Target="https://doi.org/10.1037/0021-9010.87.4.698"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doi.org/10.1037/0021-9010.78.4.538" TargetMode="External"/><Relationship Id="rId4" Type="http://schemas.openxmlformats.org/officeDocument/2006/relationships/footnotes" Target="footnotes.xml"/><Relationship Id="rId9" Type="http://schemas.openxmlformats.org/officeDocument/2006/relationships/hyperlink" Target="https://doi.org/10.22146/gamajop.8814" TargetMode="External"/><Relationship Id="rId14" Type="http://schemas.openxmlformats.org/officeDocument/2006/relationships/hyperlink" Target="https://doi.org/10.4102/sajip.v35i1.7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3240</Words>
  <Characters>18470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acer</cp:lastModifiedBy>
  <cp:revision>3</cp:revision>
  <dcterms:created xsi:type="dcterms:W3CDTF">2021-08-09T05:47:00Z</dcterms:created>
  <dcterms:modified xsi:type="dcterms:W3CDTF">2021-08-09T05:48:00Z</dcterms:modified>
</cp:coreProperties>
</file>