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90E4" w14:textId="157D7CE6" w:rsidR="00DB01C2" w:rsidRDefault="006F0903" w:rsidP="006F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33">
        <w:rPr>
          <w:rFonts w:ascii="Times New Roman" w:hAnsi="Times New Roman" w:cs="Times New Roman"/>
          <w:b/>
          <w:sz w:val="24"/>
          <w:szCs w:val="24"/>
        </w:rPr>
        <w:t>PENGARUH KONSENTRASI ROOTONE-F TERHADAP PERTUMBUHAN SETEK BATANG NILAM (</w:t>
      </w:r>
      <w:proofErr w:type="spellStart"/>
      <w:r w:rsidRPr="00F74533">
        <w:rPr>
          <w:rFonts w:ascii="Times New Roman" w:hAnsi="Times New Roman" w:cs="Times New Roman"/>
          <w:b/>
          <w:i/>
          <w:sz w:val="24"/>
          <w:szCs w:val="24"/>
        </w:rPr>
        <w:t>Pogostemon</w:t>
      </w:r>
      <w:proofErr w:type="spellEnd"/>
      <w:r w:rsidRPr="00F74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533">
        <w:rPr>
          <w:rFonts w:ascii="Times New Roman" w:hAnsi="Times New Roman" w:cs="Times New Roman"/>
          <w:b/>
          <w:i/>
          <w:sz w:val="24"/>
          <w:szCs w:val="24"/>
        </w:rPr>
        <w:t>cablin</w:t>
      </w:r>
      <w:proofErr w:type="spellEnd"/>
      <w:r w:rsidRPr="00F74533">
        <w:rPr>
          <w:rFonts w:ascii="Times New Roman" w:hAnsi="Times New Roman" w:cs="Times New Roman"/>
          <w:b/>
          <w:i/>
          <w:sz w:val="24"/>
          <w:szCs w:val="24"/>
        </w:rPr>
        <w:t xml:space="preserve"> Benth</w:t>
      </w:r>
      <w:r w:rsidRPr="00045433">
        <w:rPr>
          <w:rFonts w:ascii="Times New Roman" w:hAnsi="Times New Roman" w:cs="Times New Roman"/>
          <w:b/>
          <w:sz w:val="24"/>
          <w:szCs w:val="24"/>
        </w:rPr>
        <w:t>.)</w:t>
      </w:r>
    </w:p>
    <w:p w14:paraId="62679E61" w14:textId="2A203127" w:rsidR="00325E69" w:rsidRDefault="006F0903" w:rsidP="00325E6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THE </w:t>
      </w:r>
      <w:r w:rsidRPr="00E45275">
        <w:rPr>
          <w:rFonts w:ascii="Times New Roman" w:hAnsi="Times New Roman" w:cs="Times New Roman"/>
          <w:b/>
          <w:sz w:val="24"/>
          <w:szCs w:val="24"/>
          <w:lang w:val="en-ID"/>
        </w:rPr>
        <w:t xml:space="preserve">EFFECT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OF ROOTONE-F CONCENTATION ON THE GROWTH OF PATCHOULI STEM CUTTINGS </w:t>
      </w:r>
      <w:r w:rsidRPr="00690EBF">
        <w:rPr>
          <w:rFonts w:ascii="Times New Roman" w:hAnsi="Times New Roman" w:cs="Times New Roman"/>
          <w:b/>
          <w:sz w:val="24"/>
          <w:szCs w:val="24"/>
          <w:lang w:val="en-ID"/>
        </w:rPr>
        <w:t>(</w:t>
      </w:r>
      <w:proofErr w:type="spellStart"/>
      <w:r w:rsidRPr="00F74533">
        <w:rPr>
          <w:rFonts w:ascii="Times New Roman" w:hAnsi="Times New Roman" w:cs="Times New Roman"/>
          <w:b/>
          <w:i/>
          <w:sz w:val="24"/>
          <w:szCs w:val="24"/>
          <w:lang w:val="en-ID"/>
        </w:rPr>
        <w:t>Pogostemon</w:t>
      </w:r>
      <w:proofErr w:type="spellEnd"/>
      <w:r w:rsidRPr="00F74533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F74533">
        <w:rPr>
          <w:rFonts w:ascii="Times New Roman" w:hAnsi="Times New Roman" w:cs="Times New Roman"/>
          <w:b/>
          <w:i/>
          <w:sz w:val="24"/>
          <w:szCs w:val="24"/>
          <w:lang w:val="en-ID"/>
        </w:rPr>
        <w:t>cablin</w:t>
      </w:r>
      <w:proofErr w:type="spellEnd"/>
      <w:r w:rsidRPr="00F74533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Benth</w:t>
      </w:r>
      <w:r w:rsidRPr="00690EBF">
        <w:rPr>
          <w:rFonts w:ascii="Times New Roman" w:hAnsi="Times New Roman" w:cs="Times New Roman"/>
          <w:b/>
          <w:sz w:val="24"/>
          <w:szCs w:val="24"/>
          <w:lang w:val="en-ID"/>
        </w:rPr>
        <w:t>.)</w:t>
      </w:r>
    </w:p>
    <w:p w14:paraId="300A7F88" w14:textId="2FC1BE55" w:rsidR="00325E69" w:rsidRDefault="00325E69" w:rsidP="0032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E69">
        <w:rPr>
          <w:rFonts w:ascii="Times New Roman" w:hAnsi="Times New Roman" w:cs="Times New Roman"/>
          <w:b/>
          <w:sz w:val="24"/>
          <w:szCs w:val="24"/>
          <w:lang w:val="en-ID"/>
        </w:rPr>
        <w:t>Bambang Purnomo</w:t>
      </w:r>
      <w:r w:rsidRPr="00325E69"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1</w:t>
      </w:r>
      <w:r w:rsidRPr="00325E6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325E69">
        <w:rPr>
          <w:rFonts w:ascii="Times New Roman" w:hAnsi="Times New Roman" w:cs="Times New Roman"/>
          <w:b/>
          <w:sz w:val="24"/>
          <w:szCs w:val="24"/>
        </w:rPr>
        <w:t xml:space="preserve">Dr. Ir. F. </w:t>
      </w:r>
      <w:proofErr w:type="spellStart"/>
      <w:r w:rsidRPr="00325E69">
        <w:rPr>
          <w:rFonts w:ascii="Times New Roman" w:hAnsi="Times New Roman" w:cs="Times New Roman"/>
          <w:b/>
          <w:sz w:val="24"/>
          <w:szCs w:val="24"/>
        </w:rPr>
        <w:t>Didiet</w:t>
      </w:r>
      <w:proofErr w:type="spellEnd"/>
      <w:r w:rsidRPr="00325E69">
        <w:rPr>
          <w:rFonts w:ascii="Times New Roman" w:hAnsi="Times New Roman" w:cs="Times New Roman"/>
          <w:b/>
          <w:sz w:val="24"/>
          <w:szCs w:val="24"/>
        </w:rPr>
        <w:t xml:space="preserve"> Heru </w:t>
      </w:r>
      <w:proofErr w:type="spellStart"/>
      <w:r w:rsidRPr="00325E69">
        <w:rPr>
          <w:rFonts w:ascii="Times New Roman" w:hAnsi="Times New Roman" w:cs="Times New Roman"/>
          <w:b/>
          <w:sz w:val="24"/>
          <w:szCs w:val="24"/>
        </w:rPr>
        <w:t>Swasono</w:t>
      </w:r>
      <w:proofErr w:type="spellEnd"/>
      <w:r w:rsidRPr="00325E69">
        <w:rPr>
          <w:rFonts w:ascii="Times New Roman" w:hAnsi="Times New Roman" w:cs="Times New Roman"/>
          <w:b/>
          <w:sz w:val="24"/>
          <w:szCs w:val="24"/>
        </w:rPr>
        <w:t>, M.P.</w:t>
      </w:r>
      <w:r w:rsidRPr="00325E6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5E69">
        <w:rPr>
          <w:rFonts w:ascii="Times New Roman" w:hAnsi="Times New Roman" w:cs="Times New Roman"/>
          <w:b/>
          <w:sz w:val="24"/>
          <w:szCs w:val="24"/>
        </w:rPr>
        <w:t xml:space="preserve">. Drs. Riyanto, M. Si </w:t>
      </w:r>
      <w:r w:rsidRPr="00325E6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36AF84F7" w14:textId="3B372FAB" w:rsidR="00325E69" w:rsidRDefault="00325E69" w:rsidP="00325E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5E6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325E69">
        <w:rPr>
          <w:rFonts w:ascii="Times New Roman" w:hAnsi="Times New Roman" w:cs="Times New Roman"/>
          <w:bCs/>
          <w:sz w:val="24"/>
          <w:szCs w:val="24"/>
        </w:rPr>
        <w:t>Student of the Agrote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25E69">
        <w:rPr>
          <w:rFonts w:ascii="Times New Roman" w:hAnsi="Times New Roman" w:cs="Times New Roman"/>
          <w:bCs/>
          <w:sz w:val="24"/>
          <w:szCs w:val="24"/>
        </w:rPr>
        <w:t xml:space="preserve">hnology Study Program, </w:t>
      </w:r>
      <w:proofErr w:type="spellStart"/>
      <w:r w:rsidRPr="00325E69">
        <w:rPr>
          <w:rFonts w:ascii="Times New Roman" w:hAnsi="Times New Roman" w:cs="Times New Roman"/>
          <w:bCs/>
          <w:sz w:val="24"/>
          <w:szCs w:val="24"/>
        </w:rPr>
        <w:t>Mer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25E69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325E69">
        <w:rPr>
          <w:rFonts w:ascii="Times New Roman" w:hAnsi="Times New Roman" w:cs="Times New Roman"/>
          <w:bCs/>
          <w:sz w:val="24"/>
          <w:szCs w:val="24"/>
        </w:rPr>
        <w:t xml:space="preserve"> Buana University Yogyakarta</w:t>
      </w:r>
    </w:p>
    <w:p w14:paraId="789648A7" w14:textId="668C1417" w:rsidR="00325E69" w:rsidRDefault="00325E69" w:rsidP="00325E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Lexturer at</w:t>
      </w:r>
      <w:r w:rsidRPr="00325E69">
        <w:rPr>
          <w:rFonts w:ascii="Times New Roman" w:hAnsi="Times New Roman" w:cs="Times New Roman"/>
          <w:bCs/>
          <w:sz w:val="24"/>
          <w:szCs w:val="24"/>
        </w:rPr>
        <w:t xml:space="preserve"> the Agrote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25E69">
        <w:rPr>
          <w:rFonts w:ascii="Times New Roman" w:hAnsi="Times New Roman" w:cs="Times New Roman"/>
          <w:bCs/>
          <w:sz w:val="24"/>
          <w:szCs w:val="24"/>
        </w:rPr>
        <w:t xml:space="preserve">hnology Study Program, </w:t>
      </w:r>
      <w:proofErr w:type="spellStart"/>
      <w:r w:rsidRPr="00325E69">
        <w:rPr>
          <w:rFonts w:ascii="Times New Roman" w:hAnsi="Times New Roman" w:cs="Times New Roman"/>
          <w:bCs/>
          <w:sz w:val="24"/>
          <w:szCs w:val="24"/>
        </w:rPr>
        <w:t>Mer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25E69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325E69">
        <w:rPr>
          <w:rFonts w:ascii="Times New Roman" w:hAnsi="Times New Roman" w:cs="Times New Roman"/>
          <w:bCs/>
          <w:sz w:val="24"/>
          <w:szCs w:val="24"/>
        </w:rPr>
        <w:t xml:space="preserve"> Buana University Yogyakarta</w:t>
      </w:r>
    </w:p>
    <w:p w14:paraId="26EBA121" w14:textId="25C9017F" w:rsidR="00325E69" w:rsidRDefault="00325E69" w:rsidP="00325E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hyperlink r:id="rId7" w:history="1">
        <w:r w:rsidR="00103BDC" w:rsidRPr="005500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17011079@student.mercubuana-yogya.ac.id</w:t>
        </w:r>
      </w:hyperlink>
    </w:p>
    <w:p w14:paraId="1A079115" w14:textId="51DA4A57" w:rsidR="00103BDC" w:rsidRDefault="00103BDC" w:rsidP="00325E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62DC86" w14:textId="77777777" w:rsidR="008A460F" w:rsidRDefault="008A460F" w:rsidP="00325E6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1B83C5" w14:textId="5ED63108" w:rsidR="00103BDC" w:rsidRDefault="00103BDC" w:rsidP="00325E69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3BDC">
        <w:rPr>
          <w:rFonts w:ascii="Times New Roman" w:hAnsi="Times New Roman" w:cs="Times New Roman"/>
          <w:b/>
          <w:i/>
          <w:iCs/>
          <w:sz w:val="24"/>
          <w:szCs w:val="24"/>
        </w:rPr>
        <w:t>ABSTRAK</w:t>
      </w:r>
    </w:p>
    <w:p w14:paraId="44831A16" w14:textId="77777777" w:rsidR="008A460F" w:rsidRDefault="008A460F" w:rsidP="008A460F">
      <w:pPr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803AB3">
        <w:rPr>
          <w:rFonts w:ascii="Times New Roman" w:hAnsi="Times New Roman" w:cs="Times New Roman"/>
          <w:iCs/>
          <w:sz w:val="24"/>
          <w:szCs w:val="24"/>
        </w:rPr>
        <w:t xml:space="preserve">This research was conducted from February 2022 to March 2022, Green House UPT Gardens and Livestock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Kaliurang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 Experimental Ground,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Mercu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 Buana University Yogyakarta. The purpose of this study was to determine the effect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-F concentration on the growth of patchouli stem cuttings. This study is a single factor experiment arranged in a Completely Randomized Design (CRD) with three replications. The treatments tested were the administration of a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-F, namely without the administration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-F, the administration of a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>-F of 25</w:t>
      </w:r>
      <w:r>
        <w:rPr>
          <w:rFonts w:ascii="Times New Roman" w:hAnsi="Times New Roman" w:cs="Times New Roman"/>
          <w:iCs/>
          <w:sz w:val="24"/>
          <w:szCs w:val="24"/>
        </w:rPr>
        <w:t xml:space="preserve"> mg/1</w:t>
      </w:r>
      <w:r w:rsidRPr="00803AB3">
        <w:rPr>
          <w:rFonts w:ascii="Times New Roman" w:hAnsi="Times New Roman" w:cs="Times New Roman"/>
          <w:iCs/>
          <w:sz w:val="24"/>
          <w:szCs w:val="24"/>
        </w:rPr>
        <w:t xml:space="preserve"> liter of water, the administration of a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>-F 50</w:t>
      </w:r>
      <w:r>
        <w:rPr>
          <w:rFonts w:ascii="Times New Roman" w:hAnsi="Times New Roman" w:cs="Times New Roman"/>
          <w:iCs/>
          <w:sz w:val="24"/>
          <w:szCs w:val="24"/>
        </w:rPr>
        <w:t xml:space="preserve"> mg/1</w:t>
      </w:r>
      <w:r w:rsidRPr="00803AB3">
        <w:rPr>
          <w:rFonts w:ascii="Times New Roman" w:hAnsi="Times New Roman" w:cs="Times New Roman"/>
          <w:iCs/>
          <w:sz w:val="24"/>
          <w:szCs w:val="24"/>
        </w:rPr>
        <w:t xml:space="preserve"> liter of water, and the administration of a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>-F 75</w:t>
      </w:r>
      <w:r>
        <w:rPr>
          <w:rFonts w:ascii="Times New Roman" w:hAnsi="Times New Roman" w:cs="Times New Roman"/>
          <w:iCs/>
          <w:sz w:val="24"/>
          <w:szCs w:val="24"/>
        </w:rPr>
        <w:t xml:space="preserve"> mg/1 </w:t>
      </w:r>
      <w:r w:rsidRPr="00803AB3">
        <w:rPr>
          <w:rFonts w:ascii="Times New Roman" w:hAnsi="Times New Roman" w:cs="Times New Roman"/>
          <w:iCs/>
          <w:sz w:val="24"/>
          <w:szCs w:val="24"/>
        </w:rPr>
        <w:t xml:space="preserve">liters of water. The results showed that the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 xml:space="preserve">-F significantly affected the growth of patchouli stem cuttings. In the variable plant height, number of leaves and stem diameter, the concentration of </w:t>
      </w:r>
      <w:proofErr w:type="spellStart"/>
      <w:r w:rsidRPr="00803AB3">
        <w:rPr>
          <w:rFonts w:ascii="Times New Roman" w:hAnsi="Times New Roman" w:cs="Times New Roman"/>
          <w:iCs/>
          <w:sz w:val="24"/>
          <w:szCs w:val="24"/>
        </w:rPr>
        <w:t>Rootone</w:t>
      </w:r>
      <w:proofErr w:type="spellEnd"/>
      <w:r w:rsidRPr="00803AB3">
        <w:rPr>
          <w:rFonts w:ascii="Times New Roman" w:hAnsi="Times New Roman" w:cs="Times New Roman"/>
          <w:iCs/>
          <w:sz w:val="24"/>
          <w:szCs w:val="24"/>
        </w:rPr>
        <w:t>-F 50</w:t>
      </w:r>
      <w:r>
        <w:rPr>
          <w:rFonts w:ascii="Times New Roman" w:hAnsi="Times New Roman" w:cs="Times New Roman"/>
          <w:iCs/>
          <w:sz w:val="24"/>
          <w:szCs w:val="24"/>
        </w:rPr>
        <w:t xml:space="preserve"> mg/1</w:t>
      </w:r>
      <w:r w:rsidRPr="00803AB3">
        <w:rPr>
          <w:rFonts w:ascii="Times New Roman" w:hAnsi="Times New Roman" w:cs="Times New Roman"/>
          <w:iCs/>
          <w:sz w:val="24"/>
          <w:szCs w:val="24"/>
        </w:rPr>
        <w:t xml:space="preserve"> liter of water gave the best growth.</w:t>
      </w:r>
    </w:p>
    <w:p w14:paraId="5A23DBC4" w14:textId="748C9FC5" w:rsidR="00103BDC" w:rsidRPr="00103BDC" w:rsidRDefault="008A460F" w:rsidP="008A460F">
      <w:pPr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8A460F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Keywords</w:t>
      </w:r>
      <w:r w:rsidRPr="00803AB3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: Concentration, Rootone-F, Cuttings and Niam</w:t>
      </w:r>
    </w:p>
    <w:p w14:paraId="4F2C7BCD" w14:textId="71B2D040" w:rsidR="00325E69" w:rsidRDefault="00325E69" w:rsidP="00325E69">
      <w:pPr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73EC23B4" w14:textId="4522A55B" w:rsidR="008A460F" w:rsidRDefault="008A460F" w:rsidP="00325E69">
      <w:pPr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5D2E5C5D" w14:textId="569A407D" w:rsidR="008A460F" w:rsidRDefault="008A460F" w:rsidP="00325E69">
      <w:pPr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0C45941F" w14:textId="64502C8C" w:rsidR="008A460F" w:rsidRDefault="008A460F" w:rsidP="00325E69">
      <w:pPr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14:paraId="3F3690EF" w14:textId="77777777" w:rsidR="008F358F" w:rsidRDefault="008F358F" w:rsidP="00325E6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  <w:sectPr w:rsidR="008F358F" w:rsidSect="004525F6">
          <w:headerReference w:type="default" r:id="rId8"/>
          <w:footerReference w:type="default" r:id="rId9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72C9D50B" w14:textId="20A401A9" w:rsidR="008A460F" w:rsidRDefault="008A460F" w:rsidP="00325E6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A460F">
        <w:rPr>
          <w:rFonts w:ascii="Times New Roman" w:hAnsi="Times New Roman" w:cs="Times New Roman"/>
          <w:b/>
          <w:sz w:val="24"/>
          <w:szCs w:val="24"/>
          <w:lang w:val="en-ID"/>
        </w:rPr>
        <w:t>PENDAHULUAN</w:t>
      </w:r>
    </w:p>
    <w:p w14:paraId="775AC02A" w14:textId="77777777" w:rsidR="008A460F" w:rsidRPr="00AB0D5F" w:rsidRDefault="008A460F" w:rsidP="008A46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5F">
        <w:rPr>
          <w:rFonts w:ascii="Times New Roman" w:hAnsi="Times New Roman" w:cs="Times New Roman"/>
          <w:sz w:val="24"/>
          <w:szCs w:val="24"/>
        </w:rPr>
        <w:t>Nilam (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Pogostemon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cablin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Benth.)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atsiri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parfum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pengikat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aroma.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perasa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(Ramya et al., 2013).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Angiosperm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Philogeny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Group II (APG II),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famili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Lamiaceae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jamak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Labiatae.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takson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famili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ordo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Lamiales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Angiospermae, dan divisi Spermatophyta.</w:t>
      </w:r>
    </w:p>
    <w:p w14:paraId="6F8AF7D4" w14:textId="77777777" w:rsidR="008A460F" w:rsidRPr="00AB0D5F" w:rsidRDefault="008A460F" w:rsidP="008A46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5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90 %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Jawa dan Sumatra.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Sulawesi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80 %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minimum SNI,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Sumatra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patchoulol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30 – 34 %,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Sulawesi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26 – 30 %.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Sama (patchoulol 30 %),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Sumatra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6 USD per kilogram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Sulawesi (Sumatera 56 USD/kg dan Sulawesi 50 USD/kg) (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Caiger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2016). </w:t>
      </w:r>
    </w:p>
    <w:p w14:paraId="10732B1E" w14:textId="45974F2D" w:rsidR="008A460F" w:rsidRPr="00AB0D5F" w:rsidRDefault="008A460F" w:rsidP="008A46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atsiri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tiruannya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sintetik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lemon, bergamot, rose dan lavender. Ada pula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atsiri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patchoulol dan chamomile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sintetik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padainyak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atsiri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pemuliaan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(Blackburn and Simon, 2016). </w:t>
      </w:r>
    </w:p>
    <w:p w14:paraId="2D49D98B" w14:textId="77777777" w:rsidR="008A460F" w:rsidRPr="00AB0D5F" w:rsidRDefault="008A460F" w:rsidP="008A46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diperbanyak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IAA, NAA, dan IBA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>.</w:t>
      </w:r>
    </w:p>
    <w:p w14:paraId="4EE0801E" w14:textId="58C54351" w:rsidR="008A460F" w:rsidRDefault="008A460F" w:rsidP="008A460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5F">
        <w:rPr>
          <w:rFonts w:ascii="Times New Roman" w:hAnsi="Times New Roman" w:cs="Times New Roman"/>
          <w:sz w:val="24"/>
          <w:szCs w:val="24"/>
        </w:rPr>
        <w:t xml:space="preserve">Alternative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Nilam,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mempengaruhui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persemaian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lastRenderedPageBreak/>
        <w:t>mengatasi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perakaran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-F yang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akar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B46FB1" w14:textId="44A23AA7" w:rsidR="008A460F" w:rsidRDefault="008A460F" w:rsidP="008A46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E30AAE4" w14:textId="77777777" w:rsidR="008A460F" w:rsidRDefault="008A460F" w:rsidP="008A460F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271CD8">
        <w:rPr>
          <w:rFonts w:ascii="Times New Roman" w:hAnsi="Times New Roman" w:cs="Times New Roman"/>
          <w:sz w:val="24"/>
          <w:szCs w:val="24"/>
        </w:rPr>
        <w:t>?</w:t>
      </w:r>
    </w:p>
    <w:p w14:paraId="3890360A" w14:textId="1861136A" w:rsidR="008A460F" w:rsidRPr="008A460F" w:rsidRDefault="008A460F" w:rsidP="008A460F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AB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5F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271CD8">
        <w:rPr>
          <w:rFonts w:ascii="Times New Roman" w:hAnsi="Times New Roman" w:cs="Times New Roman"/>
          <w:sz w:val="24"/>
          <w:szCs w:val="24"/>
        </w:rPr>
        <w:t>?</w:t>
      </w:r>
    </w:p>
    <w:p w14:paraId="1D62CC2E" w14:textId="0D3A6B4B" w:rsidR="008A460F" w:rsidRDefault="008A460F" w:rsidP="008A460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METODE PENELITIAN</w:t>
      </w:r>
    </w:p>
    <w:p w14:paraId="1532C8FB" w14:textId="04232F86" w:rsidR="008A460F" w:rsidRDefault="008A460F" w:rsidP="008A46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C2">
        <w:rPr>
          <w:rFonts w:ascii="Times New Roman" w:hAnsi="Times New Roman" w:cs="Times New Roman"/>
          <w:sz w:val="24"/>
          <w:szCs w:val="24"/>
        </w:rPr>
        <w:t xml:space="preserve">di Green House UPT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Lahan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Kaliurang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Buana Yogyakarta.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Maret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2CA98" w14:textId="3A940D7D" w:rsidR="008A460F" w:rsidRDefault="008A460F" w:rsidP="008A460F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34C2">
        <w:rPr>
          <w:rFonts w:ascii="Times New Roman" w:hAnsi="Times New Roman" w:cs="Times New Roman"/>
          <w:sz w:val="24"/>
          <w:szCs w:val="24"/>
        </w:rPr>
        <w:t xml:space="preserve">Bahan yang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Nilam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ZPT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-F,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Regosol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polybag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15 cm x 15 cm, air,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bambu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dan air</w:t>
      </w:r>
      <w:r w:rsidRPr="000F18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4C2">
        <w:rPr>
          <w:rFonts w:ascii="Times New Roman" w:hAnsi="Times New Roman" w:cs="Times New Roman"/>
          <w:sz w:val="24"/>
          <w:szCs w:val="24"/>
        </w:rPr>
        <w:t xml:space="preserve">Alat yang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parang,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gergaji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cangkul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cetok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ayakan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sendok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aqua,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penggaris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sorong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label,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C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0A0AC9" w14:textId="77777777" w:rsidR="009832C1" w:rsidRDefault="009832C1" w:rsidP="009832C1">
      <w:pPr>
        <w:pStyle w:val="ListParagraph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dilakuakan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Acak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(RAL) factor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(A) C</w:t>
      </w:r>
      <w:r>
        <w:rPr>
          <w:rFonts w:ascii="Times New Roman" w:hAnsi="Times New Roman" w:cs="Times New Roman"/>
          <w:sz w:val="24"/>
          <w:szCs w:val="24"/>
        </w:rPr>
        <w:t xml:space="preserve">ontrol/l liter air, </w:t>
      </w:r>
      <w:r>
        <w:rPr>
          <w:rFonts w:ascii="Times New Roman" w:hAnsi="Times New Roman" w:cs="Times New Roman"/>
          <w:sz w:val="24"/>
          <w:szCs w:val="24"/>
        </w:rPr>
        <w:t xml:space="preserve">(B) 25 mg/1 liter air, (C) 50 mg/1 liter air, (D) 75 mg/1 </w:t>
      </w:r>
      <w:r w:rsidRPr="00F434C2">
        <w:rPr>
          <w:rFonts w:ascii="Times New Roman" w:hAnsi="Times New Roman" w:cs="Times New Roman"/>
          <w:sz w:val="24"/>
          <w:szCs w:val="24"/>
        </w:rPr>
        <w:t xml:space="preserve">liter air.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3x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F434C2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F434C2">
        <w:rPr>
          <w:rFonts w:ascii="Times New Roman" w:hAnsi="Times New Roman" w:cs="Times New Roman"/>
          <w:sz w:val="24"/>
          <w:szCs w:val="24"/>
        </w:rPr>
        <w:t>.</w:t>
      </w:r>
    </w:p>
    <w:p w14:paraId="4C4CB396" w14:textId="01CF508B" w:rsidR="009832C1" w:rsidRPr="00F434C2" w:rsidRDefault="009832C1" w:rsidP="008F358F">
      <w:pPr>
        <w:pStyle w:val="ListParagraph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434C2">
        <w:rPr>
          <w:rFonts w:ascii="Times New Roman" w:hAnsi="Times New Roman" w:cs="Times New Roman"/>
          <w:sz w:val="24"/>
          <w:szCs w:val="24"/>
          <w:lang w:val="id-ID"/>
        </w:rPr>
        <w:t xml:space="preserve">A. </w:t>
      </w:r>
      <w:r w:rsidR="008F358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proofErr w:type="gramStart"/>
      <w:r w:rsidR="008F358F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F434C2">
        <w:rPr>
          <w:rFonts w:ascii="Times New Roman" w:hAnsi="Times New Roman" w:cs="Times New Roman"/>
          <w:sz w:val="24"/>
          <w:szCs w:val="24"/>
          <w:lang w:val="id-ID"/>
        </w:rPr>
        <w:t xml:space="preserve">  (</w:t>
      </w:r>
      <w:proofErr w:type="gramEnd"/>
      <w:r w:rsidRPr="00F434C2">
        <w:rPr>
          <w:rFonts w:ascii="Times New Roman" w:hAnsi="Times New Roman" w:cs="Times New Roman"/>
          <w:sz w:val="24"/>
          <w:szCs w:val="24"/>
          <w:lang w:val="id-ID"/>
        </w:rPr>
        <w:t>Tanpa Rootone-F).</w:t>
      </w:r>
    </w:p>
    <w:p w14:paraId="359250FE" w14:textId="77777777" w:rsidR="009832C1" w:rsidRPr="00F434C2" w:rsidRDefault="009832C1" w:rsidP="008F358F">
      <w:pPr>
        <w:pStyle w:val="ListParagraph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B. = Konsentrasi 25 mg/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F434C2">
        <w:rPr>
          <w:rFonts w:ascii="Times New Roman" w:hAnsi="Times New Roman" w:cs="Times New Roman"/>
          <w:sz w:val="24"/>
          <w:szCs w:val="24"/>
          <w:lang w:val="id-ID"/>
        </w:rPr>
        <w:t>liter air.</w:t>
      </w:r>
    </w:p>
    <w:p w14:paraId="4939EF66" w14:textId="77777777" w:rsidR="009832C1" w:rsidRPr="00F434C2" w:rsidRDefault="009832C1" w:rsidP="008F358F">
      <w:pPr>
        <w:pStyle w:val="ListParagraph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C. = Konsentrasi 50 mg/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434C2">
        <w:rPr>
          <w:rFonts w:ascii="Times New Roman" w:hAnsi="Times New Roman" w:cs="Times New Roman"/>
          <w:sz w:val="24"/>
          <w:szCs w:val="24"/>
          <w:lang w:val="id-ID"/>
        </w:rPr>
        <w:t>liter air.</w:t>
      </w:r>
    </w:p>
    <w:p w14:paraId="5CD65212" w14:textId="41BA2B93" w:rsidR="008A460F" w:rsidRDefault="009832C1" w:rsidP="008F35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D. = Konsentrasi 75 mg/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434C2">
        <w:rPr>
          <w:rFonts w:ascii="Times New Roman" w:hAnsi="Times New Roman" w:cs="Times New Roman"/>
          <w:sz w:val="24"/>
          <w:szCs w:val="24"/>
          <w:lang w:val="id-ID"/>
        </w:rPr>
        <w:t>liter air</w:t>
      </w:r>
    </w:p>
    <w:p w14:paraId="1E2674DB" w14:textId="72372DF7" w:rsidR="009832C1" w:rsidRDefault="009832C1" w:rsidP="009832C1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C1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63FACA89" w14:textId="77777777" w:rsidR="009832C1" w:rsidRPr="00637B43" w:rsidRDefault="009832C1" w:rsidP="009832C1">
      <w:pPr>
        <w:pStyle w:val="ListParagraph1"/>
        <w:numPr>
          <w:ilvl w:val="0"/>
          <w:numId w:val="4"/>
        </w:num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</w:p>
    <w:p w14:paraId="2738DA63" w14:textId="77777777" w:rsidR="009832C1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Saat Muncul Tunas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Hari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1EE207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waktu muncul tunas</w:t>
      </w:r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AB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A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AB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</w:t>
      </w:r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tidak </w:t>
      </w:r>
      <w:proofErr w:type="spellStart"/>
      <w:r w:rsidRPr="00E82AB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AB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82AB2">
        <w:rPr>
          <w:rFonts w:ascii="Times New Roman" w:hAnsi="Times New Roman" w:cs="Times New Roman"/>
          <w:sz w:val="24"/>
          <w:szCs w:val="24"/>
        </w:rPr>
        <w:t xml:space="preserve"> pada masing-masing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 yang diberikan</w:t>
      </w:r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waktu muncul tunas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1. </w:t>
      </w:r>
    </w:p>
    <w:p w14:paraId="707EB287" w14:textId="77777777" w:rsidR="008F358F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2D4F">
        <w:rPr>
          <w:rFonts w:ascii="Times New Roman" w:hAnsi="Times New Roman" w:cs="Times New Roman"/>
          <w:sz w:val="24"/>
          <w:szCs w:val="24"/>
        </w:rPr>
        <w:t>Tabel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waktu muncul tunas perlakuan konsentra</w:t>
      </w:r>
      <w:proofErr w:type="spellStart"/>
      <w:r w:rsidR="008F35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F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58F">
        <w:rPr>
          <w:rFonts w:ascii="Times New Roman" w:hAnsi="Times New Roman" w:cs="Times New Roman"/>
          <w:sz w:val="24"/>
          <w:szCs w:val="24"/>
        </w:rPr>
        <w:t>Rotone</w:t>
      </w:r>
      <w:proofErr w:type="spellEnd"/>
      <w:r w:rsidR="008F358F">
        <w:rPr>
          <w:rFonts w:ascii="Times New Roman" w:hAnsi="Times New Roman" w:cs="Times New Roman"/>
          <w:sz w:val="24"/>
          <w:szCs w:val="24"/>
        </w:rPr>
        <w:t>-F.</w:t>
      </w:r>
    </w:p>
    <w:p w14:paraId="0F6CB809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3AB0D4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7F68E0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503558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936A13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1EBEAC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217816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9E5A9D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D08885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62F1D3" w14:textId="4F07157F" w:rsidR="008F358F" w:rsidRP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8F358F" w:rsidRP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7AD20D1E" w14:textId="72FC8CFB" w:rsidR="009832C1" w:rsidRPr="0020658B" w:rsidRDefault="009832C1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7186" w:type="dxa"/>
        <w:tblInd w:w="767" w:type="dxa"/>
        <w:tblLook w:val="04A0" w:firstRow="1" w:lastRow="0" w:firstColumn="1" w:lastColumn="0" w:noHBand="0" w:noVBand="1"/>
      </w:tblPr>
      <w:tblGrid>
        <w:gridCol w:w="4586"/>
        <w:gridCol w:w="2600"/>
      </w:tblGrid>
      <w:tr w:rsidR="009832C1" w:rsidRPr="00E10D95" w14:paraId="66070FFC" w14:textId="77777777" w:rsidTr="00897F09">
        <w:trPr>
          <w:trHeight w:val="760"/>
        </w:trPr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4E2B49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853B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Purata Lama Hari</w:t>
            </w:r>
          </w:p>
        </w:tc>
      </w:tr>
      <w:tr w:rsidR="009832C1" w:rsidRPr="00E10D95" w14:paraId="51564C13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1170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B5D5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5,33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4A00F5A5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485F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mg/1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62B2" w14:textId="77777777" w:rsidR="009832C1" w:rsidRPr="005B465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4,89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a</w:t>
            </w:r>
          </w:p>
        </w:tc>
      </w:tr>
      <w:tr w:rsidR="009832C1" w:rsidRPr="00E10D95" w14:paraId="21677224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C9083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B5B4" w14:textId="77777777" w:rsidR="009832C1" w:rsidRPr="005B465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3,89 a</w:t>
            </w:r>
          </w:p>
        </w:tc>
      </w:tr>
      <w:tr w:rsidR="009832C1" w:rsidRPr="00E10D95" w14:paraId="7CFFAC7E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287F4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49F2" w14:textId="77777777" w:rsidR="009832C1" w:rsidRPr="005B465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4,33 a</w:t>
            </w:r>
          </w:p>
        </w:tc>
      </w:tr>
    </w:tbl>
    <w:p w14:paraId="778946F8" w14:textId="77777777" w:rsidR="009832C1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5EBCE" w14:textId="4F02CA2F" w:rsidR="009832C1" w:rsidRPr="00CD0F2E" w:rsidRDefault="009832C1" w:rsidP="009832C1">
      <w:pPr>
        <w:pStyle w:val="ListParagraph1"/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2BBC4FA5" w14:textId="77777777" w:rsidR="008F358F" w:rsidRDefault="008F358F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id-ID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35D4131B" w14:textId="77777777" w:rsidR="009832C1" w:rsidRPr="006527BD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Panjang Tunas</w:t>
      </w:r>
      <w:r w:rsidRPr="00652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DC169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1F198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sidik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panjang tunas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</w:t>
      </w:r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pengamatan 3 MST dan tidak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berpengaruh nyata pada pengamatan 4-8 MST.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panjang tunas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2.</w:t>
      </w:r>
    </w:p>
    <w:p w14:paraId="67DD4689" w14:textId="77777777" w:rsidR="009832C1" w:rsidRDefault="009832C1" w:rsidP="009832C1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482D74" w14:textId="77777777" w:rsidR="008F358F" w:rsidRDefault="008F358F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2EE7D800" w14:textId="77777777" w:rsidR="008F358F" w:rsidRPr="00D50B9D" w:rsidRDefault="008F358F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2D4F">
        <w:rPr>
          <w:rFonts w:ascii="Times New Roman" w:hAnsi="Times New Roman" w:cs="Times New Roman"/>
          <w:sz w:val="24"/>
          <w:szCs w:val="24"/>
        </w:rPr>
        <w:t>Tabel 2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panjang tunas 3-8 MST perlakuan </w:t>
      </w:r>
      <w:r w:rsidRPr="00ED32A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onsentrasi Rootone-F</w:t>
      </w:r>
    </w:p>
    <w:tbl>
      <w:tblPr>
        <w:tblW w:w="8196" w:type="dxa"/>
        <w:tblInd w:w="417" w:type="dxa"/>
        <w:tblLayout w:type="fixed"/>
        <w:tblLook w:val="04A0" w:firstRow="1" w:lastRow="0" w:firstColumn="1" w:lastColumn="0" w:noHBand="0" w:noVBand="1"/>
      </w:tblPr>
      <w:tblGrid>
        <w:gridCol w:w="2185"/>
        <w:gridCol w:w="1243"/>
        <w:gridCol w:w="373"/>
        <w:gridCol w:w="455"/>
        <w:gridCol w:w="437"/>
        <w:gridCol w:w="529"/>
        <w:gridCol w:w="990"/>
        <w:gridCol w:w="992"/>
        <w:gridCol w:w="992"/>
      </w:tblGrid>
      <w:tr w:rsidR="008F358F" w:rsidRPr="00A90464" w14:paraId="6B32FDF2" w14:textId="77777777" w:rsidTr="001E092F">
        <w:trPr>
          <w:trHeight w:val="328"/>
        </w:trPr>
        <w:tc>
          <w:tcPr>
            <w:tcW w:w="21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656DD" w14:textId="77777777" w:rsidR="008F358F" w:rsidRPr="001D1C1A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F0E1C" w14:textId="77777777" w:rsidR="008F358F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D405C" w14:textId="77777777" w:rsidR="008F358F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CA62" w14:textId="77777777" w:rsidR="008F358F" w:rsidRPr="00A90464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Panjang Tunas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(cm)</w:t>
            </w:r>
          </w:p>
        </w:tc>
      </w:tr>
      <w:tr w:rsidR="008F358F" w:rsidRPr="00A90464" w14:paraId="6BD7008D" w14:textId="77777777" w:rsidTr="001E092F">
        <w:trPr>
          <w:trHeight w:val="496"/>
        </w:trPr>
        <w:tc>
          <w:tcPr>
            <w:tcW w:w="21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451FEE" w14:textId="77777777" w:rsidR="008F358F" w:rsidRPr="00A90464" w:rsidRDefault="008F358F" w:rsidP="001E0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C068" w14:textId="77777777" w:rsidR="008F358F" w:rsidRPr="00A90464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0328C" w14:textId="77777777" w:rsidR="008F358F" w:rsidRPr="00D25F9F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 MST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FD364" w14:textId="77777777" w:rsidR="008F358F" w:rsidRPr="00D25F9F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5 MST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7574" w14:textId="77777777" w:rsidR="008F358F" w:rsidRPr="00A90464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999D" w14:textId="77777777" w:rsidR="008F358F" w:rsidRPr="00A90464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F7E5" w14:textId="77777777" w:rsidR="008F358F" w:rsidRPr="00A90464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</w:tr>
      <w:tr w:rsidR="008F358F" w:rsidRPr="00A90464" w14:paraId="40C7B9A1" w14:textId="77777777" w:rsidTr="001E092F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4CC" w14:textId="77777777" w:rsidR="008F358F" w:rsidRPr="00D7536B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7E73" w14:textId="77777777" w:rsidR="008F358F" w:rsidRPr="0021206E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0,51 ab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E189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8,62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2401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11,42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0F09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14,78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897C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18,06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340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21,72 a</w:t>
            </w:r>
          </w:p>
        </w:tc>
      </w:tr>
      <w:tr w:rsidR="008F358F" w:rsidRPr="00A90464" w14:paraId="3778C3E9" w14:textId="77777777" w:rsidTr="001E092F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24FD" w14:textId="77777777" w:rsidR="008F358F" w:rsidRPr="00D7536B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CD09" w14:textId="77777777" w:rsidR="008F358F" w:rsidRPr="0021206E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0,46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A4EB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6,78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D8C43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9,09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55B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12,06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64AE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12,22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5221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17,06 a</w:t>
            </w:r>
          </w:p>
        </w:tc>
      </w:tr>
      <w:tr w:rsidR="008F358F" w:rsidRPr="00A90464" w14:paraId="6F510601" w14:textId="77777777" w:rsidTr="001E092F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884E" w14:textId="77777777" w:rsidR="008F358F" w:rsidRPr="00D7536B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D6D4" w14:textId="77777777" w:rsidR="008F358F" w:rsidRPr="0021206E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0,80 c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34939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8,6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F11D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12,67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478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16,61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0EC1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19.94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CFF7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23,50 a</w:t>
            </w:r>
          </w:p>
        </w:tc>
      </w:tr>
      <w:tr w:rsidR="008F358F" w:rsidRPr="00A90464" w14:paraId="333D428F" w14:textId="77777777" w:rsidTr="001E092F">
        <w:trPr>
          <w:trHeight w:val="313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34F3" w14:textId="77777777" w:rsidR="008F358F" w:rsidRPr="00D7536B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0700" w14:textId="77777777" w:rsidR="008F358F" w:rsidRPr="0021206E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0,64 bc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551BC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8,54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D5EC1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11,44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FA90" w14:textId="77777777" w:rsidR="008F358F" w:rsidRPr="004B10D0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13,56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483F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16,06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5BF3" w14:textId="77777777" w:rsidR="008F358F" w:rsidRPr="00AD0CE3" w:rsidRDefault="008F358F" w:rsidP="001E0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18,89 a</w:t>
            </w:r>
          </w:p>
        </w:tc>
      </w:tr>
    </w:tbl>
    <w:p w14:paraId="2E79D3EE" w14:textId="77777777" w:rsidR="008F358F" w:rsidRDefault="008F358F" w:rsidP="008F358F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4F">
        <w:rPr>
          <w:rFonts w:ascii="Times New Roman" w:hAnsi="Times New Roman" w:cs="Times New Roman"/>
          <w:sz w:val="24"/>
          <w:szCs w:val="24"/>
        </w:rPr>
        <w:t>(α) 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9A6F1" w14:textId="77777777" w:rsidR="008F358F" w:rsidRDefault="008F358F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7C88D8" w14:textId="77777777" w:rsidR="008F358F" w:rsidRDefault="008F358F" w:rsidP="008F358F">
      <w:pPr>
        <w:pStyle w:val="ListParagraph1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48264C95" w14:textId="77777777" w:rsidR="008F358F" w:rsidRDefault="008F358F" w:rsidP="008F358F">
      <w:pPr>
        <w:pStyle w:val="ListParagraph1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>3 MST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mg/1 liter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0,80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D297" w14:textId="77777777" w:rsidR="008F358F" w:rsidRDefault="008F358F" w:rsidP="008F358F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Jumlah Daun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Helai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FB0761" w14:textId="511F91E4" w:rsidR="008F358F" w:rsidRDefault="008F358F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jumlah daun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helai</w:t>
      </w:r>
      <w:r w:rsidRPr="000604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04E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6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4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4E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60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konsentrasi Rootone-F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98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F1985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pengamatan 3 MST dan tidak berpengaruh nyata pada pengamatan 4-8 MST.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jumlah daun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15B44" w14:textId="45102587" w:rsidR="009832C1" w:rsidRDefault="009832C1" w:rsidP="008F358F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4708D5" w14:textId="77777777" w:rsidR="009832C1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2D4F">
        <w:rPr>
          <w:rFonts w:ascii="Times New Roman" w:hAnsi="Times New Roman" w:cs="Times New Roman"/>
          <w:sz w:val="24"/>
          <w:szCs w:val="24"/>
        </w:rPr>
        <w:t>Tabel 3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jumlah daun perlakuan konsentrasi Rootone-F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helai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196" w:type="dxa"/>
        <w:tblInd w:w="417" w:type="dxa"/>
        <w:tblLayout w:type="fixed"/>
        <w:tblLook w:val="04A0" w:firstRow="1" w:lastRow="0" w:firstColumn="1" w:lastColumn="0" w:noHBand="0" w:noVBand="1"/>
      </w:tblPr>
      <w:tblGrid>
        <w:gridCol w:w="2185"/>
        <w:gridCol w:w="1243"/>
        <w:gridCol w:w="373"/>
        <w:gridCol w:w="455"/>
        <w:gridCol w:w="437"/>
        <w:gridCol w:w="529"/>
        <w:gridCol w:w="990"/>
        <w:gridCol w:w="992"/>
        <w:gridCol w:w="992"/>
      </w:tblGrid>
      <w:tr w:rsidR="009832C1" w:rsidRPr="00A90464" w14:paraId="7756668D" w14:textId="77777777" w:rsidTr="00897F09">
        <w:trPr>
          <w:trHeight w:val="328"/>
        </w:trPr>
        <w:tc>
          <w:tcPr>
            <w:tcW w:w="21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AB802" w14:textId="77777777" w:rsidR="009832C1" w:rsidRPr="001D1C1A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1FC65" w14:textId="77777777" w:rsidR="009832C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C7619" w14:textId="77777777" w:rsidR="009832C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7AE5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Jumlah Daun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helai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  <w:tr w:rsidR="009832C1" w:rsidRPr="00A90464" w14:paraId="4E025B6A" w14:textId="77777777" w:rsidTr="00897F09">
        <w:trPr>
          <w:trHeight w:val="496"/>
        </w:trPr>
        <w:tc>
          <w:tcPr>
            <w:tcW w:w="21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91460" w14:textId="77777777" w:rsidR="009832C1" w:rsidRPr="00A90464" w:rsidRDefault="009832C1" w:rsidP="009832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891C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BAFAB" w14:textId="77777777" w:rsidR="009832C1" w:rsidRPr="00D25F9F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 MST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0B50" w14:textId="77777777" w:rsidR="009832C1" w:rsidRPr="00D25F9F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5 MST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CDE3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3E6E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C7F2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</w:tr>
      <w:tr w:rsidR="009832C1" w:rsidRPr="00A90464" w14:paraId="5F72B5CA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DCCE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A8E0" w14:textId="77777777" w:rsidR="009832C1" w:rsidRPr="0021206E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2,82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4B47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7,11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BB95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8,78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2656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9,33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7799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10,44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17EE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11,89 a</w:t>
            </w:r>
          </w:p>
        </w:tc>
      </w:tr>
      <w:tr w:rsidR="009832C1" w:rsidRPr="00A90464" w14:paraId="20BA300F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E64A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91E8" w14:textId="77777777" w:rsidR="009832C1" w:rsidRPr="0021206E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2,73 ab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2FC5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7,67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8523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8,33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7132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9,33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7111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11,11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7437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11,67 a</w:t>
            </w:r>
          </w:p>
        </w:tc>
      </w:tr>
      <w:tr w:rsidR="009832C1" w:rsidRPr="00A90464" w14:paraId="6EACBC3C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6D44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9DED" w14:textId="77777777" w:rsidR="009832C1" w:rsidRPr="0021206E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3,22 bc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546DF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8,56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8E36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9,22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861D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10,89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A782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12,22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D6B6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13,89 a</w:t>
            </w:r>
          </w:p>
        </w:tc>
      </w:tr>
      <w:tr w:rsidR="009832C1" w:rsidRPr="00A90464" w14:paraId="2E507C65" w14:textId="77777777" w:rsidTr="00897F09">
        <w:trPr>
          <w:trHeight w:val="313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4BDF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9070" w14:textId="77777777" w:rsidR="009832C1" w:rsidRPr="0021206E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212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3,31 c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EFE37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7,33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B628B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8,89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02AD1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9,56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4FDF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9,78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DD7B" w14:textId="77777777" w:rsidR="009832C1" w:rsidRPr="00AD0CE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12,89 a</w:t>
            </w:r>
          </w:p>
        </w:tc>
      </w:tr>
    </w:tbl>
    <w:p w14:paraId="60C0F7D2" w14:textId="77777777" w:rsidR="009832C1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17EA" w14:textId="77777777" w:rsidR="009832C1" w:rsidRDefault="009832C1" w:rsidP="009832C1">
      <w:pPr>
        <w:pStyle w:val="ListParagraph1"/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699ABA3B" w14:textId="77777777" w:rsidR="008F358F" w:rsidRDefault="008F358F" w:rsidP="009832C1">
      <w:pPr>
        <w:pStyle w:val="ListParagraph1"/>
        <w:spacing w:after="0"/>
        <w:ind w:left="491" w:firstLine="720"/>
        <w:jc w:val="both"/>
        <w:rPr>
          <w:rFonts w:ascii="Times New Roman" w:hAnsi="Times New Roman" w:cs="Times New Roman"/>
          <w:sz w:val="24"/>
          <w:szCs w:val="24"/>
        </w:rPr>
        <w:sectPr w:rsidR="008F358F" w:rsidSect="004525F6">
          <w:headerReference w:type="default" r:id="rId10"/>
          <w:footerReference w:type="default" r:id="rId11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46D26A09" w14:textId="77777777" w:rsidR="009832C1" w:rsidRDefault="009832C1" w:rsidP="009832C1">
      <w:pPr>
        <w:pStyle w:val="ListParagraph1"/>
        <w:spacing w:after="0"/>
        <w:ind w:left="49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pada 3 MST. Pada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1DA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E761DA">
        <w:rPr>
          <w:rFonts w:ascii="Times New Roman" w:hAnsi="Times New Roman" w:cs="Times New Roman"/>
          <w:sz w:val="24"/>
          <w:szCs w:val="24"/>
        </w:rPr>
        <w:t>-F 50</w:t>
      </w:r>
      <w:r>
        <w:rPr>
          <w:rFonts w:ascii="Times New Roman" w:hAnsi="Times New Roman" w:cs="Times New Roman"/>
          <w:sz w:val="24"/>
          <w:szCs w:val="24"/>
        </w:rPr>
        <w:t xml:space="preserve"> mg/1</w:t>
      </w:r>
      <w:r w:rsidRPr="00E761DA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ter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jumlah daun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tinggi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13,89 helai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AC90B" w14:textId="77777777" w:rsidR="009832C1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Diameter Tunas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mm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4ABFFF" w14:textId="22541945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diameter unas (mm)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>pengamatan 3 dan 4 MST se</w:t>
      </w:r>
      <w:proofErr w:type="spellStart"/>
      <w:r>
        <w:rPr>
          <w:rFonts w:ascii="Times New Roman" w:hAnsi="Times New Roman" w:cs="Times New Roman"/>
          <w:sz w:val="24"/>
          <w:szCs w:val="24"/>
        </w:rPr>
        <w:t>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pada pengamatan 5-8 MST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063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A0632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A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diameter tunas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4. </w:t>
      </w:r>
    </w:p>
    <w:p w14:paraId="6FE75B9F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1FB45FB2" w14:textId="77777777" w:rsidR="009832C1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2D4F">
        <w:rPr>
          <w:rFonts w:ascii="Times New Roman" w:hAnsi="Times New Roman" w:cs="Times New Roman"/>
          <w:sz w:val="24"/>
          <w:szCs w:val="24"/>
        </w:rPr>
        <w:t>Tabel 4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diameter tunas perlakuan konsentrasi Rootone-F</w:t>
      </w:r>
    </w:p>
    <w:tbl>
      <w:tblPr>
        <w:tblW w:w="8196" w:type="dxa"/>
        <w:tblInd w:w="417" w:type="dxa"/>
        <w:tblLayout w:type="fixed"/>
        <w:tblLook w:val="04A0" w:firstRow="1" w:lastRow="0" w:firstColumn="1" w:lastColumn="0" w:noHBand="0" w:noVBand="1"/>
      </w:tblPr>
      <w:tblGrid>
        <w:gridCol w:w="2185"/>
        <w:gridCol w:w="1243"/>
        <w:gridCol w:w="373"/>
        <w:gridCol w:w="455"/>
        <w:gridCol w:w="437"/>
        <w:gridCol w:w="529"/>
        <w:gridCol w:w="990"/>
        <w:gridCol w:w="992"/>
        <w:gridCol w:w="992"/>
      </w:tblGrid>
      <w:tr w:rsidR="009832C1" w:rsidRPr="00A90464" w14:paraId="09AF75BA" w14:textId="77777777" w:rsidTr="00897F09">
        <w:trPr>
          <w:trHeight w:val="328"/>
        </w:trPr>
        <w:tc>
          <w:tcPr>
            <w:tcW w:w="21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C80322" w14:textId="77777777" w:rsidR="009832C1" w:rsidRPr="001D1C1A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D1687" w14:textId="77777777" w:rsidR="009832C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61773" w14:textId="77777777" w:rsidR="009832C1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91E2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Rerata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Diameter Tunas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  <w:tr w:rsidR="009832C1" w:rsidRPr="00A90464" w14:paraId="1DE2FAE9" w14:textId="77777777" w:rsidTr="00897F09">
        <w:trPr>
          <w:trHeight w:val="496"/>
        </w:trPr>
        <w:tc>
          <w:tcPr>
            <w:tcW w:w="21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442641" w14:textId="77777777" w:rsidR="009832C1" w:rsidRPr="00A90464" w:rsidRDefault="009832C1" w:rsidP="009832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629A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A9B9" w14:textId="77777777" w:rsidR="009832C1" w:rsidRPr="00D25F9F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 MST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F211C" w14:textId="77777777" w:rsidR="009832C1" w:rsidRPr="00D25F9F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5 MST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EF3C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B640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8CD7" w14:textId="77777777" w:rsidR="009832C1" w:rsidRPr="00A90464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M</w:t>
            </w:r>
            <w:r w:rsidRPr="00A9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</w:t>
            </w:r>
          </w:p>
        </w:tc>
      </w:tr>
      <w:tr w:rsidR="009832C1" w:rsidRPr="00A90464" w14:paraId="306FE4A5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837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98F8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2,00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2467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3,00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67A1B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3,00 ab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2CDC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3,00 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F9A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3,22 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3BF4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3,22 ab</w:t>
            </w:r>
          </w:p>
        </w:tc>
      </w:tr>
      <w:tr w:rsidR="009832C1" w:rsidRPr="00A90464" w14:paraId="60FD7CB2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6216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BF28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2,00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4138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2,67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B318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2,56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90F0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2,78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0C58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2,89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7EE8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2,89 a</w:t>
            </w:r>
          </w:p>
        </w:tc>
      </w:tr>
      <w:tr w:rsidR="009832C1" w:rsidRPr="00A90464" w14:paraId="5C8A8458" w14:textId="77777777" w:rsidTr="00897F09">
        <w:trPr>
          <w:trHeight w:val="32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096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9839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1,89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94C1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3,33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85FB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3,38 bc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CE2B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3,38 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153F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3,89 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F29F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3,89 c</w:t>
            </w:r>
          </w:p>
        </w:tc>
      </w:tr>
      <w:tr w:rsidR="009832C1" w:rsidRPr="00A90464" w14:paraId="64ABC41F" w14:textId="77777777" w:rsidTr="00897F09">
        <w:trPr>
          <w:trHeight w:val="313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01DB" w14:textId="77777777" w:rsidR="009832C1" w:rsidRPr="00D7536B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F8E3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1,89 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3FD7F" w14:textId="77777777" w:rsidR="009832C1" w:rsidRPr="004B10D0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3,11 a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0D397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3,56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3B9F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3,56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0EAA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3,78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69AC" w14:textId="77777777" w:rsidR="009832C1" w:rsidRPr="003E09F3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</w:pPr>
            <w:r w:rsidRPr="003E0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en-ID"/>
              </w:rPr>
              <w:t>3,78 bc</w:t>
            </w:r>
          </w:p>
        </w:tc>
      </w:tr>
    </w:tbl>
    <w:p w14:paraId="2C8FD4E5" w14:textId="77777777" w:rsidR="009832C1" w:rsidRPr="00E46EED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24E723CB" w14:textId="77777777" w:rsidR="009832C1" w:rsidRPr="00A435EC" w:rsidRDefault="009832C1" w:rsidP="009832C1">
      <w:pPr>
        <w:pStyle w:val="ListParagraph1"/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9600D6F" w14:textId="77777777" w:rsidR="008F358F" w:rsidRDefault="008F358F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5254EAFA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otone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  <w:lang w:val="id-ID"/>
        </w:rPr>
        <w:t>5-8</w:t>
      </w:r>
      <w:r w:rsidRPr="00A435EC">
        <w:rPr>
          <w:rFonts w:ascii="Times New Roman" w:hAnsi="Times New Roman" w:cs="Times New Roman"/>
          <w:sz w:val="24"/>
          <w:szCs w:val="24"/>
        </w:rPr>
        <w:t xml:space="preserve"> MST. Pa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>
        <w:rPr>
          <w:rFonts w:ascii="Times New Roman" w:hAnsi="Times New Roman" w:cs="Times New Roman"/>
          <w:sz w:val="24"/>
          <w:szCs w:val="24"/>
        </w:rPr>
        <w:t>-F 50 mg/</w:t>
      </w:r>
      <w:r w:rsidRPr="00A435EC">
        <w:rPr>
          <w:rFonts w:ascii="Times New Roman" w:hAnsi="Times New Roman" w:cs="Times New Roman"/>
          <w:sz w:val="24"/>
          <w:szCs w:val="24"/>
        </w:rPr>
        <w:t xml:space="preserve">l liter air </w:t>
      </w:r>
      <w:proofErr w:type="spellStart"/>
      <w:r w:rsidRPr="00A435E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4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diameter tunas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3,89 </w:t>
      </w:r>
      <w:r>
        <w:rPr>
          <w:rFonts w:ascii="Times New Roman" w:hAnsi="Times New Roman" w:cs="Times New Roman"/>
          <w:sz w:val="24"/>
          <w:szCs w:val="24"/>
          <w:lang w:val="id-ID"/>
        </w:rPr>
        <w:t>mm</w:t>
      </w:r>
      <w:r w:rsidRPr="00927CC8">
        <w:rPr>
          <w:rFonts w:ascii="Times New Roman" w:hAnsi="Times New Roman" w:cs="Times New Roman"/>
          <w:sz w:val="24"/>
          <w:szCs w:val="24"/>
        </w:rPr>
        <w:t>.</w:t>
      </w:r>
    </w:p>
    <w:p w14:paraId="1EC7568F" w14:textId="77777777" w:rsidR="009832C1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Presentase Stek Hidup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506857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presentase stek hidup (%)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A0632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A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presentase stek 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048B9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07BFBAE2" w14:textId="77777777" w:rsidR="009832C1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presentase stek hidup perlakuan konsentrasi Rootone-F</w:t>
      </w:r>
    </w:p>
    <w:tbl>
      <w:tblPr>
        <w:tblW w:w="7186" w:type="dxa"/>
        <w:tblInd w:w="767" w:type="dxa"/>
        <w:tblLook w:val="04A0" w:firstRow="1" w:lastRow="0" w:firstColumn="1" w:lastColumn="0" w:noHBand="0" w:noVBand="1"/>
      </w:tblPr>
      <w:tblGrid>
        <w:gridCol w:w="4586"/>
        <w:gridCol w:w="2600"/>
      </w:tblGrid>
      <w:tr w:rsidR="009832C1" w:rsidRPr="00E10D95" w14:paraId="093B2E9A" w14:textId="77777777" w:rsidTr="00897F09">
        <w:trPr>
          <w:trHeight w:val="760"/>
        </w:trPr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12B71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88DC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Purata presentase stek hidup</w:t>
            </w:r>
          </w:p>
        </w:tc>
      </w:tr>
      <w:tr w:rsidR="009832C1" w:rsidRPr="00E10D95" w14:paraId="1DC40633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72C8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3C46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100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74C54546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91EC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B17A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100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340B2DED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71DC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E043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100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2E0A7447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DB0CB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3176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100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</w:tbl>
    <w:p w14:paraId="7C93B616" w14:textId="0F5A262D" w:rsidR="009832C1" w:rsidRPr="009832C1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11229C2E" w14:textId="77777777" w:rsidR="008F358F" w:rsidRDefault="008F358F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  <w:lang w:val="id-ID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49BD689F" w14:textId="77777777" w:rsidR="009832C1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Panjang Akar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(cm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6374B5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panjang akar (cm)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konsentrasi Rootone-F </w:t>
      </w:r>
      <w:r>
        <w:rPr>
          <w:rFonts w:ascii="Times New Roman" w:hAnsi="Times New Roman" w:cs="Times New Roman"/>
          <w:sz w:val="24"/>
          <w:szCs w:val="24"/>
          <w:lang w:val="id-ID"/>
        </w:rPr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A0632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A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presentase stek 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E424F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3C80E82B" w14:textId="77777777" w:rsidR="009832C1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panjang akarr perlakuan konsentrasi Rootone-F</w:t>
      </w:r>
    </w:p>
    <w:tbl>
      <w:tblPr>
        <w:tblW w:w="7186" w:type="dxa"/>
        <w:tblInd w:w="767" w:type="dxa"/>
        <w:tblLook w:val="04A0" w:firstRow="1" w:lastRow="0" w:firstColumn="1" w:lastColumn="0" w:noHBand="0" w:noVBand="1"/>
      </w:tblPr>
      <w:tblGrid>
        <w:gridCol w:w="4586"/>
        <w:gridCol w:w="2600"/>
      </w:tblGrid>
      <w:tr w:rsidR="009832C1" w:rsidRPr="00E10D95" w14:paraId="3C00A74B" w14:textId="77777777" w:rsidTr="00897F09">
        <w:trPr>
          <w:trHeight w:val="760"/>
        </w:trPr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79E1A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2C2E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Purata panjang akar</w:t>
            </w:r>
          </w:p>
        </w:tc>
      </w:tr>
      <w:tr w:rsidR="009832C1" w:rsidRPr="00E10D95" w14:paraId="2289843F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623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D0AE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25,89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0BB35355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2F5E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F1C1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30,11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09160B88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8BAA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E3E8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30,67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7A80C340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5287D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1335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28,00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</w:tbl>
    <w:p w14:paraId="38CF56C7" w14:textId="77777777" w:rsidR="009832C1" w:rsidRPr="00E46EED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0540D2C2" w14:textId="77777777" w:rsidR="009832C1" w:rsidRPr="003B79BF" w:rsidRDefault="009832C1" w:rsidP="009832C1">
      <w:pPr>
        <w:pStyle w:val="ListParagraph1"/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2E21460" w14:textId="77777777" w:rsidR="009832C1" w:rsidRDefault="009832C1" w:rsidP="009832C1">
      <w:pPr>
        <w:pStyle w:val="ListParagraph1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Volume Akar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d-ID"/>
        </w:rPr>
        <w:t>ml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346DAE" w14:textId="77777777" w:rsidR="009832C1" w:rsidRDefault="009832C1" w:rsidP="009832C1">
      <w:pPr>
        <w:pStyle w:val="ListParagraph1"/>
        <w:spacing w:after="0"/>
        <w:ind w:left="426"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volume akar (ml)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konsentrasi Rootone-F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A0632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4A0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presentase volume akar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Tabel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41D0F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</w:p>
    <w:p w14:paraId="7F0B5F0F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9BAC85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C779DB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4CE09B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CB568D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57E648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15E2A6" w14:textId="77777777" w:rsidR="008F358F" w:rsidRDefault="008F358F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609F01" w14:textId="012A0531" w:rsidR="009832C1" w:rsidRDefault="009832C1" w:rsidP="009832C1">
      <w:pPr>
        <w:pStyle w:val="ListParagraph1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ED32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2A3">
        <w:rPr>
          <w:rFonts w:ascii="Times New Roman" w:hAnsi="Times New Roman" w:cs="Times New Roman"/>
          <w:sz w:val="24"/>
          <w:szCs w:val="24"/>
        </w:rPr>
        <w:t>Purata</w:t>
      </w:r>
      <w:proofErr w:type="spellEnd"/>
      <w:r w:rsidRPr="00E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volume akar perlakuan konsentrasi Rootone-F</w:t>
      </w:r>
    </w:p>
    <w:tbl>
      <w:tblPr>
        <w:tblW w:w="7186" w:type="dxa"/>
        <w:tblInd w:w="767" w:type="dxa"/>
        <w:tblLook w:val="04A0" w:firstRow="1" w:lastRow="0" w:firstColumn="1" w:lastColumn="0" w:noHBand="0" w:noVBand="1"/>
      </w:tblPr>
      <w:tblGrid>
        <w:gridCol w:w="4586"/>
        <w:gridCol w:w="2600"/>
      </w:tblGrid>
      <w:tr w:rsidR="009832C1" w:rsidRPr="00E10D95" w14:paraId="27C55587" w14:textId="77777777" w:rsidTr="00897F09">
        <w:trPr>
          <w:trHeight w:val="760"/>
        </w:trPr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C0A753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 w:rsidRPr="00F0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Perlakuan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Konsentrasi Rootone-F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23AB" w14:textId="77777777" w:rsidR="009832C1" w:rsidRPr="00984547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Purata volume akar</w:t>
            </w:r>
          </w:p>
        </w:tc>
      </w:tr>
      <w:tr w:rsidR="009832C1" w:rsidRPr="00E10D95" w14:paraId="45C8AD3F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E000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liter air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568A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3,78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259F3E8D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B1DCF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5275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3,56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3AE5FA97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7E36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D966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4,89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  <w:tr w:rsidR="009832C1" w:rsidRPr="00E10D95" w14:paraId="2AD04260" w14:textId="77777777" w:rsidTr="00897F09">
        <w:trPr>
          <w:trHeight w:val="336"/>
        </w:trPr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B5936" w14:textId="77777777" w:rsidR="009832C1" w:rsidRPr="00896FFC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mg/l liter air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24BD" w14:textId="77777777" w:rsidR="009832C1" w:rsidRPr="00E10D95" w:rsidRDefault="009832C1" w:rsidP="00983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en-ID"/>
              </w:rPr>
              <w:t>3,78</w:t>
            </w:r>
            <w:r w:rsidRPr="00E1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a</w:t>
            </w:r>
          </w:p>
        </w:tc>
      </w:tr>
    </w:tbl>
    <w:p w14:paraId="128F1CF1" w14:textId="77777777" w:rsidR="009832C1" w:rsidRPr="00E46EED" w:rsidRDefault="009832C1" w:rsidP="009832C1">
      <w:pPr>
        <w:pStyle w:val="ListParagraph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F4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: Nilai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F4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2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DMRT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F4F">
        <w:rPr>
          <w:rFonts w:ascii="Times New Roman" w:hAnsi="Times New Roman" w:cs="Times New Roman"/>
          <w:sz w:val="24"/>
          <w:szCs w:val="24"/>
        </w:rPr>
        <w:t>(α) 5%.</w:t>
      </w:r>
    </w:p>
    <w:p w14:paraId="175608A5" w14:textId="77777777" w:rsidR="009832C1" w:rsidRPr="003B79BF" w:rsidRDefault="009832C1" w:rsidP="009832C1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A4CD79" w14:textId="77777777" w:rsidR="008F358F" w:rsidRDefault="008F358F" w:rsidP="009832C1">
      <w:pPr>
        <w:pStyle w:val="ListParagraph1"/>
        <w:numPr>
          <w:ilvl w:val="0"/>
          <w:numId w:val="4"/>
        </w:num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  <w:sectPr w:rsidR="008F358F" w:rsidSect="008F358F">
          <w:type w:val="continuous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5A96532B" w14:textId="77777777" w:rsidR="009832C1" w:rsidRPr="00AC69AD" w:rsidRDefault="009832C1" w:rsidP="009832C1">
      <w:pPr>
        <w:pStyle w:val="ListParagraph1"/>
        <w:numPr>
          <w:ilvl w:val="0"/>
          <w:numId w:val="4"/>
        </w:num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54017F6C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denganpernyataan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Octaviani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zpt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</w:t>
      </w:r>
    </w:p>
    <w:p w14:paraId="5882342A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sidik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tunas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1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Roootne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NAA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pemanjangan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(2010)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NAA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pembesar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pemanjangan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didaerah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meristem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Panjang tunas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Jirmanova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et al., 2016).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Wareing dan Philips (1978)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</w:t>
      </w:r>
    </w:p>
    <w:p w14:paraId="1618189C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minggi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disintesis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meristem,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terkndung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pembelahan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Selaras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peryataan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Abidin (2003)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osmotik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sisntesis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protein,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plastisitas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sel. </w:t>
      </w:r>
    </w:p>
    <w:p w14:paraId="3574DAFC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diameter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sitokinin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pertumbuhsn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Krisnamoorthy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(1981)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mengindukasi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perakaran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</w:t>
      </w:r>
    </w:p>
    <w:p w14:paraId="5F01C5DE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sidik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100%.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Omon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et al (1998)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dalamPutra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et al (2014)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tunas,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 Faktor-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media,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pengguntingan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dicermati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>.</w:t>
      </w:r>
    </w:p>
    <w:p w14:paraId="6210CB0F" w14:textId="77777777" w:rsidR="009832C1" w:rsidRPr="00495B21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perasang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oleh media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Prayugo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(2007)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persyaratan-persyaratan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air,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menyuplai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hara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air (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aerasi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kelembaban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lapuk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Octaviani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pemanjangan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konsentrasinya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pembawanya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8D6C9" w14:textId="1D7EA857" w:rsidR="009832C1" w:rsidRPr="0090131C" w:rsidRDefault="009832C1" w:rsidP="009832C1">
      <w:pPr>
        <w:pStyle w:val="ListParagraph1"/>
        <w:spacing w:after="0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B2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konsentasi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nilam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endogen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sinergis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Rootone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Alimudin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et al., (2017)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endogen pada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setek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sinergis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auksin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perangsang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semakain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hara yang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B21">
        <w:rPr>
          <w:rFonts w:ascii="Times New Roman" w:hAnsi="Times New Roman" w:cs="Times New Roman"/>
          <w:sz w:val="24"/>
          <w:szCs w:val="24"/>
        </w:rPr>
        <w:t>pertum</w:t>
      </w:r>
      <w:r>
        <w:rPr>
          <w:rFonts w:ascii="Times New Roman" w:hAnsi="Times New Roman" w:cs="Times New Roman"/>
          <w:sz w:val="24"/>
          <w:szCs w:val="24"/>
        </w:rPr>
        <w:t>buhannya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2015).</w:t>
      </w:r>
      <w:r w:rsidRPr="00901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49BAA" w14:textId="1F0CD977" w:rsidR="009832C1" w:rsidRPr="00646B5A" w:rsidRDefault="009832C1" w:rsidP="009832C1">
      <w:pPr>
        <w:pStyle w:val="ListParagraph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0131C">
        <w:rPr>
          <w:rFonts w:ascii="Times New Roman" w:hAnsi="Times New Roman" w:cs="Times New Roman"/>
          <w:b/>
          <w:sz w:val="24"/>
          <w:szCs w:val="24"/>
        </w:rPr>
        <w:t>ESIMPULAN</w:t>
      </w:r>
    </w:p>
    <w:p w14:paraId="53E4768A" w14:textId="77777777" w:rsidR="009832C1" w:rsidRDefault="009832C1" w:rsidP="009832C1">
      <w:pPr>
        <w:pStyle w:val="ListParagraph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C5653"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3">
        <w:rPr>
          <w:rFonts w:ascii="Times New Roman" w:hAnsi="Times New Roman" w:cs="Times New Roman"/>
          <w:sz w:val="24"/>
          <w:szCs w:val="24"/>
        </w:rPr>
        <w:t>disimp</w:t>
      </w:r>
      <w:r>
        <w:rPr>
          <w:rFonts w:ascii="Times New Roman" w:hAnsi="Times New Roman" w:cs="Times New Roman"/>
          <w:sz w:val="24"/>
          <w:szCs w:val="24"/>
        </w:rPr>
        <w:t>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C5653">
        <w:rPr>
          <w:rFonts w:ascii="Times New Roman" w:hAnsi="Times New Roman" w:cs="Times New Roman"/>
          <w:sz w:val="24"/>
          <w:szCs w:val="24"/>
        </w:rPr>
        <w:t>:</w:t>
      </w:r>
    </w:p>
    <w:p w14:paraId="7EA4654B" w14:textId="77777777" w:rsidR="009832C1" w:rsidRDefault="009832C1" w:rsidP="009832C1">
      <w:pPr>
        <w:pStyle w:val="ListParagraph1"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 Pemberian  konsentrasi Rootone-F berpengaruh terhadap pertumbuhan tinggi tanaman, jumlah daun dan diameter batang</w:t>
      </w:r>
    </w:p>
    <w:p w14:paraId="03CEF44C" w14:textId="77777777" w:rsidR="009832C1" w:rsidRPr="007252F3" w:rsidRDefault="009832C1" w:rsidP="009832C1">
      <w:pPr>
        <w:pStyle w:val="ListParagraph1"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Konsentrasi 50 mg/l liter air memberikan pertumbuhan terbaik pada stek batang nilam. </w:t>
      </w:r>
    </w:p>
    <w:p w14:paraId="357EB970" w14:textId="77777777" w:rsidR="009832C1" w:rsidRPr="007252F3" w:rsidRDefault="009832C1" w:rsidP="009832C1">
      <w:pPr>
        <w:pStyle w:val="ListParagraph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9832C1" w:rsidRPr="007252F3" w:rsidSect="008F358F">
          <w:type w:val="continuous"/>
          <w:pgSz w:w="11907" w:h="16840" w:code="9"/>
          <w:pgMar w:top="2268" w:right="1701" w:bottom="1701" w:left="2268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99CCF82" w14:textId="77777777" w:rsidR="009832C1" w:rsidRDefault="009832C1" w:rsidP="009832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6FD1958D" w14:textId="77777777" w:rsidR="009832C1" w:rsidRPr="00192C87" w:rsidRDefault="009832C1" w:rsidP="009832C1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>Amin,M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192C87">
        <w:rPr>
          <w:rFonts w:ascii="Times New Roman" w:eastAsia="SimSun" w:hAnsi="Times New Roman" w:cs="Times New Roman"/>
          <w:sz w:val="24"/>
          <w:szCs w:val="24"/>
        </w:rPr>
        <w:t>Nilam,(Online),(http://www.riaupos.comWAP:wap.riaupos.com,diakses09Juli2006)</w:t>
      </w:r>
    </w:p>
    <w:p w14:paraId="56632E91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Artanti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F.Y. 2007.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Pengaruh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Macam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Pupuk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Organik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Cair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Konsentrasi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IAA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Pertumbuhan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Stek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Stevia (Stevia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rebaudiana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Bertoni M).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Skripsi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 Universitas Negeri Surakarta.</w:t>
      </w:r>
    </w:p>
    <w:p w14:paraId="35FE63B1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>Angiosperm Phylogeny Group. 2003. An update of the Angiosperm phylogeny group classification for the orders and families of flowering plants: APG II. Botanical Journal of the Linnean Society 141: 399-436.</w:t>
      </w:r>
    </w:p>
    <w:p w14:paraId="7B43502B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>Blackburn, Simon. 2016. The Oxford Dictionary of Philosophy. Amerika: Oxford University Press</w:t>
      </w:r>
    </w:p>
    <w:p w14:paraId="60677DC7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Caiger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S. (2016). Essential Oil and Oleoresins. Market Insider April 2016 Report.</w:t>
      </w:r>
    </w:p>
    <w:p w14:paraId="7D511461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Firmanto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B. H. (2009).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Budidaya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Industri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Wewangian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Nilam. Bandung: CV.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Walatra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A87CC51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Harjadi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S.S. 1991.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Pengantar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Agronomi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 Jakarta: Gramedia</w:t>
      </w:r>
    </w:p>
    <w:p w14:paraId="36B61BAA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 xml:space="preserve">Khair, H.,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Meizal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dan Z. R. Hamdani. 2013.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Pengaruh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Konsentrasi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Ekstrak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Bawang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Merah dan Air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Kelapa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Pertubuhan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Stek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MelatiPutih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(Jasminum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sambac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L.).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Fakultas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Pertanian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UMSU. Medan.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JurnalAgrium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Vol. 18 No. 2. 138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hlm</w:t>
      </w:r>
      <w:proofErr w:type="spellEnd"/>
    </w:p>
    <w:p w14:paraId="0350133E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 xml:space="preserve">Kosasih, AS &amp;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Rochayat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N 2000‘Pengaruh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Pemberian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ZPT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Keberhasilan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Perbanyakan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Jamuju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(Podocarpus imbricata)’,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Buletin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Hutan Vol 619, pp. 1 –11.</w:t>
      </w:r>
    </w:p>
    <w:p w14:paraId="31FED3C4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>Mangun, H.M.S. 2008.Nilam.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Penerbang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Swadaya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 Jakarta.</w:t>
      </w:r>
    </w:p>
    <w:p w14:paraId="180EE06C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 xml:space="preserve">Mustika I. dan Y.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Nuryani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. 2006. Strategi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Pengendalian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Nematoda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Parasit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Pada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Nilam.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Jurnal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Litbang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Pertanian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XXV (1): 7 - 15.</w:t>
      </w:r>
    </w:p>
    <w:p w14:paraId="0DC44E07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Nuryani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Y. 2006.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Budidaya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Nilam (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Pogostemon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cablin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Benth). Bogor: Balai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Tanaman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Rempah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dan Obat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Departemen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Pertanian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EF21E43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>Ramya, H.G., Palanimuthu, V., Rachna, S. 2013. An introduction to patchouli (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Pogostemon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cablin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Benth.) -a medicinal and aromatic </w:t>
      </w:r>
      <w:proofErr w:type="spellStart"/>
      <w:proofErr w:type="gramStart"/>
      <w:r w:rsidRPr="00192C87">
        <w:rPr>
          <w:rFonts w:ascii="Times New Roman" w:eastAsia="SimSun" w:hAnsi="Times New Roman" w:cs="Times New Roman"/>
          <w:sz w:val="24"/>
          <w:szCs w:val="24"/>
        </w:rPr>
        <w:t>plant:It’s</w:t>
      </w:r>
      <w:proofErr w:type="spellEnd"/>
      <w:proofErr w:type="gram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importance to mankind. Agric Eng Int15 (2): 243-250.</w:t>
      </w:r>
    </w:p>
    <w:p w14:paraId="697FC143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Rukmana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R. 2004.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Temu-temuan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Apotik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Hidup di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Perkarangan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Kanisius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. Yogyakarta.</w:t>
      </w:r>
    </w:p>
    <w:p w14:paraId="652607C5" w14:textId="77777777" w:rsidR="009832C1" w:rsidRPr="00192C87" w:rsidRDefault="009832C1" w:rsidP="009832C1">
      <w:pPr>
        <w:spacing w:line="276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Sari, P.,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Intara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, Y. I., dan Nazari, A. P. D. 2019.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Pengaruh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Jumlah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Daun dan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Konsentrasi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Rootone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-F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Pertumbuhan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Bibit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Jeruk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Nipis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Lemon (Citrus limon L.) Asal Stek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Pucuk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Ziraa'ah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Majalah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Ilmiah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Pertanian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>, 44(3), 365-376.</w:t>
      </w:r>
    </w:p>
    <w:p w14:paraId="49EB3EA9" w14:textId="7F050800" w:rsidR="009832C1" w:rsidRPr="009832C1" w:rsidRDefault="009832C1" w:rsidP="009832C1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92C87">
        <w:rPr>
          <w:rFonts w:ascii="Times New Roman" w:eastAsia="SimSun" w:hAnsi="Times New Roman" w:cs="Times New Roman"/>
          <w:sz w:val="24"/>
          <w:szCs w:val="24"/>
        </w:rPr>
        <w:t xml:space="preserve">Subroto, Edi. 2007.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Pengantar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Metode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Penelitian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Linguistik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Struktural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. Surakarta: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Sebelas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92C87">
        <w:rPr>
          <w:rFonts w:ascii="Times New Roman" w:eastAsia="SimSun" w:hAnsi="Times New Roman" w:cs="Times New Roman"/>
          <w:sz w:val="24"/>
          <w:szCs w:val="24"/>
        </w:rPr>
        <w:t>maret</w:t>
      </w:r>
      <w:proofErr w:type="spellEnd"/>
      <w:r w:rsidRPr="00192C87">
        <w:rPr>
          <w:rFonts w:ascii="Times New Roman" w:eastAsia="SimSun" w:hAnsi="Times New Roman" w:cs="Times New Roman"/>
          <w:sz w:val="24"/>
          <w:szCs w:val="24"/>
        </w:rPr>
        <w:t xml:space="preserve"> University Press</w:t>
      </w:r>
    </w:p>
    <w:sectPr w:rsidR="009832C1" w:rsidRPr="009832C1" w:rsidSect="008A460F">
      <w:headerReference w:type="default" r:id="rId12"/>
      <w:footerReference w:type="default" r:id="rId13"/>
      <w:pgSz w:w="12240" w:h="15840"/>
      <w:pgMar w:top="216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A00E" w14:textId="77777777" w:rsidR="00000000" w:rsidRDefault="008F358F">
      <w:pPr>
        <w:spacing w:after="0" w:line="240" w:lineRule="auto"/>
      </w:pPr>
      <w:r>
        <w:separator/>
      </w:r>
    </w:p>
  </w:endnote>
  <w:endnote w:type="continuationSeparator" w:id="0">
    <w:p w14:paraId="14426C39" w14:textId="77777777" w:rsidR="00000000" w:rsidRDefault="008F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417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D1E1F" w14:textId="77777777" w:rsidR="009832C1" w:rsidRDefault="00983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94D6C" w14:textId="77777777" w:rsidR="009832C1" w:rsidRDefault="00983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CA1F6CE" w14:textId="77777777" w:rsidR="009832C1" w:rsidRPr="000F57EA" w:rsidRDefault="009832C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F57EA">
          <w:rPr>
            <w:rFonts w:ascii="Times New Roman" w:hAnsi="Times New Roman" w:cs="Times New Roman"/>
            <w:sz w:val="24"/>
          </w:rPr>
          <w:fldChar w:fldCharType="begin"/>
        </w:r>
        <w:r w:rsidRPr="000F57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57E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36</w:t>
        </w:r>
        <w:r w:rsidRPr="000F57E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C86013F" w14:textId="77777777" w:rsidR="009832C1" w:rsidRDefault="00983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5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2A78E" w14:textId="77777777" w:rsidR="008A460F" w:rsidRDefault="008A46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22B559" w14:textId="77777777" w:rsidR="008A460F" w:rsidRDefault="008A4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B81D" w14:textId="77777777" w:rsidR="00000000" w:rsidRDefault="008F358F">
      <w:pPr>
        <w:spacing w:after="0" w:line="240" w:lineRule="auto"/>
      </w:pPr>
      <w:r>
        <w:separator/>
      </w:r>
    </w:p>
  </w:footnote>
  <w:footnote w:type="continuationSeparator" w:id="0">
    <w:p w14:paraId="30074AF7" w14:textId="77777777" w:rsidR="00000000" w:rsidRDefault="008F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D65E" w14:textId="77777777" w:rsidR="009832C1" w:rsidRPr="000F57EA" w:rsidRDefault="009832C1">
    <w:pPr>
      <w:pStyle w:val="Header"/>
      <w:jc w:val="right"/>
      <w:rPr>
        <w:rFonts w:ascii="Times New Roman" w:hAnsi="Times New Roman" w:cs="Times New Roman"/>
        <w:sz w:val="24"/>
      </w:rPr>
    </w:pPr>
  </w:p>
  <w:p w14:paraId="43FCC36B" w14:textId="77777777" w:rsidR="009832C1" w:rsidRDefault="00983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21F8" w14:textId="77777777" w:rsidR="009832C1" w:rsidRPr="000F57EA" w:rsidRDefault="009832C1">
    <w:pPr>
      <w:pStyle w:val="Header"/>
      <w:jc w:val="right"/>
      <w:rPr>
        <w:rFonts w:ascii="Times New Roman" w:hAnsi="Times New Roman" w:cs="Times New Roman"/>
        <w:sz w:val="24"/>
      </w:rPr>
    </w:pPr>
  </w:p>
  <w:p w14:paraId="3DF915FD" w14:textId="77777777" w:rsidR="009832C1" w:rsidRDefault="00983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E754" w14:textId="77777777" w:rsidR="008A460F" w:rsidRPr="000F532A" w:rsidRDefault="008A460F">
    <w:pPr>
      <w:pStyle w:val="Header"/>
      <w:jc w:val="right"/>
      <w:rPr>
        <w:rFonts w:ascii="Times New Roman" w:hAnsi="Times New Roman" w:cs="Times New Roman"/>
        <w:sz w:val="24"/>
      </w:rPr>
    </w:pPr>
  </w:p>
  <w:p w14:paraId="5DCF7893" w14:textId="77777777" w:rsidR="008A460F" w:rsidRDefault="008A4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C44"/>
    <w:multiLevelType w:val="hybridMultilevel"/>
    <w:tmpl w:val="A53E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5C2"/>
    <w:multiLevelType w:val="hybridMultilevel"/>
    <w:tmpl w:val="68CCC8F6"/>
    <w:lvl w:ilvl="0" w:tplc="04090019">
      <w:start w:val="1"/>
      <w:numFmt w:val="lowerLetter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30B12292"/>
    <w:multiLevelType w:val="hybridMultilevel"/>
    <w:tmpl w:val="EA2E8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9E3F83"/>
    <w:multiLevelType w:val="multilevel"/>
    <w:tmpl w:val="6C9E3F83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569AD"/>
    <w:multiLevelType w:val="hybridMultilevel"/>
    <w:tmpl w:val="541296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6318">
    <w:abstractNumId w:val="0"/>
  </w:num>
  <w:num w:numId="2" w16cid:durableId="1985620782">
    <w:abstractNumId w:val="2"/>
  </w:num>
  <w:num w:numId="3" w16cid:durableId="1273787198">
    <w:abstractNumId w:val="3"/>
  </w:num>
  <w:num w:numId="4" w16cid:durableId="1887255067">
    <w:abstractNumId w:val="4"/>
  </w:num>
  <w:num w:numId="5" w16cid:durableId="11896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03"/>
    <w:rsid w:val="00103BDC"/>
    <w:rsid w:val="00325E69"/>
    <w:rsid w:val="006F0903"/>
    <w:rsid w:val="008A460F"/>
    <w:rsid w:val="008F358F"/>
    <w:rsid w:val="009832C1"/>
    <w:rsid w:val="00D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AC47"/>
  <w15:chartTrackingRefBased/>
  <w15:docId w15:val="{641756D3-B7DB-44B5-9AA4-91A4FE4D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B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D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0F"/>
  </w:style>
  <w:style w:type="paragraph" w:styleId="Header">
    <w:name w:val="header"/>
    <w:basedOn w:val="Normal"/>
    <w:link w:val="HeaderChar"/>
    <w:uiPriority w:val="99"/>
    <w:unhideWhenUsed/>
    <w:rsid w:val="008A4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0F"/>
  </w:style>
  <w:style w:type="paragraph" w:styleId="ListParagraph">
    <w:name w:val="List Paragraph"/>
    <w:basedOn w:val="Normal"/>
    <w:uiPriority w:val="34"/>
    <w:qFormat/>
    <w:rsid w:val="008A460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8A46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7011079@student.mercubuana-yogya.ac.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Kris Winarsih Adi Safitri, S.P.</cp:lastModifiedBy>
  <cp:revision>4</cp:revision>
  <dcterms:created xsi:type="dcterms:W3CDTF">2023-02-20T01:28:00Z</dcterms:created>
  <dcterms:modified xsi:type="dcterms:W3CDTF">2023-02-27T03:13:00Z</dcterms:modified>
</cp:coreProperties>
</file>