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65BD" w14:textId="71FC4B3B" w:rsidR="00306559" w:rsidRDefault="00306559" w:rsidP="00306559">
      <w:pPr>
        <w:pStyle w:val="Heading1"/>
        <w:spacing w:before="76" w:line="362" w:lineRule="auto"/>
        <w:ind w:left="786" w:right="685"/>
        <w:jc w:val="center"/>
      </w:pPr>
      <w:r>
        <w:t xml:space="preserve">HUBUNGAN ANTARA </w:t>
      </w:r>
      <w:r w:rsidRPr="004D3EBA">
        <w:rPr>
          <w:lang w:val="en-US"/>
        </w:rPr>
        <w:t xml:space="preserve">KECEMASAN SOSIAL </w:t>
      </w:r>
      <w:r w:rsidR="00556D1B">
        <w:rPr>
          <w:lang w:val="en-US"/>
        </w:rPr>
        <w:t xml:space="preserve">DENGAN </w:t>
      </w:r>
      <w:r w:rsidRPr="004D3EBA">
        <w:rPr>
          <w:i/>
          <w:lang w:val="en-US"/>
        </w:rPr>
        <w:t xml:space="preserve">PSYCHOLOGICAL WELL BEING </w:t>
      </w:r>
      <w:r w:rsidRPr="004D3EBA">
        <w:rPr>
          <w:lang w:val="en-US"/>
        </w:rPr>
        <w:t>PADA</w:t>
      </w:r>
      <w:r w:rsidRPr="004D3EBA">
        <w:rPr>
          <w:i/>
          <w:lang w:val="en-US"/>
        </w:rPr>
        <w:t xml:space="preserve"> </w:t>
      </w:r>
      <w:r w:rsidRPr="004D3EBA">
        <w:rPr>
          <w:lang w:val="en-US"/>
        </w:rPr>
        <w:t xml:space="preserve">KORBAN </w:t>
      </w:r>
      <w:r w:rsidRPr="004D3EBA">
        <w:rPr>
          <w:i/>
          <w:lang w:val="en-US"/>
        </w:rPr>
        <w:t>CYBERBULLYING</w:t>
      </w:r>
      <w:r w:rsidRPr="008A53CD">
        <w:rPr>
          <w:b w:val="0"/>
          <w:i/>
          <w:sz w:val="30"/>
          <w:szCs w:val="30"/>
          <w:lang w:val="en-US"/>
        </w:rPr>
        <w:t xml:space="preserve"> </w:t>
      </w:r>
      <w:r w:rsidRPr="008A53CD">
        <w:rPr>
          <w:b w:val="0"/>
          <w:i/>
          <w:sz w:val="30"/>
          <w:szCs w:val="30"/>
        </w:rPr>
        <w:t xml:space="preserve"> </w:t>
      </w:r>
    </w:p>
    <w:p w14:paraId="0762FFAC" w14:textId="77777777" w:rsidR="00306559" w:rsidRDefault="00306559" w:rsidP="00306559">
      <w:pPr>
        <w:spacing w:line="237" w:lineRule="auto"/>
        <w:ind w:left="2772" w:right="2669"/>
        <w:jc w:val="center"/>
        <w:rPr>
          <w:sz w:val="20"/>
        </w:rPr>
      </w:pPr>
      <w:r>
        <w:rPr>
          <w:noProof/>
          <w:lang w:val="en-US"/>
        </w:rPr>
        <mc:AlternateContent>
          <mc:Choice Requires="wps">
            <w:drawing>
              <wp:anchor distT="0" distB="0" distL="114300" distR="114300" simplePos="0" relativeHeight="251659264" behindDoc="0" locked="0" layoutInCell="1" allowOverlap="1" wp14:anchorId="60E51D58" wp14:editId="50A3B62C">
                <wp:simplePos x="0" y="0"/>
                <wp:positionH relativeFrom="page">
                  <wp:posOffset>3138805</wp:posOffset>
                </wp:positionH>
                <wp:positionV relativeFrom="paragraph">
                  <wp:posOffset>453390</wp:posOffset>
                </wp:positionV>
                <wp:extent cx="128333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6A9A9" id="Rectangle 4" o:spid="_x0000_s1026" style="position:absolute;margin-left:247.15pt;margin-top:35.7pt;width:101.0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" fillcolor="blue" stroked="f">
                <w10:wrap anchorx="page"/>
              </v:rect>
            </w:pict>
          </mc:Fallback>
        </mc:AlternateContent>
      </w:r>
      <w:r>
        <w:rPr>
          <w:b/>
          <w:sz w:val="24"/>
        </w:rPr>
        <w:t>Ahras Zavota</w:t>
      </w:r>
      <w:r>
        <w:rPr>
          <w:b/>
          <w:position w:val="8"/>
          <w:sz w:val="16"/>
        </w:rPr>
        <w:t>1</w:t>
      </w:r>
      <w:r>
        <w:rPr>
          <w:b/>
          <w:sz w:val="24"/>
        </w:rPr>
        <w:t>, Kamsih Astuti</w:t>
      </w:r>
      <w:r>
        <w:rPr>
          <w:b/>
          <w:position w:val="8"/>
          <w:sz w:val="16"/>
        </w:rPr>
        <w:t xml:space="preserve">2 </w:t>
      </w:r>
      <w:r>
        <w:rPr>
          <w:position w:val="8"/>
          <w:sz w:val="20"/>
          <w:vertAlign w:val="superscript"/>
        </w:rPr>
        <w:t>12</w:t>
      </w:r>
      <w:r>
        <w:rPr>
          <w:sz w:val="20"/>
        </w:rPr>
        <w:t xml:space="preserve">Universitas Mercu Buana Yogyakarta </w:t>
      </w:r>
      <w:r w:rsidR="005E53F8">
        <w:fldChar w:fldCharType="begin"/>
      </w:r>
      <w:r w:rsidR="005E53F8">
        <w:instrText xml:space="preserve"> HYPERLINK "mailto:1ahraszavota@gmail.com" </w:instrText>
      </w:r>
      <w:r w:rsidR="005E53F8">
        <w:fldChar w:fldCharType="separate"/>
      </w:r>
      <w:r w:rsidRPr="006A3370">
        <w:rPr>
          <w:rStyle w:val="Hyperlink"/>
          <w:sz w:val="20"/>
          <w:vertAlign w:val="superscript"/>
        </w:rPr>
        <w:t>1</w:t>
      </w:r>
      <w:r w:rsidRPr="006A3370">
        <w:rPr>
          <w:rStyle w:val="Hyperlink"/>
          <w:sz w:val="20"/>
        </w:rPr>
        <w:t>ahraszavota@gmail.com</w:t>
      </w:r>
      <w:r w:rsidR="005E53F8">
        <w:rPr>
          <w:rStyle w:val="Hyperlink"/>
          <w:sz w:val="20"/>
        </w:rPr>
        <w:fldChar w:fldCharType="end"/>
      </w:r>
    </w:p>
    <w:p w14:paraId="7BF70E45" w14:textId="77777777" w:rsidR="00306559" w:rsidRDefault="00306559" w:rsidP="00306559">
      <w:pPr>
        <w:pStyle w:val="BodyText"/>
        <w:ind w:left="0"/>
        <w:jc w:val="left"/>
        <w:rPr>
          <w:sz w:val="20"/>
        </w:rPr>
      </w:pPr>
    </w:p>
    <w:p w14:paraId="4FEB7463" w14:textId="77777777" w:rsidR="00306559" w:rsidRDefault="00306559" w:rsidP="00306559">
      <w:pPr>
        <w:pStyle w:val="Heading1"/>
        <w:spacing w:line="274" w:lineRule="exact"/>
        <w:ind w:left="783" w:right="685"/>
        <w:jc w:val="center"/>
      </w:pPr>
      <w:r>
        <w:t>Abstrak</w:t>
      </w:r>
    </w:p>
    <w:p w14:paraId="16DCD59B" w14:textId="77777777" w:rsidR="00306559" w:rsidRPr="00AA0AD8" w:rsidRDefault="00306559" w:rsidP="00AA0AD8">
      <w:pPr>
        <w:ind w:left="567" w:firstLine="720"/>
        <w:jc w:val="both"/>
        <w:rPr>
          <w:i/>
          <w:sz w:val="20"/>
          <w:szCs w:val="20"/>
        </w:rPr>
      </w:pPr>
      <w:r w:rsidRPr="004D3EBA">
        <w:rPr>
          <w:sz w:val="20"/>
          <w:szCs w:val="20"/>
        </w:rPr>
        <w:t xml:space="preserve">Penelitian ini bertujuan untuk mengetahui hubungan antara kecemasan sosial </w:t>
      </w:r>
      <w:r w:rsidR="00AA0AD8">
        <w:rPr>
          <w:sz w:val="20"/>
          <w:szCs w:val="20"/>
        </w:rPr>
        <w:t>terhadap</w:t>
      </w:r>
      <w:r w:rsidRPr="004D3EBA">
        <w:rPr>
          <w:sz w:val="20"/>
          <w:szCs w:val="20"/>
        </w:rPr>
        <w:t xml:space="preserve"> </w:t>
      </w:r>
      <w:r w:rsidRPr="00AA0AD8">
        <w:rPr>
          <w:i/>
          <w:sz w:val="20"/>
          <w:szCs w:val="20"/>
        </w:rPr>
        <w:t>psychological well being</w:t>
      </w:r>
      <w:r w:rsidRPr="004D3EBA">
        <w:rPr>
          <w:sz w:val="20"/>
          <w:szCs w:val="20"/>
        </w:rPr>
        <w:t xml:space="preserve"> pada korban </w:t>
      </w:r>
      <w:r w:rsidRPr="00AA0AD8">
        <w:rPr>
          <w:i/>
          <w:sz w:val="20"/>
          <w:szCs w:val="20"/>
        </w:rPr>
        <w:t>cyberbullying</w:t>
      </w:r>
      <w:r w:rsidRPr="004D3EBA">
        <w:rPr>
          <w:sz w:val="20"/>
          <w:szCs w:val="20"/>
        </w:rPr>
        <w:t xml:space="preserve">. Hipotesis penelitian ini yaitu terdapat hubungan antara kecemasan sosial dengan </w:t>
      </w:r>
      <w:r w:rsidRPr="00AA0AD8">
        <w:rPr>
          <w:i/>
          <w:sz w:val="20"/>
          <w:szCs w:val="20"/>
        </w:rPr>
        <w:t>psychological well being</w:t>
      </w:r>
      <w:r w:rsidRPr="004D3EBA">
        <w:rPr>
          <w:sz w:val="20"/>
          <w:szCs w:val="20"/>
        </w:rPr>
        <w:t xml:space="preserve"> pada korban </w:t>
      </w:r>
      <w:r w:rsidRPr="00AA0AD8">
        <w:rPr>
          <w:i/>
          <w:sz w:val="20"/>
          <w:szCs w:val="20"/>
        </w:rPr>
        <w:t>cyberbullying</w:t>
      </w:r>
      <w:r w:rsidRPr="004D3EBA">
        <w:rPr>
          <w:sz w:val="20"/>
          <w:szCs w:val="20"/>
        </w:rPr>
        <w:t xml:space="preserve">. Subjek penelitian berjumlah 101 orang yang berkriteria remaja berusia 16-22 tahun dan pernah mengalami </w:t>
      </w:r>
      <w:r w:rsidRPr="00AA0AD8">
        <w:rPr>
          <w:i/>
          <w:sz w:val="20"/>
          <w:szCs w:val="20"/>
        </w:rPr>
        <w:t>cyberbullying.</w:t>
      </w:r>
      <w:r w:rsidRPr="004D3EBA">
        <w:rPr>
          <w:sz w:val="20"/>
          <w:szCs w:val="20"/>
        </w:rPr>
        <w:t xml:space="preserve"> Teknik pengambilan sa</w:t>
      </w:r>
      <w:r w:rsidR="00543CA6">
        <w:rPr>
          <w:sz w:val="20"/>
          <w:szCs w:val="20"/>
        </w:rPr>
        <w:t>mpel digunakan dalam penelitian</w:t>
      </w:r>
      <w:r w:rsidRPr="004D3EBA">
        <w:rPr>
          <w:sz w:val="20"/>
          <w:szCs w:val="20"/>
        </w:rPr>
        <w:t xml:space="preserve"> ini yaitu menggunakan metode purposive sampling. Penggunaan alat pengumpulan data penelitian menggunakan alat ukur berupa skala kecemasan sosial dan </w:t>
      </w:r>
      <w:r w:rsidRPr="00AA0AD8">
        <w:rPr>
          <w:i/>
          <w:sz w:val="20"/>
          <w:szCs w:val="20"/>
        </w:rPr>
        <w:t>psychological well being</w:t>
      </w:r>
      <w:r w:rsidRPr="004D3EBA">
        <w:rPr>
          <w:sz w:val="20"/>
          <w:szCs w:val="20"/>
        </w:rPr>
        <w:t xml:space="preserve">. Metode analisis data yang digunakan adalah uji korelasi product moment antara kecemasan sosial degan </w:t>
      </w:r>
      <w:r w:rsidRPr="00AA0AD8">
        <w:rPr>
          <w:i/>
          <w:sz w:val="20"/>
          <w:szCs w:val="20"/>
        </w:rPr>
        <w:t>psychological well being</w:t>
      </w:r>
      <w:r w:rsidRPr="004D3EBA">
        <w:rPr>
          <w:sz w:val="20"/>
          <w:szCs w:val="20"/>
        </w:rPr>
        <w:t xml:space="preserve"> pada korban </w:t>
      </w:r>
      <w:r w:rsidRPr="00AA0AD8">
        <w:rPr>
          <w:i/>
          <w:sz w:val="20"/>
          <w:szCs w:val="20"/>
        </w:rPr>
        <w:t>cyberbullying,</w:t>
      </w:r>
      <w:r w:rsidRPr="004D3EBA">
        <w:rPr>
          <w:sz w:val="20"/>
          <w:szCs w:val="20"/>
        </w:rPr>
        <w:t xml:space="preserve"> menunjukkan nilai koefisien korelasi (r) = 0,032 dan p= 0,023 (p&lt; .050) yang berarti kecemasan sosial memiliki korelasi yang linear terhadap </w:t>
      </w:r>
      <w:r w:rsidRPr="00AA0AD8">
        <w:rPr>
          <w:i/>
          <w:sz w:val="20"/>
          <w:szCs w:val="20"/>
        </w:rPr>
        <w:t>psychological well being</w:t>
      </w:r>
      <w:r w:rsidRPr="004D3EBA">
        <w:rPr>
          <w:sz w:val="20"/>
          <w:szCs w:val="20"/>
        </w:rPr>
        <w:t xml:space="preserve"> pada korban </w:t>
      </w:r>
      <w:r w:rsidRPr="00AA0AD8">
        <w:rPr>
          <w:i/>
          <w:sz w:val="20"/>
          <w:szCs w:val="20"/>
        </w:rPr>
        <w:t>cyberbullying</w:t>
      </w:r>
      <w:r w:rsidRPr="004D3EBA">
        <w:rPr>
          <w:sz w:val="20"/>
          <w:szCs w:val="20"/>
        </w:rPr>
        <w:t xml:space="preserve">. Hasil penelitian ini menunjukkan bahwa rxy= -0.178 dan p = 0.037 (p&lt;0.050) yang berarti terdapat hubungan negatif antara kecemasan sosial dengan </w:t>
      </w:r>
      <w:r w:rsidRPr="00AA0AD8">
        <w:rPr>
          <w:i/>
          <w:sz w:val="20"/>
          <w:szCs w:val="20"/>
        </w:rPr>
        <w:t>psychological well being</w:t>
      </w:r>
      <w:r w:rsidRPr="004D3EBA">
        <w:rPr>
          <w:sz w:val="20"/>
          <w:szCs w:val="20"/>
        </w:rPr>
        <w:t xml:space="preserve"> pada korban </w:t>
      </w:r>
      <w:r w:rsidRPr="00AA0AD8">
        <w:rPr>
          <w:i/>
          <w:sz w:val="20"/>
          <w:szCs w:val="20"/>
        </w:rPr>
        <w:t>cyberbullying.</w:t>
      </w:r>
    </w:p>
    <w:p w14:paraId="30FB5468" w14:textId="77777777" w:rsidR="00306559" w:rsidRPr="00FA0F0A" w:rsidRDefault="00306559" w:rsidP="00306559">
      <w:pPr>
        <w:ind w:firstLine="720"/>
        <w:jc w:val="both"/>
        <w:rPr>
          <w:sz w:val="24"/>
          <w:szCs w:val="24"/>
        </w:rPr>
      </w:pPr>
    </w:p>
    <w:p w14:paraId="34E1DCFE" w14:textId="77777777" w:rsidR="00306559" w:rsidRPr="004D3EBA" w:rsidRDefault="00306559" w:rsidP="00406559">
      <w:pPr>
        <w:pStyle w:val="BodyText"/>
        <w:spacing w:before="7"/>
        <w:ind w:left="567"/>
        <w:jc w:val="left"/>
        <w:rPr>
          <w:i/>
          <w:sz w:val="20"/>
          <w:szCs w:val="20"/>
          <w:lang w:val="en-US"/>
        </w:rPr>
      </w:pPr>
      <w:r w:rsidRPr="004D3EBA">
        <w:rPr>
          <w:b/>
          <w:sz w:val="20"/>
          <w:szCs w:val="20"/>
        </w:rPr>
        <w:t>kata kunci</w:t>
      </w:r>
      <w:r w:rsidRPr="004D3EBA">
        <w:rPr>
          <w:sz w:val="20"/>
          <w:szCs w:val="20"/>
        </w:rPr>
        <w:t>:</w:t>
      </w:r>
      <w:r w:rsidRPr="004D3EBA">
        <w:rPr>
          <w:sz w:val="20"/>
          <w:szCs w:val="20"/>
          <w:lang w:val="en-US"/>
        </w:rPr>
        <w:t xml:space="preserve"> </w:t>
      </w:r>
      <w:r w:rsidRPr="004D3EBA">
        <w:rPr>
          <w:i/>
          <w:sz w:val="20"/>
          <w:szCs w:val="20"/>
          <w:lang w:val="en-US"/>
        </w:rPr>
        <w:t xml:space="preserve"> </w:t>
      </w:r>
      <w:proofErr w:type="spellStart"/>
      <w:r w:rsidRPr="004D3EBA">
        <w:rPr>
          <w:sz w:val="20"/>
          <w:szCs w:val="20"/>
          <w:lang w:val="en-US"/>
        </w:rPr>
        <w:t>kecemasan</w:t>
      </w:r>
      <w:proofErr w:type="spellEnd"/>
      <w:r w:rsidRPr="004D3EBA">
        <w:rPr>
          <w:sz w:val="20"/>
          <w:szCs w:val="20"/>
          <w:lang w:val="en-US"/>
        </w:rPr>
        <w:t xml:space="preserve"> </w:t>
      </w:r>
      <w:proofErr w:type="spellStart"/>
      <w:r w:rsidRPr="004D3EBA">
        <w:rPr>
          <w:sz w:val="20"/>
          <w:szCs w:val="20"/>
          <w:lang w:val="en-US"/>
        </w:rPr>
        <w:t>sosial</w:t>
      </w:r>
      <w:proofErr w:type="spellEnd"/>
      <w:r w:rsidRPr="004D3EBA">
        <w:rPr>
          <w:sz w:val="20"/>
          <w:szCs w:val="20"/>
          <w:lang w:val="en-US"/>
        </w:rPr>
        <w:t>,</w:t>
      </w:r>
      <w:r w:rsidRPr="004D3EBA">
        <w:rPr>
          <w:i/>
          <w:sz w:val="20"/>
          <w:szCs w:val="20"/>
          <w:lang w:val="en-US"/>
        </w:rPr>
        <w:t xml:space="preserve"> psychological </w:t>
      </w:r>
      <w:proofErr w:type="spellStart"/>
      <w:r w:rsidRPr="004D3EBA">
        <w:rPr>
          <w:i/>
          <w:sz w:val="20"/>
          <w:szCs w:val="20"/>
          <w:lang w:val="en-US"/>
        </w:rPr>
        <w:t>well being</w:t>
      </w:r>
      <w:proofErr w:type="spellEnd"/>
      <w:r w:rsidR="00543CA6">
        <w:rPr>
          <w:i/>
          <w:sz w:val="20"/>
          <w:szCs w:val="20"/>
          <w:lang w:val="en-US"/>
        </w:rPr>
        <w:t>, cyberbullying</w:t>
      </w:r>
    </w:p>
    <w:p w14:paraId="57E7D37D" w14:textId="77777777" w:rsidR="00306559" w:rsidRPr="004D3EBA" w:rsidRDefault="00306559" w:rsidP="00306559">
      <w:pPr>
        <w:pStyle w:val="BodyText"/>
        <w:spacing w:before="7"/>
        <w:ind w:left="0"/>
        <w:jc w:val="left"/>
        <w:rPr>
          <w:sz w:val="36"/>
        </w:rPr>
      </w:pPr>
    </w:p>
    <w:p w14:paraId="73A94CBB" w14:textId="3E235021" w:rsidR="00306559" w:rsidRDefault="00556D1B" w:rsidP="00306559">
      <w:pPr>
        <w:spacing w:line="360" w:lineRule="auto"/>
        <w:ind w:left="784" w:right="685"/>
        <w:jc w:val="center"/>
        <w:rPr>
          <w:b/>
          <w:i/>
          <w:sz w:val="24"/>
        </w:rPr>
      </w:pPr>
      <w:r>
        <w:rPr>
          <w:b/>
          <w:i/>
          <w:sz w:val="24"/>
          <w:lang w:val="en-US"/>
        </w:rPr>
        <w:t xml:space="preserve">THE </w:t>
      </w:r>
      <w:r w:rsidR="00306559">
        <w:rPr>
          <w:b/>
          <w:i/>
          <w:sz w:val="24"/>
        </w:rPr>
        <w:t xml:space="preserve">RELATIONSHIP BETWEEN </w:t>
      </w:r>
      <w:r w:rsidR="00543CA6">
        <w:rPr>
          <w:b/>
          <w:i/>
          <w:sz w:val="24"/>
        </w:rPr>
        <w:t>SOCIAL ANXIETY AND PSYCHOLOGICAL WELL BEING IN VICTIMS OF CYBERBULLYING</w:t>
      </w:r>
    </w:p>
    <w:p w14:paraId="40F19878" w14:textId="77777777" w:rsidR="00306559" w:rsidRDefault="00306559" w:rsidP="00306559">
      <w:pPr>
        <w:spacing w:line="237" w:lineRule="auto"/>
        <w:ind w:left="2772" w:right="2669"/>
        <w:jc w:val="center"/>
        <w:rPr>
          <w:sz w:val="20"/>
        </w:rPr>
      </w:pPr>
      <w:r>
        <w:rPr>
          <w:noProof/>
          <w:lang w:val="en-US"/>
        </w:rPr>
        <mc:AlternateContent>
          <mc:Choice Requires="wps">
            <w:drawing>
              <wp:anchor distT="0" distB="0" distL="114300" distR="114300" simplePos="0" relativeHeight="251660288" behindDoc="0" locked="0" layoutInCell="1" allowOverlap="1" wp14:anchorId="3390A3D5" wp14:editId="4EE9E0CB">
                <wp:simplePos x="0" y="0"/>
                <wp:positionH relativeFrom="page">
                  <wp:posOffset>3138805</wp:posOffset>
                </wp:positionH>
                <wp:positionV relativeFrom="paragraph">
                  <wp:posOffset>452120</wp:posOffset>
                </wp:positionV>
                <wp:extent cx="1283335" cy="6350"/>
                <wp:effectExtent l="0" t="444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4EA98" id="Rectangle 3" o:spid="_x0000_s1026" style="position:absolute;margin-left:247.15pt;margin-top:35.6pt;width:101.0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" fillcolor="blue" stroked="f">
                <w10:wrap anchorx="page"/>
              </v:rect>
            </w:pict>
          </mc:Fallback>
        </mc:AlternateContent>
      </w:r>
      <w:r>
        <w:rPr>
          <w:b/>
          <w:sz w:val="24"/>
        </w:rPr>
        <w:t>Ahras Zavota</w:t>
      </w:r>
      <w:r>
        <w:rPr>
          <w:b/>
          <w:position w:val="8"/>
          <w:sz w:val="16"/>
        </w:rPr>
        <w:t>1</w:t>
      </w:r>
      <w:r>
        <w:rPr>
          <w:b/>
          <w:sz w:val="24"/>
        </w:rPr>
        <w:t>, Kamsih Astuti</w:t>
      </w:r>
      <w:r>
        <w:rPr>
          <w:b/>
          <w:position w:val="8"/>
          <w:sz w:val="16"/>
        </w:rPr>
        <w:t xml:space="preserve">2 </w:t>
      </w:r>
      <w:r>
        <w:rPr>
          <w:position w:val="8"/>
          <w:sz w:val="20"/>
          <w:vertAlign w:val="superscript"/>
        </w:rPr>
        <w:t>12</w:t>
      </w:r>
      <w:r>
        <w:rPr>
          <w:sz w:val="20"/>
        </w:rPr>
        <w:t xml:space="preserve">Universitas Mercu Buana Yogyakarta </w:t>
      </w:r>
      <w:r w:rsidR="005E53F8">
        <w:fldChar w:fldCharType="begin"/>
      </w:r>
      <w:r w:rsidR="005E53F8">
        <w:instrText xml:space="preserve"> HYPERLINK "mailto:1ahraszavota@gmail.com" </w:instrText>
      </w:r>
      <w:r w:rsidR="005E53F8">
        <w:fldChar w:fldCharType="separate"/>
      </w:r>
      <w:r w:rsidRPr="006A3370">
        <w:rPr>
          <w:rStyle w:val="Hyperlink"/>
          <w:sz w:val="20"/>
          <w:vertAlign w:val="superscript"/>
        </w:rPr>
        <w:t>1</w:t>
      </w:r>
      <w:r w:rsidRPr="006A3370">
        <w:rPr>
          <w:rStyle w:val="Hyperlink"/>
          <w:sz w:val="20"/>
        </w:rPr>
        <w:t>ahraszavota@gmail.com</w:t>
      </w:r>
      <w:r w:rsidR="005E53F8">
        <w:rPr>
          <w:rStyle w:val="Hyperlink"/>
          <w:sz w:val="20"/>
        </w:rPr>
        <w:fldChar w:fldCharType="end"/>
      </w:r>
    </w:p>
    <w:p w14:paraId="0F731B39" w14:textId="77777777" w:rsidR="00306559" w:rsidRDefault="00306559" w:rsidP="00306559">
      <w:pPr>
        <w:ind w:left="785" w:right="685"/>
        <w:jc w:val="center"/>
        <w:rPr>
          <w:b/>
          <w:i/>
          <w:sz w:val="24"/>
          <w:szCs w:val="24"/>
        </w:rPr>
      </w:pPr>
    </w:p>
    <w:p w14:paraId="4DE81533" w14:textId="77777777" w:rsidR="00306559" w:rsidRPr="004D3EBA" w:rsidRDefault="00306559" w:rsidP="00306559">
      <w:pPr>
        <w:ind w:left="785" w:right="685"/>
        <w:jc w:val="center"/>
        <w:rPr>
          <w:b/>
          <w:i/>
          <w:sz w:val="24"/>
          <w:szCs w:val="24"/>
        </w:rPr>
      </w:pPr>
      <w:r w:rsidRPr="004D3EBA">
        <w:rPr>
          <w:b/>
          <w:i/>
          <w:sz w:val="24"/>
          <w:szCs w:val="24"/>
        </w:rPr>
        <w:t>Abstract</w:t>
      </w:r>
    </w:p>
    <w:p w14:paraId="5B8227E8" w14:textId="77777777" w:rsidR="00306559" w:rsidRPr="004D3EBA" w:rsidRDefault="00306559" w:rsidP="00406559">
      <w:pPr>
        <w:ind w:left="567" w:firstLine="567"/>
        <w:jc w:val="both"/>
        <w:rPr>
          <w:color w:val="000000"/>
          <w:sz w:val="20"/>
          <w:szCs w:val="20"/>
        </w:rPr>
      </w:pPr>
      <w:r w:rsidRPr="004D3EBA">
        <w:rPr>
          <w:color w:val="000000"/>
          <w:sz w:val="20"/>
          <w:szCs w:val="20"/>
        </w:rPr>
        <w:t>This study aims to determine the relationship between social anxiety and psychological well-being in cyberbullying victims. The hypothesis of this study is that there is a relationship between social anxiety and psychological well-being in cyberbullying victims. There were 101 research subjects who had the criteria of being teenagers aged 12-22 years and had experienced cyberbullying. The sampling technique used in this study is using purposive sampling method. The use of research data collection tools uses measuring tools in the form of social anxiety scales and psychological well being. The data analysis method used is the product moment correlation test between social anxiety and psychological well-being in cyberbullying victims, showing a correlation coefficient (R) = 0.032 and p = 0.023 (p &lt;.050) which means social anxiety has a linear correlation with psychological well being on victims of cyberbullying. The results of this study indicate that rxy = -0.178 and p = 0.037 (p &lt;0.050), which means that there is a negative relationship between social anxiety and psychological well-being in cyberbullying victims.</w:t>
      </w:r>
    </w:p>
    <w:p w14:paraId="2B41DC14" w14:textId="77777777" w:rsidR="00306559" w:rsidRPr="004D3EBA" w:rsidRDefault="00306559" w:rsidP="00306559">
      <w:pPr>
        <w:jc w:val="both"/>
        <w:rPr>
          <w:sz w:val="20"/>
          <w:szCs w:val="20"/>
        </w:rPr>
      </w:pPr>
    </w:p>
    <w:p w14:paraId="18A4BB38" w14:textId="77777777" w:rsidR="00306559" w:rsidRPr="00543CA6" w:rsidRDefault="00306559" w:rsidP="00543CA6">
      <w:pPr>
        <w:ind w:left="1560" w:hanging="1004"/>
        <w:rPr>
          <w:sz w:val="20"/>
          <w:szCs w:val="20"/>
        </w:rPr>
        <w:sectPr w:rsidR="00306559" w:rsidRPr="00543CA6" w:rsidSect="00306559">
          <w:pgSz w:w="11910" w:h="16840"/>
          <w:pgMar w:top="1340" w:right="1320" w:bottom="280" w:left="1220" w:header="720" w:footer="720" w:gutter="0"/>
          <w:cols w:space="720"/>
        </w:sectPr>
      </w:pPr>
      <w:r w:rsidRPr="004D3EBA">
        <w:rPr>
          <w:b/>
          <w:sz w:val="20"/>
          <w:szCs w:val="20"/>
        </w:rPr>
        <w:t>keywords:</w:t>
      </w:r>
      <w:r w:rsidRPr="004D3EBA">
        <w:rPr>
          <w:sz w:val="20"/>
          <w:szCs w:val="20"/>
        </w:rPr>
        <w:t xml:space="preserve"> </w:t>
      </w:r>
      <w:r w:rsidRPr="004D3EBA">
        <w:rPr>
          <w:sz w:val="20"/>
          <w:szCs w:val="20"/>
          <w:lang w:val="en-US"/>
        </w:rPr>
        <w:t>social anxiety</w:t>
      </w:r>
      <w:r w:rsidR="00543CA6">
        <w:rPr>
          <w:sz w:val="20"/>
          <w:szCs w:val="20"/>
        </w:rPr>
        <w:t>, psychological well being, cyberbullying</w:t>
      </w:r>
    </w:p>
    <w:p w14:paraId="02AEFF8E" w14:textId="77777777" w:rsidR="00517F8E" w:rsidRDefault="00306559" w:rsidP="00517F8E">
      <w:pPr>
        <w:pStyle w:val="Heading1"/>
        <w:spacing w:before="117" w:line="480" w:lineRule="auto"/>
        <w:ind w:left="284"/>
        <w:jc w:val="left"/>
      </w:pPr>
      <w:r>
        <w:lastRenderedPageBreak/>
        <w:t>PENDAHULUAN</w:t>
      </w:r>
    </w:p>
    <w:p w14:paraId="0E8EA482" w14:textId="77777777" w:rsidR="00306559" w:rsidRPr="00EE6A87" w:rsidRDefault="00306559" w:rsidP="00517F8E">
      <w:pPr>
        <w:spacing w:line="360" w:lineRule="auto"/>
        <w:ind w:left="284" w:firstLine="567"/>
        <w:jc w:val="both"/>
      </w:pPr>
      <w:r w:rsidRPr="00EE6A87">
        <w:rPr>
          <w:shd w:val="clear" w:color="auto" w:fill="FFFFFF"/>
        </w:rPr>
        <w:t>Popularitas</w:t>
      </w:r>
      <w:r w:rsidR="00517F8E">
        <w:rPr>
          <w:shd w:val="clear" w:color="auto" w:fill="FFFFFF"/>
        </w:rPr>
        <w:t xml:space="preserve"> </w:t>
      </w:r>
      <w:r w:rsidRPr="00EE6A87">
        <w:rPr>
          <w:shd w:val="clear" w:color="auto" w:fill="FFFFFF"/>
        </w:rPr>
        <w:t xml:space="preserve">media sosial meningkat seiring berjalannya waktu, dimana individu dapat menciptakan jejaring sosial digital untuk melakukan interaksi dan berbagi informasi serta berita maupun opini dengan efektif dan efisien </w:t>
      </w:r>
      <w:r w:rsidRPr="00EE6A87">
        <w:rPr>
          <w:shd w:val="clear" w:color="auto" w:fill="FFFFFF"/>
        </w:rPr>
        <w:fldChar w:fldCharType="begin" w:fldLock="1"/>
      </w:r>
      <w:r w:rsidR="00132211">
        <w:rPr>
          <w:shd w:val="clear" w:color="auto" w:fill="FFFFFF"/>
        </w:rPr>
        <w:instrText>ADDIN CSL_CITATION {"citationItems":[{"id":"ITEM-1","itemData":{"ISSN":"2527-5429","abstract":"Abstract: This article reports the results of a systematic review of articles published between 2011 and 2021 that specifically examine the impact of social media on social interaction among adolescents. We used the google scholar database and articles published in SAGE and Sciencedirect. Articles from various databases were selected using the Preferred Reporting Items for Systematic Reviews and Meta-Analysis (PRISMA) approach. The results of the analysis that social media can be useful and beneficial, especially for teenagers and students for self-development, getting new information, adding knowledge, adding networks. But it also creates distance from the individuals around them to affect the mental health of adolescents. Keywords : Adolescence, Impact Social Media, Social Interaction, Social Media Abstrak: Artikel ini melaporkan hasil kajian sistematik tentang artikel-artikel yang diterbitkan antara tahun 2011 hingga 2021 yang secara khusus mengkaji dampak media sosial terhadap interaksi sosial pada remaja. Kami menggunakan pangkalan data google scholar dan artikel yang diterbitkan dalam SAGE dan Sciencedirect . Artikel dari berbagai pangkalan data dipilih menggunakan pendekatan Preferred Reporting Items for Systematic Reviews and Meta-Analysis (PRISMA). Hasil analisis bahwa Media sosial dapat bermanfaat dan menguntungkan khususnya bagi remaja dan pelajar untuk pengembangan diri, mendapat informasi baru, menambah ilmu pengetahuan, menambah jejaring. Namun juga menciptakan jarak dengan individu disekitarnya hingga berpengaruh terhadap kesehatan mental remaja. Kata kunci : Sosial Media, Interaksi Sosial, Dampak Media Sosial, Remaja","author":[{"dropping-particle":"","family":"Ayub","given":"Muhamad","non-dropping-particle":"","parse-names":false,"suffix":""},{"dropping-particle":"","family":"Sulaeman","given":"Sofia Farzanah","non-dropping-particle":"","parse-names":false,"suffix":""}],"container-title":"Jurnal Penelitian Bimbingan dan Konseling","id":"ITEM-1","issue":"1","issued":{"date-parts":[["2022"]]},"page":"21-32","title":"Dampak sosial media terhadap interaksi sosial pada remaja: kajian sistematik","type":"article-journal","volume":"7"},"uris":["http://www.mendeley.com/documents/?uuid=f16e1c86-30c4-444d-bcf5-fc32fbccb3c8"]}],"mendeley":{"formattedCitation":"(Ayub &amp; Sulaeman, 2022)","plainTextFormattedCitation":"(Ayub &amp; Sulaeman, 2022)","previouslyFormattedCitation":"(Ayub &amp; Sulaeman, 2022)"},"properties":{"noteIndex":0},"schema":"https://github.com/citation-style-language/schema/raw/master/csl-citation.json"}</w:instrText>
      </w:r>
      <w:r w:rsidRPr="00EE6A87">
        <w:rPr>
          <w:shd w:val="clear" w:color="auto" w:fill="FFFFFF"/>
        </w:rPr>
        <w:fldChar w:fldCharType="separate"/>
      </w:r>
      <w:r w:rsidRPr="00EE6A87">
        <w:rPr>
          <w:noProof/>
          <w:shd w:val="clear" w:color="auto" w:fill="FFFFFF"/>
        </w:rPr>
        <w:t>(Ayub &amp; Sulaeman, 2022)</w:t>
      </w:r>
      <w:r w:rsidRPr="00EE6A87">
        <w:rPr>
          <w:shd w:val="clear" w:color="auto" w:fill="FFFFFF"/>
        </w:rPr>
        <w:fldChar w:fldCharType="end"/>
      </w:r>
      <w:r w:rsidRPr="00EE6A87">
        <w:rPr>
          <w:shd w:val="clear" w:color="auto" w:fill="FFFFFF"/>
        </w:rPr>
        <w:t xml:space="preserve">. </w:t>
      </w:r>
      <w:r w:rsidRPr="00EE6A87">
        <w:t xml:space="preserve">Penggunaan akses media sosial dibuat dengan sangat bebas serta pengguna media sosial dapat mengeksplorasi identitas diri dan mengelaborasi segala hal tanpa terbatasi ruang dan waktu </w:t>
      </w:r>
      <w:r w:rsidRPr="00EE6A87">
        <w:fldChar w:fldCharType="begin" w:fldLock="1"/>
      </w:r>
      <w:r w:rsidR="00132211">
        <w:instrText>ADDIN CSL_CITATION {"citationItems":[{"id":"ITEM-1","itemData":{"DOI":"10.24002/jik.v15i1.1243","ISSN":"1829-6564","abstract":"The lack of digital media literacy education shall become requirement to the rises of horribly phenomenon in Indonesia. The purpose of this study is to create the awareness on using social media smartly. I used qualitative method that had been taken through purposive sampling. Since the Collaborative Learning Model of Digital Media Literacy was applied, students mindset about Digital Media Literacy meaning had shifted into the wiser social media users.","author":[{"dropping-particle":"","family":"Supratman","given":"Lucy Pujasari","non-dropping-particle":"","parse-names":false,"suffix":""}],"container-title":"Jurnal ILMU KOMUNIKASI","id":"ITEM-1","issue":"1","issued":{"date-parts":[["2018"]]},"page":"47-60","title":"Penggunaan media sosial oleh digital native","type":"article-journal","volume":"15"},"uris":["http://www.mendeley.com/documents/?uuid=8c86f0ca-65f7-4443-abf3-252103c2db93"]}],"mendeley":{"formattedCitation":"(Supratman, 2018)","plainTextFormattedCitation":"(Supratman, 2018)","previouslyFormattedCitation":"(Supratman, 2018)"},"properties":{"noteIndex":0},"schema":"https://github.com/citation-style-language/schema/raw/master/csl-citation.json"}</w:instrText>
      </w:r>
      <w:r w:rsidRPr="00EE6A87">
        <w:fldChar w:fldCharType="separate"/>
      </w:r>
      <w:r w:rsidRPr="00EE6A87">
        <w:rPr>
          <w:noProof/>
        </w:rPr>
        <w:t>(Supratman, 2018)</w:t>
      </w:r>
      <w:r w:rsidRPr="00EE6A87">
        <w:fldChar w:fldCharType="end"/>
      </w:r>
      <w:r w:rsidRPr="00EE6A87">
        <w:t xml:space="preserve">. </w:t>
      </w:r>
    </w:p>
    <w:p w14:paraId="1149D25E" w14:textId="77777777" w:rsidR="00306559" w:rsidRPr="00EE6A87" w:rsidRDefault="00306559" w:rsidP="00517F8E">
      <w:pPr>
        <w:spacing w:line="360" w:lineRule="auto"/>
        <w:ind w:left="284" w:firstLine="567"/>
        <w:jc w:val="both"/>
        <w:rPr>
          <w:i/>
          <w:iCs/>
          <w:shd w:val="clear" w:color="auto" w:fill="FFFFFF"/>
        </w:rPr>
      </w:pPr>
      <w:r w:rsidRPr="00EE6A87">
        <w:rPr>
          <w:shd w:val="clear" w:color="auto" w:fill="FFFFFF"/>
        </w:rPr>
        <w:t xml:space="preserve">Kebebasan orang dalam menggunakan media sosial inilah yang menimbulkan berbagai penyalahgunaan media sosial </w:t>
      </w:r>
      <w:r w:rsidRPr="00EE6A87">
        <w:rPr>
          <w:shd w:val="clear" w:color="auto" w:fill="FFFFFF"/>
        </w:rPr>
        <w:fldChar w:fldCharType="begin" w:fldLock="1"/>
      </w:r>
      <w:r w:rsidR="00132211">
        <w:rPr>
          <w:shd w:val="clear" w:color="auto" w:fill="FFFFFF"/>
        </w:rPr>
        <w:instrText>ADDIN CSL_CITATION {"citationItems":[{"id":"ITEM-1","itemData":{"abstract":"Media sosial sekarang ini telah menjadi bagian dari kehidupan remaja. Facebook. Twitter, Path dan media sosial lainnya menjadi wadah bagi para remaja untuk berinteraksi. Terlebih lagi, remaja berada pada usia dimana mereka senang mencari perhatian dan membangun pencitraan diri yang baik. Tidak adanya pengontrolan terhadap interaksi dan aktivitas yang dilakukan para remaja tersebut di media sosial bisa menjadi masalah. Setiap orang dengan bebasnya dapat melakukan aktivitas apapun di media sosial. Cyberbullying menjadi salah satu dampak yang muncul dari aktivitas online. Cyberbullying diartikan secara umum sebagai tindakan bully yang dilakukan seseorang terhadap orang lain dalam dunia online. Dampak negatif dari cyberbullying dapat dilihat baik secara psikologis maupun fisik. Bahkan ada juga korban yang melakukan bunuh diri akibat cyberbullying. Remaja dengan jiwa yang rentan dapat menjadi pelaku atau korban dari cyberbullying. Mereka yang tidak mengerti tentang etika yang baik secara online biasanya sulit untuk mengontrol perilaku mereka di dunia online.","author":[{"dropping-particle":"","family":"Natalia","given":"El Chris","non-dropping-particle":"","parse-names":false,"suffix":""}],"container-title":"Jurnal Ilmiah Komunikasi","id":"ITEM-1","issue":"2","issued":{"date-parts":[["2016"]]},"page":"119-139","title":"Remaja media sosial dan cyberbullying","type":"article-journal","volume":"5"},"uris":["http://www.mendeley.com/documents/?uuid=85f50c48-db36-49a0-971d-0041aeff3bb9"]}],"mendeley":{"formattedCitation":"(Natalia, 2016)","plainTextFormattedCitation":"(Natalia, 2016)","previouslyFormattedCitation":"(Natalia, 2016)"},"properties":{"noteIndex":0},"schema":"https://github.com/citation-style-language/schema/raw/master/csl-citation.json"}</w:instrText>
      </w:r>
      <w:r w:rsidRPr="00EE6A87">
        <w:rPr>
          <w:shd w:val="clear" w:color="auto" w:fill="FFFFFF"/>
        </w:rPr>
        <w:fldChar w:fldCharType="separate"/>
      </w:r>
      <w:r w:rsidRPr="00EE6A87">
        <w:rPr>
          <w:noProof/>
          <w:shd w:val="clear" w:color="auto" w:fill="FFFFFF"/>
        </w:rPr>
        <w:t>(Natalia, 2016)</w:t>
      </w:r>
      <w:r w:rsidRPr="00EE6A87">
        <w:rPr>
          <w:shd w:val="clear" w:color="auto" w:fill="FFFFFF"/>
        </w:rPr>
        <w:fldChar w:fldCharType="end"/>
      </w:r>
      <w:r w:rsidRPr="00EE6A87">
        <w:rPr>
          <w:shd w:val="clear" w:color="auto" w:fill="FFFFFF"/>
        </w:rPr>
        <w:t xml:space="preserve">. Banyak pengguna media sosial yang menuliskan komentar-komentar negatif terhadap orang lain, diantaranya seperti mengunggah foto seseorang yang memalukan dan menyebarluaskan melalui media sosial, mengirimkan ancaman melalui pesan singkat secara berulang-ulang, dan menggunakan akun palsu untuk menghina orang lain. Fenomena penyalahgunaan media sosial ini dikenal sebagai </w:t>
      </w:r>
      <w:r w:rsidRPr="00EE6A87">
        <w:rPr>
          <w:i/>
          <w:iCs/>
          <w:shd w:val="clear" w:color="auto" w:fill="FFFFFF"/>
        </w:rPr>
        <w:t xml:space="preserve">cyberbullying </w:t>
      </w:r>
      <w:r w:rsidRPr="00EE6A87">
        <w:rPr>
          <w:i/>
          <w:iCs/>
          <w:shd w:val="clear" w:color="auto" w:fill="FFFFFF"/>
        </w:rPr>
        <w:fldChar w:fldCharType="begin" w:fldLock="1"/>
      </w:r>
      <w:r w:rsidR="00132211">
        <w:rPr>
          <w:i/>
          <w:iCs/>
          <w:shd w:val="clear" w:color="auto" w:fill="FFFFFF"/>
        </w:rPr>
        <w:instrText>ADDIN CSL_CITATION {"citationItems":[{"id":"ITEM-1","itemData":{"DOI":"10.29313/bcsps.v2i1.886","abstract":"Abstract. In this increasingly sophisticated digital era, there are more and more active Internet users. Based on the results of a survey conducted by APJII in 2018, it is known that social media ranks second as the most widely used internet service in Indonesia with a percentage of 18.9%. However, the use of social media is widely misused, one of the phenomena of this misuse of social media is cyberbullying. Cyberbullying is a deliberate aggressive act carried out by a group or individual, which is carried out in the form of electronic media. One of the social media that is often used as a medium for cyberbullying is Twitter. One of the factors causing cyberbullying behavior is self-esteem. The purpose of this study was to determine the relationship between self-esteem and cyberbullying behavior in adolescents using social media Twitter in Bandung. The research method used is purposive sampling technique. The data for this study were taken using the Rosenberg Self-Esteem Scale (RSES) developed by Rosenberg and the cyberbullying tool from Willard, which was distributed to late teens aged 18 to 22 years in Bandung with a sample of 116 people. The analytical technique used is the Spearman Correlation Test. The resulting correlation value is -0.031 and p-value (Sig.) = 0.745 &gt; = 0.05. The results of this study indicate that there is no significant relationship between self-esteem and the tendency of cyberbullying behavior in teenagers using Twitter social media in Bandung. Abstrak. Di era digital yang semakin canggih ini, semakin banyak pula pengguna aktif Internet. Berdasarkan hasil survey yang dilakukan oleh APJII pada tahun 2018, diketahui bahwa media sosial menempati urutan kedua sebagai layanan internet yang paling banyak digunakan di Indonesia dengan persentase sebesar 18,9%. Namun, penggunaan media sosial banyak disalahgunakan, salah satu fenomena penyalahgunaan media sosial ini adalah cyberbullying. Cyberbullying adalah tindakan agresif yang disengaja dilakukan oleh suatu kelompok atau individu, yang dilakukan dalam bentuk media elektronik. Salah satu media sosial yang sering digunakan sebagai media cyberbullying adalah Twitter. Salah satu faktor penyebab perilaku cyberbullying adalah harga diri (self-esteem). Tujuan dari penelitian ini adalah untuk mengetahui hubungan self-esteem dengan perilaku cyberbullying pada remaja pengguna media sosial Twitter di Bandung. Metode penelitian yang digunakan adalah teknik purposive sampling. Data penelitian ini…","author":[{"dropping-particle":"","family":"Nissa","given":"Ristie Nashaya Faidatu'","non-dropping-particle":"","parse-names":false,"suffix":""},{"dropping-particle":"","family":"Hatta","given":"Ilmi","non-dropping-particle":"","parse-names":false,"suffix":""}],"container-title":"Bandung Conference Series: Psychology Science","id":"ITEM-1","issue":"1","issued":{"date-parts":[["2022"]]},"page":"167-173","title":"Hubungan self-esteem dengan perilaku cyberbullying pada remaja pengguna media sosial twitter","type":"article-journal","volume":"2"},"uris":["http://www.mendeley.com/documents/?uuid=158b6e5f-efe6-49d7-81dc-0daa75e30f7b"]}],"mendeley":{"formattedCitation":"(Nissa &amp; Hatta, 2022)","plainTextFormattedCitation":"(Nissa &amp; Hatta, 2022)","previouslyFormattedCitation":"(Nissa &amp; Hatta, 2022)"},"properties":{"noteIndex":0},"schema":"https://github.com/citation-style-language/schema/raw/master/csl-citation.json"}</w:instrText>
      </w:r>
      <w:r w:rsidRPr="00EE6A87">
        <w:rPr>
          <w:i/>
          <w:iCs/>
          <w:shd w:val="clear" w:color="auto" w:fill="FFFFFF"/>
        </w:rPr>
        <w:fldChar w:fldCharType="separate"/>
      </w:r>
      <w:r w:rsidRPr="00EE6A87">
        <w:rPr>
          <w:iCs/>
          <w:noProof/>
          <w:shd w:val="clear" w:color="auto" w:fill="FFFFFF"/>
        </w:rPr>
        <w:t>(Nissa &amp; Hatta, 2022)</w:t>
      </w:r>
      <w:r w:rsidRPr="00EE6A87">
        <w:rPr>
          <w:i/>
          <w:iCs/>
          <w:shd w:val="clear" w:color="auto" w:fill="FFFFFF"/>
        </w:rPr>
        <w:fldChar w:fldCharType="end"/>
      </w:r>
      <w:r w:rsidRPr="00EE6A87">
        <w:rPr>
          <w:i/>
          <w:iCs/>
          <w:shd w:val="clear" w:color="auto" w:fill="FFFFFF"/>
        </w:rPr>
        <w:t>.</w:t>
      </w:r>
    </w:p>
    <w:p w14:paraId="58182109" w14:textId="77777777" w:rsidR="00306559" w:rsidRPr="00EE6A87" w:rsidRDefault="00306559" w:rsidP="00517F8E">
      <w:pPr>
        <w:pStyle w:val="ListParagraph"/>
        <w:spacing w:line="360" w:lineRule="auto"/>
        <w:ind w:left="284" w:firstLine="567"/>
        <w:textAlignment w:val="baseline"/>
        <w:rPr>
          <w:iCs/>
          <w:shd w:val="clear" w:color="auto" w:fill="FFFFFF"/>
        </w:rPr>
      </w:pPr>
      <w:r w:rsidRPr="00EE6A87">
        <w:rPr>
          <w:bCs/>
          <w:i/>
          <w:color w:val="000000"/>
        </w:rPr>
        <w:t>Cyberbulying</w:t>
      </w:r>
      <w:r w:rsidRPr="00EE6A87">
        <w:rPr>
          <w:bCs/>
          <w:color w:val="000000"/>
        </w:rPr>
        <w:t xml:space="preserve"> sendiri</w:t>
      </w:r>
      <w:r w:rsidRPr="00EE6A87">
        <w:rPr>
          <w:b/>
          <w:bCs/>
          <w:color w:val="000000"/>
        </w:rPr>
        <w:t xml:space="preserve"> </w:t>
      </w:r>
      <w:r w:rsidRPr="00EE6A87">
        <w:rPr>
          <w:color w:val="000000"/>
        </w:rPr>
        <w:t xml:space="preserve">merupakan tindakan kejahatan yang dilakukan secara sengaja dan ditunjukkan untuk orang lain dengan cara mengirimkan atau menyebarkan sesuatu yang berbahaya yang dapat dilihat dengan bentuk agresi sosial dalam penggunaan internet ataupun teknologi digital lainnya </w:t>
      </w:r>
      <w:r w:rsidRPr="00EE6A87">
        <w:rPr>
          <w:color w:val="000000"/>
        </w:rPr>
        <w:fldChar w:fldCharType="begin" w:fldLock="1"/>
      </w:r>
      <w:r w:rsidR="00132211">
        <w:rPr>
          <w:color w:val="000000"/>
        </w:rPr>
        <w:instrText>ADDIN CSL_CITATION {"citationItems":[{"id":"ITEM-1","itemData":{"DOI":"10.1016/j.jadohealth.2007.08.013","ISSN":"1054139X","PMID":"18047949","abstract":"Online social aggression, or cyberbullying, involves speech. Many incidents involve off-campus online speech that either creates or has the potential to create disruption at school or that may interfere with the targeted student's ability to participate in educational activities and programs. Addressing these situations requires an assessment of the extent of authority and responsibility of school officials to respond. \"Authority\" refers to the legally justified right to impose formal discipline. Because cyberbullying involves online speech, the question of legal authority necessarily involves addressing the balance between the student right of free speech and student safety and security. \"Responsibility\" refers to the legal obligation under negligence theory and civil rights laws to exercise reasonable precautions to protect students from online social aggression and to intervene in response to reports of actual incidents. © 2007 Society for Adolescent Medicine.","author":[{"dropping-particle":"","family":"Willard","given":"Nancy E.","non-dropping-particle":"","parse-names":false,"suffix":""}],"container-title":"Journal of Adolescent Health","id":"ITEM-1","issue":"6","issued":{"date-parts":[["2007"]]},"page":"64-65","title":"The authority and responsibility of school officials in responding to cyberbullying","type":"article-journal","volume":"41"},"uris":["http://www.mendeley.com/documents/?uuid=52876ad8-fc07-4a48-afda-50df2f641b69"]}],"mendeley":{"formattedCitation":"(Willard, 2007)","plainTextFormattedCitation":"(Willard, 2007)","previouslyFormattedCitation":"(Willard, 2007)"},"properties":{"noteIndex":0},"schema":"https://github.com/citation-style-language/schema/raw/master/csl-citation.json"}</w:instrText>
      </w:r>
      <w:r w:rsidRPr="00EE6A87">
        <w:rPr>
          <w:color w:val="000000"/>
        </w:rPr>
        <w:fldChar w:fldCharType="separate"/>
      </w:r>
      <w:r w:rsidRPr="00EE6A87">
        <w:rPr>
          <w:noProof/>
          <w:color w:val="000000"/>
        </w:rPr>
        <w:t>(Willard, 2007)</w:t>
      </w:r>
      <w:r w:rsidRPr="00EE6A87">
        <w:rPr>
          <w:color w:val="000000"/>
        </w:rPr>
        <w:fldChar w:fldCharType="end"/>
      </w:r>
      <w:r w:rsidRPr="00EE6A87">
        <w:rPr>
          <w:iCs/>
          <w:shd w:val="clear" w:color="auto" w:fill="FFFFFF"/>
        </w:rPr>
        <w:t xml:space="preserve">. </w:t>
      </w:r>
      <w:r w:rsidRPr="00EE6A87">
        <w:rPr>
          <w:i/>
          <w:iCs/>
          <w:color w:val="000000"/>
        </w:rPr>
        <w:t>Cyberbullying</w:t>
      </w:r>
      <w:r w:rsidRPr="00EE6A87">
        <w:rPr>
          <w:color w:val="000000"/>
        </w:rPr>
        <w:t xml:space="preserve"> adalah tindakan agresif dan disengaja yang dilakukan oleh suatu kelompok atau individu, menggunakan bentuk kontak elektronik berulang kali dan dari waktu ke waktu terhadap korban yang tidak dapat dengan mudah membela dirinya sendiri </w:t>
      </w:r>
      <w:r w:rsidRPr="00EE6A87">
        <w:rPr>
          <w:color w:val="000000"/>
        </w:rPr>
        <w:fldChar w:fldCharType="begin" w:fldLock="1"/>
      </w:r>
      <w:r w:rsidRPr="00EE6A87">
        <w:rPr>
          <w:color w:val="000000"/>
        </w:rPr>
        <w:instrText>ADDIN CSL_CITATION {"citationItems":[{"id":"ITEM-1","itemData":{"DOI":"10.1111/j.1469-7610.2007.01846.x","author":[{"dropping-particle":"","family":"Smith","given":"Peter K","non-dropping-particle":"","parse-names":false,"suffix":""},{"dropping-particle":"","family":"Mahdavi","given":"Jess","non-dropping-particle":"","parse-names":false,"suffix":""},{"dropping-particle":"","family":"Carvalho","given":"Manuel","non-dropping-particle":"","parse-names":false,"suffix":""},{"dropping-particle":"","family":"Fisher","given":"Sonja","non-dropping-particle":"","parse-names":false,"suffix":""},{"dropping-particle":"","family":"Russell","given":"Shanette","non-dropping-particle":"","parse-names":false,"suffix":""},{"dropping-particle":"","family":"Tippett","given":"Neil","non-dropping-particle":"","parse-names":false,"suffix":""}],"container-title":"THE JOURNAL OF CHILD PSYCHOLOGY AND PSYCHIATRY Journal","id":"ITEM-1","issue":"4","issued":{"date-parts":[["2008"]]},"page":"376-385","title":"Cyberbullying : its nature and impact in secondary school pupils","type":"article-journal","volume":"49"},"uris":["http://www.mendeley.com/documents/?uuid=b4d4309f-79c3-44e0-ae4d-2041459cd2ab"]}],"mendeley":{"formattedCitation":"(Smith et al., 2008)","manualFormatting":"(Smith, Tippett, &amp; Mahdavi, 2008)","plainTextFormattedCitation":"(Smith et al., 2008)","previouslyFormattedCitation":"(Smith et al., 2008)"},"properties":{"noteIndex":0},"schema":"https://github.com/citation-style-language/schema/raw/master/csl-citation.json"}</w:instrText>
      </w:r>
      <w:r w:rsidRPr="00EE6A87">
        <w:rPr>
          <w:color w:val="000000"/>
        </w:rPr>
        <w:fldChar w:fldCharType="separate"/>
      </w:r>
      <w:r w:rsidRPr="00EE6A87">
        <w:rPr>
          <w:noProof/>
          <w:color w:val="000000"/>
        </w:rPr>
        <w:t>(Smith, Tippett, &amp; Mahdavi, 2008)</w:t>
      </w:r>
      <w:r w:rsidRPr="00EE6A87">
        <w:rPr>
          <w:color w:val="000000"/>
        </w:rPr>
        <w:fldChar w:fldCharType="end"/>
      </w:r>
      <w:r w:rsidRPr="00EE6A87">
        <w:rPr>
          <w:color w:val="000000"/>
        </w:rPr>
        <w:t xml:space="preserve">. </w:t>
      </w:r>
    </w:p>
    <w:p w14:paraId="30B83BA6" w14:textId="77777777" w:rsidR="00306559" w:rsidRPr="00EE6A87" w:rsidRDefault="00306559" w:rsidP="00517F8E">
      <w:pPr>
        <w:pStyle w:val="ListParagraph"/>
        <w:spacing w:line="360" w:lineRule="auto"/>
        <w:ind w:left="284" w:firstLine="567"/>
        <w:textAlignment w:val="baseline"/>
        <w:rPr>
          <w:i/>
        </w:rPr>
      </w:pPr>
      <w:r w:rsidRPr="00EE6A87">
        <w:rPr>
          <w:i/>
          <w:iCs/>
          <w:color w:val="000000"/>
        </w:rPr>
        <w:t>Cyberbullying</w:t>
      </w:r>
      <w:r w:rsidRPr="00EE6A87">
        <w:rPr>
          <w:color w:val="000000"/>
        </w:rPr>
        <w:t xml:space="preserve"> pada umumnya memiliki </w:t>
      </w:r>
      <w:r w:rsidRPr="00EE6A87">
        <w:rPr>
          <w:color w:val="000000"/>
        </w:rPr>
        <w:t xml:space="preserve">karakteristik antara lain, </w:t>
      </w:r>
      <w:r w:rsidRPr="00EE6A87">
        <w:rPr>
          <w:i/>
          <w:iCs/>
          <w:color w:val="000000"/>
        </w:rPr>
        <w:t>cyberbullying</w:t>
      </w:r>
      <w:r w:rsidRPr="00EE6A87">
        <w:rPr>
          <w:color w:val="000000"/>
        </w:rPr>
        <w:t xml:space="preserve"> dilakukan secara berulang, menimbulkan suatu penyiksaan terhadap psikologis,  dilakukan  dengan  suatu  tujuan  seperti  sebagai  balas  dendam  atau  untuk mempermalukan korban, dan terjadi didunia maya seperti sosial media atau pesan teks </w:t>
      </w:r>
      <w:r w:rsidRPr="00EE6A87">
        <w:rPr>
          <w:color w:val="000000"/>
        </w:rPr>
        <w:fldChar w:fldCharType="begin" w:fldLock="1"/>
      </w:r>
      <w:r w:rsidRPr="00EE6A87">
        <w:rPr>
          <w:color w:val="000000"/>
        </w:rPr>
        <w:instrText>ADDIN CSL_CITATION {"citationItems":[{"id":"ITEM-1","itemData":{"ISSN":"13036521","abstract":"Cyberbullying has been commonplace practice among Indonesian teenagers engaging in on-line space. However, this phenomenon has not been extensively researched in the context of Indonesia. This present study aims to examine the extent to which level of forgiveness contribute to varying degrees of cyberbullying. It is a quantitative in which the data were drawn from 495 senior high school students in Yogyakarta, Indonesia. The research findings revealed that there was a significant correlation of β= .255, p = .011 between level of forgiveness and patterns of response towards cyberbullying and also a correlation of (β=.316, p = .001) between cybervictim and cyberbully. The study concluded with some recommendations with regard to the effect of cyberbullying.","author":[{"dropping-particle":"","family":"Safaria","given":"Triantoro","non-dropping-particle":"","parse-names":false,"suffix":""},{"dropping-particle":"","family":"Tentama","given":"Fatwa","non-dropping-particle":"","parse-names":false,"suffix":""},{"dropping-particle":"","family":"Suyono","given":"Hadi","non-dropping-particle":"","parse-names":false,"suffix":""}],"container-title":"Turkish Online Journal of Educational Technology","id":"ITEM-1","issue":"3","issued":{"date-parts":[["2016"]]},"page":"40-48","title":"Cyberbully, cybervictim, and forgiveness among Indonesian high school students","type":"article-journal","volume":"15"},"uris":["http://www.mendeley.com/documents/?uuid=ae0c4161-65d4-4723-b359-a932df8b1627"]}],"mendeley":{"formattedCitation":"(Safaria et al., 2016)","manualFormatting":"(Safaria, Tentama, &amp; Suyono, 2016)","plainTextFormattedCitation":"(Safaria et al., 2016)","previouslyFormattedCitation":"(Safaria et al., 2016)"},"properties":{"noteIndex":0},"schema":"https://github.com/citation-style-language/schema/raw/master/csl-citation.json"}</w:instrText>
      </w:r>
      <w:r w:rsidRPr="00EE6A87">
        <w:rPr>
          <w:color w:val="000000"/>
        </w:rPr>
        <w:fldChar w:fldCharType="separate"/>
      </w:r>
      <w:r w:rsidRPr="00EE6A87">
        <w:rPr>
          <w:noProof/>
          <w:color w:val="000000"/>
        </w:rPr>
        <w:t>(Safaria, Tentama, &amp; Suyono, 2016)</w:t>
      </w:r>
      <w:r w:rsidRPr="00EE6A87">
        <w:rPr>
          <w:color w:val="000000"/>
        </w:rPr>
        <w:fldChar w:fldCharType="end"/>
      </w:r>
      <w:r w:rsidRPr="00EE6A87">
        <w:rPr>
          <w:color w:val="000000"/>
        </w:rPr>
        <w:t xml:space="preserve">. </w:t>
      </w:r>
      <w:r w:rsidRPr="00EE6A87">
        <w:rPr>
          <w:color w:val="000000"/>
        </w:rPr>
        <w:fldChar w:fldCharType="begin" w:fldLock="1"/>
      </w:r>
      <w:r w:rsidR="00132211">
        <w:rPr>
          <w:color w:val="000000"/>
        </w:rPr>
        <w:instrText>ADDIN CSL_CITATION {"citationItems":[{"id":"ITEM-1","itemData":{"DOI":"10.1016/j.jadohealth.2007.08.013","ISSN":"1054139X","PMID":"18047949","abstract":"Online social aggression, or cyberbullying, involves speech. Many incidents involve off-campus online speech that either creates or has the potential to create disruption at school or that may interfere with the targeted student's ability to participate in educational activities and programs. Addressing these situations requires an assessment of the extent of authority and responsibility of school officials to respond. \"Authority\" refers to the legally justified right to impose formal discipline. Because cyberbullying involves online speech, the question of legal authority necessarily involves addressing the balance between the student right of free speech and student safety and security. \"Responsibility\" refers to the legal obligation under negligence theory and civil rights laws to exercise reasonable precautions to protect students from online social aggression and to intervene in response to reports of actual incidents. © 2007 Society for Adolescent Medicine.","author":[{"dropping-particle":"","family":"Willard","given":"Nancy E.","non-dropping-particle":"","parse-names":false,"suffix":""}],"container-title":"Journal of Adolescent Health","id":"ITEM-1","issue":"6","issued":{"date-parts":[["2007"]]},"page":"64-65","title":"The authority and responsibility of school officials in responding to cyberbullying","type":"article-journal","volume":"41"},"uris":["http://www.mendeley.com/documents/?uuid=52876ad8-fc07-4a48-afda-50df2f641b69"]}],"mendeley":{"formattedCitation":"(Willard, 2007)","manualFormatting":"Willard (2007)","plainTextFormattedCitation":"(Willard, 2007)","previouslyFormattedCitation":"(Willard, 2007)"},"properties":{"noteIndex":0},"schema":"https://github.com/citation-style-language/schema/raw/master/csl-citation.json"}</w:instrText>
      </w:r>
      <w:r w:rsidRPr="00EE6A87">
        <w:rPr>
          <w:color w:val="000000"/>
        </w:rPr>
        <w:fldChar w:fldCharType="separate"/>
      </w:r>
      <w:r w:rsidRPr="00EE6A87">
        <w:rPr>
          <w:noProof/>
          <w:color w:val="000000"/>
        </w:rPr>
        <w:t>Willard (2007)</w:t>
      </w:r>
      <w:r w:rsidRPr="00EE6A87">
        <w:rPr>
          <w:color w:val="000000"/>
        </w:rPr>
        <w:fldChar w:fldCharType="end"/>
      </w:r>
      <w:r w:rsidRPr="00EE6A87">
        <w:rPr>
          <w:color w:val="000000"/>
        </w:rPr>
        <w:t xml:space="preserve"> mengungkapkan </w:t>
      </w:r>
      <w:r w:rsidRPr="00EE6A87">
        <w:rPr>
          <w:i/>
          <w:color w:val="000000"/>
        </w:rPr>
        <w:t xml:space="preserve">cyberbullying </w:t>
      </w:r>
      <w:r w:rsidRPr="00EE6A87">
        <w:rPr>
          <w:iCs/>
          <w:color w:val="000000"/>
        </w:rPr>
        <w:t xml:space="preserve">terdiri dari beberapa jenis yaitu </w:t>
      </w:r>
      <w:r w:rsidRPr="00EE6A87">
        <w:rPr>
          <w:color w:val="000000"/>
        </w:rPr>
        <w:t xml:space="preserve">menurut </w:t>
      </w:r>
      <w:r w:rsidRPr="00EE6A87">
        <w:rPr>
          <w:i/>
          <w:iCs/>
          <w:color w:val="000000"/>
        </w:rPr>
        <w:t>flaming</w:t>
      </w:r>
      <w:r w:rsidRPr="00EE6A87">
        <w:rPr>
          <w:color w:val="000000"/>
        </w:rPr>
        <w:t xml:space="preserve">, </w:t>
      </w:r>
      <w:r w:rsidRPr="00EE6A87">
        <w:rPr>
          <w:i/>
        </w:rPr>
        <w:t>harassment,</w:t>
      </w:r>
      <w:r w:rsidRPr="00EE6A87">
        <w:rPr>
          <w:i/>
          <w:iCs/>
          <w:color w:val="000000"/>
        </w:rPr>
        <w:t xml:space="preserve"> cyberstalking</w:t>
      </w:r>
      <w:r w:rsidRPr="00EE6A87">
        <w:rPr>
          <w:color w:val="000000"/>
        </w:rPr>
        <w:t xml:space="preserve">, </w:t>
      </w:r>
      <w:r w:rsidRPr="00EE6A87">
        <w:rPr>
          <w:i/>
        </w:rPr>
        <w:t xml:space="preserve">denigration, impersonation, outing </w:t>
      </w:r>
      <w:r w:rsidRPr="00EE6A87">
        <w:rPr>
          <w:iCs/>
        </w:rPr>
        <w:t>dan</w:t>
      </w:r>
      <w:r w:rsidRPr="00EE6A87">
        <w:rPr>
          <w:i/>
        </w:rPr>
        <w:t xml:space="preserve"> trickery, </w:t>
      </w:r>
      <w:r w:rsidRPr="00EE6A87">
        <w:rPr>
          <w:iCs/>
        </w:rPr>
        <w:t xml:space="preserve">serta </w:t>
      </w:r>
      <w:r w:rsidRPr="00EE6A87">
        <w:rPr>
          <w:i/>
        </w:rPr>
        <w:t xml:space="preserve">exclusion. </w:t>
      </w:r>
    </w:p>
    <w:p w14:paraId="26D51FEE" w14:textId="77777777" w:rsidR="00306559" w:rsidRPr="00EE6A87" w:rsidRDefault="00306559" w:rsidP="00517F8E">
      <w:pPr>
        <w:pStyle w:val="ListParagraph"/>
        <w:spacing w:line="360" w:lineRule="auto"/>
        <w:ind w:left="284" w:firstLine="567"/>
        <w:textAlignment w:val="baseline"/>
      </w:pPr>
      <w:r w:rsidRPr="00EE6A87">
        <w:rPr>
          <w:i/>
          <w:color w:val="000000"/>
        </w:rPr>
        <w:t xml:space="preserve">Cyberbullying </w:t>
      </w:r>
      <w:r w:rsidRPr="00EE6A87">
        <w:rPr>
          <w:iCs/>
          <w:color w:val="000000"/>
        </w:rPr>
        <w:t xml:space="preserve">menjadi salah satu permasalahan yang banyak terjadi karena masyarakat Indonesia mempunyai sikap yang tak acuh dalam kehidupan bersosialisasi, serta dampak dari </w:t>
      </w:r>
      <w:r w:rsidRPr="00EE6A87">
        <w:rPr>
          <w:i/>
          <w:color w:val="000000"/>
        </w:rPr>
        <w:t>cyberbullying</w:t>
      </w:r>
      <w:r w:rsidRPr="00EE6A87">
        <w:rPr>
          <w:iCs/>
          <w:color w:val="000000"/>
        </w:rPr>
        <w:t xml:space="preserve"> yaitu dapat menyebabkan terganggunya kesehatan mental seperti depresi dan dampak terparah dari depresi bisa menyebabkan kasus bunuh diri </w:t>
      </w:r>
      <w:r w:rsidRPr="00EE6A87">
        <w:rPr>
          <w:iCs/>
          <w:color w:val="000000"/>
        </w:rPr>
        <w:fldChar w:fldCharType="begin" w:fldLock="1"/>
      </w:r>
      <w:r w:rsidR="00132211">
        <w:rPr>
          <w:iCs/>
          <w:color w:val="000000"/>
        </w:rPr>
        <w:instrText>ADDIN CSL_CITATION {"citationItems":[{"id":"ITEM-1","itemData":{"author":[{"dropping-particle":"","family":"Aprilia","given":"Rahmawati","non-dropping-particle":"","parse-names":false,"suffix":""},{"dropping-particle":"","family":"Diany","given":"Rahma","non-dropping-particle":"","parse-names":false,"suffix":""}],"container-title":"Hermina health sciences journal","id":"ITEM-1","issue":"1","issued":{"date-parts":[["2022"]]},"page":"23-30","title":"Cyberbullying menjadi penyebab utama dalam kasus bunuh diri","type":"article-journal","volume":"2"},"uris":["http://www.mendeley.com/documents/?uuid=65c6d569-fc79-4e4e-abfb-de2207554057"]}],"mendeley":{"formattedCitation":"(Aprilia &amp; Diany, 2022)","plainTextFormattedCitation":"(Aprilia &amp; Diany, 2022)","previouslyFormattedCitation":"(Aprilia &amp; Diany, 2022)"},"properties":{"noteIndex":0},"schema":"https://github.com/citation-style-language/schema/raw/master/csl-citation.json"}</w:instrText>
      </w:r>
      <w:r w:rsidRPr="00EE6A87">
        <w:rPr>
          <w:iCs/>
          <w:color w:val="000000"/>
        </w:rPr>
        <w:fldChar w:fldCharType="separate"/>
      </w:r>
      <w:r w:rsidRPr="00EE6A87">
        <w:rPr>
          <w:iCs/>
          <w:noProof/>
          <w:color w:val="000000"/>
        </w:rPr>
        <w:t>(Aprilia &amp; Diany, 2022)</w:t>
      </w:r>
      <w:r w:rsidRPr="00EE6A87">
        <w:rPr>
          <w:iCs/>
          <w:color w:val="000000"/>
        </w:rPr>
        <w:fldChar w:fldCharType="end"/>
      </w:r>
      <w:r w:rsidRPr="00EE6A87">
        <w:rPr>
          <w:iCs/>
          <w:color w:val="000000"/>
        </w:rPr>
        <w:t xml:space="preserve">. Stres yang berkepanjangan dan tidak dapat dikelola dengan baik berdampak pada stabilitas emosional. Ketika emosi tidak stabil dan terjadi terus menerus akan memengaruhi </w:t>
      </w:r>
      <w:r w:rsidRPr="00EE6A87">
        <w:rPr>
          <w:i/>
          <w:color w:val="000000"/>
        </w:rPr>
        <w:t>psychological well being</w:t>
      </w:r>
      <w:r w:rsidRPr="00EE6A87">
        <w:rPr>
          <w:iCs/>
          <w:color w:val="000000"/>
        </w:rPr>
        <w:t xml:space="preserve"> seseorang </w:t>
      </w:r>
      <w:r w:rsidRPr="00EE6A87">
        <w:rPr>
          <w:iCs/>
          <w:color w:val="000000"/>
        </w:rPr>
        <w:fldChar w:fldCharType="begin" w:fldLock="1"/>
      </w:r>
      <w:r w:rsidR="00132211">
        <w:rPr>
          <w:iCs/>
          <w:color w:val="000000"/>
        </w:rPr>
        <w:instrText>ADDIN CSL_CITATION {"citationItems":[{"id":"ITEM-1","itemData":{"DOI":"doi.org/10.32923/maw.v10i1.768","ISBN":"1557527318","abstract":"By enabling four-wave-mixing process within the cavity, a new type of Raman fiber laser for second-order pumping applications is demonstrated, exhibiting high stability down to a few milliwatts for the seed (1428 nm).","author":[{"dropping-particle":"","family":"Distina","given":"Primalita Putri","non-dropping-particle":"","parse-names":false,"suffix":""},{"dropping-particle":"","family":"Kumail","given":"Muhammad Husein","non-dropping-particle":"","parse-names":false,"suffix":""}],"container-title":"Jurnal Dakwah dan Pengembangan Sosial Kemanusiaan","id":"ITEM-1","issue":"1","issued":{"date-parts":[["2019"]]},"page":"39-59","title":"Pengembangan dimensi psychological well-being untuk pengurangan risiko gangguan depresi","type":"article-journal","volume":"10"},"uris":["http://www.mendeley.com/documents/?uuid=b09d61ce-1b60-48ba-ba1f-85fc271cbef7"]}],"mendeley":{"formattedCitation":"(Distina &amp; Kumail, 2019)","plainTextFormattedCitation":"(Distina &amp; Kumail, 2019)","previouslyFormattedCitation":"(Distina &amp; Kumail, 2019)"},"properties":{"noteIndex":0},"schema":"https://github.com/citation-style-language/schema/raw/master/csl-citation.json"}</w:instrText>
      </w:r>
      <w:r w:rsidRPr="00EE6A87">
        <w:rPr>
          <w:iCs/>
          <w:color w:val="000000"/>
        </w:rPr>
        <w:fldChar w:fldCharType="separate"/>
      </w:r>
      <w:r w:rsidRPr="00EE6A87">
        <w:rPr>
          <w:iCs/>
          <w:noProof/>
          <w:color w:val="000000"/>
        </w:rPr>
        <w:t>(Distina &amp; Kumail, 2019)</w:t>
      </w:r>
      <w:r w:rsidRPr="00EE6A87">
        <w:rPr>
          <w:iCs/>
          <w:color w:val="000000"/>
        </w:rPr>
        <w:fldChar w:fldCharType="end"/>
      </w:r>
      <w:r w:rsidRPr="00EE6A87">
        <w:rPr>
          <w:iCs/>
          <w:color w:val="000000"/>
        </w:rPr>
        <w:t>.</w:t>
      </w:r>
      <w:r w:rsidRPr="00EE6A87">
        <w:t xml:space="preserve"> </w:t>
      </w:r>
    </w:p>
    <w:p w14:paraId="5936B205" w14:textId="77777777" w:rsidR="00306559" w:rsidRPr="00EE6A87" w:rsidRDefault="00306559" w:rsidP="00517F8E">
      <w:pPr>
        <w:pStyle w:val="ListParagraph"/>
        <w:spacing w:line="360" w:lineRule="auto"/>
        <w:ind w:left="284" w:firstLine="567"/>
        <w:textAlignment w:val="baseline"/>
      </w:pPr>
      <w:r w:rsidRPr="00EE6A87">
        <w:rPr>
          <w:i/>
          <w:iCs/>
        </w:rPr>
        <w:t xml:space="preserve">Psychological well being </w:t>
      </w:r>
      <w:r w:rsidRPr="00EE6A87">
        <w:t xml:space="preserve">merupakan suatu hal yang penting bagi setiap individu dan berlaku bagi semua kalangan, termasuk kalangan remaja dewasa atau mahasiswa sekalipun </w:t>
      </w:r>
      <w:r w:rsidRPr="00EE6A87">
        <w:fldChar w:fldCharType="begin" w:fldLock="1"/>
      </w:r>
      <w:r w:rsidR="00132211">
        <w:instrText>ADDIN CSL_CITATION {"citationItems":[{"id":"ITEM-1","itemData":{"ISBN":"0822321424","abstract":"Psychological well being merupakan salah satu keadaan psikologis yang dialami oleh mahasiswa yang mempengaruhi pembelajarannya terutama disaat mewabahnya virus corona baru (COVID 19). Tujuan penelitian ini untuk mengetahui Psychological well being mahasiswa dalam menjalani kuliah daring. Penelitian ini menggunakan metode penelitian kuantitatif deskriptif dan skala penelitian ini menggunakan teori PWB (Psychological Well-Being) yang dikembangkan oleh Carol Ryff (1989). Skala PWB (Psychological Well- Being) yang di gunakan terdiri atas enam aspek yaitu otonomi, penguasaan atas lingkungan, pertumbuhan pribadi, hubungan positif dengan orang lain, tujuan hidup, dan penerimaan diri. Responden dalam penelitian ini merupakan Mahasiswa semester III dan IV Universitas Borneo Tarakan. Pemilihan sampel penelitian menggunakan Teknik simple random sampling sehingga respon pada penlitian ini sebanyak 250 mahasiswa. Hasil penelitian adalah Psychological well being mahasiswa Universitas Borneo Tarakan termasuk dalam kategori sedang, psychological well being mahasiswa berada di kategori sedang dimana artinya mahasiswa Universitas Borneo Tarakan cukup memiliki kesejahteraan psikologis atau Psychological Well-Being selama perkuliahan daring saat pandemic Covid-19. Namun di satu sisi selama pandemic proses pembelajaran daring/online, mahasiswa banyak mengalami kesulitan. Adanya kesulitan-kesulitan dalam proses pembelajaran ini akan mengakibatkan munculnya Learning loss.","author":[{"dropping-particle":"","family":"Ismuniar","given":"Cici","non-dropping-particle":"","parse-names":false,"suffix":""},{"dropping-particle":"","family":"Ardiwinata","given":"Emmy","non-dropping-particle":"","parse-names":false,"suffix":""}],"container-title":"Jurnal Mahasiswa BK An-Nur","id":"ITEM-1","issue":"3","issued":{"date-parts":[["2021"]]},"page":"105-110","title":"Gambaran psychologicall well being mahasiswa selama proses perkuliahan online guna untuk melihat learning","type":"article-journal","volume":"7"},"uris":["http://www.mendeley.com/documents/?uuid=41a756ed-7127-43e6-9ec9-57c3dc2cb145"]}],"mendeley":{"formattedCitation":"(Ismuniar &amp; Ardiwinata, 2021)","plainTextFormattedCitation":"(Ismuniar &amp; Ardiwinata, 2021)","previouslyFormattedCitation":"(Ismuniar &amp; Ardiwinata, 2021)"},"properties":{"noteIndex":0},"schema":"https://github.com/citation-style-language/schema/raw/master/csl-citation.json"}</w:instrText>
      </w:r>
      <w:r w:rsidRPr="00EE6A87">
        <w:fldChar w:fldCharType="separate"/>
      </w:r>
      <w:r w:rsidRPr="00EE6A87">
        <w:rPr>
          <w:noProof/>
        </w:rPr>
        <w:t>(Ismuniar &amp; Ardiwinata, 2021)</w:t>
      </w:r>
      <w:r w:rsidRPr="00EE6A87">
        <w:fldChar w:fldCharType="end"/>
      </w:r>
      <w:r w:rsidRPr="00EE6A87">
        <w:t xml:space="preserve">. </w:t>
      </w:r>
      <w:r w:rsidRPr="00EE6A87">
        <w:rPr>
          <w:i/>
          <w:iCs/>
        </w:rPr>
        <w:t>Psychological well-being</w:t>
      </w:r>
      <w:r w:rsidRPr="00EE6A87">
        <w:t xml:space="preserve"> yang tinggi pada individu dapat meningkatkan kesuksesan hubungan pernikahan, pertemanan, kesehatan, dan performa kerja </w:t>
      </w:r>
      <w:r w:rsidRPr="00EE6A87">
        <w:fldChar w:fldCharType="begin" w:fldLock="1"/>
      </w:r>
      <w:r w:rsidRPr="00EE6A87">
        <w:instrText>ADDIN CSL_CITATION {"citationItems":[{"id":"ITEM-1","itemData":{"author":[{"dropping-particle":"","family":"Robertson","given":"I","non-dropping-particle":"","parse-names":false,"suffix":""},{"dropping-particle":"","family":"Cooper","given":"C","non-dropping-particle":"","parse-names":false,"suffix":""}],"id":"ITEM-1","issued":{"date-parts":[["2011"]]},"publisher":"Palgrave Macmillan","publisher-place":"Hampshire","title":"Well-being productivity and happiness at work","type":"book"},"uris":["http://www.mendeley.com/documents/?uuid=98b951e7-5192-4348-a716-48629e77f191"]}],"mendeley":{"formattedCitation":"(Robertson &amp; Cooper, 2011)","plainTextFormattedCitation":"(Robertson &amp; Cooper, 2011)","previouslyFormattedCitation":"(Robertson &amp; Cooper, 2011)"},"properties":{"noteIndex":0},"schema":"https://github.com/citation-style-language/schema/raw/master/csl-citation.json"}</w:instrText>
      </w:r>
      <w:r w:rsidRPr="00EE6A87">
        <w:fldChar w:fldCharType="separate"/>
      </w:r>
      <w:r w:rsidRPr="00EE6A87">
        <w:rPr>
          <w:noProof/>
        </w:rPr>
        <w:t>(Robertson &amp; Cooper, 2011)</w:t>
      </w:r>
      <w:r w:rsidRPr="00EE6A87">
        <w:fldChar w:fldCharType="end"/>
      </w:r>
      <w:r w:rsidRPr="00EE6A87">
        <w:t xml:space="preserve">.  </w:t>
      </w:r>
      <w:r w:rsidRPr="00EE6A87">
        <w:rPr>
          <w:i/>
          <w:iCs/>
        </w:rPr>
        <w:t>Psychological well being</w:t>
      </w:r>
      <w:r w:rsidRPr="00EE6A87">
        <w:t xml:space="preserve"> yang dimiliki individu dapat membantu meningkatkan kesehatan mental sehingga individu cenderung lebih bahagia, ramah, memiliki emosi yang stabil, mudah mengembangkan hubungan positif dengan orang lain, dan mudah beradaptasi </w:t>
      </w:r>
      <w:r w:rsidRPr="00EE6A87">
        <w:lastRenderedPageBreak/>
        <w:t xml:space="preserve">dengan lingkungan </w:t>
      </w:r>
      <w:r w:rsidRPr="00EE6A87">
        <w:fldChar w:fldCharType="begin" w:fldLock="1"/>
      </w:r>
      <w:r w:rsidRPr="00EE6A87">
        <w:instrText>ADDIN CSL_CITATION {"citationItems":[{"id":"ITEM-1","itemData":{"DOI":"10.9790/7388-06120106","author":[{"dropping-particle":"","family":"Johal","given":"Satnam Kaur","non-dropping-particle":"","parse-names":false,"suffix":""},{"dropping-particle":"","family":"Pooja","given":"","non-dropping-particle":"","parse-names":false,"suffix":""}],"container-title":"Journal of Research &amp; Method in Education","id":"ITEM-1","issue":"1","issued":{"date-parts":[["2016"]]},"page":"1-6","title":"Relationship between Mental Health and Psychological Well Being of Prospective Female Teachers","type":"article-journal","volume":"6"},"uris":["http://www.mendeley.com/documents/?uuid=66ced0dc-e8b8-4140-bcda-abbc095eab52"]}],"mendeley":{"formattedCitation":"(Johal &amp; Pooja, 2016)","plainTextFormattedCitation":"(Johal &amp; Pooja, 2016)","previouslyFormattedCitation":"(Johal &amp; Pooja, 2016)"},"properties":{"noteIndex":0},"schema":"https://github.com/citation-style-language/schema/raw/master/csl-citation.json"}</w:instrText>
      </w:r>
      <w:r w:rsidRPr="00EE6A87">
        <w:fldChar w:fldCharType="separate"/>
      </w:r>
      <w:r w:rsidRPr="00EE6A87">
        <w:rPr>
          <w:noProof/>
        </w:rPr>
        <w:t>(Johal &amp; Pooja, 2016)</w:t>
      </w:r>
      <w:r w:rsidRPr="00EE6A87">
        <w:fldChar w:fldCharType="end"/>
      </w:r>
      <w:r w:rsidRPr="00EE6A87">
        <w:t>.</w:t>
      </w:r>
    </w:p>
    <w:p w14:paraId="22584B60" w14:textId="77777777" w:rsidR="00306559" w:rsidRPr="00570067" w:rsidRDefault="00306559" w:rsidP="00517F8E">
      <w:pPr>
        <w:pStyle w:val="ListParagraph"/>
        <w:tabs>
          <w:tab w:val="left" w:pos="567"/>
        </w:tabs>
        <w:spacing w:line="360" w:lineRule="auto"/>
        <w:ind w:left="284" w:firstLine="567"/>
        <w:textAlignment w:val="baseline"/>
      </w:pPr>
      <w:r w:rsidRPr="00EE6A87">
        <w:fldChar w:fldCharType="begin" w:fldLock="1"/>
      </w:r>
      <w:r w:rsidR="00132211">
        <w:instrText>ADDIN CSL_CITATION {"citationItems":[{"id":"ITEM-1","itemData":{"DOI":"10.1111/1467-8721.ep10772395","ISSN":"14678721","author":[{"dropping-particle":"","family":"Ryff","given":"Carol D.","non-dropping-particle":"","parse-names":false,"suffix":""}],"container-title":"Current Directions in Psychological Science","id":"ITEM-1","issue":"4","issued":{"date-parts":[["1995"]]},"page":"99-104","title":"Psychological well-being in adult life","type":"article-journal","volume":"4"},"uris":["http://www.mendeley.com/documents/?uuid=c0aa39f2-4928-4a40-bb07-385d2c791e35"]}],"mendeley":{"formattedCitation":"(Ryff, 1995)","manualFormatting":"Ryff (1995)","plainTextFormattedCitation":"(Ryff, 1995)","previouslyFormattedCitation":"(Ryff, 1995)"},"properties":{"noteIndex":0},"schema":"https://github.com/citation-style-language/schema/raw/master/csl-citation.json"}</w:instrText>
      </w:r>
      <w:r w:rsidRPr="00EE6A87">
        <w:fldChar w:fldCharType="separate"/>
      </w:r>
      <w:r w:rsidRPr="00EE6A87">
        <w:rPr>
          <w:noProof/>
        </w:rPr>
        <w:t>Ryff (1995)</w:t>
      </w:r>
      <w:r w:rsidRPr="00EE6A87">
        <w:fldChar w:fldCharType="end"/>
      </w:r>
      <w:r w:rsidRPr="00EE6A87">
        <w:t xml:space="preserve"> mendefinisikan </w:t>
      </w:r>
      <w:r w:rsidRPr="00EE6A87">
        <w:rPr>
          <w:i/>
          <w:iCs/>
        </w:rPr>
        <w:t>psychological well being</w:t>
      </w:r>
      <w:r w:rsidRPr="00EE6A87">
        <w:t xml:space="preserve"> sebagai tingkatan  kemampuan  dalam  diri  individu  dengan  karakteristik  memandang  dirinya  secara  positif misalnya dengan mampu bertanggung jawab atas hidupnya, serta mengetahui potensi psikologisnya dan seseorang tersebut dapat menerima kekuatan dan kelemahan dirinya, memiliki tujuan hidup, dan memiliki kualitas hubungan yang baik dengan orang lain. Dijelaskan lebih lanjut olehnya bahwa tinggi rendahnya </w:t>
      </w:r>
      <w:r w:rsidRPr="00EE6A87">
        <w:rPr>
          <w:i/>
          <w:iCs/>
        </w:rPr>
        <w:t xml:space="preserve">psychological well being </w:t>
      </w:r>
      <w:r w:rsidRPr="00EE6A87">
        <w:rPr>
          <w:iCs/>
        </w:rPr>
        <w:t xml:space="preserve">dipengaruhi oleh beberapa aspek diantaranya yaitu </w:t>
      </w:r>
      <w:r w:rsidRPr="00EE6A87">
        <w:t>penilaian positif terhadap diri sendiri atau penerimaan diri, memiliki hubungan yang positif dengan orang lain, otonimi, penguasaan terhadap lingkungannya, memiliki tujuan serta makna hidup, dan pertumbuhan pribadi.</w:t>
      </w:r>
    </w:p>
    <w:p w14:paraId="30506862" w14:textId="77777777" w:rsidR="00306559" w:rsidRPr="00570067" w:rsidRDefault="00306559" w:rsidP="00517F8E">
      <w:pPr>
        <w:pStyle w:val="ListParagraph"/>
        <w:tabs>
          <w:tab w:val="left" w:pos="851"/>
        </w:tabs>
        <w:spacing w:line="360" w:lineRule="auto"/>
        <w:ind w:left="284" w:firstLine="567"/>
        <w:textAlignment w:val="baseline"/>
      </w:pPr>
      <w:r w:rsidRPr="00570067">
        <w:t xml:space="preserve">Penilaian positif terhadap diri sendiri atau penerimaan diri adalah tingkat kemampuan individu dalam bersikap terhadap dirinya  sendiri, tanggung jawab terhadap diri sendiri, berani mengakui kesalahan, dan instrospeksi diri.  Hubungan yang positif dengan orang lain adalah tingkat  kemampuan  dalam berhubungan  hangat  dengan orang  lain, hubungan interpersonal yang  didasari kepercayaan, serta perasaan empati dan kasih sayang yang kuat. Otonomi adalah tingkat  kemampuan individu dalam menentukan nasib sendiri, kebebasan, pengendalian internal, individual, dan pengaturan perilaku internal, dasar  kepecayaan  bahwa  pikiran  dan  tindakan  seseorang  berasal  dari  dirinya sendiri dan seharusnya tidak ditentukan oleh kendali orang lain. Penguasaan terhadap lingkungannya adalah tingkat kemampuan individu untuk memilih atau menciptakan lingkungan yang sesuai dengan  kondisi batinnya. Memiliki tujuan dan makna </w:t>
      </w:r>
      <w:r w:rsidRPr="00570067">
        <w:t xml:space="preserve">hidup adalah individu yang memiliki pemahaman  yang jelas mengenai tujuan  hidup, pendirian terhadap tujuan, dan tujuan yang telah direncanakan. Pertumbuhan pribadi adalah individu yang memiliki perasaan untuk terus berkembang dan mencoba pengalaman yang baru serta meningkatkan kualitas diri dari waktu ke waktu dengan mencerminkan lebih banyak pengetahuan diri dan efektivitas diri. </w:t>
      </w:r>
    </w:p>
    <w:p w14:paraId="17C14E85" w14:textId="77777777" w:rsidR="00306559" w:rsidRPr="00570067" w:rsidRDefault="00306559" w:rsidP="00517F8E">
      <w:pPr>
        <w:pStyle w:val="ListParagraph"/>
        <w:spacing w:line="360" w:lineRule="auto"/>
        <w:ind w:left="284" w:firstLine="567"/>
        <w:textAlignment w:val="baseline"/>
      </w:pPr>
      <w:r w:rsidRPr="00570067">
        <w:t xml:space="preserve">Selain enam aspek </w:t>
      </w:r>
      <w:r w:rsidRPr="00570067">
        <w:rPr>
          <w:i/>
        </w:rPr>
        <w:t xml:space="preserve">psychological well being </w:t>
      </w:r>
      <w:r w:rsidRPr="00570067">
        <w:t xml:space="preserve">yang telah disebutkan sebelumnya, terdapat juga faktor yang mempengaruhi tinggi rendahnya </w:t>
      </w:r>
      <w:r w:rsidRPr="00570067">
        <w:rPr>
          <w:i/>
        </w:rPr>
        <w:t xml:space="preserve">psychological well being </w:t>
      </w:r>
      <w:r w:rsidRPr="00570067">
        <w:t xml:space="preserve">menurut </w:t>
      </w:r>
      <w:r w:rsidRPr="00570067">
        <w:fldChar w:fldCharType="begin" w:fldLock="1"/>
      </w:r>
      <w:r w:rsidR="00132211">
        <w:instrText>ADDIN CSL_CITATION {"citationItems":[{"id":"ITEM-1","itemData":{"DOI":"10.1111/1467-8721.ep10772395","ISSN":"14678721","author":[{"dropping-particle":"","family":"Ryff","given":"Carol D.","non-dropping-particle":"","parse-names":false,"suffix":""}],"container-title":"Current Directions in Psychological Science","id":"ITEM-1","issue":"4","issued":{"date-parts":[["1995"]]},"page":"99-104","title":"Psychological well-being in adult life","type":"article-journal","volume":"4"},"uris":["http://www.mendeley.com/documents/?uuid=c0aa39f2-4928-4a40-bb07-385d2c791e35"]}],"mendeley":{"formattedCitation":"(Ryff, 1995)","manualFormatting":"Ryff (1995)","plainTextFormattedCitation":"(Ryff, 1995)","previouslyFormattedCitation":"(Ryff, 1995)"},"properties":{"noteIndex":0},"schema":"https://github.com/citation-style-language/schema/raw/master/csl-citation.json"}</w:instrText>
      </w:r>
      <w:r w:rsidRPr="00570067">
        <w:fldChar w:fldCharType="separate"/>
      </w:r>
      <w:r w:rsidRPr="00570067">
        <w:rPr>
          <w:noProof/>
        </w:rPr>
        <w:t>Ryff (1995)</w:t>
      </w:r>
      <w:r w:rsidRPr="00570067">
        <w:fldChar w:fldCharType="end"/>
      </w:r>
      <w:r w:rsidRPr="00570067">
        <w:t xml:space="preserve"> yaitu kepribadian. Dalam faktor kepribadian terdapat faktor-faktor lain yang mempengaruhi </w:t>
      </w:r>
      <w:r w:rsidRPr="00570067">
        <w:rPr>
          <w:i/>
          <w:iCs/>
        </w:rPr>
        <w:t>psychological well being</w:t>
      </w:r>
      <w:r w:rsidRPr="00570067">
        <w:t xml:space="preserve"> salah satunya adalah kecemasan sosial </w:t>
      </w:r>
      <w:r w:rsidRPr="00570067">
        <w:fldChar w:fldCharType="begin" w:fldLock="1"/>
      </w:r>
      <w:r w:rsidR="00132211">
        <w:instrText>ADDIN CSL_CITATION {"citationItems":[{"id":"ITEM-1","itemData":{"author":[{"dropping-particle":"","family":"Syarif","given":"Kemali","non-dropping-particle":"","parse-names":false,"suffix":""},{"dropping-particle":"","family":"Balqis","given":"Zakia","non-dropping-particle":"","parse-names":false,"suffix":""}],"container-title":"Jurnal BK FIP Unimed,","id":"ITEM-1","issue":"11","issued":{"date-parts":[["2014"]]},"page":"519-527","title":"Pengaruh pemberian layanan bimbingan sosial dalam mereduksi kecemasan sosial remaja kelas x sma negeri 1 batang kuis tahun ajaran 2012/2013.","type":"article-journal","volume":"6"},"uris":["http://www.mendeley.com/documents/?uuid=2fa05a97-aa92-40b5-a669-33ff98066f8b"]}],"mendeley":{"formattedCitation":"(Syarif &amp; Balqis, 2014)","plainTextFormattedCitation":"(Syarif &amp; Balqis, 2014)","previouslyFormattedCitation":"(Syarif &amp; Balqis, 2014)"},"properties":{"noteIndex":0},"schema":"https://github.com/citation-style-language/schema/raw/master/csl-citation.json"}</w:instrText>
      </w:r>
      <w:r w:rsidRPr="00570067">
        <w:fldChar w:fldCharType="separate"/>
      </w:r>
      <w:r w:rsidRPr="00570067">
        <w:rPr>
          <w:noProof/>
        </w:rPr>
        <w:t>(Syarif &amp; Balqis, 2014)</w:t>
      </w:r>
      <w:r w:rsidRPr="00570067">
        <w:fldChar w:fldCharType="end"/>
      </w:r>
      <w:r w:rsidRPr="00570067">
        <w:t xml:space="preserve">. Salah satu bagian dari kepribadian adalah kecemasan sosial </w:t>
      </w:r>
      <w:r w:rsidRPr="00570067">
        <w:fldChar w:fldCharType="begin" w:fldLock="1"/>
      </w:r>
      <w:r w:rsidR="00132211">
        <w:instrText>ADDIN CSL_CITATION {"citationItems":[{"id":"ITEM-1","itemData":{"author":[{"dropping-particle":"","family":"Rizki","given":"Kurnia","non-dropping-particle":"","parse-names":false,"suffix":""},{"dropping-particle":"","family":"Uyun","given":"Quratul","non-dropping-particle":"","parse-names":false,"suffix":""}],"container-title":"Jurnal Ilmiah Psikologi Terapan","id":"ITEM-1","issue":"2","issued":{"date-parts":[["2015"]]},"page":"200-214","title":"Pelatihan arsetivitas terhadap penrunan kecemasan sosial pada siswa korban bullying","type":"article-journal","volume":"3"},"uris":["http://www.mendeley.com/documents/?uuid=c55a2699-afda-4b07-9e40-b471ab0422c2"]}],"mendeley":{"formattedCitation":"(Rizki &amp; Uyun, 2015)","plainTextFormattedCitation":"(Rizki &amp; Uyun, 2015)","previouslyFormattedCitation":"(Rizki &amp; Uyun, 2015)"},"properties":{"noteIndex":0},"schema":"https://github.com/citation-style-language/schema/raw/master/csl-citation.json"}</w:instrText>
      </w:r>
      <w:r w:rsidRPr="00570067">
        <w:fldChar w:fldCharType="separate"/>
      </w:r>
      <w:r w:rsidRPr="00570067">
        <w:rPr>
          <w:noProof/>
        </w:rPr>
        <w:t>(Rizki &amp; Uyun, 2015)</w:t>
      </w:r>
      <w:r w:rsidRPr="00570067">
        <w:fldChar w:fldCharType="end"/>
      </w:r>
      <w:r w:rsidRPr="00570067">
        <w:t>.</w:t>
      </w:r>
    </w:p>
    <w:p w14:paraId="6DEE12C4" w14:textId="77777777" w:rsidR="00306559" w:rsidRPr="00570067" w:rsidRDefault="00306559" w:rsidP="00517F8E">
      <w:pPr>
        <w:pStyle w:val="ListParagraph"/>
        <w:spacing w:line="360" w:lineRule="auto"/>
        <w:ind w:left="284" w:firstLine="567"/>
        <w:textAlignment w:val="baseline"/>
      </w:pPr>
      <w:r w:rsidRPr="00570067">
        <w:t xml:space="preserve"> </w:t>
      </w:r>
      <w:r w:rsidRPr="00570067">
        <w:fldChar w:fldCharType="begin" w:fldLock="1"/>
      </w:r>
      <w:r w:rsidR="00132211">
        <w:instrText>ADDIN CSL_CITATION {"citationItems":[{"id":"ITEM-1","itemData":{"author":[{"dropping-particle":"La","family":"Greca","given":"Annette M","non-dropping-particle":"","parse-names":false,"suffix":""},{"dropping-particle":"","family":"Lopez","given":"Nadja","non-dropping-particle":"","parse-names":false,"suffix":""}],"id":"ITEM-1","issue":"2","issued":{"date-parts":[["1998"]]},"page":"83-94","title":"Social anxiety amon adolescents : linkages with peer relations and friendships","type":"article-journal","volume":"26"},"uris":["http://www.mendeley.com/documents/?uuid=4f9fbf63-3286-42c6-b040-f55bb8402515"]}],"mendeley":{"formattedCitation":"(Greca &amp; Lopez, 1998)","manualFormatting":"Greca dan Lopez (1998)","plainTextFormattedCitation":"(Greca &amp; Lopez, 1998)","previouslyFormattedCitation":"(Greca &amp; Lopez, 1998)"},"properties":{"noteIndex":0},"schema":"https://github.com/citation-style-language/schema/raw/master/csl-citation.json"}</w:instrText>
      </w:r>
      <w:r w:rsidRPr="00570067">
        <w:fldChar w:fldCharType="separate"/>
      </w:r>
      <w:r w:rsidRPr="00570067">
        <w:rPr>
          <w:noProof/>
        </w:rPr>
        <w:t>Greca dan Lopez (1998)</w:t>
      </w:r>
      <w:r w:rsidRPr="00570067">
        <w:fldChar w:fldCharType="end"/>
      </w:r>
      <w:r w:rsidRPr="00570067">
        <w:t xml:space="preserve"> bahwa mendefinisikan kecemasan sosial sebagai ketakutan yang menetap terhadap sebuah atau lebih situasi sosial yang terkait berhubungan dengan performa yang membuat individu harus berhadapan dengan orang-orang yang tidak dikenalnya atau menghadapi kemungkinan diamati oleh orang lain serta takut bahwa dirinya akan dipermalukan atau dihina. Kecemasan yang dialami oleh individu memiliki andil dalam ketercapaian </w:t>
      </w:r>
      <w:r w:rsidRPr="00570067">
        <w:rPr>
          <w:i/>
          <w:color w:val="000000"/>
        </w:rPr>
        <w:t xml:space="preserve">psychological well being </w:t>
      </w:r>
      <w:r w:rsidRPr="00570067">
        <w:rPr>
          <w:color w:val="000000"/>
        </w:rPr>
        <w:t xml:space="preserve"> </w:t>
      </w:r>
      <w:r w:rsidRPr="00570067">
        <w:rPr>
          <w:color w:val="000000"/>
        </w:rPr>
        <w:fldChar w:fldCharType="begin" w:fldLock="1"/>
      </w:r>
      <w:r w:rsidR="00132211">
        <w:rPr>
          <w:color w:val="000000"/>
        </w:rPr>
        <w:instrText>ADDIN CSL_CITATION {"citationItems":[{"id":"ITEM-1","itemData":{"DOI":"10.19109/psikis.v3i2.1735","ISSN":"2502-728X","abstract":"The aims of this research is determine the relation between khusnudzon and psychological well being in people living with HIV / AIDS. The hypothesis in this research is there is positive relation between khusnudzon psychological well being in people living with HIV / AIDS. To test the hypothesis of the research, researchers collecting data using a scale of psychological well being adapted from a Ryff's scale (1989) and adapted khusnudzon scale of Dewi's scale (2015) is based on the theory from Rusydi (2012). The scale distributed to 55 people living with HIV/ AIDS who are the members of the VP foundation. Correlation analysis show the coefficient of r = 0.543 with significance (p) &lt;0,01 so that hypothesis is accepted.","author":[{"dropping-particle":"","family":"Uyun","given":"Qurotul","non-dropping-particle":"","parse-names":false,"suffix":""},{"dropping-particle":"","family":"Siddik","given":"Irman Nuryadin","non-dropping-particle":"","parse-names":false,"suffix":""}],"container-title":"Jurnal Psikologi Islami","id":"ITEM-1","issue":"2","issued":{"date-parts":[["2017"]]},"page":"86-93","title":"Khusnudzon dan psychological well being pada orang dengan hiv/aids","type":"article-journal","volume":"3"},"uris":["http://www.mendeley.com/documents/?uuid=3855d1a3-1533-4ed0-9546-da16491edc04"]}],"mendeley":{"formattedCitation":"(Uyun &amp; Siddik, 2017)","plainTextFormattedCitation":"(Uyun &amp; Siddik, 2017)","previouslyFormattedCitation":"(Uyun &amp; Siddik, 2017)"},"properties":{"noteIndex":0},"schema":"https://github.com/citation-style-language/schema/raw/master/csl-citation.json"}</w:instrText>
      </w:r>
      <w:r w:rsidRPr="00570067">
        <w:rPr>
          <w:color w:val="000000"/>
        </w:rPr>
        <w:fldChar w:fldCharType="separate"/>
      </w:r>
      <w:r w:rsidRPr="00570067">
        <w:rPr>
          <w:noProof/>
          <w:color w:val="000000"/>
        </w:rPr>
        <w:t>(Uyun &amp; Siddik, 2017)</w:t>
      </w:r>
      <w:r w:rsidRPr="00570067">
        <w:rPr>
          <w:color w:val="000000"/>
        </w:rPr>
        <w:fldChar w:fldCharType="end"/>
      </w:r>
      <w:r w:rsidRPr="00570067">
        <w:rPr>
          <w:color w:val="000000"/>
        </w:rPr>
        <w:t>. Pada dasarnya apabila seseorang memiliki tingka</w:t>
      </w:r>
      <w:r w:rsidR="00AA0AD8">
        <w:rPr>
          <w:color w:val="000000"/>
        </w:rPr>
        <w:t>t kecemasan sosial yang relatif</w:t>
      </w:r>
      <w:r w:rsidRPr="00570067">
        <w:rPr>
          <w:color w:val="000000"/>
        </w:rPr>
        <w:t xml:space="preserve"> rendah akan  mudah untuk mencapai  </w:t>
      </w:r>
      <w:r w:rsidRPr="00570067">
        <w:rPr>
          <w:i/>
          <w:color w:val="000000"/>
        </w:rPr>
        <w:t>psychological well being</w:t>
      </w:r>
      <w:r w:rsidRPr="00570067">
        <w:rPr>
          <w:color w:val="000000"/>
        </w:rPr>
        <w:t xml:space="preserve"> </w:t>
      </w:r>
      <w:r w:rsidRPr="00570067">
        <w:rPr>
          <w:color w:val="000000"/>
        </w:rPr>
        <w:fldChar w:fldCharType="begin" w:fldLock="1"/>
      </w:r>
      <w:r w:rsidRPr="00570067">
        <w:rPr>
          <w:color w:val="000000"/>
        </w:rPr>
        <w:instrText>ADDIN CSL_CITATION {"citationItems":[{"id":"ITEM-1","itemData":{"abstract":"The aim of the current study was to explore the link between religiosity and psychological well-being in a model of Pakistani Muslims. Earlier research has acknowledged a positive relationship between the two factors. The sample (65 men and 85 women) with an age range from 18 to 60 years was chosen. Religiosity was operationalized as religious gatherings attendance, belief salience and frequency of prayer. Anxiety, loneliness and life fulfillment were chosen as dependent variables because they are important facets of psychological well-being. Reliable with previous research, correlation statistics suggested that a strong, negative relationship does indeed exist between religiosity and loneliness (r =-0.852) and between religiosity and anxiety (r =-0.511). A strong positive relationship was also found between religiosity and life satisfaction (r = 0.76) Thus, the results of this study supported the hypothesized relationship between religiosity and different facets of psychological well-being.","author":[{"dropping-particle":"","family":"Ismail","given":"Zeenat","non-dropping-particle":"","parse-names":false,"suffix":""},{"dropping-particle":"","family":"Soha","given":"Desmukh","non-dropping-particle":"","parse-names":false,"suffix":""}],"container-title":"International Journal of Business and Social Science","id":"ITEM-1","issue":"11","issued":{"date-parts":[["2012"]]},"page":"20-28","title":"Religiosity and psychological well-being","type":"article-journal","volume":"3"},"uris":["http://www.mendeley.com/documents/?uuid=804e7a0c-6388-450a-8e58-e51ec33fe608"]}],"mendeley":{"formattedCitation":"(Ismail &amp; Soha, 2012)","plainTextFormattedCitation":"(Ismail &amp; Soha, 2012)","previouslyFormattedCitation":"(Ismail &amp; Soha, 2012)"},"properties":{"noteIndex":0},"schema":"https://github.com/citation-style-language/schema/raw/master/csl-citation.json"}</w:instrText>
      </w:r>
      <w:r w:rsidRPr="00570067">
        <w:rPr>
          <w:color w:val="000000"/>
        </w:rPr>
        <w:fldChar w:fldCharType="separate"/>
      </w:r>
      <w:r w:rsidRPr="00570067">
        <w:rPr>
          <w:noProof/>
          <w:color w:val="000000"/>
        </w:rPr>
        <w:t>(Ismail &amp; Soha, 2012)</w:t>
      </w:r>
      <w:r w:rsidRPr="00570067">
        <w:rPr>
          <w:color w:val="000000"/>
        </w:rPr>
        <w:fldChar w:fldCharType="end"/>
      </w:r>
      <w:r w:rsidRPr="00570067">
        <w:rPr>
          <w:color w:val="000000"/>
        </w:rPr>
        <w:t xml:space="preserve">. Namun, </w:t>
      </w:r>
      <w:r w:rsidRPr="00570067">
        <w:t xml:space="preserve">sebaliknya seseorang yang mengalami kecemasan sosial pada dasarnya tidak percaya diri untuk berinteraksi dengan orang lain, merasa bahwa mereka akan melakukan sesuatu untuk mempermalukan diri mereka sendiri, atau orang lain akan menghakimi mereka terlalu keras dan </w:t>
      </w:r>
      <w:r w:rsidRPr="00570067">
        <w:lastRenderedPageBreak/>
        <w:t>kritis (Gui, 2009).</w:t>
      </w:r>
    </w:p>
    <w:p w14:paraId="6152C9DC" w14:textId="77777777" w:rsidR="00306559" w:rsidRPr="00570067" w:rsidRDefault="00306559" w:rsidP="00517F8E">
      <w:pPr>
        <w:pStyle w:val="ListParagraph"/>
        <w:spacing w:line="360" w:lineRule="auto"/>
        <w:ind w:left="284" w:firstLine="567"/>
        <w:textAlignment w:val="baseline"/>
      </w:pPr>
      <w:r w:rsidRPr="00570067">
        <w:fldChar w:fldCharType="begin" w:fldLock="1"/>
      </w:r>
      <w:r w:rsidR="00132211">
        <w:instrText>ADDIN CSL_CITATION {"citationItems":[{"id":"ITEM-1","itemData":{"author":[{"dropping-particle":"La","family":"Greca","given":"Annette M","non-dropping-particle":"","parse-names":false,"suffix":""},{"dropping-particle":"","family":"Lopez","given":"Nadja","non-dropping-particle":"","parse-names":false,"suffix":""}],"id":"ITEM-1","issue":"2","issued":{"date-parts":[["1998"]]},"page":"83-94","title":"Social anxiety amon adolescents : linkages with peer relations and friendships","type":"article-journal","volume":"26"},"uris":["http://www.mendeley.com/documents/?uuid=4f9fbf63-3286-42c6-b040-f55bb8402515"]}],"mendeley":{"formattedCitation":"(Greca &amp; Lopez, 1998)","manualFormatting":"Greca dan Lopez (1998)","plainTextFormattedCitation":"(Greca &amp; Lopez, 1998)","previouslyFormattedCitation":"(Greca &amp; Lopez, 1998)"},"properties":{"noteIndex":0},"schema":"https://github.com/citation-style-language/schema/raw/master/csl-citation.json"}</w:instrText>
      </w:r>
      <w:r w:rsidRPr="00570067">
        <w:fldChar w:fldCharType="separate"/>
      </w:r>
      <w:r w:rsidRPr="00570067">
        <w:rPr>
          <w:noProof/>
        </w:rPr>
        <w:t>Greca dan Lopez (1998)</w:t>
      </w:r>
      <w:r w:rsidRPr="00570067">
        <w:fldChar w:fldCharType="end"/>
      </w:r>
      <w:r w:rsidRPr="00570067">
        <w:t xml:space="preserve"> menguraikan bahwa kecemasan sosial terdiri berdasarkan tiga aspek yaitu ketakutan akan evaluasi negatif, penghindaran sosial dan rasa tertekan dalam situasi yang baru atau berhubungan dengan orang asing atau baru, dan penghindaran sosial dan rasa tertekan yang dialami secara umum atau dengan orang yang dikenal.</w:t>
      </w:r>
    </w:p>
    <w:p w14:paraId="4016E30D" w14:textId="77777777" w:rsidR="00306559" w:rsidRPr="00570067" w:rsidRDefault="00306559" w:rsidP="00517F8E">
      <w:pPr>
        <w:spacing w:line="360" w:lineRule="auto"/>
        <w:ind w:left="284" w:firstLine="567"/>
        <w:jc w:val="both"/>
        <w:textAlignment w:val="baseline"/>
        <w:rPr>
          <w:rFonts w:eastAsia="TimesNewRoman"/>
        </w:rPr>
      </w:pPr>
      <w:r w:rsidRPr="00570067">
        <w:t>Aspek pertama, ketakutan akan evaluasi negatif</w:t>
      </w:r>
      <w:r w:rsidRPr="00570067">
        <w:rPr>
          <w:rFonts w:eastAsia="TimesNewRoman"/>
        </w:rPr>
        <w:t xml:space="preserve"> adalah kecemasan sosial yang menunjukkan sikap rasa malu, takut di kritik, serta kecemasan terhadap evaluasi yang buruk serta perubahan fisik. Individu yang mengalami gangguan kecemasan sosial akan takut terhadap penilaian negatif dari orang lain dan lingkungan sekitarnya, dan individu yang mengalami gangguan kecemasan sosial juga akan menilai dirinya dengan penilaian yang negatif apabila harapan yang diinginkannya tidak dapat terpenuhi. Penilaian positif dan negatif ini berkaitan dengan hasil evaluasi orang lain terhadap kualitas diri dan hidup seseorang memiliki dampak pada </w:t>
      </w:r>
      <w:r w:rsidRPr="00570067">
        <w:rPr>
          <w:rFonts w:eastAsia="TimesNewRoman"/>
          <w:i/>
        </w:rPr>
        <w:t xml:space="preserve">psychological well being </w:t>
      </w:r>
      <w:r w:rsidRPr="00570067">
        <w:rPr>
          <w:rFonts w:eastAsia="TimesNewRoman"/>
        </w:rPr>
        <w:t>(Vizy &amp; Rahmadhani, 2015).</w:t>
      </w:r>
    </w:p>
    <w:p w14:paraId="4911334D" w14:textId="77777777" w:rsidR="00306559" w:rsidRPr="00570067" w:rsidRDefault="00306559" w:rsidP="00517F8E">
      <w:pPr>
        <w:spacing w:line="360" w:lineRule="auto"/>
        <w:ind w:left="284" w:firstLine="567"/>
        <w:jc w:val="both"/>
        <w:textAlignment w:val="baseline"/>
      </w:pPr>
      <w:r w:rsidRPr="00570067">
        <w:rPr>
          <w:rFonts w:eastAsia="TimesNewRoman"/>
        </w:rPr>
        <w:t xml:space="preserve">Aspek kedua, aspek </w:t>
      </w:r>
      <w:r w:rsidRPr="00570067">
        <w:t xml:space="preserve">penghindaran sosial dan rasa tertekan dalam situasi yang baru atau berhubungan dengan orang asing atau baru adalah tidak percaya diri untuk berinteraksi dengan orang lain, merasa bahwa mereka akan melakukan sesuatu untuk mempermalukan diri mereka sendiri, atau orang lain akan menghakimi mereka terlalu keras dan kritis. Individu yang mengalami gangguan kecemasan sosial akan merasa tidak nyaman, gugup dan malu ketika berada dalam situasi yang baru atau asing bagi dirinya. Isdiyah (2020) menjelaskan bahwa perasaan tertekan dan penghindaran sosial yang berlebih membuat seseorang menjadi stress, dan akan mempengaruhi </w:t>
      </w:r>
      <w:r w:rsidRPr="00570067">
        <w:rPr>
          <w:i/>
        </w:rPr>
        <w:t>psychological well being</w:t>
      </w:r>
      <w:r w:rsidRPr="00570067">
        <w:t>nya.</w:t>
      </w:r>
    </w:p>
    <w:p w14:paraId="33E9F90D" w14:textId="77777777" w:rsidR="00306559" w:rsidRPr="00570067" w:rsidRDefault="00306559" w:rsidP="00517F8E">
      <w:pPr>
        <w:spacing w:line="360" w:lineRule="auto"/>
        <w:ind w:left="284" w:firstLine="567"/>
        <w:jc w:val="both"/>
        <w:textAlignment w:val="baseline"/>
      </w:pPr>
      <w:r w:rsidRPr="00570067">
        <w:t xml:space="preserve">Aspek ketiga, aspek penghindaran sosial dan rasa tertekan yang dialami secara umum atau dengan orang yang dikenal adalah penghindaran yang terjadi pada saat individu bertemu secara umum atau dengan orang yang dikenal dalam kehidupan seharinya serta pada saat individu mengalamai situasi yang baru. Individu yang mengalami gangguan kecemasan sosial akan merasa tidak nyaman dan tidak percaya diri saat melakukan interaksi dengan orang yang sudah dikenalnya. Isdiyah (2020) menjelaskan bahwa perasaan tertekan dan penghindaran sosial yang berlebih membuat seseorang menjadi stress, dan akan mempengaruhi </w:t>
      </w:r>
      <w:r w:rsidRPr="00570067">
        <w:rPr>
          <w:i/>
        </w:rPr>
        <w:t>psychological well being</w:t>
      </w:r>
      <w:r w:rsidRPr="00570067">
        <w:t xml:space="preserve">nya. </w:t>
      </w:r>
    </w:p>
    <w:p w14:paraId="320426AA" w14:textId="77777777" w:rsidR="00306559" w:rsidRDefault="00306559" w:rsidP="00AA0AD8">
      <w:pPr>
        <w:spacing w:line="360" w:lineRule="auto"/>
        <w:ind w:left="284" w:firstLine="436"/>
        <w:jc w:val="both"/>
        <w:textAlignment w:val="baseline"/>
      </w:pPr>
      <w:r w:rsidRPr="00570067">
        <w:t xml:space="preserve">Berdasarkan penjelasan diatas, maka dilihat hubungan antara kecemasan sosial dan </w:t>
      </w:r>
      <w:r w:rsidRPr="00570067">
        <w:rPr>
          <w:i/>
        </w:rPr>
        <w:t xml:space="preserve">psychological well being. </w:t>
      </w:r>
      <w:r w:rsidRPr="00570067">
        <w:t xml:space="preserve">Hal ini dijelaskan dengan berdasarkan hasil penelitian </w:t>
      </w:r>
      <w:r w:rsidRPr="00570067">
        <w:fldChar w:fldCharType="begin" w:fldLock="1"/>
      </w:r>
      <w:r w:rsidR="00132211">
        <w:instrText>ADDIN CSL_CITATION {"citationItems":[{"id":"ITEM-1","itemData":{"author":[{"dropping-particle":"","family":"Khosroshahi","given":"Jafar Bahadori","non-dropping-particle":"","parse-names":false,"suffix":""},{"dropping-particle":"","family":"Abad","given":"Toraj Hashemi Nosrat","non-dropping-particle":"","parse-names":false,"suffix":""}],"container-title":"Journal tudies in Medical Sciences","id":"ITEM-1","issue":"2","issued":{"date-parts":[["2012"]]},"page":"115-122","title":"The relationship between social anxiety, optimism and self-efficacy with psychological well being","type":"article-journal","volume":"23"},"uris":["http://www.mendeley.com/documents/?uuid=238a32a5-f218-416d-83a1-6e480d93d60e"]}],"mendeley":{"formattedCitation":"(Khosroshahi &amp; Abad, 2012)","manualFormatting":"Khosroshahi dan Abad (2012)","plainTextFormattedCitation":"(Khosroshahi &amp; Abad, 2012)","previouslyFormattedCitation":"(Khosroshahi &amp; Abad, 2012)"},"properties":{"noteIndex":0},"schema":"https://github.com/citation-style-language/schema/raw/master/csl-citation.json"}</w:instrText>
      </w:r>
      <w:r w:rsidRPr="00570067">
        <w:fldChar w:fldCharType="separate"/>
      </w:r>
      <w:r w:rsidRPr="00570067">
        <w:rPr>
          <w:noProof/>
        </w:rPr>
        <w:t>Khosroshahi dan Abad (2012)</w:t>
      </w:r>
      <w:r w:rsidRPr="00570067">
        <w:fldChar w:fldCharType="end"/>
      </w:r>
      <w:r w:rsidRPr="00570067">
        <w:t xml:space="preserve"> menunjukkan bahwa terdapat hubungan negatif dan signifikan antara kecemasan sosial dan </w:t>
      </w:r>
      <w:r w:rsidRPr="00570067">
        <w:rPr>
          <w:i/>
          <w:iCs/>
        </w:rPr>
        <w:t xml:space="preserve">psychological well being, </w:t>
      </w:r>
      <w:r w:rsidRPr="00570067">
        <w:rPr>
          <w:iCs/>
        </w:rPr>
        <w:t xml:space="preserve">yaitu semakin tinggi kecemasan sosial maka semakin rendah </w:t>
      </w:r>
      <w:r w:rsidRPr="00570067">
        <w:rPr>
          <w:i/>
          <w:iCs/>
        </w:rPr>
        <w:t xml:space="preserve">psychological well being, </w:t>
      </w:r>
      <w:r w:rsidRPr="00570067">
        <w:rPr>
          <w:iCs/>
        </w:rPr>
        <w:t xml:space="preserve">begitu sebaliknya semakin rendah kecemasan sosial makan semakin tinggi </w:t>
      </w:r>
      <w:r w:rsidRPr="00570067">
        <w:rPr>
          <w:i/>
          <w:iCs/>
        </w:rPr>
        <w:t xml:space="preserve">psychological well being. </w:t>
      </w:r>
      <w:r w:rsidRPr="00570067">
        <w:rPr>
          <w:iCs/>
        </w:rPr>
        <w:t>Selain itu,</w:t>
      </w:r>
      <w:r w:rsidRPr="00570067">
        <w:t xml:space="preserve"> hasil penelitian lainnya menunjukkan bahwa semakin rendah kecemasan sosial individu maka semakin tinggi </w:t>
      </w:r>
      <w:r w:rsidRPr="00570067">
        <w:rPr>
          <w:i/>
          <w:iCs/>
        </w:rPr>
        <w:t xml:space="preserve">psychological well being, </w:t>
      </w:r>
      <w:r w:rsidRPr="00570067">
        <w:t xml:space="preserve">sebaliknya semakin tinggi kecemasan sosial maka semakin rendah </w:t>
      </w:r>
      <w:r w:rsidRPr="00570067">
        <w:rPr>
          <w:i/>
          <w:iCs/>
        </w:rPr>
        <w:t xml:space="preserve">psychological well being </w:t>
      </w:r>
      <w:r w:rsidRPr="00570067">
        <w:rPr>
          <w:iCs/>
        </w:rPr>
        <w:t>(</w:t>
      </w:r>
      <w:r w:rsidRPr="00570067">
        <w:fldChar w:fldCharType="begin" w:fldLock="1"/>
      </w:r>
      <w:r w:rsidRPr="00570067">
        <w:instrText>ADDIN CSL_CITATION {"citationItems":[{"id":"ITEM-1","itemData":{"DOI":"10.1016/j.paid.2012.03.003","ISSN":"0191-8869","author":[{"dropping-particle":"","family":"Weidman","given":"Aaron C","non-dropping-particle":"","parse-names":false,"suffix":""},{"dropping-particle":"","family":"Fernandez","given":"Katya C","non-dropping-particle":"","parse-names":false,"suffix":""},{"dropping-particle":"","family":"Levinson","given":"Cheri A","non-dropping-particle":"","parse-names":false,"suffix":""},{"dropping-particle":"","family":"Augustine","given":"Adam A","non-dropping-particle":"","parse-names":false,"suffix":""},{"dropping-particle":"","family":"Larsen","given":"Randy J","non-dropping-particle":"","parse-names":false,"suffix":""},{"dropping-particle":"","family":"Rodebaugh","given":"Thomas L","non-dropping-particle":"","parse-names":false,"suffix":""}],"container-title":"Personality and Individual Differences","id":"ITEM-1","issue":"3","issued":{"date-parts":[["2012"]]},"page":"191-195","publisher":"Elsevier Ltd","title":"Compensatory internet use among individuals higher in social anxiety and its implications for well-being","type":"article-journal","volume":"53"},"uris":["http://www.mendeley.com/documents/?uuid=552b4dd7-0b7f-4304-a4c9-733b566ab8e3"]}],"mendeley":{"formattedCitation":"(Weidman et al., 2012)","manualFormatting":"Weid dkk., 2012)","plainTextFormattedCitation":"(Weidman et al., 2012)","previouslyFormattedCitation":"(Weidman et al., 2012)"},"properties":{"noteIndex":0},"schema":"https://github.com/citation-style-language/schema/raw/master/csl-citation.json"}</w:instrText>
      </w:r>
      <w:r w:rsidRPr="00570067">
        <w:fldChar w:fldCharType="separate"/>
      </w:r>
      <w:r w:rsidRPr="00570067">
        <w:rPr>
          <w:noProof/>
        </w:rPr>
        <w:t>Weid dkk., 2012)</w:t>
      </w:r>
      <w:r w:rsidRPr="00570067">
        <w:fldChar w:fldCharType="end"/>
      </w:r>
      <w:r w:rsidRPr="00570067">
        <w:t>.</w:t>
      </w:r>
    </w:p>
    <w:p w14:paraId="644C1169" w14:textId="77777777" w:rsidR="00306559" w:rsidRDefault="00306559" w:rsidP="00517F8E">
      <w:pPr>
        <w:spacing w:line="360" w:lineRule="auto"/>
        <w:ind w:left="284" w:firstLine="567"/>
        <w:jc w:val="both"/>
        <w:textAlignment w:val="baseline"/>
        <w:rPr>
          <w:color w:val="0D0D0D"/>
        </w:rPr>
      </w:pPr>
      <w:r w:rsidRPr="00EE6A87">
        <w:rPr>
          <w:color w:val="0D0D0D"/>
        </w:rPr>
        <w:t xml:space="preserve">Berdasarkan uraian diatas menunjukkan bahwa pentingnya dilakukan penelitian lebih lanjut karena untuk mengetahui apakah terdapat hubungan negatif antara kecemasan sosial dengan </w:t>
      </w:r>
      <w:r w:rsidRPr="00EE6A87">
        <w:rPr>
          <w:i/>
          <w:color w:val="0D0D0D"/>
        </w:rPr>
        <w:t>psychological well being</w:t>
      </w:r>
      <w:r w:rsidRPr="00EE6A87">
        <w:rPr>
          <w:color w:val="0D0D0D"/>
        </w:rPr>
        <w:t xml:space="preserve"> pada korban </w:t>
      </w:r>
      <w:r w:rsidRPr="00EE6A87">
        <w:rPr>
          <w:i/>
          <w:color w:val="0D0D0D"/>
        </w:rPr>
        <w:t>cyberbullying</w:t>
      </w:r>
      <w:r w:rsidRPr="00EE6A87">
        <w:rPr>
          <w:color w:val="0D0D0D"/>
        </w:rPr>
        <w:t>.</w:t>
      </w:r>
    </w:p>
    <w:p w14:paraId="5544D830" w14:textId="77777777" w:rsidR="00306559" w:rsidRPr="00EE6A87" w:rsidRDefault="00306559" w:rsidP="00306559">
      <w:pPr>
        <w:spacing w:line="360" w:lineRule="auto"/>
        <w:ind w:left="284" w:firstLine="567"/>
        <w:jc w:val="both"/>
        <w:textAlignment w:val="baseline"/>
        <w:rPr>
          <w:color w:val="0D0D0D"/>
        </w:rPr>
      </w:pPr>
    </w:p>
    <w:p w14:paraId="4D268A9E" w14:textId="77777777" w:rsidR="00306559" w:rsidRDefault="00306559" w:rsidP="00306559">
      <w:pPr>
        <w:pStyle w:val="Heading1"/>
        <w:ind w:left="284"/>
        <w:jc w:val="left"/>
      </w:pPr>
      <w:r>
        <w:lastRenderedPageBreak/>
        <w:t>METODE</w:t>
      </w:r>
    </w:p>
    <w:p w14:paraId="5AA0BFCA" w14:textId="77777777" w:rsidR="00517F8E" w:rsidRDefault="00517F8E" w:rsidP="00306559">
      <w:pPr>
        <w:pStyle w:val="Heading1"/>
        <w:ind w:left="284"/>
        <w:jc w:val="left"/>
      </w:pPr>
    </w:p>
    <w:p w14:paraId="63EA93E7" w14:textId="77777777" w:rsidR="00306559" w:rsidRDefault="00306559" w:rsidP="00306559">
      <w:pPr>
        <w:spacing w:line="360" w:lineRule="auto"/>
        <w:ind w:left="284" w:firstLine="567"/>
        <w:jc w:val="both"/>
      </w:pPr>
      <w:r>
        <w:t xml:space="preserve">Penelitian ini merupakan jenis penelitian kuantitatif. </w:t>
      </w:r>
      <w:r w:rsidRPr="00A7040D">
        <w:t xml:space="preserve">Pengambilan subjek dalam penelitian ini menggunakan teknik </w:t>
      </w:r>
      <w:r w:rsidRPr="00A7040D">
        <w:rPr>
          <w:i/>
        </w:rPr>
        <w:t>purposive sampling</w:t>
      </w:r>
      <w:r w:rsidRPr="00A7040D">
        <w:t xml:space="preserve"> yaitu</w:t>
      </w:r>
      <w:r w:rsidRPr="00A7040D">
        <w:rPr>
          <w:i/>
        </w:rPr>
        <w:t xml:space="preserve"> </w:t>
      </w:r>
      <w:r w:rsidRPr="00A7040D">
        <w:t xml:space="preserve">teknik pengambilan sampel dengan syarat tertentu yang memiliki kriteria atau ciri-ciri  yang nantinya akan menjadi subjek dari penelitian yang akan dilakukan (Sugiyono, 2016). Teknik </w:t>
      </w:r>
      <w:r w:rsidRPr="00A7040D">
        <w:rPr>
          <w:i/>
        </w:rPr>
        <w:t>purposive sampling</w:t>
      </w:r>
      <w:r w:rsidRPr="00A7040D">
        <w:t xml:space="preserve"> ini dipilih supaya peneliti memperoleh subjek yang sesuai dengan kriteria yang dibutuhkan dalam penelitian.</w:t>
      </w:r>
    </w:p>
    <w:p w14:paraId="3938F7DC" w14:textId="77777777" w:rsidR="00306559" w:rsidRPr="00A7040D" w:rsidRDefault="00306559" w:rsidP="00306559">
      <w:pPr>
        <w:pStyle w:val="BodyText"/>
        <w:spacing w:before="36" w:line="360" w:lineRule="auto"/>
        <w:ind w:left="284" w:right="115" w:firstLine="720"/>
        <w:rPr>
          <w:sz w:val="22"/>
          <w:szCs w:val="22"/>
        </w:rPr>
      </w:pPr>
      <w:r>
        <w:rPr>
          <w:noProof/>
          <w:sz w:val="22"/>
          <w:lang w:val="en-US"/>
        </w:rPr>
        <mc:AlternateContent>
          <mc:Choice Requires="wps">
            <w:drawing>
              <wp:anchor distT="0" distB="0" distL="114300" distR="114300" simplePos="0" relativeHeight="251662336" behindDoc="0" locked="0" layoutInCell="1" allowOverlap="1" wp14:anchorId="7D61B158" wp14:editId="27DD88DD">
                <wp:simplePos x="0" y="0"/>
                <wp:positionH relativeFrom="page">
                  <wp:posOffset>4307840</wp:posOffset>
                </wp:positionH>
                <wp:positionV relativeFrom="paragraph">
                  <wp:posOffset>2280285</wp:posOffset>
                </wp:positionV>
                <wp:extent cx="1815465" cy="520065"/>
                <wp:effectExtent l="2540" t="381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3334" w14:textId="77777777" w:rsidR="00306559" w:rsidRDefault="00306559" w:rsidP="003065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2pt;margin-top:179.55pt;width:142.95pt;height:40.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LqqgIAAKk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" filled="f" stroked="f">
                <v:textbox inset="0,0,0,0">
                  <w:txbxContent>
                    <w:p w:rsidR="00306559" w:rsidRDefault="00306559" w:rsidP="00306559"/>
                  </w:txbxContent>
                </v:textbox>
                <w10:wrap anchorx="page"/>
              </v:shape>
            </w:pict>
          </mc:Fallback>
        </mc:AlternateContent>
      </w:r>
      <w:r w:rsidRPr="00A7040D">
        <w:rPr>
          <w:sz w:val="22"/>
          <w:szCs w:val="22"/>
        </w:rPr>
        <w:t xml:space="preserve">Metode pengumpulan </w:t>
      </w:r>
      <w:r w:rsidRPr="00A7040D">
        <w:rPr>
          <w:spacing w:val="-5"/>
          <w:sz w:val="22"/>
          <w:szCs w:val="22"/>
        </w:rPr>
        <w:t xml:space="preserve">data </w:t>
      </w:r>
      <w:r w:rsidRPr="00A7040D">
        <w:rPr>
          <w:sz w:val="22"/>
          <w:szCs w:val="22"/>
        </w:rPr>
        <w:t xml:space="preserve">dilakukan menggunakan skala dengan </w:t>
      </w:r>
      <w:r w:rsidRPr="00A7040D">
        <w:rPr>
          <w:spacing w:val="-12"/>
          <w:sz w:val="22"/>
          <w:szCs w:val="22"/>
        </w:rPr>
        <w:t xml:space="preserve">4 </w:t>
      </w:r>
      <w:r w:rsidRPr="00A7040D">
        <w:rPr>
          <w:sz w:val="22"/>
          <w:szCs w:val="22"/>
        </w:rPr>
        <w:t xml:space="preserve">alternatif jawaban, yaitu Sangat Sesuai (SS), Sesuai (S), Tidak Sesuai (TS), dan Sangat Tidak Sesuai (STS). Metode analisis data yang digunakan penguji untuk menguji hipotesis pada penelitian ini menggunakan teknis analisis korelasi </w:t>
      </w:r>
      <w:r w:rsidRPr="00A7040D">
        <w:rPr>
          <w:i/>
          <w:sz w:val="22"/>
          <w:szCs w:val="22"/>
        </w:rPr>
        <w:t xml:space="preserve">product moment </w:t>
      </w:r>
      <w:r w:rsidRPr="00A7040D">
        <w:rPr>
          <w:sz w:val="22"/>
          <w:szCs w:val="22"/>
        </w:rPr>
        <w:t xml:space="preserve">dari Pearson. Dimana peneliti menggunakan teknik analisis ini dikarena analisis korelasi </w:t>
      </w:r>
      <w:r w:rsidRPr="00A7040D">
        <w:rPr>
          <w:i/>
          <w:sz w:val="22"/>
          <w:szCs w:val="22"/>
        </w:rPr>
        <w:t>product moment</w:t>
      </w:r>
      <w:r w:rsidRPr="00A7040D">
        <w:rPr>
          <w:sz w:val="22"/>
          <w:szCs w:val="22"/>
        </w:rPr>
        <w:t xml:space="preserve"> sesuai dengan hipotesis peneliti yang mengenai hubungan antara dua variabel yaitu variabel bebas (X) </w:t>
      </w:r>
      <w:r>
        <w:rPr>
          <w:sz w:val="22"/>
          <w:szCs w:val="22"/>
        </w:rPr>
        <w:t xml:space="preserve">kecemasan sosial </w:t>
      </w:r>
      <w:r w:rsidRPr="00A7040D">
        <w:rPr>
          <w:sz w:val="22"/>
          <w:szCs w:val="22"/>
        </w:rPr>
        <w:t>dengan variable terikat (Y)</w:t>
      </w:r>
      <w:r>
        <w:rPr>
          <w:sz w:val="22"/>
          <w:szCs w:val="22"/>
        </w:rPr>
        <w:t xml:space="preserve"> </w:t>
      </w:r>
      <w:r>
        <w:rPr>
          <w:i/>
          <w:sz w:val="22"/>
          <w:szCs w:val="22"/>
        </w:rPr>
        <w:t>psychological well being</w:t>
      </w:r>
      <w:r w:rsidRPr="00A7040D">
        <w:rPr>
          <w:sz w:val="22"/>
          <w:szCs w:val="22"/>
        </w:rPr>
        <w:t>.</w:t>
      </w:r>
    </w:p>
    <w:p w14:paraId="59897ED3" w14:textId="77777777" w:rsidR="00306559" w:rsidRDefault="00306559" w:rsidP="00306559">
      <w:pPr>
        <w:spacing w:line="276" w:lineRule="auto"/>
      </w:pPr>
    </w:p>
    <w:p w14:paraId="0AD33E92" w14:textId="77777777" w:rsidR="00306559" w:rsidRDefault="00306559" w:rsidP="00306559">
      <w:pPr>
        <w:pStyle w:val="Heading1"/>
      </w:pPr>
      <w:r>
        <w:t>HASIL DAN PEMBAHASAN</w:t>
      </w:r>
    </w:p>
    <w:p w14:paraId="65141950" w14:textId="77777777" w:rsidR="00306559" w:rsidRPr="00306559" w:rsidRDefault="00306559" w:rsidP="00306559">
      <w:pPr>
        <w:pStyle w:val="BodyText"/>
        <w:spacing w:before="36" w:line="360" w:lineRule="auto"/>
        <w:ind w:right="42" w:firstLine="566"/>
        <w:rPr>
          <w:sz w:val="22"/>
          <w:szCs w:val="22"/>
        </w:rPr>
      </w:pPr>
      <w:r w:rsidRPr="00306559">
        <w:rPr>
          <w:sz w:val="22"/>
          <w:szCs w:val="22"/>
        </w:rPr>
        <w:t xml:space="preserve">Data yang diperoleh dari skala kecemasan sosial dan </w:t>
      </w:r>
      <w:r w:rsidRPr="00306559">
        <w:rPr>
          <w:i/>
          <w:spacing w:val="-3"/>
          <w:sz w:val="22"/>
          <w:szCs w:val="22"/>
        </w:rPr>
        <w:t xml:space="preserve">psychological well being </w:t>
      </w:r>
      <w:r w:rsidRPr="00306559">
        <w:rPr>
          <w:sz w:val="22"/>
          <w:szCs w:val="22"/>
        </w:rPr>
        <w:t xml:space="preserve">sebagai dasar untuk pengujian dari hipotesis pada penelitian ini. Deskripsi </w:t>
      </w:r>
      <w:r w:rsidRPr="00306559">
        <w:rPr>
          <w:spacing w:val="-5"/>
          <w:sz w:val="22"/>
          <w:szCs w:val="22"/>
        </w:rPr>
        <w:t xml:space="preserve">data </w:t>
      </w:r>
      <w:r w:rsidRPr="00306559">
        <w:rPr>
          <w:sz w:val="22"/>
          <w:szCs w:val="22"/>
        </w:rPr>
        <w:t xml:space="preserve">kecemasan sosial dan </w:t>
      </w:r>
      <w:r w:rsidRPr="00306559">
        <w:rPr>
          <w:i/>
          <w:spacing w:val="-3"/>
          <w:sz w:val="22"/>
          <w:szCs w:val="22"/>
        </w:rPr>
        <w:t xml:space="preserve">psychological well being </w:t>
      </w:r>
      <w:r w:rsidRPr="00306559">
        <w:rPr>
          <w:sz w:val="22"/>
          <w:szCs w:val="22"/>
        </w:rPr>
        <w:t>dapat dilihat pada Tabel 1 di bawah</w:t>
      </w:r>
      <w:r w:rsidRPr="00306559">
        <w:rPr>
          <w:spacing w:val="-1"/>
          <w:sz w:val="22"/>
          <w:szCs w:val="22"/>
        </w:rPr>
        <w:t xml:space="preserve"> </w:t>
      </w:r>
      <w:r w:rsidRPr="00306559">
        <w:rPr>
          <w:sz w:val="22"/>
          <w:szCs w:val="22"/>
        </w:rPr>
        <w:t>ini:</w:t>
      </w:r>
    </w:p>
    <w:p w14:paraId="4F1C0DB2" w14:textId="77777777" w:rsidR="00306559" w:rsidRPr="00306559" w:rsidRDefault="00306559" w:rsidP="00306559">
      <w:pPr>
        <w:pStyle w:val="Heading1"/>
        <w:spacing w:before="6" w:line="360" w:lineRule="auto"/>
        <w:rPr>
          <w:sz w:val="22"/>
          <w:szCs w:val="22"/>
        </w:rPr>
      </w:pPr>
      <w:r w:rsidRPr="00306559">
        <w:rPr>
          <w:sz w:val="22"/>
          <w:szCs w:val="22"/>
        </w:rPr>
        <w:t>Tabel 1.</w:t>
      </w:r>
    </w:p>
    <w:p w14:paraId="02463445" w14:textId="77777777" w:rsidR="00306559" w:rsidRPr="00306559" w:rsidRDefault="00306559" w:rsidP="00306559">
      <w:pPr>
        <w:spacing w:before="41" w:line="360" w:lineRule="auto"/>
        <w:ind w:left="1310"/>
        <w:jc w:val="both"/>
        <w:rPr>
          <w:b/>
        </w:rPr>
      </w:pPr>
      <w:r w:rsidRPr="00306559">
        <w:rPr>
          <w:b/>
        </w:rPr>
        <w:t>Deskripsi Data Penelitian</w:t>
      </w:r>
    </w:p>
    <w:p w14:paraId="5A4FDCEF" w14:textId="77777777" w:rsidR="00306559" w:rsidRDefault="00306559" w:rsidP="00306559">
      <w:pPr>
        <w:pStyle w:val="BodyText"/>
        <w:spacing w:before="7"/>
        <w:ind w:left="0"/>
        <w:jc w:val="left"/>
        <w:rPr>
          <w:b/>
          <w:sz w:val="3"/>
        </w:rPr>
      </w:pPr>
    </w:p>
    <w:tbl>
      <w:tblPr>
        <w:tblW w:w="4276" w:type="dxa"/>
        <w:tblInd w:w="119" w:type="dxa"/>
        <w:tblLayout w:type="fixed"/>
        <w:tblCellMar>
          <w:left w:w="0" w:type="dxa"/>
          <w:right w:w="0" w:type="dxa"/>
        </w:tblCellMar>
        <w:tblLook w:val="01E0" w:firstRow="1" w:lastRow="1" w:firstColumn="1" w:lastColumn="1" w:noHBand="0" w:noVBand="0"/>
      </w:tblPr>
      <w:tblGrid>
        <w:gridCol w:w="1015"/>
        <w:gridCol w:w="640"/>
        <w:gridCol w:w="680"/>
        <w:gridCol w:w="542"/>
        <w:gridCol w:w="578"/>
        <w:gridCol w:w="821"/>
      </w:tblGrid>
      <w:tr w:rsidR="00306559" w14:paraId="187F25CF" w14:textId="77777777" w:rsidTr="00306559">
        <w:trPr>
          <w:trHeight w:val="263"/>
        </w:trPr>
        <w:tc>
          <w:tcPr>
            <w:tcW w:w="1015" w:type="dxa"/>
            <w:tcBorders>
              <w:top w:val="single" w:sz="4" w:space="0" w:color="000000"/>
            </w:tcBorders>
          </w:tcPr>
          <w:p w14:paraId="44DB9A90" w14:textId="77777777" w:rsidR="00306559" w:rsidRDefault="00306559" w:rsidP="004E7575">
            <w:pPr>
              <w:pStyle w:val="TableParagraph"/>
              <w:spacing w:line="225" w:lineRule="exact"/>
              <w:ind w:left="249"/>
              <w:rPr>
                <w:sz w:val="20"/>
              </w:rPr>
            </w:pPr>
            <w:r>
              <w:rPr>
                <w:sz w:val="20"/>
              </w:rPr>
              <w:t>Variabel</w:t>
            </w:r>
          </w:p>
        </w:tc>
        <w:tc>
          <w:tcPr>
            <w:tcW w:w="640" w:type="dxa"/>
            <w:tcBorders>
              <w:top w:val="single" w:sz="4" w:space="0" w:color="000000"/>
            </w:tcBorders>
          </w:tcPr>
          <w:p w14:paraId="37C559B5" w14:textId="77777777" w:rsidR="00306559" w:rsidRDefault="00306559" w:rsidP="004E7575">
            <w:pPr>
              <w:pStyle w:val="TableParagraph"/>
              <w:spacing w:line="225" w:lineRule="exact"/>
              <w:ind w:left="4"/>
              <w:jc w:val="center"/>
              <w:rPr>
                <w:sz w:val="20"/>
              </w:rPr>
            </w:pPr>
            <w:r>
              <w:rPr>
                <w:w w:val="99"/>
                <w:sz w:val="20"/>
              </w:rPr>
              <w:t>N</w:t>
            </w:r>
          </w:p>
        </w:tc>
        <w:tc>
          <w:tcPr>
            <w:tcW w:w="680" w:type="dxa"/>
            <w:tcBorders>
              <w:top w:val="single" w:sz="4" w:space="0" w:color="000000"/>
              <w:bottom w:val="single" w:sz="4" w:space="0" w:color="000000"/>
            </w:tcBorders>
          </w:tcPr>
          <w:p w14:paraId="290F54F7" w14:textId="77777777" w:rsidR="00306559" w:rsidRDefault="00306559" w:rsidP="004E7575">
            <w:pPr>
              <w:pStyle w:val="TableParagraph"/>
              <w:rPr>
                <w:sz w:val="18"/>
              </w:rPr>
            </w:pPr>
          </w:p>
        </w:tc>
        <w:tc>
          <w:tcPr>
            <w:tcW w:w="1120" w:type="dxa"/>
            <w:gridSpan w:val="2"/>
            <w:tcBorders>
              <w:top w:val="single" w:sz="4" w:space="0" w:color="000000"/>
              <w:bottom w:val="single" w:sz="4" w:space="0" w:color="000000"/>
            </w:tcBorders>
          </w:tcPr>
          <w:p w14:paraId="4C3B43E6" w14:textId="77777777" w:rsidR="00306559" w:rsidRDefault="00306559" w:rsidP="004E7575">
            <w:pPr>
              <w:pStyle w:val="TableParagraph"/>
              <w:spacing w:line="225" w:lineRule="exact"/>
              <w:ind w:left="34"/>
              <w:rPr>
                <w:sz w:val="20"/>
              </w:rPr>
            </w:pPr>
            <w:r>
              <w:rPr>
                <w:sz w:val="20"/>
              </w:rPr>
              <w:t>Data Empirik</w:t>
            </w:r>
          </w:p>
        </w:tc>
        <w:tc>
          <w:tcPr>
            <w:tcW w:w="821" w:type="dxa"/>
            <w:tcBorders>
              <w:top w:val="single" w:sz="4" w:space="0" w:color="000000"/>
              <w:bottom w:val="single" w:sz="4" w:space="0" w:color="000000"/>
            </w:tcBorders>
          </w:tcPr>
          <w:p w14:paraId="18A8A2ED" w14:textId="77777777" w:rsidR="00306559" w:rsidRDefault="00306559" w:rsidP="004E7575">
            <w:pPr>
              <w:pStyle w:val="TableParagraph"/>
              <w:rPr>
                <w:sz w:val="18"/>
              </w:rPr>
            </w:pPr>
          </w:p>
        </w:tc>
      </w:tr>
      <w:tr w:rsidR="00306559" w14:paraId="63C7B92D" w14:textId="77777777" w:rsidTr="00306559">
        <w:trPr>
          <w:trHeight w:val="254"/>
        </w:trPr>
        <w:tc>
          <w:tcPr>
            <w:tcW w:w="1015" w:type="dxa"/>
          </w:tcPr>
          <w:p w14:paraId="60DA2328" w14:textId="77777777" w:rsidR="00306559" w:rsidRDefault="00306559" w:rsidP="004E7575">
            <w:pPr>
              <w:pStyle w:val="TableParagraph"/>
              <w:rPr>
                <w:sz w:val="18"/>
              </w:rPr>
            </w:pPr>
          </w:p>
        </w:tc>
        <w:tc>
          <w:tcPr>
            <w:tcW w:w="640" w:type="dxa"/>
          </w:tcPr>
          <w:p w14:paraId="2B838EC6" w14:textId="77777777" w:rsidR="00306559" w:rsidRDefault="00306559" w:rsidP="004E7575">
            <w:pPr>
              <w:pStyle w:val="TableParagraph"/>
              <w:rPr>
                <w:sz w:val="18"/>
              </w:rPr>
            </w:pPr>
          </w:p>
        </w:tc>
        <w:tc>
          <w:tcPr>
            <w:tcW w:w="680" w:type="dxa"/>
            <w:tcBorders>
              <w:top w:val="single" w:sz="4" w:space="0" w:color="000000"/>
            </w:tcBorders>
          </w:tcPr>
          <w:p w14:paraId="71090237" w14:textId="77777777" w:rsidR="00306559" w:rsidRDefault="00306559" w:rsidP="004E7575">
            <w:pPr>
              <w:pStyle w:val="TableParagraph"/>
              <w:spacing w:line="228" w:lineRule="exact"/>
              <w:ind w:left="90" w:right="94"/>
              <w:jc w:val="center"/>
              <w:rPr>
                <w:sz w:val="20"/>
              </w:rPr>
            </w:pPr>
            <w:r>
              <w:rPr>
                <w:sz w:val="20"/>
              </w:rPr>
              <w:t>Mean</w:t>
            </w:r>
          </w:p>
        </w:tc>
        <w:tc>
          <w:tcPr>
            <w:tcW w:w="1120" w:type="dxa"/>
            <w:gridSpan w:val="2"/>
            <w:tcBorders>
              <w:top w:val="single" w:sz="4" w:space="0" w:color="000000"/>
            </w:tcBorders>
          </w:tcPr>
          <w:p w14:paraId="01A6F258" w14:textId="77777777" w:rsidR="00306559" w:rsidRDefault="00306559" w:rsidP="004E7575">
            <w:pPr>
              <w:pStyle w:val="TableParagraph"/>
              <w:spacing w:line="228" w:lineRule="exact"/>
              <w:ind w:left="370"/>
              <w:rPr>
                <w:sz w:val="20"/>
              </w:rPr>
            </w:pPr>
            <w:r>
              <w:rPr>
                <w:sz w:val="20"/>
              </w:rPr>
              <w:t>Skor</w:t>
            </w:r>
          </w:p>
        </w:tc>
        <w:tc>
          <w:tcPr>
            <w:tcW w:w="821" w:type="dxa"/>
            <w:tcBorders>
              <w:top w:val="single" w:sz="4" w:space="0" w:color="000000"/>
            </w:tcBorders>
          </w:tcPr>
          <w:p w14:paraId="7CABBEE8" w14:textId="77777777" w:rsidR="00306559" w:rsidRDefault="00306559" w:rsidP="004E7575">
            <w:pPr>
              <w:pStyle w:val="TableParagraph"/>
              <w:spacing w:line="228" w:lineRule="exact"/>
              <w:ind w:left="109" w:right="109"/>
              <w:jc w:val="center"/>
              <w:rPr>
                <w:sz w:val="20"/>
              </w:rPr>
            </w:pPr>
            <w:r>
              <w:rPr>
                <w:sz w:val="20"/>
              </w:rPr>
              <w:t>SD</w:t>
            </w:r>
          </w:p>
        </w:tc>
      </w:tr>
      <w:tr w:rsidR="00306559" w14:paraId="7267A107" w14:textId="77777777" w:rsidTr="00306559">
        <w:trPr>
          <w:trHeight w:val="259"/>
        </w:trPr>
        <w:tc>
          <w:tcPr>
            <w:tcW w:w="1015" w:type="dxa"/>
            <w:tcBorders>
              <w:bottom w:val="single" w:sz="4" w:space="0" w:color="000000"/>
            </w:tcBorders>
          </w:tcPr>
          <w:p w14:paraId="0017D223" w14:textId="77777777" w:rsidR="00306559" w:rsidRDefault="00306559" w:rsidP="004E7575">
            <w:pPr>
              <w:pStyle w:val="TableParagraph"/>
              <w:rPr>
                <w:sz w:val="20"/>
              </w:rPr>
            </w:pPr>
          </w:p>
        </w:tc>
        <w:tc>
          <w:tcPr>
            <w:tcW w:w="640" w:type="dxa"/>
            <w:tcBorders>
              <w:bottom w:val="single" w:sz="4" w:space="0" w:color="000000"/>
            </w:tcBorders>
          </w:tcPr>
          <w:p w14:paraId="2CE53393" w14:textId="77777777" w:rsidR="00306559" w:rsidRDefault="00306559" w:rsidP="004E7575">
            <w:pPr>
              <w:pStyle w:val="TableParagraph"/>
              <w:rPr>
                <w:sz w:val="20"/>
              </w:rPr>
            </w:pPr>
          </w:p>
        </w:tc>
        <w:tc>
          <w:tcPr>
            <w:tcW w:w="680" w:type="dxa"/>
            <w:tcBorders>
              <w:bottom w:val="single" w:sz="4" w:space="0" w:color="000000"/>
            </w:tcBorders>
          </w:tcPr>
          <w:p w14:paraId="6FF86458" w14:textId="77777777" w:rsidR="00306559" w:rsidRDefault="00306559" w:rsidP="004E7575">
            <w:pPr>
              <w:pStyle w:val="TableParagraph"/>
              <w:rPr>
                <w:sz w:val="20"/>
              </w:rPr>
            </w:pPr>
          </w:p>
        </w:tc>
        <w:tc>
          <w:tcPr>
            <w:tcW w:w="542" w:type="dxa"/>
            <w:tcBorders>
              <w:bottom w:val="single" w:sz="4" w:space="0" w:color="000000"/>
            </w:tcBorders>
          </w:tcPr>
          <w:p w14:paraId="272E788F" w14:textId="77777777" w:rsidR="00306559" w:rsidRDefault="00306559" w:rsidP="004E7575">
            <w:pPr>
              <w:pStyle w:val="TableParagraph"/>
              <w:spacing w:before="17"/>
              <w:ind w:left="101"/>
              <w:rPr>
                <w:sz w:val="20"/>
              </w:rPr>
            </w:pPr>
            <w:r>
              <w:rPr>
                <w:sz w:val="20"/>
              </w:rPr>
              <w:t>Min</w:t>
            </w:r>
          </w:p>
        </w:tc>
        <w:tc>
          <w:tcPr>
            <w:tcW w:w="578" w:type="dxa"/>
            <w:tcBorders>
              <w:bottom w:val="single" w:sz="4" w:space="0" w:color="000000"/>
            </w:tcBorders>
          </w:tcPr>
          <w:p w14:paraId="3CD3D1B4" w14:textId="77777777" w:rsidR="00306559" w:rsidRDefault="00306559" w:rsidP="004E7575">
            <w:pPr>
              <w:pStyle w:val="TableParagraph"/>
              <w:spacing w:before="17"/>
              <w:ind w:right="97"/>
              <w:jc w:val="right"/>
              <w:rPr>
                <w:sz w:val="20"/>
              </w:rPr>
            </w:pPr>
            <w:r>
              <w:rPr>
                <w:w w:val="95"/>
                <w:sz w:val="20"/>
              </w:rPr>
              <w:t>Max</w:t>
            </w:r>
          </w:p>
        </w:tc>
        <w:tc>
          <w:tcPr>
            <w:tcW w:w="821" w:type="dxa"/>
            <w:tcBorders>
              <w:bottom w:val="single" w:sz="4" w:space="0" w:color="000000"/>
            </w:tcBorders>
          </w:tcPr>
          <w:p w14:paraId="2520B25F" w14:textId="77777777" w:rsidR="00306559" w:rsidRDefault="00306559" w:rsidP="004E7575">
            <w:pPr>
              <w:pStyle w:val="TableParagraph"/>
              <w:rPr>
                <w:sz w:val="20"/>
              </w:rPr>
            </w:pPr>
          </w:p>
        </w:tc>
      </w:tr>
      <w:tr w:rsidR="00306559" w14:paraId="50DA29CD" w14:textId="77777777" w:rsidTr="00306559">
        <w:trPr>
          <w:trHeight w:val="512"/>
        </w:trPr>
        <w:tc>
          <w:tcPr>
            <w:tcW w:w="1015" w:type="dxa"/>
            <w:tcBorders>
              <w:top w:val="single" w:sz="4" w:space="0" w:color="000000"/>
            </w:tcBorders>
          </w:tcPr>
          <w:p w14:paraId="0C99846E" w14:textId="77777777" w:rsidR="00306559" w:rsidRDefault="00306559" w:rsidP="004E7575">
            <w:pPr>
              <w:pStyle w:val="TableParagraph"/>
              <w:spacing w:before="34"/>
              <w:ind w:left="144"/>
              <w:rPr>
                <w:sz w:val="20"/>
              </w:rPr>
            </w:pPr>
            <w:r>
              <w:rPr>
                <w:sz w:val="20"/>
              </w:rPr>
              <w:t>Kecemasan Sosial</w:t>
            </w:r>
          </w:p>
        </w:tc>
        <w:tc>
          <w:tcPr>
            <w:tcW w:w="640" w:type="dxa"/>
            <w:tcBorders>
              <w:top w:val="single" w:sz="4" w:space="0" w:color="000000"/>
            </w:tcBorders>
          </w:tcPr>
          <w:p w14:paraId="787A1F3D" w14:textId="77777777" w:rsidR="00306559" w:rsidRDefault="00306559" w:rsidP="004E7575">
            <w:pPr>
              <w:pStyle w:val="TableParagraph"/>
              <w:spacing w:line="225" w:lineRule="exact"/>
              <w:ind w:left="121" w:right="112"/>
              <w:jc w:val="center"/>
              <w:rPr>
                <w:sz w:val="20"/>
              </w:rPr>
            </w:pPr>
            <w:r>
              <w:rPr>
                <w:sz w:val="20"/>
              </w:rPr>
              <w:t>101</w:t>
            </w:r>
          </w:p>
        </w:tc>
        <w:tc>
          <w:tcPr>
            <w:tcW w:w="680" w:type="dxa"/>
            <w:tcBorders>
              <w:top w:val="single" w:sz="4" w:space="0" w:color="000000"/>
            </w:tcBorders>
          </w:tcPr>
          <w:p w14:paraId="000D589B" w14:textId="77777777" w:rsidR="00306559" w:rsidRDefault="00306559" w:rsidP="004E7575">
            <w:pPr>
              <w:pStyle w:val="TableParagraph"/>
              <w:spacing w:line="225" w:lineRule="exact"/>
              <w:ind w:left="90" w:right="93"/>
              <w:jc w:val="center"/>
              <w:rPr>
                <w:sz w:val="20"/>
              </w:rPr>
            </w:pPr>
            <w:r>
              <w:rPr>
                <w:sz w:val="20"/>
              </w:rPr>
              <w:t>41,10</w:t>
            </w:r>
          </w:p>
        </w:tc>
        <w:tc>
          <w:tcPr>
            <w:tcW w:w="542" w:type="dxa"/>
            <w:tcBorders>
              <w:top w:val="single" w:sz="4" w:space="0" w:color="000000"/>
            </w:tcBorders>
          </w:tcPr>
          <w:p w14:paraId="1B0CE616" w14:textId="77777777" w:rsidR="00306559" w:rsidRDefault="00306559" w:rsidP="004E7575">
            <w:pPr>
              <w:pStyle w:val="TableParagraph"/>
              <w:spacing w:line="225" w:lineRule="exact"/>
              <w:ind w:left="118"/>
              <w:rPr>
                <w:sz w:val="20"/>
              </w:rPr>
            </w:pPr>
            <w:r>
              <w:rPr>
                <w:sz w:val="20"/>
              </w:rPr>
              <w:t>20</w:t>
            </w:r>
          </w:p>
        </w:tc>
        <w:tc>
          <w:tcPr>
            <w:tcW w:w="578" w:type="dxa"/>
            <w:tcBorders>
              <w:top w:val="single" w:sz="4" w:space="0" w:color="000000"/>
            </w:tcBorders>
          </w:tcPr>
          <w:p w14:paraId="58E3A12D" w14:textId="77777777" w:rsidR="00306559" w:rsidRDefault="00306559" w:rsidP="004E7575">
            <w:pPr>
              <w:pStyle w:val="TableParagraph"/>
              <w:spacing w:line="225" w:lineRule="exact"/>
              <w:ind w:right="128"/>
              <w:jc w:val="right"/>
              <w:rPr>
                <w:sz w:val="20"/>
              </w:rPr>
            </w:pPr>
            <w:r>
              <w:rPr>
                <w:sz w:val="20"/>
              </w:rPr>
              <w:t>60</w:t>
            </w:r>
          </w:p>
        </w:tc>
        <w:tc>
          <w:tcPr>
            <w:tcW w:w="821" w:type="dxa"/>
            <w:tcBorders>
              <w:top w:val="single" w:sz="4" w:space="0" w:color="000000"/>
            </w:tcBorders>
          </w:tcPr>
          <w:p w14:paraId="2FAB11E4" w14:textId="77777777" w:rsidR="00306559" w:rsidRDefault="00306559" w:rsidP="004E7575">
            <w:pPr>
              <w:pStyle w:val="TableParagraph"/>
              <w:spacing w:line="225" w:lineRule="exact"/>
              <w:ind w:left="114" w:right="109"/>
              <w:jc w:val="center"/>
              <w:rPr>
                <w:sz w:val="20"/>
              </w:rPr>
            </w:pPr>
            <w:r>
              <w:rPr>
                <w:sz w:val="20"/>
              </w:rPr>
              <w:t>9,138</w:t>
            </w:r>
          </w:p>
        </w:tc>
      </w:tr>
      <w:tr w:rsidR="00306559" w14:paraId="1CC8EC71" w14:textId="77777777" w:rsidTr="00306559">
        <w:trPr>
          <w:trHeight w:val="284"/>
        </w:trPr>
        <w:tc>
          <w:tcPr>
            <w:tcW w:w="1015" w:type="dxa"/>
            <w:tcBorders>
              <w:bottom w:val="single" w:sz="4" w:space="0" w:color="000000"/>
            </w:tcBorders>
          </w:tcPr>
          <w:p w14:paraId="5C826C5F" w14:textId="77777777" w:rsidR="00306559" w:rsidRDefault="00306559" w:rsidP="004E7575">
            <w:pPr>
              <w:pStyle w:val="TableParagraph"/>
              <w:spacing w:before="4" w:line="260" w:lineRule="atLeast"/>
              <w:ind w:left="228" w:right="148" w:hanging="58"/>
              <w:rPr>
                <w:sz w:val="20"/>
              </w:rPr>
            </w:pPr>
            <w:r>
              <w:rPr>
                <w:i/>
                <w:sz w:val="20"/>
              </w:rPr>
              <w:t>PWB</w:t>
            </w:r>
          </w:p>
        </w:tc>
        <w:tc>
          <w:tcPr>
            <w:tcW w:w="640" w:type="dxa"/>
            <w:tcBorders>
              <w:bottom w:val="single" w:sz="4" w:space="0" w:color="000000"/>
            </w:tcBorders>
          </w:tcPr>
          <w:p w14:paraId="12845C9E" w14:textId="77777777" w:rsidR="00306559" w:rsidRDefault="00306559" w:rsidP="004E7575">
            <w:pPr>
              <w:pStyle w:val="TableParagraph"/>
              <w:spacing w:before="13"/>
              <w:ind w:left="121" w:right="112"/>
              <w:jc w:val="center"/>
              <w:rPr>
                <w:sz w:val="20"/>
              </w:rPr>
            </w:pPr>
            <w:r>
              <w:rPr>
                <w:sz w:val="20"/>
              </w:rPr>
              <w:t>101</w:t>
            </w:r>
          </w:p>
        </w:tc>
        <w:tc>
          <w:tcPr>
            <w:tcW w:w="680" w:type="dxa"/>
            <w:tcBorders>
              <w:bottom w:val="single" w:sz="4" w:space="0" w:color="000000"/>
            </w:tcBorders>
          </w:tcPr>
          <w:p w14:paraId="7AE1E6A5" w14:textId="77777777" w:rsidR="00306559" w:rsidRDefault="00306559" w:rsidP="004E7575">
            <w:pPr>
              <w:pStyle w:val="TableParagraph"/>
              <w:spacing w:before="13"/>
              <w:ind w:left="90" w:right="93"/>
              <w:jc w:val="center"/>
              <w:rPr>
                <w:sz w:val="20"/>
              </w:rPr>
            </w:pPr>
            <w:r>
              <w:rPr>
                <w:sz w:val="20"/>
              </w:rPr>
              <w:t>84,62</w:t>
            </w:r>
          </w:p>
        </w:tc>
        <w:tc>
          <w:tcPr>
            <w:tcW w:w="542" w:type="dxa"/>
            <w:tcBorders>
              <w:bottom w:val="single" w:sz="4" w:space="0" w:color="000000"/>
            </w:tcBorders>
          </w:tcPr>
          <w:p w14:paraId="475A528F" w14:textId="77777777" w:rsidR="00306559" w:rsidRDefault="00306559" w:rsidP="004E7575">
            <w:pPr>
              <w:pStyle w:val="TableParagraph"/>
              <w:spacing w:before="13"/>
              <w:ind w:left="168"/>
              <w:rPr>
                <w:sz w:val="20"/>
              </w:rPr>
            </w:pPr>
            <w:r>
              <w:rPr>
                <w:sz w:val="20"/>
              </w:rPr>
              <w:t>33</w:t>
            </w:r>
          </w:p>
        </w:tc>
        <w:tc>
          <w:tcPr>
            <w:tcW w:w="578" w:type="dxa"/>
            <w:tcBorders>
              <w:bottom w:val="single" w:sz="4" w:space="0" w:color="000000"/>
            </w:tcBorders>
          </w:tcPr>
          <w:p w14:paraId="6F1E1349" w14:textId="77777777" w:rsidR="00306559" w:rsidRDefault="00306559" w:rsidP="004E7575">
            <w:pPr>
              <w:pStyle w:val="TableParagraph"/>
              <w:spacing w:before="13"/>
              <w:ind w:right="178"/>
              <w:jc w:val="right"/>
              <w:rPr>
                <w:sz w:val="20"/>
              </w:rPr>
            </w:pPr>
            <w:r>
              <w:rPr>
                <w:sz w:val="20"/>
              </w:rPr>
              <w:t>132</w:t>
            </w:r>
          </w:p>
        </w:tc>
        <w:tc>
          <w:tcPr>
            <w:tcW w:w="821" w:type="dxa"/>
            <w:tcBorders>
              <w:bottom w:val="single" w:sz="4" w:space="0" w:color="000000"/>
            </w:tcBorders>
          </w:tcPr>
          <w:p w14:paraId="6FD6C177" w14:textId="77777777" w:rsidR="00306559" w:rsidRDefault="00306559" w:rsidP="004E7575">
            <w:pPr>
              <w:pStyle w:val="TableParagraph"/>
              <w:spacing w:before="13"/>
              <w:ind w:left="114" w:right="109"/>
              <w:jc w:val="center"/>
              <w:rPr>
                <w:sz w:val="20"/>
              </w:rPr>
            </w:pPr>
            <w:r>
              <w:rPr>
                <w:sz w:val="20"/>
              </w:rPr>
              <w:t>25,126</w:t>
            </w:r>
          </w:p>
        </w:tc>
      </w:tr>
    </w:tbl>
    <w:p w14:paraId="6323686A" w14:textId="77777777" w:rsidR="00306559" w:rsidRDefault="00306559" w:rsidP="00306559">
      <w:pPr>
        <w:pStyle w:val="BodyText"/>
        <w:spacing w:before="8"/>
        <w:ind w:left="0"/>
        <w:jc w:val="left"/>
        <w:rPr>
          <w:b/>
          <w:sz w:val="27"/>
        </w:rPr>
      </w:pPr>
    </w:p>
    <w:p w14:paraId="6069A1A4" w14:textId="77777777" w:rsidR="00306559" w:rsidRDefault="00306559" w:rsidP="00306559">
      <w:pPr>
        <w:pStyle w:val="ListParagraph"/>
        <w:numPr>
          <w:ilvl w:val="0"/>
          <w:numId w:val="2"/>
        </w:numPr>
        <w:tabs>
          <w:tab w:val="left" w:pos="504"/>
        </w:tabs>
        <w:rPr>
          <w:b/>
          <w:sz w:val="24"/>
        </w:rPr>
      </w:pPr>
      <w:r>
        <w:rPr>
          <w:b/>
          <w:sz w:val="24"/>
        </w:rPr>
        <w:t>Kecemasan Sosial</w:t>
      </w:r>
    </w:p>
    <w:p w14:paraId="4F6B0970" w14:textId="77777777" w:rsidR="00517F8E" w:rsidRDefault="00517F8E" w:rsidP="00517F8E">
      <w:pPr>
        <w:pStyle w:val="ListParagraph"/>
        <w:tabs>
          <w:tab w:val="left" w:pos="504"/>
        </w:tabs>
        <w:ind w:left="503" w:firstLine="0"/>
        <w:rPr>
          <w:b/>
          <w:sz w:val="24"/>
        </w:rPr>
      </w:pPr>
    </w:p>
    <w:p w14:paraId="5855E700" w14:textId="77777777" w:rsidR="00306559" w:rsidRPr="00375294" w:rsidRDefault="00375294" w:rsidP="00375294">
      <w:pPr>
        <w:spacing w:line="360" w:lineRule="auto"/>
        <w:ind w:left="284" w:firstLine="567"/>
        <w:jc w:val="both"/>
      </w:pPr>
      <w:r w:rsidRPr="00375294">
        <w:t xml:space="preserve">Variabel kecemasan sosial  dibagi dalam 3 kategori yakni tertinggi, sedang, dan terendah. Hasil dari kategori didasarkan dari </w:t>
      </w:r>
      <w:r w:rsidRPr="00375294">
        <w:rPr>
          <w:i/>
        </w:rPr>
        <w:t>mean</w:t>
      </w:r>
      <w:r w:rsidRPr="00375294">
        <w:t xml:space="preserve"> dan standar deviasi secara empiric didapatkan hasilnya yakni kategori tinggi 34% (34 subjek), sedang 56% (57 subjek) dan kategori rendah 10% (10 subjek). Berdasarkan data di atas kecemasan sosial</w:t>
      </w:r>
      <w:r w:rsidRPr="00375294">
        <w:rPr>
          <w:i/>
        </w:rPr>
        <w:t xml:space="preserve"> </w:t>
      </w:r>
      <w:r w:rsidRPr="00375294">
        <w:t xml:space="preserve">sebagian besar subjek masuk kategorisasi yang sedang. Hal tersebut </w:t>
      </w:r>
      <w:r w:rsidR="00306559" w:rsidRPr="00375294">
        <w:t>dapat dilihat pada Tabel 2:</w:t>
      </w:r>
    </w:p>
    <w:p w14:paraId="728BD89E" w14:textId="77777777" w:rsidR="00306559" w:rsidRPr="00BF13FE" w:rsidRDefault="00306559" w:rsidP="00306559">
      <w:pPr>
        <w:pStyle w:val="Heading1"/>
        <w:rPr>
          <w:sz w:val="22"/>
          <w:szCs w:val="22"/>
        </w:rPr>
      </w:pPr>
      <w:r w:rsidRPr="00BF13FE">
        <w:rPr>
          <w:sz w:val="22"/>
          <w:szCs w:val="22"/>
        </w:rPr>
        <w:t>Tabel 2</w:t>
      </w:r>
    </w:p>
    <w:p w14:paraId="7A021BA2" w14:textId="77777777" w:rsidR="00306559" w:rsidRPr="00BF13FE" w:rsidRDefault="00306559" w:rsidP="00306559">
      <w:pPr>
        <w:spacing w:before="41"/>
        <w:ind w:left="520"/>
        <w:rPr>
          <w:b/>
        </w:rPr>
      </w:pPr>
      <w:r w:rsidRPr="00BF13FE">
        <w:rPr>
          <w:b/>
        </w:rPr>
        <w:t xml:space="preserve">Kategorisasi </w:t>
      </w:r>
      <w:r w:rsidR="00BF13FE" w:rsidRPr="00BF13FE">
        <w:rPr>
          <w:b/>
        </w:rPr>
        <w:t>Kecemasan Sosial</w:t>
      </w:r>
    </w:p>
    <w:tbl>
      <w:tblPr>
        <w:tblW w:w="4376" w:type="dxa"/>
        <w:tblInd w:w="284" w:type="dxa"/>
        <w:tblLayout w:type="fixed"/>
        <w:tblLook w:val="04A0" w:firstRow="1" w:lastRow="0" w:firstColumn="1" w:lastColumn="0" w:noHBand="0" w:noVBand="1"/>
      </w:tblPr>
      <w:tblGrid>
        <w:gridCol w:w="992"/>
        <w:gridCol w:w="1276"/>
        <w:gridCol w:w="783"/>
        <w:gridCol w:w="561"/>
        <w:gridCol w:w="764"/>
      </w:tblGrid>
      <w:tr w:rsidR="00375294" w:rsidRPr="0019725D" w14:paraId="17CA30B5" w14:textId="77777777" w:rsidTr="00375294">
        <w:trPr>
          <w:trHeight w:val="296"/>
        </w:trPr>
        <w:tc>
          <w:tcPr>
            <w:tcW w:w="992" w:type="dxa"/>
            <w:tcBorders>
              <w:top w:val="single" w:sz="4" w:space="0" w:color="auto"/>
              <w:bottom w:val="single" w:sz="4" w:space="0" w:color="auto"/>
            </w:tcBorders>
          </w:tcPr>
          <w:p w14:paraId="3DEB07F8" w14:textId="77777777" w:rsidR="00375294" w:rsidRPr="00251A4C" w:rsidRDefault="00375294" w:rsidP="004E7575">
            <w:pPr>
              <w:jc w:val="center"/>
              <w:rPr>
                <w:b/>
                <w:sz w:val="20"/>
                <w:szCs w:val="20"/>
              </w:rPr>
            </w:pPr>
            <w:r w:rsidRPr="00251A4C">
              <w:rPr>
                <w:b/>
                <w:sz w:val="20"/>
                <w:szCs w:val="20"/>
              </w:rPr>
              <w:t>Kategori</w:t>
            </w:r>
          </w:p>
        </w:tc>
        <w:tc>
          <w:tcPr>
            <w:tcW w:w="1276" w:type="dxa"/>
            <w:tcBorders>
              <w:top w:val="single" w:sz="4" w:space="0" w:color="auto"/>
              <w:bottom w:val="single" w:sz="4" w:space="0" w:color="auto"/>
            </w:tcBorders>
          </w:tcPr>
          <w:p w14:paraId="7C9D8125" w14:textId="77777777" w:rsidR="00375294" w:rsidRPr="00251A4C" w:rsidRDefault="00375294" w:rsidP="004E7575">
            <w:pPr>
              <w:jc w:val="center"/>
              <w:rPr>
                <w:b/>
                <w:sz w:val="20"/>
                <w:szCs w:val="20"/>
              </w:rPr>
            </w:pPr>
            <w:r w:rsidRPr="00251A4C">
              <w:rPr>
                <w:b/>
                <w:sz w:val="20"/>
                <w:szCs w:val="20"/>
              </w:rPr>
              <w:t>Pedoman</w:t>
            </w:r>
          </w:p>
        </w:tc>
        <w:tc>
          <w:tcPr>
            <w:tcW w:w="783" w:type="dxa"/>
            <w:tcBorders>
              <w:top w:val="single" w:sz="4" w:space="0" w:color="auto"/>
              <w:bottom w:val="single" w:sz="4" w:space="0" w:color="auto"/>
            </w:tcBorders>
          </w:tcPr>
          <w:p w14:paraId="4170504B" w14:textId="77777777" w:rsidR="00375294" w:rsidRPr="00251A4C" w:rsidRDefault="00375294" w:rsidP="004E7575">
            <w:pPr>
              <w:jc w:val="center"/>
              <w:rPr>
                <w:b/>
                <w:sz w:val="20"/>
                <w:szCs w:val="20"/>
              </w:rPr>
            </w:pPr>
            <w:r w:rsidRPr="00251A4C">
              <w:rPr>
                <w:b/>
                <w:sz w:val="20"/>
                <w:szCs w:val="20"/>
              </w:rPr>
              <w:t>Skor</w:t>
            </w:r>
          </w:p>
        </w:tc>
        <w:tc>
          <w:tcPr>
            <w:tcW w:w="561" w:type="dxa"/>
            <w:tcBorders>
              <w:top w:val="single" w:sz="4" w:space="0" w:color="auto"/>
              <w:bottom w:val="single" w:sz="4" w:space="0" w:color="auto"/>
            </w:tcBorders>
          </w:tcPr>
          <w:p w14:paraId="0CC51DCC" w14:textId="77777777" w:rsidR="00375294" w:rsidRPr="00251A4C" w:rsidRDefault="00375294" w:rsidP="004E7575">
            <w:pPr>
              <w:jc w:val="center"/>
              <w:rPr>
                <w:b/>
                <w:sz w:val="20"/>
                <w:szCs w:val="20"/>
              </w:rPr>
            </w:pPr>
            <w:r w:rsidRPr="00251A4C">
              <w:rPr>
                <w:b/>
                <w:sz w:val="20"/>
                <w:szCs w:val="20"/>
              </w:rPr>
              <w:t>N</w:t>
            </w:r>
          </w:p>
        </w:tc>
        <w:tc>
          <w:tcPr>
            <w:tcW w:w="764" w:type="dxa"/>
            <w:tcBorders>
              <w:top w:val="single" w:sz="4" w:space="0" w:color="auto"/>
              <w:bottom w:val="single" w:sz="4" w:space="0" w:color="auto"/>
            </w:tcBorders>
          </w:tcPr>
          <w:p w14:paraId="0114D8B4" w14:textId="77777777" w:rsidR="00375294" w:rsidRPr="00251A4C" w:rsidRDefault="00BF13FE" w:rsidP="00BF13FE">
            <w:pPr>
              <w:jc w:val="center"/>
              <w:rPr>
                <w:b/>
                <w:sz w:val="20"/>
                <w:szCs w:val="20"/>
              </w:rPr>
            </w:pPr>
            <w:r>
              <w:rPr>
                <w:b/>
                <w:sz w:val="20"/>
                <w:szCs w:val="20"/>
              </w:rPr>
              <w:t>%</w:t>
            </w:r>
          </w:p>
        </w:tc>
      </w:tr>
      <w:tr w:rsidR="00375294" w:rsidRPr="0019725D" w14:paraId="7DC0E591" w14:textId="77777777" w:rsidTr="00375294">
        <w:trPr>
          <w:trHeight w:val="324"/>
        </w:trPr>
        <w:tc>
          <w:tcPr>
            <w:tcW w:w="992" w:type="dxa"/>
            <w:tcBorders>
              <w:top w:val="single" w:sz="4" w:space="0" w:color="auto"/>
              <w:bottom w:val="single" w:sz="4" w:space="0" w:color="auto"/>
            </w:tcBorders>
          </w:tcPr>
          <w:p w14:paraId="42BB55E3" w14:textId="77777777" w:rsidR="00375294" w:rsidRPr="0019725D" w:rsidRDefault="00375294" w:rsidP="004E7575">
            <w:pPr>
              <w:jc w:val="center"/>
              <w:rPr>
                <w:sz w:val="20"/>
                <w:szCs w:val="20"/>
              </w:rPr>
            </w:pPr>
            <w:r w:rsidRPr="0019725D">
              <w:rPr>
                <w:sz w:val="20"/>
                <w:szCs w:val="20"/>
              </w:rPr>
              <w:t>Tinggi</w:t>
            </w:r>
          </w:p>
        </w:tc>
        <w:tc>
          <w:tcPr>
            <w:tcW w:w="1276" w:type="dxa"/>
            <w:tcBorders>
              <w:top w:val="single" w:sz="4" w:space="0" w:color="auto"/>
              <w:bottom w:val="single" w:sz="4" w:space="0" w:color="auto"/>
            </w:tcBorders>
          </w:tcPr>
          <w:p w14:paraId="27DACB68" w14:textId="77777777" w:rsidR="00375294" w:rsidRPr="0019725D" w:rsidRDefault="005E53F8" w:rsidP="004E7575">
            <w:pPr>
              <w:jc w:val="center"/>
              <w:rPr>
                <w:sz w:val="20"/>
                <w:szCs w:val="20"/>
              </w:rPr>
            </w:pPr>
            <w:sdt>
              <w:sdtPr>
                <w:rPr>
                  <w:sz w:val="20"/>
                  <w:szCs w:val="20"/>
                </w:rPr>
                <w:tag w:val="goog_rdk_0"/>
                <w:id w:val="-313804182"/>
              </w:sdtPr>
              <w:sdtEndPr/>
              <w:sdtContent>
                <w:r w:rsidR="00375294" w:rsidRPr="0019725D">
                  <w:rPr>
                    <w:rFonts w:eastAsia="Gungsuh"/>
                    <w:sz w:val="20"/>
                    <w:szCs w:val="20"/>
                  </w:rPr>
                  <w:t>X ≥ (μ + 1σ)</w:t>
                </w:r>
              </w:sdtContent>
            </w:sdt>
          </w:p>
        </w:tc>
        <w:tc>
          <w:tcPr>
            <w:tcW w:w="783" w:type="dxa"/>
            <w:tcBorders>
              <w:top w:val="single" w:sz="4" w:space="0" w:color="auto"/>
              <w:bottom w:val="single" w:sz="4" w:space="0" w:color="auto"/>
            </w:tcBorders>
          </w:tcPr>
          <w:p w14:paraId="0FBA202A" w14:textId="77777777" w:rsidR="00375294" w:rsidRPr="0019725D" w:rsidRDefault="005E53F8" w:rsidP="004E7575">
            <w:pPr>
              <w:jc w:val="center"/>
              <w:rPr>
                <w:sz w:val="20"/>
                <w:szCs w:val="20"/>
              </w:rPr>
            </w:pPr>
            <w:sdt>
              <w:sdtPr>
                <w:rPr>
                  <w:sz w:val="20"/>
                  <w:szCs w:val="20"/>
                </w:rPr>
                <w:tag w:val="goog_rdk_1"/>
                <w:id w:val="-530803440"/>
              </w:sdtPr>
              <w:sdtEndPr/>
              <w:sdtContent>
                <w:r w:rsidR="00375294" w:rsidRPr="0019725D">
                  <w:rPr>
                    <w:rFonts w:eastAsia="Gungsuh"/>
                    <w:sz w:val="20"/>
                    <w:szCs w:val="20"/>
                  </w:rPr>
                  <w:t>X ≥ 45</w:t>
                </w:r>
              </w:sdtContent>
            </w:sdt>
          </w:p>
        </w:tc>
        <w:tc>
          <w:tcPr>
            <w:tcW w:w="561" w:type="dxa"/>
            <w:tcBorders>
              <w:top w:val="single" w:sz="4" w:space="0" w:color="auto"/>
              <w:bottom w:val="single" w:sz="4" w:space="0" w:color="auto"/>
            </w:tcBorders>
          </w:tcPr>
          <w:p w14:paraId="72709464" w14:textId="77777777" w:rsidR="00375294" w:rsidRPr="0019725D" w:rsidRDefault="00375294" w:rsidP="004E7575">
            <w:pPr>
              <w:jc w:val="center"/>
              <w:rPr>
                <w:sz w:val="20"/>
                <w:szCs w:val="20"/>
              </w:rPr>
            </w:pPr>
            <w:r w:rsidRPr="0019725D">
              <w:rPr>
                <w:sz w:val="20"/>
                <w:szCs w:val="20"/>
              </w:rPr>
              <w:t>34</w:t>
            </w:r>
          </w:p>
        </w:tc>
        <w:tc>
          <w:tcPr>
            <w:tcW w:w="764" w:type="dxa"/>
            <w:tcBorders>
              <w:top w:val="single" w:sz="4" w:space="0" w:color="auto"/>
              <w:bottom w:val="single" w:sz="4" w:space="0" w:color="auto"/>
            </w:tcBorders>
          </w:tcPr>
          <w:p w14:paraId="63F9B5D0" w14:textId="77777777" w:rsidR="00375294" w:rsidRPr="0019725D" w:rsidRDefault="00375294" w:rsidP="004E7575">
            <w:pPr>
              <w:jc w:val="center"/>
              <w:rPr>
                <w:sz w:val="20"/>
                <w:szCs w:val="20"/>
              </w:rPr>
            </w:pPr>
            <w:r w:rsidRPr="0019725D">
              <w:rPr>
                <w:sz w:val="20"/>
                <w:szCs w:val="20"/>
              </w:rPr>
              <w:t>33,7%</w:t>
            </w:r>
          </w:p>
        </w:tc>
      </w:tr>
      <w:tr w:rsidR="00375294" w:rsidRPr="0019725D" w14:paraId="4EA35780" w14:textId="77777777" w:rsidTr="00375294">
        <w:trPr>
          <w:trHeight w:val="296"/>
        </w:trPr>
        <w:tc>
          <w:tcPr>
            <w:tcW w:w="992" w:type="dxa"/>
            <w:tcBorders>
              <w:top w:val="single" w:sz="4" w:space="0" w:color="auto"/>
              <w:bottom w:val="single" w:sz="4" w:space="0" w:color="auto"/>
            </w:tcBorders>
          </w:tcPr>
          <w:p w14:paraId="6C33F94A" w14:textId="77777777" w:rsidR="00375294" w:rsidRPr="0019725D" w:rsidRDefault="00375294" w:rsidP="004E7575">
            <w:pPr>
              <w:jc w:val="center"/>
              <w:rPr>
                <w:sz w:val="20"/>
                <w:szCs w:val="20"/>
              </w:rPr>
            </w:pPr>
            <w:r w:rsidRPr="0019725D">
              <w:rPr>
                <w:sz w:val="20"/>
                <w:szCs w:val="20"/>
              </w:rPr>
              <w:t>Sedang</w:t>
            </w:r>
          </w:p>
        </w:tc>
        <w:tc>
          <w:tcPr>
            <w:tcW w:w="1276" w:type="dxa"/>
            <w:tcBorders>
              <w:top w:val="single" w:sz="4" w:space="0" w:color="auto"/>
              <w:bottom w:val="single" w:sz="4" w:space="0" w:color="auto"/>
            </w:tcBorders>
          </w:tcPr>
          <w:p w14:paraId="20EF716A" w14:textId="77777777" w:rsidR="00375294" w:rsidRPr="0019725D" w:rsidRDefault="005E53F8" w:rsidP="004E7575">
            <w:pPr>
              <w:jc w:val="center"/>
              <w:rPr>
                <w:sz w:val="20"/>
                <w:szCs w:val="20"/>
              </w:rPr>
            </w:pPr>
            <w:sdt>
              <w:sdtPr>
                <w:rPr>
                  <w:sz w:val="20"/>
                  <w:szCs w:val="20"/>
                </w:rPr>
                <w:tag w:val="goog_rdk_2"/>
                <w:id w:val="-403845768"/>
              </w:sdtPr>
              <w:sdtEndPr/>
              <w:sdtContent>
                <w:r w:rsidR="00375294" w:rsidRPr="0019725D">
                  <w:rPr>
                    <w:rFonts w:eastAsia="Cardo"/>
                    <w:sz w:val="20"/>
                    <w:szCs w:val="20"/>
                  </w:rPr>
                  <w:t>μ - 1σ ≤ X &lt; μ + 1σ</w:t>
                </w:r>
              </w:sdtContent>
            </w:sdt>
          </w:p>
        </w:tc>
        <w:tc>
          <w:tcPr>
            <w:tcW w:w="783" w:type="dxa"/>
            <w:tcBorders>
              <w:top w:val="single" w:sz="4" w:space="0" w:color="auto"/>
              <w:bottom w:val="single" w:sz="4" w:space="0" w:color="auto"/>
            </w:tcBorders>
          </w:tcPr>
          <w:p w14:paraId="1CDEA7C8" w14:textId="77777777" w:rsidR="00375294" w:rsidRPr="0019725D" w:rsidRDefault="005E53F8" w:rsidP="004E7575">
            <w:pPr>
              <w:jc w:val="center"/>
              <w:rPr>
                <w:sz w:val="20"/>
                <w:szCs w:val="20"/>
              </w:rPr>
            </w:pPr>
            <w:sdt>
              <w:sdtPr>
                <w:rPr>
                  <w:sz w:val="20"/>
                  <w:szCs w:val="20"/>
                </w:rPr>
                <w:tag w:val="goog_rdk_3"/>
                <w:id w:val="-479077636"/>
              </w:sdtPr>
              <w:sdtEndPr/>
              <w:sdtContent>
                <w:r w:rsidR="00375294" w:rsidRPr="0019725D">
                  <w:rPr>
                    <w:rFonts w:eastAsia="Gungsuh"/>
                    <w:sz w:val="20"/>
                    <w:szCs w:val="20"/>
                  </w:rPr>
                  <w:t>30 ≤ X &lt; 45</w:t>
                </w:r>
              </w:sdtContent>
            </w:sdt>
          </w:p>
        </w:tc>
        <w:tc>
          <w:tcPr>
            <w:tcW w:w="561" w:type="dxa"/>
            <w:tcBorders>
              <w:top w:val="single" w:sz="4" w:space="0" w:color="auto"/>
              <w:bottom w:val="single" w:sz="4" w:space="0" w:color="auto"/>
            </w:tcBorders>
          </w:tcPr>
          <w:p w14:paraId="24D766F2" w14:textId="77777777" w:rsidR="00375294" w:rsidRPr="0019725D" w:rsidRDefault="00375294" w:rsidP="004E7575">
            <w:pPr>
              <w:jc w:val="center"/>
              <w:rPr>
                <w:sz w:val="20"/>
                <w:szCs w:val="20"/>
              </w:rPr>
            </w:pPr>
            <w:r w:rsidRPr="0019725D">
              <w:rPr>
                <w:sz w:val="20"/>
                <w:szCs w:val="20"/>
              </w:rPr>
              <w:t>57</w:t>
            </w:r>
          </w:p>
        </w:tc>
        <w:tc>
          <w:tcPr>
            <w:tcW w:w="764" w:type="dxa"/>
            <w:tcBorders>
              <w:top w:val="single" w:sz="4" w:space="0" w:color="auto"/>
              <w:bottom w:val="single" w:sz="4" w:space="0" w:color="auto"/>
            </w:tcBorders>
          </w:tcPr>
          <w:p w14:paraId="769509BC" w14:textId="77777777" w:rsidR="00375294" w:rsidRPr="0019725D" w:rsidRDefault="00375294" w:rsidP="004E7575">
            <w:pPr>
              <w:jc w:val="center"/>
              <w:rPr>
                <w:sz w:val="20"/>
                <w:szCs w:val="20"/>
              </w:rPr>
            </w:pPr>
            <w:r w:rsidRPr="0019725D">
              <w:rPr>
                <w:sz w:val="20"/>
                <w:szCs w:val="20"/>
              </w:rPr>
              <w:t>56,4%</w:t>
            </w:r>
          </w:p>
        </w:tc>
      </w:tr>
      <w:tr w:rsidR="00375294" w:rsidRPr="0019725D" w14:paraId="3D3FB272" w14:textId="77777777" w:rsidTr="00375294">
        <w:trPr>
          <w:trHeight w:val="296"/>
        </w:trPr>
        <w:tc>
          <w:tcPr>
            <w:tcW w:w="992" w:type="dxa"/>
            <w:tcBorders>
              <w:top w:val="single" w:sz="4" w:space="0" w:color="auto"/>
              <w:bottom w:val="single" w:sz="4" w:space="0" w:color="auto"/>
            </w:tcBorders>
          </w:tcPr>
          <w:p w14:paraId="6B609A0C" w14:textId="77777777" w:rsidR="00375294" w:rsidRPr="0019725D" w:rsidRDefault="00375294" w:rsidP="004E7575">
            <w:pPr>
              <w:jc w:val="center"/>
              <w:rPr>
                <w:sz w:val="20"/>
                <w:szCs w:val="20"/>
              </w:rPr>
            </w:pPr>
            <w:r w:rsidRPr="0019725D">
              <w:rPr>
                <w:sz w:val="20"/>
                <w:szCs w:val="20"/>
              </w:rPr>
              <w:t>Rendah</w:t>
            </w:r>
          </w:p>
        </w:tc>
        <w:tc>
          <w:tcPr>
            <w:tcW w:w="1276" w:type="dxa"/>
            <w:tcBorders>
              <w:top w:val="single" w:sz="4" w:space="0" w:color="auto"/>
              <w:bottom w:val="single" w:sz="4" w:space="0" w:color="auto"/>
            </w:tcBorders>
          </w:tcPr>
          <w:p w14:paraId="7402A250" w14:textId="77777777" w:rsidR="00375294" w:rsidRPr="0019725D" w:rsidRDefault="00375294" w:rsidP="004E7575">
            <w:pPr>
              <w:jc w:val="center"/>
              <w:rPr>
                <w:sz w:val="20"/>
                <w:szCs w:val="20"/>
              </w:rPr>
            </w:pPr>
            <w:r w:rsidRPr="0019725D">
              <w:rPr>
                <w:sz w:val="20"/>
                <w:szCs w:val="20"/>
              </w:rPr>
              <w:t>X &lt; μ - 1σ</w:t>
            </w:r>
          </w:p>
        </w:tc>
        <w:tc>
          <w:tcPr>
            <w:tcW w:w="783" w:type="dxa"/>
            <w:tcBorders>
              <w:top w:val="single" w:sz="4" w:space="0" w:color="auto"/>
              <w:bottom w:val="single" w:sz="4" w:space="0" w:color="auto"/>
            </w:tcBorders>
          </w:tcPr>
          <w:p w14:paraId="2419BCE4" w14:textId="77777777" w:rsidR="00375294" w:rsidRPr="0019725D" w:rsidRDefault="00375294" w:rsidP="004E7575">
            <w:pPr>
              <w:jc w:val="center"/>
              <w:rPr>
                <w:sz w:val="20"/>
                <w:szCs w:val="20"/>
              </w:rPr>
            </w:pPr>
            <w:r w:rsidRPr="0019725D">
              <w:rPr>
                <w:sz w:val="20"/>
                <w:szCs w:val="20"/>
              </w:rPr>
              <w:t>X &lt; 30</w:t>
            </w:r>
          </w:p>
        </w:tc>
        <w:tc>
          <w:tcPr>
            <w:tcW w:w="561" w:type="dxa"/>
            <w:tcBorders>
              <w:top w:val="single" w:sz="4" w:space="0" w:color="auto"/>
              <w:bottom w:val="single" w:sz="4" w:space="0" w:color="auto"/>
            </w:tcBorders>
          </w:tcPr>
          <w:p w14:paraId="0A704AFA" w14:textId="77777777" w:rsidR="00375294" w:rsidRPr="0019725D" w:rsidRDefault="00375294" w:rsidP="004E7575">
            <w:pPr>
              <w:jc w:val="center"/>
              <w:rPr>
                <w:sz w:val="20"/>
                <w:szCs w:val="20"/>
              </w:rPr>
            </w:pPr>
            <w:r w:rsidRPr="0019725D">
              <w:rPr>
                <w:sz w:val="20"/>
                <w:szCs w:val="20"/>
              </w:rPr>
              <w:t>10</w:t>
            </w:r>
          </w:p>
        </w:tc>
        <w:tc>
          <w:tcPr>
            <w:tcW w:w="764" w:type="dxa"/>
            <w:tcBorders>
              <w:top w:val="single" w:sz="4" w:space="0" w:color="auto"/>
              <w:bottom w:val="single" w:sz="4" w:space="0" w:color="auto"/>
            </w:tcBorders>
          </w:tcPr>
          <w:p w14:paraId="10F90BA0" w14:textId="77777777" w:rsidR="00375294" w:rsidRPr="0019725D" w:rsidRDefault="00375294" w:rsidP="004E7575">
            <w:pPr>
              <w:jc w:val="center"/>
              <w:rPr>
                <w:sz w:val="20"/>
                <w:szCs w:val="20"/>
              </w:rPr>
            </w:pPr>
            <w:r w:rsidRPr="0019725D">
              <w:rPr>
                <w:sz w:val="20"/>
                <w:szCs w:val="20"/>
              </w:rPr>
              <w:t>9,9%</w:t>
            </w:r>
          </w:p>
        </w:tc>
      </w:tr>
      <w:tr w:rsidR="00375294" w:rsidRPr="0019725D" w14:paraId="1503CD36" w14:textId="77777777" w:rsidTr="00375294">
        <w:trPr>
          <w:trHeight w:val="89"/>
        </w:trPr>
        <w:tc>
          <w:tcPr>
            <w:tcW w:w="3051" w:type="dxa"/>
            <w:gridSpan w:val="3"/>
            <w:tcBorders>
              <w:top w:val="single" w:sz="4" w:space="0" w:color="auto"/>
              <w:bottom w:val="single" w:sz="4" w:space="0" w:color="auto"/>
            </w:tcBorders>
          </w:tcPr>
          <w:p w14:paraId="4FAD9787" w14:textId="77777777" w:rsidR="00375294" w:rsidRPr="0019725D" w:rsidRDefault="00375294" w:rsidP="004E7575">
            <w:pPr>
              <w:pBdr>
                <w:top w:val="nil"/>
                <w:left w:val="nil"/>
                <w:bottom w:val="nil"/>
                <w:right w:val="nil"/>
                <w:between w:val="nil"/>
              </w:pBdr>
              <w:jc w:val="center"/>
              <w:rPr>
                <w:color w:val="000000"/>
                <w:sz w:val="20"/>
                <w:szCs w:val="20"/>
              </w:rPr>
            </w:pPr>
            <w:r w:rsidRPr="0019725D">
              <w:rPr>
                <w:color w:val="000000"/>
                <w:sz w:val="20"/>
                <w:szCs w:val="20"/>
              </w:rPr>
              <w:t>Total</w:t>
            </w:r>
          </w:p>
        </w:tc>
        <w:tc>
          <w:tcPr>
            <w:tcW w:w="561" w:type="dxa"/>
            <w:tcBorders>
              <w:top w:val="single" w:sz="4" w:space="0" w:color="auto"/>
              <w:bottom w:val="single" w:sz="4" w:space="0" w:color="auto"/>
            </w:tcBorders>
          </w:tcPr>
          <w:p w14:paraId="519B0742" w14:textId="77777777" w:rsidR="00375294" w:rsidRPr="0019725D" w:rsidRDefault="00375294" w:rsidP="004E7575">
            <w:pPr>
              <w:jc w:val="center"/>
              <w:rPr>
                <w:sz w:val="20"/>
                <w:szCs w:val="20"/>
              </w:rPr>
            </w:pPr>
            <w:r w:rsidRPr="0019725D">
              <w:rPr>
                <w:sz w:val="20"/>
                <w:szCs w:val="20"/>
              </w:rPr>
              <w:t>101</w:t>
            </w:r>
          </w:p>
        </w:tc>
        <w:tc>
          <w:tcPr>
            <w:tcW w:w="764" w:type="dxa"/>
            <w:tcBorders>
              <w:top w:val="single" w:sz="4" w:space="0" w:color="auto"/>
              <w:bottom w:val="single" w:sz="4" w:space="0" w:color="auto"/>
            </w:tcBorders>
          </w:tcPr>
          <w:p w14:paraId="43725A6D" w14:textId="77777777" w:rsidR="00375294" w:rsidRPr="0019725D" w:rsidRDefault="00375294" w:rsidP="004E7575">
            <w:pPr>
              <w:jc w:val="center"/>
              <w:rPr>
                <w:sz w:val="20"/>
                <w:szCs w:val="20"/>
              </w:rPr>
            </w:pPr>
            <w:r w:rsidRPr="0019725D">
              <w:rPr>
                <w:sz w:val="20"/>
                <w:szCs w:val="20"/>
              </w:rPr>
              <w:t>100%</w:t>
            </w:r>
          </w:p>
        </w:tc>
      </w:tr>
    </w:tbl>
    <w:p w14:paraId="4DE43A47" w14:textId="77777777" w:rsidR="00375294" w:rsidRDefault="00375294" w:rsidP="00306559">
      <w:pPr>
        <w:spacing w:before="41"/>
        <w:ind w:left="520"/>
        <w:rPr>
          <w:b/>
          <w:sz w:val="24"/>
        </w:rPr>
      </w:pPr>
    </w:p>
    <w:p w14:paraId="479C8F55" w14:textId="77777777" w:rsidR="00BF13FE" w:rsidRPr="00BF13FE" w:rsidRDefault="00BF13FE" w:rsidP="00BF13FE">
      <w:pPr>
        <w:pStyle w:val="Heading1"/>
        <w:numPr>
          <w:ilvl w:val="0"/>
          <w:numId w:val="2"/>
        </w:numPr>
        <w:tabs>
          <w:tab w:val="left" w:pos="648"/>
        </w:tabs>
        <w:rPr>
          <w:i/>
          <w:sz w:val="22"/>
          <w:szCs w:val="22"/>
        </w:rPr>
      </w:pPr>
      <w:r w:rsidRPr="00BF13FE">
        <w:rPr>
          <w:i/>
          <w:sz w:val="22"/>
          <w:szCs w:val="22"/>
        </w:rPr>
        <w:t>Psychological Well Being</w:t>
      </w:r>
    </w:p>
    <w:p w14:paraId="5C338C0A" w14:textId="77777777" w:rsidR="00BF13FE" w:rsidRPr="00BF13FE" w:rsidRDefault="00BF13FE" w:rsidP="00BF13FE">
      <w:pPr>
        <w:pBdr>
          <w:top w:val="nil"/>
          <w:left w:val="nil"/>
          <w:bottom w:val="nil"/>
          <w:right w:val="nil"/>
          <w:between w:val="nil"/>
        </w:pBdr>
        <w:spacing w:line="360" w:lineRule="auto"/>
        <w:ind w:left="284" w:firstLine="567"/>
        <w:jc w:val="both"/>
        <w:rPr>
          <w:color w:val="000000"/>
          <w:sz w:val="24"/>
          <w:szCs w:val="24"/>
        </w:rPr>
      </w:pPr>
      <w:r w:rsidRPr="005C68CD">
        <w:rPr>
          <w:color w:val="000000"/>
          <w:sz w:val="24"/>
          <w:szCs w:val="24"/>
        </w:rPr>
        <w:t xml:space="preserve">Variabel </w:t>
      </w:r>
      <w:r w:rsidRPr="005C68CD">
        <w:rPr>
          <w:i/>
          <w:color w:val="000000"/>
          <w:sz w:val="24"/>
          <w:szCs w:val="24"/>
        </w:rPr>
        <w:t xml:space="preserve">psychological well being </w:t>
      </w:r>
      <w:r w:rsidRPr="005C68CD">
        <w:rPr>
          <w:color w:val="000000"/>
          <w:sz w:val="24"/>
          <w:szCs w:val="24"/>
        </w:rPr>
        <w:t xml:space="preserve">dikelompokkan menjadi 3 yakni tertinggi, sedang, dan terendah. Hasil dari kategori didasarkan pada mean dan standar deviasi </w:t>
      </w:r>
      <w:r w:rsidRPr="005C68CD">
        <w:rPr>
          <w:sz w:val="24"/>
          <w:szCs w:val="24"/>
        </w:rPr>
        <w:t>empirik</w:t>
      </w:r>
      <w:r w:rsidRPr="005C68CD">
        <w:rPr>
          <w:color w:val="000000"/>
          <w:sz w:val="24"/>
          <w:szCs w:val="24"/>
        </w:rPr>
        <w:t xml:space="preserve"> didapatkan hasilnya yakni </w:t>
      </w:r>
      <w:r w:rsidRPr="005C68CD">
        <w:rPr>
          <w:sz w:val="24"/>
          <w:szCs w:val="24"/>
        </w:rPr>
        <w:t>kategorisasi</w:t>
      </w:r>
      <w:r w:rsidRPr="005C68CD">
        <w:rPr>
          <w:color w:val="000000"/>
          <w:sz w:val="24"/>
          <w:szCs w:val="24"/>
        </w:rPr>
        <w:t xml:space="preserve"> tinggi 28% (28 subjek), kategori sedang 47% (48 subjek), dan kategorisasi rendah 25% (25 subjek). Berdasarkan data diatas </w:t>
      </w:r>
      <w:r w:rsidRPr="005C68CD">
        <w:rPr>
          <w:i/>
          <w:color w:val="000000"/>
          <w:sz w:val="24"/>
          <w:szCs w:val="24"/>
        </w:rPr>
        <w:t xml:space="preserve">psychological well being </w:t>
      </w:r>
      <w:r w:rsidRPr="005C68CD">
        <w:rPr>
          <w:color w:val="000000"/>
          <w:sz w:val="24"/>
          <w:szCs w:val="24"/>
        </w:rPr>
        <w:t>sebagian besar subjek masuk kategorisasi yang sedang</w:t>
      </w:r>
      <w:r w:rsidRPr="005C68CD">
        <w:rPr>
          <w:sz w:val="24"/>
          <w:szCs w:val="24"/>
        </w:rPr>
        <w:t>.</w:t>
      </w:r>
      <w:r>
        <w:rPr>
          <w:sz w:val="24"/>
          <w:szCs w:val="24"/>
        </w:rPr>
        <w:t xml:space="preserve"> Hal tersebut </w:t>
      </w:r>
      <w:r>
        <w:t>dapat dilihat pada Tabel 3:</w:t>
      </w:r>
    </w:p>
    <w:p w14:paraId="40904582" w14:textId="77777777" w:rsidR="00BF13FE" w:rsidRPr="00BF13FE" w:rsidRDefault="00BF13FE" w:rsidP="00BF13FE">
      <w:pPr>
        <w:pStyle w:val="Heading1"/>
        <w:spacing w:before="5"/>
        <w:rPr>
          <w:sz w:val="22"/>
          <w:szCs w:val="22"/>
        </w:rPr>
      </w:pPr>
      <w:r w:rsidRPr="00BF13FE">
        <w:rPr>
          <w:sz w:val="22"/>
          <w:szCs w:val="22"/>
        </w:rPr>
        <w:t>Tabel 3</w:t>
      </w:r>
    </w:p>
    <w:p w14:paraId="79C758F3" w14:textId="77777777" w:rsidR="00BF13FE" w:rsidRDefault="00BF13FE" w:rsidP="00BF13FE">
      <w:pPr>
        <w:spacing w:before="41" w:line="276" w:lineRule="auto"/>
        <w:ind w:left="1854" w:right="621" w:hanging="1133"/>
        <w:jc w:val="both"/>
        <w:rPr>
          <w:b/>
          <w:i/>
        </w:rPr>
      </w:pPr>
      <w:r w:rsidRPr="00BF13FE">
        <w:rPr>
          <w:b/>
        </w:rPr>
        <w:t xml:space="preserve">Kategorisasi </w:t>
      </w:r>
      <w:r>
        <w:rPr>
          <w:b/>
        </w:rPr>
        <w:t xml:space="preserve"> </w:t>
      </w:r>
      <w:r>
        <w:rPr>
          <w:b/>
          <w:i/>
        </w:rPr>
        <w:t>Psychological Well Being</w:t>
      </w:r>
    </w:p>
    <w:p w14:paraId="6FAC627A" w14:textId="77777777" w:rsidR="00BF13FE" w:rsidRDefault="00BF13FE" w:rsidP="00BF13FE">
      <w:pPr>
        <w:spacing w:before="41" w:line="276" w:lineRule="auto"/>
        <w:ind w:left="1854" w:right="621" w:hanging="1133"/>
        <w:jc w:val="both"/>
        <w:rPr>
          <w:b/>
          <w:i/>
        </w:rPr>
      </w:pPr>
    </w:p>
    <w:tbl>
      <w:tblPr>
        <w:tblW w:w="4376" w:type="dxa"/>
        <w:tblInd w:w="284" w:type="dxa"/>
        <w:tblLayout w:type="fixed"/>
        <w:tblLook w:val="04A0" w:firstRow="1" w:lastRow="0" w:firstColumn="1" w:lastColumn="0" w:noHBand="0" w:noVBand="1"/>
      </w:tblPr>
      <w:tblGrid>
        <w:gridCol w:w="992"/>
        <w:gridCol w:w="1276"/>
        <w:gridCol w:w="783"/>
        <w:gridCol w:w="561"/>
        <w:gridCol w:w="764"/>
      </w:tblGrid>
      <w:tr w:rsidR="00BF13FE" w:rsidRPr="0019725D" w14:paraId="209AB089" w14:textId="77777777" w:rsidTr="004E7575">
        <w:trPr>
          <w:trHeight w:val="296"/>
        </w:trPr>
        <w:tc>
          <w:tcPr>
            <w:tcW w:w="992" w:type="dxa"/>
            <w:tcBorders>
              <w:top w:val="single" w:sz="4" w:space="0" w:color="auto"/>
              <w:bottom w:val="single" w:sz="4" w:space="0" w:color="auto"/>
            </w:tcBorders>
          </w:tcPr>
          <w:p w14:paraId="434ADA6E" w14:textId="77777777" w:rsidR="00BF13FE" w:rsidRPr="00251A4C" w:rsidRDefault="00BF13FE" w:rsidP="004E7575">
            <w:pPr>
              <w:jc w:val="center"/>
              <w:rPr>
                <w:b/>
                <w:sz w:val="20"/>
                <w:szCs w:val="20"/>
              </w:rPr>
            </w:pPr>
            <w:r w:rsidRPr="00251A4C">
              <w:rPr>
                <w:b/>
                <w:sz w:val="20"/>
                <w:szCs w:val="20"/>
              </w:rPr>
              <w:t>Kategori</w:t>
            </w:r>
          </w:p>
        </w:tc>
        <w:tc>
          <w:tcPr>
            <w:tcW w:w="1276" w:type="dxa"/>
            <w:tcBorders>
              <w:top w:val="single" w:sz="4" w:space="0" w:color="auto"/>
              <w:bottom w:val="single" w:sz="4" w:space="0" w:color="auto"/>
            </w:tcBorders>
          </w:tcPr>
          <w:p w14:paraId="29AA8E65" w14:textId="77777777" w:rsidR="00BF13FE" w:rsidRPr="00251A4C" w:rsidRDefault="00BF13FE" w:rsidP="004E7575">
            <w:pPr>
              <w:jc w:val="center"/>
              <w:rPr>
                <w:b/>
                <w:sz w:val="20"/>
                <w:szCs w:val="20"/>
              </w:rPr>
            </w:pPr>
            <w:r w:rsidRPr="00251A4C">
              <w:rPr>
                <w:b/>
                <w:sz w:val="20"/>
                <w:szCs w:val="20"/>
              </w:rPr>
              <w:t>Pedoman</w:t>
            </w:r>
          </w:p>
        </w:tc>
        <w:tc>
          <w:tcPr>
            <w:tcW w:w="783" w:type="dxa"/>
            <w:tcBorders>
              <w:top w:val="single" w:sz="4" w:space="0" w:color="auto"/>
              <w:bottom w:val="single" w:sz="4" w:space="0" w:color="auto"/>
            </w:tcBorders>
          </w:tcPr>
          <w:p w14:paraId="0F2589C4" w14:textId="77777777" w:rsidR="00BF13FE" w:rsidRPr="00251A4C" w:rsidRDefault="00BF13FE" w:rsidP="004E7575">
            <w:pPr>
              <w:jc w:val="center"/>
              <w:rPr>
                <w:b/>
                <w:sz w:val="20"/>
                <w:szCs w:val="20"/>
              </w:rPr>
            </w:pPr>
            <w:r w:rsidRPr="00251A4C">
              <w:rPr>
                <w:b/>
                <w:sz w:val="20"/>
                <w:szCs w:val="20"/>
              </w:rPr>
              <w:t>Skor</w:t>
            </w:r>
          </w:p>
        </w:tc>
        <w:tc>
          <w:tcPr>
            <w:tcW w:w="561" w:type="dxa"/>
            <w:tcBorders>
              <w:top w:val="single" w:sz="4" w:space="0" w:color="auto"/>
              <w:bottom w:val="single" w:sz="4" w:space="0" w:color="auto"/>
            </w:tcBorders>
          </w:tcPr>
          <w:p w14:paraId="2E22EC36" w14:textId="77777777" w:rsidR="00BF13FE" w:rsidRPr="00251A4C" w:rsidRDefault="00BF13FE" w:rsidP="004E7575">
            <w:pPr>
              <w:jc w:val="center"/>
              <w:rPr>
                <w:b/>
                <w:sz w:val="20"/>
                <w:szCs w:val="20"/>
              </w:rPr>
            </w:pPr>
            <w:r w:rsidRPr="00251A4C">
              <w:rPr>
                <w:b/>
                <w:sz w:val="20"/>
                <w:szCs w:val="20"/>
              </w:rPr>
              <w:t>N</w:t>
            </w:r>
          </w:p>
        </w:tc>
        <w:tc>
          <w:tcPr>
            <w:tcW w:w="764" w:type="dxa"/>
            <w:tcBorders>
              <w:top w:val="single" w:sz="4" w:space="0" w:color="auto"/>
              <w:bottom w:val="single" w:sz="4" w:space="0" w:color="auto"/>
            </w:tcBorders>
          </w:tcPr>
          <w:p w14:paraId="0CCC9C73" w14:textId="77777777" w:rsidR="00BF13FE" w:rsidRPr="00251A4C" w:rsidRDefault="00BF13FE" w:rsidP="004E7575">
            <w:pPr>
              <w:jc w:val="center"/>
              <w:rPr>
                <w:b/>
                <w:sz w:val="20"/>
                <w:szCs w:val="20"/>
              </w:rPr>
            </w:pPr>
            <w:r>
              <w:rPr>
                <w:b/>
                <w:sz w:val="20"/>
                <w:szCs w:val="20"/>
              </w:rPr>
              <w:t>%</w:t>
            </w:r>
          </w:p>
        </w:tc>
      </w:tr>
      <w:tr w:rsidR="00BF13FE" w:rsidRPr="0019725D" w14:paraId="78DE0D67" w14:textId="77777777" w:rsidTr="004E7575">
        <w:trPr>
          <w:trHeight w:val="324"/>
        </w:trPr>
        <w:tc>
          <w:tcPr>
            <w:tcW w:w="992" w:type="dxa"/>
            <w:tcBorders>
              <w:top w:val="single" w:sz="4" w:space="0" w:color="auto"/>
              <w:bottom w:val="single" w:sz="4" w:space="0" w:color="auto"/>
            </w:tcBorders>
          </w:tcPr>
          <w:p w14:paraId="6973398E" w14:textId="77777777" w:rsidR="00BF13FE" w:rsidRPr="0019725D" w:rsidRDefault="00BF13FE" w:rsidP="004E7575">
            <w:pPr>
              <w:jc w:val="center"/>
              <w:rPr>
                <w:sz w:val="20"/>
                <w:szCs w:val="20"/>
              </w:rPr>
            </w:pPr>
            <w:r w:rsidRPr="0019725D">
              <w:rPr>
                <w:sz w:val="20"/>
                <w:szCs w:val="20"/>
              </w:rPr>
              <w:t>Tinggi</w:t>
            </w:r>
          </w:p>
        </w:tc>
        <w:tc>
          <w:tcPr>
            <w:tcW w:w="1276" w:type="dxa"/>
            <w:tcBorders>
              <w:top w:val="single" w:sz="4" w:space="0" w:color="auto"/>
              <w:bottom w:val="single" w:sz="4" w:space="0" w:color="auto"/>
            </w:tcBorders>
          </w:tcPr>
          <w:p w14:paraId="0473E8DC" w14:textId="77777777" w:rsidR="00BF13FE" w:rsidRPr="0019725D" w:rsidRDefault="005E53F8" w:rsidP="004E7575">
            <w:pPr>
              <w:jc w:val="center"/>
              <w:rPr>
                <w:sz w:val="20"/>
                <w:szCs w:val="20"/>
              </w:rPr>
            </w:pPr>
            <w:sdt>
              <w:sdtPr>
                <w:rPr>
                  <w:sz w:val="20"/>
                  <w:szCs w:val="20"/>
                </w:rPr>
                <w:tag w:val="goog_rdk_0"/>
                <w:id w:val="-1896576191"/>
              </w:sdtPr>
              <w:sdtEndPr/>
              <w:sdtContent>
                <w:r w:rsidR="00BF13FE" w:rsidRPr="0019725D">
                  <w:rPr>
                    <w:rFonts w:eastAsia="Gungsuh"/>
                    <w:sz w:val="20"/>
                    <w:szCs w:val="20"/>
                  </w:rPr>
                  <w:t>X ≥ (μ + 1σ)</w:t>
                </w:r>
              </w:sdtContent>
            </w:sdt>
          </w:p>
        </w:tc>
        <w:tc>
          <w:tcPr>
            <w:tcW w:w="783" w:type="dxa"/>
            <w:tcBorders>
              <w:top w:val="single" w:sz="4" w:space="0" w:color="auto"/>
              <w:bottom w:val="single" w:sz="4" w:space="0" w:color="auto"/>
            </w:tcBorders>
          </w:tcPr>
          <w:p w14:paraId="6DB90574" w14:textId="77777777" w:rsidR="00BF13FE" w:rsidRPr="0019725D" w:rsidRDefault="005E53F8" w:rsidP="004E7575">
            <w:pPr>
              <w:jc w:val="center"/>
              <w:rPr>
                <w:sz w:val="20"/>
                <w:szCs w:val="20"/>
              </w:rPr>
            </w:pPr>
            <w:sdt>
              <w:sdtPr>
                <w:rPr>
                  <w:sz w:val="20"/>
                  <w:szCs w:val="20"/>
                </w:rPr>
                <w:tag w:val="goog_rdk_1"/>
                <w:id w:val="-1846093528"/>
              </w:sdtPr>
              <w:sdtEndPr/>
              <w:sdtContent>
                <w:r w:rsidR="00BF13FE">
                  <w:rPr>
                    <w:rFonts w:eastAsia="Gungsuh"/>
                    <w:sz w:val="20"/>
                    <w:szCs w:val="20"/>
                  </w:rPr>
                  <w:t>X ≥ 72</w:t>
                </w:r>
              </w:sdtContent>
            </w:sdt>
          </w:p>
        </w:tc>
        <w:tc>
          <w:tcPr>
            <w:tcW w:w="561" w:type="dxa"/>
            <w:tcBorders>
              <w:top w:val="single" w:sz="4" w:space="0" w:color="auto"/>
              <w:bottom w:val="single" w:sz="4" w:space="0" w:color="auto"/>
            </w:tcBorders>
          </w:tcPr>
          <w:p w14:paraId="6E13228E" w14:textId="77777777" w:rsidR="00BF13FE" w:rsidRPr="0019725D" w:rsidRDefault="00BF13FE" w:rsidP="004E7575">
            <w:pPr>
              <w:jc w:val="center"/>
              <w:rPr>
                <w:sz w:val="20"/>
                <w:szCs w:val="20"/>
              </w:rPr>
            </w:pPr>
            <w:r>
              <w:rPr>
                <w:sz w:val="20"/>
                <w:szCs w:val="20"/>
              </w:rPr>
              <w:t>28</w:t>
            </w:r>
          </w:p>
        </w:tc>
        <w:tc>
          <w:tcPr>
            <w:tcW w:w="764" w:type="dxa"/>
            <w:tcBorders>
              <w:top w:val="single" w:sz="4" w:space="0" w:color="auto"/>
              <w:bottom w:val="single" w:sz="4" w:space="0" w:color="auto"/>
            </w:tcBorders>
          </w:tcPr>
          <w:p w14:paraId="6F21A5AF" w14:textId="77777777" w:rsidR="00BF13FE" w:rsidRPr="0019725D" w:rsidRDefault="00BF13FE" w:rsidP="004E7575">
            <w:pPr>
              <w:jc w:val="center"/>
              <w:rPr>
                <w:sz w:val="20"/>
                <w:szCs w:val="20"/>
              </w:rPr>
            </w:pPr>
            <w:r>
              <w:rPr>
                <w:sz w:val="20"/>
                <w:szCs w:val="20"/>
              </w:rPr>
              <w:t>27</w:t>
            </w:r>
            <w:r w:rsidRPr="0019725D">
              <w:rPr>
                <w:sz w:val="20"/>
                <w:szCs w:val="20"/>
              </w:rPr>
              <w:t>,7%</w:t>
            </w:r>
          </w:p>
        </w:tc>
      </w:tr>
      <w:tr w:rsidR="00BF13FE" w:rsidRPr="0019725D" w14:paraId="2437139D" w14:textId="77777777" w:rsidTr="004E7575">
        <w:trPr>
          <w:trHeight w:val="296"/>
        </w:trPr>
        <w:tc>
          <w:tcPr>
            <w:tcW w:w="992" w:type="dxa"/>
            <w:tcBorders>
              <w:top w:val="single" w:sz="4" w:space="0" w:color="auto"/>
              <w:bottom w:val="single" w:sz="4" w:space="0" w:color="auto"/>
            </w:tcBorders>
          </w:tcPr>
          <w:p w14:paraId="79B518BB" w14:textId="77777777" w:rsidR="00BF13FE" w:rsidRPr="0019725D" w:rsidRDefault="00BF13FE" w:rsidP="004E7575">
            <w:pPr>
              <w:jc w:val="center"/>
              <w:rPr>
                <w:sz w:val="20"/>
                <w:szCs w:val="20"/>
              </w:rPr>
            </w:pPr>
            <w:r w:rsidRPr="0019725D">
              <w:rPr>
                <w:sz w:val="20"/>
                <w:szCs w:val="20"/>
              </w:rPr>
              <w:t>Sedang</w:t>
            </w:r>
          </w:p>
        </w:tc>
        <w:tc>
          <w:tcPr>
            <w:tcW w:w="1276" w:type="dxa"/>
            <w:tcBorders>
              <w:top w:val="single" w:sz="4" w:space="0" w:color="auto"/>
              <w:bottom w:val="single" w:sz="4" w:space="0" w:color="auto"/>
            </w:tcBorders>
          </w:tcPr>
          <w:p w14:paraId="3382C8ED" w14:textId="77777777" w:rsidR="00BF13FE" w:rsidRPr="0019725D" w:rsidRDefault="005E53F8" w:rsidP="004E7575">
            <w:pPr>
              <w:jc w:val="center"/>
              <w:rPr>
                <w:sz w:val="20"/>
                <w:szCs w:val="20"/>
              </w:rPr>
            </w:pPr>
            <w:sdt>
              <w:sdtPr>
                <w:rPr>
                  <w:sz w:val="20"/>
                  <w:szCs w:val="20"/>
                </w:rPr>
                <w:tag w:val="goog_rdk_2"/>
                <w:id w:val="1048724245"/>
              </w:sdtPr>
              <w:sdtEndPr/>
              <w:sdtContent>
                <w:r w:rsidR="00BF13FE" w:rsidRPr="0019725D">
                  <w:rPr>
                    <w:rFonts w:eastAsia="Cardo"/>
                    <w:sz w:val="20"/>
                    <w:szCs w:val="20"/>
                  </w:rPr>
                  <w:t>μ - 1σ ≤ X &lt; μ + 1σ</w:t>
                </w:r>
              </w:sdtContent>
            </w:sdt>
          </w:p>
        </w:tc>
        <w:tc>
          <w:tcPr>
            <w:tcW w:w="783" w:type="dxa"/>
            <w:tcBorders>
              <w:top w:val="single" w:sz="4" w:space="0" w:color="auto"/>
              <w:bottom w:val="single" w:sz="4" w:space="0" w:color="auto"/>
            </w:tcBorders>
          </w:tcPr>
          <w:p w14:paraId="3B6303D7" w14:textId="77777777" w:rsidR="00BF13FE" w:rsidRPr="0019725D" w:rsidRDefault="005E53F8" w:rsidP="004E7575">
            <w:pPr>
              <w:jc w:val="center"/>
              <w:rPr>
                <w:sz w:val="20"/>
                <w:szCs w:val="20"/>
              </w:rPr>
            </w:pPr>
            <w:sdt>
              <w:sdtPr>
                <w:rPr>
                  <w:sz w:val="20"/>
                  <w:szCs w:val="20"/>
                </w:rPr>
                <w:tag w:val="goog_rdk_3"/>
                <w:id w:val="-894270670"/>
              </w:sdtPr>
              <w:sdtEndPr/>
              <w:sdtContent>
                <w:r w:rsidR="00BF13FE">
                  <w:rPr>
                    <w:rFonts w:eastAsia="Gungsuh"/>
                    <w:sz w:val="20"/>
                    <w:szCs w:val="20"/>
                  </w:rPr>
                  <w:t>48 ≤ X &lt; 72</w:t>
                </w:r>
              </w:sdtContent>
            </w:sdt>
          </w:p>
        </w:tc>
        <w:tc>
          <w:tcPr>
            <w:tcW w:w="561" w:type="dxa"/>
            <w:tcBorders>
              <w:top w:val="single" w:sz="4" w:space="0" w:color="auto"/>
              <w:bottom w:val="single" w:sz="4" w:space="0" w:color="auto"/>
            </w:tcBorders>
          </w:tcPr>
          <w:p w14:paraId="60971D7B" w14:textId="77777777" w:rsidR="00BF13FE" w:rsidRPr="0019725D" w:rsidRDefault="00BF13FE" w:rsidP="004E7575">
            <w:pPr>
              <w:jc w:val="center"/>
              <w:rPr>
                <w:sz w:val="20"/>
                <w:szCs w:val="20"/>
              </w:rPr>
            </w:pPr>
            <w:r>
              <w:rPr>
                <w:sz w:val="20"/>
                <w:szCs w:val="20"/>
              </w:rPr>
              <w:t>48</w:t>
            </w:r>
          </w:p>
        </w:tc>
        <w:tc>
          <w:tcPr>
            <w:tcW w:w="764" w:type="dxa"/>
            <w:tcBorders>
              <w:top w:val="single" w:sz="4" w:space="0" w:color="auto"/>
              <w:bottom w:val="single" w:sz="4" w:space="0" w:color="auto"/>
            </w:tcBorders>
          </w:tcPr>
          <w:p w14:paraId="2052D160" w14:textId="77777777" w:rsidR="00BF13FE" w:rsidRPr="0019725D" w:rsidRDefault="00BF13FE" w:rsidP="004E7575">
            <w:pPr>
              <w:jc w:val="center"/>
              <w:rPr>
                <w:sz w:val="20"/>
                <w:szCs w:val="20"/>
              </w:rPr>
            </w:pPr>
            <w:r>
              <w:rPr>
                <w:sz w:val="20"/>
                <w:szCs w:val="20"/>
              </w:rPr>
              <w:t>47,6</w:t>
            </w:r>
            <w:r w:rsidRPr="0019725D">
              <w:rPr>
                <w:sz w:val="20"/>
                <w:szCs w:val="20"/>
              </w:rPr>
              <w:t>%</w:t>
            </w:r>
          </w:p>
        </w:tc>
      </w:tr>
      <w:tr w:rsidR="00BF13FE" w:rsidRPr="0019725D" w14:paraId="38DCFE08" w14:textId="77777777" w:rsidTr="004E7575">
        <w:trPr>
          <w:trHeight w:val="296"/>
        </w:trPr>
        <w:tc>
          <w:tcPr>
            <w:tcW w:w="992" w:type="dxa"/>
            <w:tcBorders>
              <w:top w:val="single" w:sz="4" w:space="0" w:color="auto"/>
              <w:bottom w:val="single" w:sz="4" w:space="0" w:color="auto"/>
            </w:tcBorders>
          </w:tcPr>
          <w:p w14:paraId="6FF8294D" w14:textId="77777777" w:rsidR="00BF13FE" w:rsidRPr="0019725D" w:rsidRDefault="00BF13FE" w:rsidP="004E7575">
            <w:pPr>
              <w:jc w:val="center"/>
              <w:rPr>
                <w:sz w:val="20"/>
                <w:szCs w:val="20"/>
              </w:rPr>
            </w:pPr>
            <w:r w:rsidRPr="0019725D">
              <w:rPr>
                <w:sz w:val="20"/>
                <w:szCs w:val="20"/>
              </w:rPr>
              <w:t>Rendah</w:t>
            </w:r>
          </w:p>
        </w:tc>
        <w:tc>
          <w:tcPr>
            <w:tcW w:w="1276" w:type="dxa"/>
            <w:tcBorders>
              <w:top w:val="single" w:sz="4" w:space="0" w:color="auto"/>
              <w:bottom w:val="single" w:sz="4" w:space="0" w:color="auto"/>
            </w:tcBorders>
          </w:tcPr>
          <w:p w14:paraId="1E5562D0" w14:textId="77777777" w:rsidR="00BF13FE" w:rsidRPr="0019725D" w:rsidRDefault="00BF13FE" w:rsidP="004E7575">
            <w:pPr>
              <w:jc w:val="center"/>
              <w:rPr>
                <w:sz w:val="20"/>
                <w:szCs w:val="20"/>
              </w:rPr>
            </w:pPr>
            <w:r w:rsidRPr="0019725D">
              <w:rPr>
                <w:sz w:val="20"/>
                <w:szCs w:val="20"/>
              </w:rPr>
              <w:t>X &lt; μ - 1σ</w:t>
            </w:r>
          </w:p>
        </w:tc>
        <w:tc>
          <w:tcPr>
            <w:tcW w:w="783" w:type="dxa"/>
            <w:tcBorders>
              <w:top w:val="single" w:sz="4" w:space="0" w:color="auto"/>
              <w:bottom w:val="single" w:sz="4" w:space="0" w:color="auto"/>
            </w:tcBorders>
          </w:tcPr>
          <w:p w14:paraId="4CBC9882" w14:textId="77777777" w:rsidR="00BF13FE" w:rsidRPr="0019725D" w:rsidRDefault="00BF13FE" w:rsidP="004E7575">
            <w:pPr>
              <w:jc w:val="center"/>
              <w:rPr>
                <w:sz w:val="20"/>
                <w:szCs w:val="20"/>
              </w:rPr>
            </w:pPr>
            <w:r>
              <w:rPr>
                <w:sz w:val="20"/>
                <w:szCs w:val="20"/>
              </w:rPr>
              <w:t>X &lt; 48</w:t>
            </w:r>
          </w:p>
        </w:tc>
        <w:tc>
          <w:tcPr>
            <w:tcW w:w="561" w:type="dxa"/>
            <w:tcBorders>
              <w:top w:val="single" w:sz="4" w:space="0" w:color="auto"/>
              <w:bottom w:val="single" w:sz="4" w:space="0" w:color="auto"/>
            </w:tcBorders>
          </w:tcPr>
          <w:p w14:paraId="7A338FFC" w14:textId="77777777" w:rsidR="00BF13FE" w:rsidRPr="0019725D" w:rsidRDefault="00BF13FE" w:rsidP="004E7575">
            <w:pPr>
              <w:jc w:val="center"/>
              <w:rPr>
                <w:sz w:val="20"/>
                <w:szCs w:val="20"/>
              </w:rPr>
            </w:pPr>
            <w:r>
              <w:rPr>
                <w:sz w:val="20"/>
                <w:szCs w:val="20"/>
              </w:rPr>
              <w:t>25</w:t>
            </w:r>
          </w:p>
        </w:tc>
        <w:tc>
          <w:tcPr>
            <w:tcW w:w="764" w:type="dxa"/>
            <w:tcBorders>
              <w:top w:val="single" w:sz="4" w:space="0" w:color="auto"/>
              <w:bottom w:val="single" w:sz="4" w:space="0" w:color="auto"/>
            </w:tcBorders>
          </w:tcPr>
          <w:p w14:paraId="2727B1CE" w14:textId="77777777" w:rsidR="00BF13FE" w:rsidRPr="0019725D" w:rsidRDefault="00BF13FE" w:rsidP="004E7575">
            <w:pPr>
              <w:jc w:val="center"/>
              <w:rPr>
                <w:sz w:val="20"/>
                <w:szCs w:val="20"/>
              </w:rPr>
            </w:pPr>
            <w:r>
              <w:rPr>
                <w:sz w:val="20"/>
                <w:szCs w:val="20"/>
              </w:rPr>
              <w:t>24,7</w:t>
            </w:r>
            <w:r w:rsidRPr="0019725D">
              <w:rPr>
                <w:sz w:val="20"/>
                <w:szCs w:val="20"/>
              </w:rPr>
              <w:t>%</w:t>
            </w:r>
          </w:p>
        </w:tc>
      </w:tr>
      <w:tr w:rsidR="00BF13FE" w:rsidRPr="0019725D" w14:paraId="1A18BC4D" w14:textId="77777777" w:rsidTr="004E7575">
        <w:trPr>
          <w:trHeight w:val="89"/>
        </w:trPr>
        <w:tc>
          <w:tcPr>
            <w:tcW w:w="3051" w:type="dxa"/>
            <w:gridSpan w:val="3"/>
            <w:tcBorders>
              <w:top w:val="single" w:sz="4" w:space="0" w:color="auto"/>
              <w:bottom w:val="single" w:sz="4" w:space="0" w:color="auto"/>
            </w:tcBorders>
          </w:tcPr>
          <w:p w14:paraId="110A5CB7" w14:textId="77777777" w:rsidR="00BF13FE" w:rsidRPr="0019725D" w:rsidRDefault="00BF13FE" w:rsidP="004E7575">
            <w:pPr>
              <w:pBdr>
                <w:top w:val="nil"/>
                <w:left w:val="nil"/>
                <w:bottom w:val="nil"/>
                <w:right w:val="nil"/>
                <w:between w:val="nil"/>
              </w:pBdr>
              <w:jc w:val="center"/>
              <w:rPr>
                <w:color w:val="000000"/>
                <w:sz w:val="20"/>
                <w:szCs w:val="20"/>
              </w:rPr>
            </w:pPr>
            <w:r w:rsidRPr="0019725D">
              <w:rPr>
                <w:color w:val="000000"/>
                <w:sz w:val="20"/>
                <w:szCs w:val="20"/>
              </w:rPr>
              <w:t>Total</w:t>
            </w:r>
          </w:p>
        </w:tc>
        <w:tc>
          <w:tcPr>
            <w:tcW w:w="561" w:type="dxa"/>
            <w:tcBorders>
              <w:top w:val="single" w:sz="4" w:space="0" w:color="auto"/>
              <w:bottom w:val="single" w:sz="4" w:space="0" w:color="auto"/>
            </w:tcBorders>
          </w:tcPr>
          <w:p w14:paraId="559389DB" w14:textId="77777777" w:rsidR="00BF13FE" w:rsidRPr="0019725D" w:rsidRDefault="00BF13FE" w:rsidP="004E7575">
            <w:pPr>
              <w:jc w:val="center"/>
              <w:rPr>
                <w:sz w:val="20"/>
                <w:szCs w:val="20"/>
              </w:rPr>
            </w:pPr>
            <w:r w:rsidRPr="0019725D">
              <w:rPr>
                <w:sz w:val="20"/>
                <w:szCs w:val="20"/>
              </w:rPr>
              <w:t>101</w:t>
            </w:r>
          </w:p>
        </w:tc>
        <w:tc>
          <w:tcPr>
            <w:tcW w:w="764" w:type="dxa"/>
            <w:tcBorders>
              <w:top w:val="single" w:sz="4" w:space="0" w:color="auto"/>
              <w:bottom w:val="single" w:sz="4" w:space="0" w:color="auto"/>
            </w:tcBorders>
          </w:tcPr>
          <w:p w14:paraId="181C8B4D" w14:textId="77777777" w:rsidR="00BF13FE" w:rsidRPr="0019725D" w:rsidRDefault="00BF13FE" w:rsidP="004E7575">
            <w:pPr>
              <w:jc w:val="center"/>
              <w:rPr>
                <w:sz w:val="20"/>
                <w:szCs w:val="20"/>
              </w:rPr>
            </w:pPr>
            <w:r w:rsidRPr="0019725D">
              <w:rPr>
                <w:sz w:val="20"/>
                <w:szCs w:val="20"/>
              </w:rPr>
              <w:t>100%</w:t>
            </w:r>
          </w:p>
        </w:tc>
      </w:tr>
    </w:tbl>
    <w:p w14:paraId="41FC99B5" w14:textId="77777777" w:rsidR="00BF13FE" w:rsidRPr="00BF13FE" w:rsidRDefault="00BF13FE" w:rsidP="00BF13FE">
      <w:pPr>
        <w:spacing w:before="41" w:line="276" w:lineRule="auto"/>
        <w:ind w:left="1854" w:right="621" w:hanging="1133"/>
        <w:jc w:val="both"/>
        <w:rPr>
          <w:b/>
        </w:rPr>
        <w:sectPr w:rsidR="00BF13FE" w:rsidRPr="00BF13FE">
          <w:pgSz w:w="11910" w:h="16840"/>
          <w:pgMar w:top="1340" w:right="1320" w:bottom="280" w:left="1220" w:header="720" w:footer="720" w:gutter="0"/>
          <w:cols w:num="2" w:space="720" w:equalWidth="0">
            <w:col w:w="4492" w:space="306"/>
            <w:col w:w="4572"/>
          </w:cols>
        </w:sectPr>
      </w:pPr>
    </w:p>
    <w:p w14:paraId="12A19663" w14:textId="77777777" w:rsidR="00BF13FE" w:rsidRPr="00DB3B75" w:rsidRDefault="00BF13FE" w:rsidP="00DB3B75">
      <w:pPr>
        <w:pStyle w:val="BodyText"/>
        <w:tabs>
          <w:tab w:val="left" w:pos="1880"/>
          <w:tab w:val="left" w:pos="3372"/>
        </w:tabs>
        <w:spacing w:before="22" w:line="360" w:lineRule="auto"/>
        <w:ind w:right="38" w:firstLine="566"/>
        <w:rPr>
          <w:color w:val="000000"/>
          <w:sz w:val="22"/>
          <w:szCs w:val="22"/>
        </w:rPr>
      </w:pPr>
      <w:r w:rsidRPr="00DB3B75">
        <w:rPr>
          <w:w w:val="105"/>
          <w:sz w:val="22"/>
          <w:szCs w:val="22"/>
        </w:rPr>
        <w:lastRenderedPageBreak/>
        <w:t xml:space="preserve">Hasil uji </w:t>
      </w:r>
      <w:r w:rsidRPr="00DB3B75">
        <w:rPr>
          <w:color w:val="000000"/>
          <w:sz w:val="22"/>
          <w:szCs w:val="22"/>
        </w:rPr>
        <w:t>normalitas variabel Kecemasan Sosial</w:t>
      </w:r>
      <w:r w:rsidRPr="00DB3B75">
        <w:rPr>
          <w:i/>
          <w:color w:val="000000"/>
          <w:sz w:val="22"/>
          <w:szCs w:val="22"/>
        </w:rPr>
        <w:t xml:space="preserve"> </w:t>
      </w:r>
      <w:r w:rsidRPr="00DB3B75">
        <w:rPr>
          <w:color w:val="000000"/>
          <w:sz w:val="22"/>
          <w:szCs w:val="22"/>
        </w:rPr>
        <w:t xml:space="preserve">didapat KS-Z = 0.074 dan nilai p = 0.200, variabel </w:t>
      </w:r>
      <w:r w:rsidRPr="00DB3B75">
        <w:rPr>
          <w:i/>
          <w:color w:val="000000"/>
          <w:sz w:val="22"/>
          <w:szCs w:val="22"/>
        </w:rPr>
        <w:t xml:space="preserve">Psychological well being </w:t>
      </w:r>
      <w:r w:rsidRPr="00DB3B75">
        <w:rPr>
          <w:color w:val="000000"/>
          <w:sz w:val="22"/>
          <w:szCs w:val="22"/>
        </w:rPr>
        <w:t xml:space="preserve">didapat KS-Z = 0.063 dan nilai p = 0.200. sehingga dari hasil data diatas mengarah bahwa nilai signifikan antara kecemasan sosial dengan </w:t>
      </w:r>
      <w:r w:rsidRPr="00DB3B75">
        <w:rPr>
          <w:i/>
          <w:color w:val="000000"/>
          <w:sz w:val="22"/>
          <w:szCs w:val="22"/>
        </w:rPr>
        <w:t xml:space="preserve">psychological well being </w:t>
      </w:r>
      <w:r w:rsidRPr="00DB3B75">
        <w:rPr>
          <w:color w:val="000000"/>
          <w:sz w:val="22"/>
          <w:szCs w:val="22"/>
        </w:rPr>
        <w:t>mengikuti data normal sebab nilai p &gt; 0.050.</w:t>
      </w:r>
    </w:p>
    <w:p w14:paraId="5C132170" w14:textId="77777777" w:rsidR="00BF13FE" w:rsidRDefault="00BF13FE" w:rsidP="00DB3B75">
      <w:pPr>
        <w:spacing w:line="360" w:lineRule="auto"/>
        <w:ind w:left="284" w:firstLine="567"/>
        <w:jc w:val="both"/>
        <w:rPr>
          <w:i/>
        </w:rPr>
      </w:pPr>
      <w:r w:rsidRPr="00DB3B75">
        <w:rPr>
          <w:color w:val="000000"/>
        </w:rPr>
        <w:t xml:space="preserve">Uji </w:t>
      </w:r>
      <w:r w:rsidRPr="00DB3B75">
        <w:t>linieritas</w:t>
      </w:r>
      <w:r w:rsidRPr="00DB3B75">
        <w:rPr>
          <w:color w:val="000000"/>
        </w:rPr>
        <w:t xml:space="preserve"> merupakan uji yang bertujuan untuk </w:t>
      </w:r>
      <w:r w:rsidRPr="00DB3B75">
        <w:t>mengetahui</w:t>
      </w:r>
      <w:r w:rsidRPr="00DB3B75">
        <w:rPr>
          <w:color w:val="000000"/>
        </w:rPr>
        <w:t xml:space="preserve"> hubungan antar </w:t>
      </w:r>
      <w:r w:rsidRPr="00DB3B75">
        <w:t>variabel</w:t>
      </w:r>
      <w:r w:rsidRPr="00DB3B75">
        <w:rPr>
          <w:color w:val="000000"/>
        </w:rPr>
        <w:t xml:space="preserve"> yang diteliti Noor, (2016). Pedoman yang digunakan oleh peneliti yaitu jika p&lt;0.050 maka </w:t>
      </w:r>
      <w:r w:rsidRPr="00DB3B75">
        <w:t>variabel</w:t>
      </w:r>
      <w:r w:rsidRPr="00DB3B75">
        <w:rPr>
          <w:color w:val="000000"/>
        </w:rPr>
        <w:t xml:space="preserve"> memiliki korelasi linear, namun jika p&gt;0.050 maka </w:t>
      </w:r>
      <w:r w:rsidRPr="00DB3B75">
        <w:t>variabel</w:t>
      </w:r>
      <w:r w:rsidRPr="00DB3B75">
        <w:rPr>
          <w:color w:val="000000"/>
        </w:rPr>
        <w:t xml:space="preserve"> tidak mempunyai korelasi linear.</w:t>
      </w:r>
      <w:r w:rsidRPr="00DB3B75">
        <w:rPr>
          <w:color w:val="000000"/>
          <w:lang w:val="en-US"/>
        </w:rPr>
        <w:t xml:space="preserve"> </w:t>
      </w:r>
      <w:r w:rsidRPr="00DB3B75">
        <w:t>Berdasarkan analisis uji linearitas antara variabel kecemasan sosial</w:t>
      </w:r>
      <w:r w:rsidRPr="00DB3B75">
        <w:rPr>
          <w:i/>
        </w:rPr>
        <w:t xml:space="preserve"> </w:t>
      </w:r>
      <w:r w:rsidRPr="00DB3B75">
        <w:t xml:space="preserve">dengan </w:t>
      </w:r>
      <w:r w:rsidRPr="00DB3B75">
        <w:rPr>
          <w:i/>
        </w:rPr>
        <w:t xml:space="preserve">psychological well being </w:t>
      </w:r>
      <w:r w:rsidRPr="00DB3B75">
        <w:t>diperoleh F = 5.543 dan p= 0,023 (p&lt; .050) berarti kecemasan sosial</w:t>
      </w:r>
      <w:r w:rsidRPr="00DB3B75">
        <w:rPr>
          <w:i/>
        </w:rPr>
        <w:t xml:space="preserve"> </w:t>
      </w:r>
      <w:r w:rsidRPr="00DB3B75">
        <w:t xml:space="preserve">memiliki korelasi yang linear terhadap </w:t>
      </w:r>
      <w:r w:rsidRPr="00DB3B75">
        <w:rPr>
          <w:i/>
        </w:rPr>
        <w:t>psychological well being.</w:t>
      </w:r>
    </w:p>
    <w:p w14:paraId="64F6BED8" w14:textId="77777777" w:rsidR="00DB3B75" w:rsidRDefault="00DB3B75" w:rsidP="00DB3B75">
      <w:pPr>
        <w:pStyle w:val="ListParagraph"/>
        <w:pBdr>
          <w:top w:val="nil"/>
          <w:left w:val="nil"/>
          <w:bottom w:val="nil"/>
          <w:right w:val="nil"/>
          <w:between w:val="nil"/>
        </w:pBdr>
        <w:spacing w:line="360" w:lineRule="auto"/>
        <w:ind w:left="284" w:firstLine="567"/>
      </w:pPr>
      <w:r w:rsidRPr="00DB3B75">
        <w:t xml:space="preserve">Berdasarkan hasil analisis </w:t>
      </w:r>
      <w:r w:rsidRPr="00DB3B75">
        <w:rPr>
          <w:i/>
        </w:rPr>
        <w:t>pearson correction</w:t>
      </w:r>
      <w:r w:rsidRPr="00DB3B75">
        <w:t xml:space="preserve"> pada variabel kecemasan sosial</w:t>
      </w:r>
      <w:r w:rsidRPr="00DB3B75">
        <w:rPr>
          <w:i/>
        </w:rPr>
        <w:t xml:space="preserve"> </w:t>
      </w:r>
      <w:r w:rsidRPr="00DB3B75">
        <w:t xml:space="preserve">dengan </w:t>
      </w:r>
      <w:r w:rsidRPr="00DB3B75">
        <w:rPr>
          <w:i/>
        </w:rPr>
        <w:t>psychological</w:t>
      </w:r>
      <w:r w:rsidRPr="00DB3B75">
        <w:t xml:space="preserve"> w</w:t>
      </w:r>
      <w:r w:rsidRPr="00DB3B75">
        <w:rPr>
          <w:i/>
        </w:rPr>
        <w:t xml:space="preserve">ell being </w:t>
      </w:r>
      <w:r w:rsidRPr="00DB3B75">
        <w:t>diperoleh nilai rxy= -0.178 dan p = 0.037 (p&lt;0.050) yang menunjukkan bahwa kecemasan sosial</w:t>
      </w:r>
      <w:r w:rsidRPr="00DB3B75">
        <w:rPr>
          <w:i/>
        </w:rPr>
        <w:t xml:space="preserve"> </w:t>
      </w:r>
      <w:r w:rsidRPr="00DB3B75">
        <w:t xml:space="preserve">dengan </w:t>
      </w:r>
      <w:r w:rsidRPr="00DB3B75">
        <w:rPr>
          <w:i/>
        </w:rPr>
        <w:t xml:space="preserve">psychological well being </w:t>
      </w:r>
      <w:r w:rsidRPr="00DB3B75">
        <w:t>memiliki korelasi signifikan. Dengan demikian hipotesis peneliti diterima. Kondisi berikut membuktikan bahwa semakin tinggi kecemasan sosial</w:t>
      </w:r>
      <w:r w:rsidRPr="00DB3B75">
        <w:rPr>
          <w:i/>
        </w:rPr>
        <w:t xml:space="preserve"> </w:t>
      </w:r>
      <w:r w:rsidRPr="00DB3B75">
        <w:t xml:space="preserve">maka semakin rendah </w:t>
      </w:r>
      <w:r w:rsidRPr="00DB3B75">
        <w:rPr>
          <w:i/>
        </w:rPr>
        <w:t xml:space="preserve">psychological well being </w:t>
      </w:r>
      <w:r w:rsidRPr="00DB3B75">
        <w:t xml:space="preserve">pada korban </w:t>
      </w:r>
      <w:r w:rsidRPr="00DB3B75">
        <w:rPr>
          <w:i/>
        </w:rPr>
        <w:t>cyberbullying</w:t>
      </w:r>
      <w:r w:rsidRPr="00DB3B75">
        <w:t>, begitupun sebaliknya.</w:t>
      </w:r>
      <w:bookmarkStart w:id="0" w:name="_heading=h.23ckvvd" w:colFirst="0" w:colLast="0"/>
      <w:bookmarkStart w:id="1" w:name="_heading=h.ihv636" w:colFirst="0" w:colLast="0"/>
      <w:bookmarkEnd w:id="0"/>
      <w:bookmarkEnd w:id="1"/>
    </w:p>
    <w:p w14:paraId="690459A8" w14:textId="77777777" w:rsidR="00DB3B75" w:rsidRPr="00DB3B75" w:rsidRDefault="00DB3B75" w:rsidP="00DB3B75">
      <w:pPr>
        <w:spacing w:line="360" w:lineRule="auto"/>
        <w:ind w:left="284" w:firstLine="720"/>
        <w:jc w:val="both"/>
        <w:rPr>
          <w:lang w:val="en-US"/>
        </w:rPr>
      </w:pPr>
      <w:r w:rsidRPr="00DB3B75">
        <w:t xml:space="preserve">Kecemasan sosial yang tinggi pada korban </w:t>
      </w:r>
      <w:r w:rsidRPr="00DB3B75">
        <w:rPr>
          <w:i/>
        </w:rPr>
        <w:t xml:space="preserve">cyberbullying </w:t>
      </w:r>
      <w:r w:rsidRPr="00DB3B75">
        <w:t xml:space="preserve">ditunjukkan dengan sikap ketakutan akan evaluasi negatif, penghindaran sosial dan rasa tertekan dalam situasi yang baru atau berhubungan dengan orang baru, dan penghindaran sosial dan rasa tertekan dalam situasi yang umum atau berhubungan dengan orang yang sudah dikenal. Sikap-sikap tersebut yang memungkinkan terjadinya </w:t>
      </w:r>
      <w:r w:rsidRPr="00DB3B75">
        <w:rPr>
          <w:i/>
        </w:rPr>
        <w:t xml:space="preserve">psychological </w:t>
      </w:r>
      <w:r w:rsidRPr="00DB3B75">
        <w:rPr>
          <w:i/>
        </w:rPr>
        <w:t>well being</w:t>
      </w:r>
      <w:r w:rsidRPr="00DB3B75">
        <w:t xml:space="preserve"> yang rendah. </w:t>
      </w:r>
      <w:r w:rsidRPr="00DB3B75">
        <w:rPr>
          <w:i/>
        </w:rPr>
        <w:t>Psychological well being</w:t>
      </w:r>
      <w:r w:rsidRPr="00DB3B75">
        <w:t xml:space="preserve"> pada dasarnya merupakan proses dimana bahwa korban </w:t>
      </w:r>
      <w:r w:rsidRPr="00DB3B75">
        <w:rPr>
          <w:i/>
        </w:rPr>
        <w:t xml:space="preserve">cyberbullying </w:t>
      </w:r>
      <w:r w:rsidRPr="00DB3B75">
        <w:t xml:space="preserve"> bisa  memahami dan memiliki penilaian mampu penerimaan diri yang baik, individu tersebut juga memiliki hubungan yang positif dengan orang lain maupun lingkungannya, serta individu tersebut memiliki tujuan, makna hidup dan pertumbuhan pribadi yang baik </w:t>
      </w:r>
      <w:r w:rsidRPr="00DB3B75">
        <w:rPr>
          <w:lang w:val="en-US"/>
        </w:rPr>
        <w:t>(Ryff, 1995).</w:t>
      </w:r>
    </w:p>
    <w:p w14:paraId="66F05F2A" w14:textId="77777777" w:rsidR="00DB3B75" w:rsidRPr="00DB3B75" w:rsidRDefault="00DB3B75" w:rsidP="00DB3B75">
      <w:pPr>
        <w:pBdr>
          <w:top w:val="nil"/>
          <w:left w:val="nil"/>
          <w:bottom w:val="nil"/>
          <w:right w:val="nil"/>
          <w:between w:val="nil"/>
        </w:pBdr>
        <w:spacing w:line="360" w:lineRule="auto"/>
        <w:ind w:left="284" w:firstLine="450"/>
        <w:jc w:val="both"/>
      </w:pPr>
      <w:r w:rsidRPr="00DB3B75">
        <w:t>Berdasarkan hasil kategorisasi penelitian dapat ditarik kesimpulan yaitu mayoritas subjek penelitian mempunyai sikap rasa malu, takut dikritik, serta kecemasan terhadap evaluasi yang buruk yang ditunjukkan dengan perubahan fisik, subjek juga memiliki rasa tidak percaya diri untuk berinteraksi dengan orang lain, dan melakukan penghindaran sosial serta perasaan tertekan. hal tersebut sesuai dengan aspek kecemasan sosial yang dikemukakan oleh La Greca dan Lopez (1998) yang meliput ketakutan akan evaluasi negatif, penghindaran sosial dan rasa tertekan dalam situasi yang baru atau berhubungan dengan orang asing atau baru serta penghindaran  sosial dan rasa tertekan yang dialami secara umum atau dengan orang yang dikenal.</w:t>
      </w:r>
    </w:p>
    <w:p w14:paraId="2E7FC5FF" w14:textId="77777777" w:rsidR="00DB3B75" w:rsidRPr="00132211" w:rsidRDefault="00DB3B75" w:rsidP="00132211">
      <w:pPr>
        <w:pStyle w:val="BodyText"/>
        <w:spacing w:before="76" w:line="360" w:lineRule="auto"/>
        <w:ind w:right="119"/>
      </w:pPr>
      <w:r w:rsidRPr="00DB3B75">
        <w:rPr>
          <w:sz w:val="22"/>
          <w:szCs w:val="22"/>
        </w:rPr>
        <w:t xml:space="preserve">Pernyataan tersebut didukung dari hasil penelitian Khosroshahi dan Abad (2012) menunjukkan bahwa terdapat hubungan negatif dan signifikan antara kecemasan sosial dan </w:t>
      </w:r>
      <w:r w:rsidRPr="00DB3B75">
        <w:rPr>
          <w:i/>
          <w:sz w:val="22"/>
          <w:szCs w:val="22"/>
        </w:rPr>
        <w:t>psychological well being.</w:t>
      </w:r>
      <w:r w:rsidRPr="00DB3B75">
        <w:rPr>
          <w:i/>
          <w:sz w:val="22"/>
          <w:szCs w:val="22"/>
          <w:lang w:val="en-US"/>
        </w:rPr>
        <w:t xml:space="preserve"> </w:t>
      </w:r>
      <w:r w:rsidRPr="00DB3B75">
        <w:rPr>
          <w:sz w:val="22"/>
          <w:szCs w:val="22"/>
          <w:lang w:val="en-US"/>
        </w:rPr>
        <w:t xml:space="preserve">Hal </w:t>
      </w:r>
      <w:proofErr w:type="spellStart"/>
      <w:r w:rsidRPr="00DB3B75">
        <w:rPr>
          <w:sz w:val="22"/>
          <w:szCs w:val="22"/>
          <w:lang w:val="en-US"/>
        </w:rPr>
        <w:t>tersebut</w:t>
      </w:r>
      <w:proofErr w:type="spellEnd"/>
      <w:r w:rsidRPr="00DB3B75">
        <w:rPr>
          <w:sz w:val="22"/>
          <w:szCs w:val="22"/>
          <w:lang w:val="en-US"/>
        </w:rPr>
        <w:t xml:space="preserve"> </w:t>
      </w:r>
      <w:r w:rsidRPr="00DB3B75">
        <w:rPr>
          <w:sz w:val="22"/>
          <w:szCs w:val="22"/>
        </w:rPr>
        <w:t xml:space="preserve">menunjukkan bahwa semakin rendah kecemasan sosial individu maka semakin tinggi </w:t>
      </w:r>
      <w:r w:rsidRPr="00DB3B75">
        <w:rPr>
          <w:i/>
          <w:sz w:val="22"/>
          <w:szCs w:val="22"/>
        </w:rPr>
        <w:t xml:space="preserve">psychological well being, </w:t>
      </w:r>
      <w:r w:rsidRPr="00DB3B75">
        <w:rPr>
          <w:sz w:val="22"/>
          <w:szCs w:val="22"/>
        </w:rPr>
        <w:t xml:space="preserve">sebaliknya semakin tinggi kecemasan sosial maka semakin rendah </w:t>
      </w:r>
      <w:r w:rsidRPr="00DB3B75">
        <w:rPr>
          <w:i/>
          <w:sz w:val="22"/>
          <w:szCs w:val="22"/>
        </w:rPr>
        <w:t xml:space="preserve">psychological well being </w:t>
      </w:r>
      <w:r w:rsidRPr="00DB3B75">
        <w:rPr>
          <w:sz w:val="22"/>
          <w:szCs w:val="22"/>
        </w:rPr>
        <w:t xml:space="preserve">Kecemasan sosial merupakan variabel yang dapat memberikan sumbangan hubungan yang negatif terhadap </w:t>
      </w:r>
      <w:r w:rsidRPr="00DB3B75">
        <w:rPr>
          <w:i/>
          <w:sz w:val="22"/>
          <w:szCs w:val="22"/>
        </w:rPr>
        <w:t>psychological well being</w:t>
      </w:r>
      <w:r w:rsidRPr="00DB3B75">
        <w:rPr>
          <w:sz w:val="22"/>
          <w:szCs w:val="22"/>
        </w:rPr>
        <w:t xml:space="preserve">. Dimana kecemasan sosial memiliki kontribusi sebesar 3,2% </w:t>
      </w:r>
      <w:r w:rsidRPr="00DB3B75">
        <w:rPr>
          <w:sz w:val="22"/>
          <w:szCs w:val="22"/>
        </w:rPr>
        <w:lastRenderedPageBreak/>
        <w:t xml:space="preserve">terhadap </w:t>
      </w:r>
      <w:r w:rsidRPr="00DB3B75">
        <w:rPr>
          <w:i/>
          <w:sz w:val="22"/>
          <w:szCs w:val="22"/>
        </w:rPr>
        <w:t>psychological well being</w:t>
      </w:r>
      <w:r w:rsidRPr="00DB3B75">
        <w:rPr>
          <w:sz w:val="22"/>
          <w:szCs w:val="22"/>
        </w:rPr>
        <w:t xml:space="preserve"> dan sisanya 96,8.% dipengaruhi oleh faktor lain yang tidak diteliti dalam penelitian ini. Faktor tersebut antara lain usia, jenis kelamin, status sosial ekonomi, budaya, dukungan sosial, religiusitas dan kepribadian (Ryff,1995).</w:t>
      </w:r>
      <w:r w:rsidRPr="00132211">
        <w:rPr>
          <w:sz w:val="22"/>
          <w:szCs w:val="22"/>
        </w:rPr>
        <w:t xml:space="preserve"> Dapat ditarik kesimpulan bahwa </w:t>
      </w:r>
      <w:r w:rsidR="00132211" w:rsidRPr="00132211">
        <w:rPr>
          <w:sz w:val="22"/>
          <w:szCs w:val="22"/>
        </w:rPr>
        <w:t xml:space="preserve">secara umum subjek penelitian ini memiliki </w:t>
      </w:r>
      <w:r w:rsidR="00132211">
        <w:rPr>
          <w:sz w:val="22"/>
          <w:szCs w:val="22"/>
        </w:rPr>
        <w:t>kecemasan sosial rendah.</w:t>
      </w:r>
    </w:p>
    <w:p w14:paraId="76DB8526" w14:textId="77777777" w:rsidR="00DB3B75" w:rsidRDefault="00DB3B75" w:rsidP="00132211">
      <w:pPr>
        <w:pBdr>
          <w:top w:val="nil"/>
          <w:left w:val="nil"/>
          <w:bottom w:val="nil"/>
          <w:right w:val="nil"/>
          <w:between w:val="nil"/>
        </w:pBdr>
        <w:spacing w:line="360" w:lineRule="auto"/>
        <w:ind w:left="284" w:firstLine="426"/>
        <w:jc w:val="both"/>
        <w:rPr>
          <w:lang w:val="en-US"/>
        </w:rPr>
      </w:pPr>
      <w:r w:rsidRPr="00DB3B75">
        <w:rPr>
          <w:color w:val="000000"/>
        </w:rPr>
        <w:t xml:space="preserve">Pada dasarnya apabila seseorang memiliki tingkat kecemasan sosial yang </w:t>
      </w:r>
      <w:r w:rsidRPr="00DB3B75">
        <w:t>relatif</w:t>
      </w:r>
      <w:r w:rsidRPr="00DB3B75">
        <w:rPr>
          <w:color w:val="000000"/>
        </w:rPr>
        <w:t xml:space="preserve"> rendah akan  mudah untuk mencapai  </w:t>
      </w:r>
      <w:r w:rsidRPr="00DB3B75">
        <w:rPr>
          <w:i/>
          <w:color w:val="000000"/>
        </w:rPr>
        <w:t>psychological well being</w:t>
      </w:r>
      <w:r w:rsidRPr="00DB3B75">
        <w:rPr>
          <w:color w:val="000000"/>
        </w:rPr>
        <w:t xml:space="preserve"> (Ismail &amp; Soha, 2012). Namun, </w:t>
      </w:r>
      <w:r w:rsidRPr="00DB3B75">
        <w:t>sebaliknya seseorang yang mengalami kecemasan sosial pada dasarnya tidak percaya diri untuk berinteraksi dengan orang lain, merasa bahwa mereka akan melakukan sesuatu untuk mempermalukan diri mereka sendiri, atau orang lain akan menghakimi mereka terlalu keras dan kritis (Gui, 2009)</w:t>
      </w:r>
      <w:r w:rsidRPr="00DB3B75">
        <w:rPr>
          <w:lang w:val="en-US"/>
        </w:rPr>
        <w:t>.</w:t>
      </w:r>
    </w:p>
    <w:p w14:paraId="5E9007E0" w14:textId="77777777" w:rsidR="00132211" w:rsidRPr="00132211" w:rsidRDefault="00132211" w:rsidP="00132211">
      <w:pPr>
        <w:pBdr>
          <w:top w:val="nil"/>
          <w:left w:val="nil"/>
          <w:bottom w:val="nil"/>
          <w:right w:val="nil"/>
          <w:between w:val="nil"/>
        </w:pBdr>
        <w:spacing w:line="360" w:lineRule="auto"/>
        <w:ind w:left="284" w:firstLine="426"/>
        <w:jc w:val="both"/>
        <w:rPr>
          <w:lang w:val="en-US"/>
        </w:rPr>
      </w:pPr>
    </w:p>
    <w:p w14:paraId="568B0CFE" w14:textId="77777777" w:rsidR="00132211" w:rsidRDefault="00132211" w:rsidP="00132211">
      <w:pPr>
        <w:pStyle w:val="Heading1"/>
        <w:spacing w:before="1"/>
        <w:jc w:val="left"/>
      </w:pPr>
      <w:r>
        <w:t>KESIMPULAN</w:t>
      </w:r>
    </w:p>
    <w:p w14:paraId="2F7E4657" w14:textId="77777777" w:rsidR="00132211" w:rsidRPr="00EE6A87" w:rsidRDefault="00132211" w:rsidP="00132211">
      <w:pPr>
        <w:spacing w:line="360" w:lineRule="auto"/>
        <w:ind w:left="284" w:firstLine="567"/>
        <w:jc w:val="both"/>
      </w:pPr>
      <w:r w:rsidRPr="00132211">
        <w:t xml:space="preserve">Berdasarkan dari penelitian yang telah dilakukan, kesimpulan dari penelitian ini adalah bahwa hipotesis diterima yaitu terdapat hubungan negatif yang signifikan antara kecemasan sosial dengan </w:t>
      </w:r>
      <w:r w:rsidRPr="00132211">
        <w:rPr>
          <w:i/>
        </w:rPr>
        <w:t>psychological well being</w:t>
      </w:r>
      <w:r w:rsidRPr="00132211">
        <w:t xml:space="preserve"> pada korban </w:t>
      </w:r>
      <w:r w:rsidRPr="00132211">
        <w:rPr>
          <w:i/>
        </w:rPr>
        <w:t xml:space="preserve">cyberbullying. </w:t>
      </w:r>
      <w:r w:rsidRPr="00132211">
        <w:t>Artinya semakin tinggi tingkat kecemasan sosial yang dimiliki oleh korban</w:t>
      </w:r>
      <w:r w:rsidRPr="00132211">
        <w:rPr>
          <w:i/>
        </w:rPr>
        <w:t xml:space="preserve"> cyberbullying</w:t>
      </w:r>
      <w:r w:rsidRPr="00132211">
        <w:t>,</w:t>
      </w:r>
      <w:r w:rsidRPr="00132211">
        <w:rPr>
          <w:i/>
        </w:rPr>
        <w:t xml:space="preserve"> </w:t>
      </w:r>
      <w:r w:rsidRPr="00132211">
        <w:t xml:space="preserve">maka semakin rendah </w:t>
      </w:r>
      <w:r w:rsidRPr="00132211">
        <w:rPr>
          <w:i/>
        </w:rPr>
        <w:t>psychological well being</w:t>
      </w:r>
      <w:r w:rsidRPr="00132211">
        <w:t xml:space="preserve"> yang dimiliki. Begitu pun sebaliknya, semakin rendah tingkat kecemasan sosial yang dimiliki oleh korban </w:t>
      </w:r>
      <w:r w:rsidRPr="00132211">
        <w:rPr>
          <w:i/>
        </w:rPr>
        <w:t xml:space="preserve">cyberbullying </w:t>
      </w:r>
      <w:r w:rsidRPr="00132211">
        <w:t xml:space="preserve"> maka akan semakin tinggi </w:t>
      </w:r>
      <w:r w:rsidRPr="00132211">
        <w:rPr>
          <w:i/>
        </w:rPr>
        <w:t xml:space="preserve">psychological well being </w:t>
      </w:r>
      <w:r w:rsidRPr="00132211">
        <w:t xml:space="preserve">yang dimiliki oleh korban </w:t>
      </w:r>
      <w:r>
        <w:rPr>
          <w:i/>
        </w:rPr>
        <w:t>cyberbullying.</w:t>
      </w:r>
    </w:p>
    <w:p w14:paraId="1A5D37D2" w14:textId="77777777" w:rsidR="00132211" w:rsidRPr="00EE6A87" w:rsidRDefault="00132211" w:rsidP="00132211">
      <w:pPr>
        <w:pStyle w:val="ListParagraph"/>
        <w:pBdr>
          <w:top w:val="nil"/>
          <w:left w:val="nil"/>
          <w:bottom w:val="nil"/>
          <w:right w:val="nil"/>
          <w:between w:val="nil"/>
        </w:pBdr>
        <w:spacing w:line="360" w:lineRule="auto"/>
        <w:ind w:left="284" w:firstLine="567"/>
      </w:pPr>
      <w:r w:rsidRPr="00EE6A87">
        <w:t xml:space="preserve">Hal tersebut dapat dilihat dari hasil analisis korelasi </w:t>
      </w:r>
      <w:r w:rsidRPr="00EE6A87">
        <w:rPr>
          <w:i/>
        </w:rPr>
        <w:t>product moment</w:t>
      </w:r>
      <w:r w:rsidRPr="00EE6A87">
        <w:t xml:space="preserve"> dimana diperoleh koefisien (rxy) = -0,178 dengan p = 0,037 (p &lt; 0,050). Sugiyono (2016) </w:t>
      </w:r>
      <w:r w:rsidRPr="00EE6A87">
        <w:t xml:space="preserve">mengungkapkan bahwa apabila nilai korelasi (rxy) = -0,178 maka menunjukkan bahwa tingkat hubungan antara kedua variabel tersebut termasuk dalam kategori yang sangat rendah karena berada diinterval -0,00–0,199. Adanya korelasi tersebut dapat menunjukkan terdapat hubungan negatif antara kecemasan sosial dengan </w:t>
      </w:r>
      <w:r w:rsidRPr="00EE6A87">
        <w:rPr>
          <w:i/>
        </w:rPr>
        <w:t>psychological well being</w:t>
      </w:r>
      <w:r w:rsidRPr="00EE6A87">
        <w:t>.</w:t>
      </w:r>
    </w:p>
    <w:p w14:paraId="05334052" w14:textId="77777777" w:rsidR="00132211" w:rsidRDefault="00132211" w:rsidP="00132211">
      <w:pPr>
        <w:pStyle w:val="BodyText"/>
        <w:spacing w:before="76" w:line="360" w:lineRule="auto"/>
        <w:ind w:right="119" w:firstLine="500"/>
      </w:pPr>
      <w:r w:rsidRPr="00EE6A87">
        <w:rPr>
          <w:sz w:val="22"/>
          <w:szCs w:val="22"/>
        </w:rPr>
        <w:t xml:space="preserve">Hasil penelitian ini juga menunjukkan </w:t>
      </w:r>
      <w:r w:rsidRPr="00132211">
        <w:rPr>
          <w:sz w:val="22"/>
          <w:szCs w:val="22"/>
        </w:rPr>
        <w:t xml:space="preserve">bahwa secara umum subjek penelitian ini memiliki </w:t>
      </w:r>
      <w:r>
        <w:rPr>
          <w:sz w:val="22"/>
          <w:szCs w:val="22"/>
        </w:rPr>
        <w:t xml:space="preserve">kecemasan sosial rendah dimana </w:t>
      </w:r>
      <w:r w:rsidRPr="00EE6A87">
        <w:rPr>
          <w:sz w:val="22"/>
          <w:szCs w:val="22"/>
        </w:rPr>
        <w:t xml:space="preserve">koefisien determinasi (r²) adalah 0,032 yang menunjukkan bahwa variabel kecemasan sosial memiliki kontribusi sebesar 3,2% terhadap </w:t>
      </w:r>
      <w:r w:rsidRPr="00EE6A87">
        <w:rPr>
          <w:i/>
          <w:sz w:val="22"/>
          <w:szCs w:val="22"/>
        </w:rPr>
        <w:t>psychological well being</w:t>
      </w:r>
      <w:r w:rsidRPr="00EE6A87">
        <w:rPr>
          <w:sz w:val="22"/>
          <w:szCs w:val="22"/>
        </w:rPr>
        <w:t xml:space="preserve"> dan sisanya 96,8.% dipengaruhi oleh faktor lain yang tidak diteliti dalam penelitian ini.</w:t>
      </w:r>
    </w:p>
    <w:p w14:paraId="1A3732C7" w14:textId="77777777" w:rsidR="00132211" w:rsidRDefault="00132211" w:rsidP="00132211">
      <w:pPr>
        <w:spacing w:line="276" w:lineRule="auto"/>
      </w:pPr>
    </w:p>
    <w:p w14:paraId="52A3BD7B" w14:textId="77777777" w:rsidR="00132211" w:rsidRDefault="00132211" w:rsidP="0047755E">
      <w:pPr>
        <w:spacing w:line="276" w:lineRule="auto"/>
        <w:ind w:left="284"/>
        <w:rPr>
          <w:b/>
        </w:rPr>
      </w:pPr>
      <w:r w:rsidRPr="00132211">
        <w:rPr>
          <w:b/>
        </w:rPr>
        <w:t>DAFTAR PUSTAKA</w:t>
      </w:r>
    </w:p>
    <w:p w14:paraId="6EA8F292" w14:textId="77777777" w:rsidR="00C46D3D" w:rsidRPr="00C46D3D" w:rsidRDefault="00C46D3D" w:rsidP="00580C06">
      <w:pPr>
        <w:adjustRightInd w:val="0"/>
        <w:ind w:left="709" w:hanging="480"/>
        <w:rPr>
          <w:noProof/>
          <w:szCs w:val="24"/>
        </w:rPr>
      </w:pPr>
      <w:r>
        <w:rPr>
          <w:b/>
        </w:rPr>
        <w:fldChar w:fldCharType="begin" w:fldLock="1"/>
      </w:r>
      <w:r>
        <w:rPr>
          <w:b/>
        </w:rPr>
        <w:instrText xml:space="preserve">ADDIN Mendeley Bibliography CSL_BIBLIOGRAPHY </w:instrText>
      </w:r>
      <w:r>
        <w:rPr>
          <w:b/>
        </w:rPr>
        <w:fldChar w:fldCharType="separate"/>
      </w:r>
      <w:r w:rsidRPr="00C46D3D">
        <w:rPr>
          <w:noProof/>
          <w:szCs w:val="24"/>
        </w:rPr>
        <w:t xml:space="preserve">Aprilia, R., &amp; Diany, R. (2022). Cyberbullying menjadi penyebab utama dalam kasus bunuh diri. </w:t>
      </w:r>
      <w:r w:rsidRPr="00C46D3D">
        <w:rPr>
          <w:i/>
          <w:iCs/>
          <w:noProof/>
          <w:szCs w:val="24"/>
        </w:rPr>
        <w:t>Hermina Health Sciences Journal</w:t>
      </w:r>
      <w:r w:rsidRPr="00C46D3D">
        <w:rPr>
          <w:noProof/>
          <w:szCs w:val="24"/>
        </w:rPr>
        <w:t xml:space="preserve">, </w:t>
      </w:r>
      <w:r w:rsidRPr="00C46D3D">
        <w:rPr>
          <w:i/>
          <w:iCs/>
          <w:noProof/>
          <w:szCs w:val="24"/>
        </w:rPr>
        <w:t>2</w:t>
      </w:r>
      <w:r w:rsidRPr="00C46D3D">
        <w:rPr>
          <w:noProof/>
          <w:szCs w:val="24"/>
        </w:rPr>
        <w:t>(1), 23–30.</w:t>
      </w:r>
    </w:p>
    <w:p w14:paraId="626EB18A" w14:textId="77777777" w:rsidR="00C46D3D" w:rsidRDefault="00C46D3D" w:rsidP="00580C06">
      <w:pPr>
        <w:adjustRightInd w:val="0"/>
        <w:ind w:left="709" w:hanging="480"/>
        <w:rPr>
          <w:noProof/>
          <w:szCs w:val="24"/>
        </w:rPr>
      </w:pPr>
      <w:r w:rsidRPr="00C46D3D">
        <w:rPr>
          <w:noProof/>
          <w:szCs w:val="24"/>
        </w:rPr>
        <w:t xml:space="preserve">Ayub, M., &amp; Sulaeman, S. F. (2022). Dampak sosial media terhadap interaksi sosial pada remaja: kajian sistematik. </w:t>
      </w:r>
      <w:r w:rsidRPr="00C46D3D">
        <w:rPr>
          <w:i/>
          <w:iCs/>
          <w:noProof/>
          <w:szCs w:val="24"/>
        </w:rPr>
        <w:t>Jurnal Penelitian Bimbingan Dan Konseling</w:t>
      </w:r>
      <w:r w:rsidRPr="00C46D3D">
        <w:rPr>
          <w:noProof/>
          <w:szCs w:val="24"/>
        </w:rPr>
        <w:t xml:space="preserve">, </w:t>
      </w:r>
      <w:r w:rsidRPr="00C46D3D">
        <w:rPr>
          <w:i/>
          <w:iCs/>
          <w:noProof/>
          <w:szCs w:val="24"/>
        </w:rPr>
        <w:t>7</w:t>
      </w:r>
      <w:r w:rsidRPr="00C46D3D">
        <w:rPr>
          <w:noProof/>
          <w:szCs w:val="24"/>
        </w:rPr>
        <w:t>(1), 21–32.</w:t>
      </w:r>
    </w:p>
    <w:p w14:paraId="4B9DE78E" w14:textId="77777777" w:rsidR="0047755E" w:rsidRDefault="0047755E" w:rsidP="00580C06">
      <w:pPr>
        <w:adjustRightInd w:val="0"/>
        <w:ind w:left="709" w:hanging="480"/>
        <w:jc w:val="both"/>
        <w:rPr>
          <w:sz w:val="24"/>
        </w:rPr>
      </w:pPr>
      <w:r w:rsidRPr="00D44497">
        <w:rPr>
          <w:sz w:val="24"/>
        </w:rPr>
        <w:t>Azwar,</w:t>
      </w:r>
      <w:r w:rsidRPr="00D44497">
        <w:rPr>
          <w:spacing w:val="29"/>
          <w:sz w:val="24"/>
        </w:rPr>
        <w:t xml:space="preserve"> </w:t>
      </w:r>
      <w:r w:rsidRPr="00D44497">
        <w:rPr>
          <w:sz w:val="24"/>
        </w:rPr>
        <w:t>S.</w:t>
      </w:r>
      <w:r w:rsidRPr="00D44497">
        <w:rPr>
          <w:spacing w:val="29"/>
          <w:sz w:val="24"/>
        </w:rPr>
        <w:t xml:space="preserve"> </w:t>
      </w:r>
      <w:r w:rsidRPr="00D44497">
        <w:rPr>
          <w:sz w:val="24"/>
        </w:rPr>
        <w:t>(2015).</w:t>
      </w:r>
      <w:r w:rsidRPr="00D44497">
        <w:rPr>
          <w:spacing w:val="30"/>
          <w:sz w:val="24"/>
        </w:rPr>
        <w:t xml:space="preserve"> </w:t>
      </w:r>
      <w:r w:rsidRPr="00D44497">
        <w:rPr>
          <w:i/>
          <w:sz w:val="24"/>
        </w:rPr>
        <w:t>Reliabilitas</w:t>
      </w:r>
      <w:r w:rsidRPr="00D44497">
        <w:rPr>
          <w:i/>
          <w:spacing w:val="30"/>
          <w:sz w:val="24"/>
        </w:rPr>
        <w:t xml:space="preserve"> </w:t>
      </w:r>
      <w:r w:rsidRPr="00D44497">
        <w:rPr>
          <w:i/>
          <w:sz w:val="24"/>
        </w:rPr>
        <w:t>dan</w:t>
      </w:r>
      <w:r w:rsidRPr="00D44497">
        <w:rPr>
          <w:i/>
          <w:spacing w:val="29"/>
          <w:sz w:val="24"/>
        </w:rPr>
        <w:t xml:space="preserve"> </w:t>
      </w:r>
      <w:r w:rsidRPr="00D44497">
        <w:rPr>
          <w:i/>
          <w:sz w:val="24"/>
        </w:rPr>
        <w:t>validitas</w:t>
      </w:r>
      <w:r w:rsidRPr="00D44497">
        <w:rPr>
          <w:i/>
          <w:spacing w:val="30"/>
          <w:sz w:val="24"/>
        </w:rPr>
        <w:t xml:space="preserve"> </w:t>
      </w:r>
      <w:r w:rsidRPr="00D44497">
        <w:rPr>
          <w:i/>
          <w:sz w:val="24"/>
        </w:rPr>
        <w:t>edisi</w:t>
      </w:r>
      <w:r w:rsidRPr="00D44497">
        <w:rPr>
          <w:i/>
          <w:spacing w:val="30"/>
          <w:sz w:val="24"/>
        </w:rPr>
        <w:t xml:space="preserve"> </w:t>
      </w:r>
      <w:r w:rsidRPr="00D44497">
        <w:rPr>
          <w:i/>
          <w:sz w:val="24"/>
        </w:rPr>
        <w:t>keempat</w:t>
      </w:r>
      <w:r w:rsidRPr="00D44497">
        <w:rPr>
          <w:i/>
          <w:spacing w:val="33"/>
          <w:sz w:val="24"/>
        </w:rPr>
        <w:t xml:space="preserve"> </w:t>
      </w:r>
      <w:r w:rsidRPr="00D44497">
        <w:rPr>
          <w:sz w:val="24"/>
        </w:rPr>
        <w:t>(Edisi</w:t>
      </w:r>
      <w:r w:rsidRPr="00D44497">
        <w:rPr>
          <w:spacing w:val="30"/>
          <w:sz w:val="24"/>
        </w:rPr>
        <w:t xml:space="preserve"> </w:t>
      </w:r>
      <w:r w:rsidRPr="00D44497">
        <w:rPr>
          <w:sz w:val="24"/>
        </w:rPr>
        <w:t>ke-4).</w:t>
      </w:r>
      <w:r>
        <w:rPr>
          <w:spacing w:val="31"/>
          <w:sz w:val="24"/>
        </w:rPr>
        <w:t xml:space="preserve"> Jakarta. </w:t>
      </w:r>
      <w:r w:rsidRPr="00D44497">
        <w:rPr>
          <w:sz w:val="24"/>
        </w:rPr>
        <w:t>Pustaka</w:t>
      </w:r>
      <w:r w:rsidRPr="00D44497">
        <w:rPr>
          <w:spacing w:val="-57"/>
          <w:sz w:val="24"/>
        </w:rPr>
        <w:t xml:space="preserve"> </w:t>
      </w:r>
      <w:r>
        <w:rPr>
          <w:sz w:val="24"/>
        </w:rPr>
        <w:t>Pelajar.</w:t>
      </w:r>
    </w:p>
    <w:p w14:paraId="03C9060F" w14:textId="77777777" w:rsidR="0047755E" w:rsidRPr="0047755E" w:rsidRDefault="0047755E" w:rsidP="00580C06">
      <w:pPr>
        <w:adjustRightInd w:val="0"/>
        <w:ind w:left="709" w:hanging="480"/>
        <w:jc w:val="both"/>
        <w:rPr>
          <w:noProof/>
          <w:sz w:val="24"/>
          <w:szCs w:val="24"/>
        </w:rPr>
      </w:pPr>
      <w:r w:rsidRPr="00D44497">
        <w:rPr>
          <w:sz w:val="24"/>
        </w:rPr>
        <w:t>Azwar,</w:t>
      </w:r>
      <w:r w:rsidRPr="00D44497">
        <w:rPr>
          <w:spacing w:val="-1"/>
          <w:sz w:val="24"/>
        </w:rPr>
        <w:t xml:space="preserve"> </w:t>
      </w:r>
      <w:r w:rsidRPr="00D44497">
        <w:rPr>
          <w:sz w:val="24"/>
        </w:rPr>
        <w:t>S.</w:t>
      </w:r>
      <w:r w:rsidRPr="00D44497">
        <w:rPr>
          <w:spacing w:val="-1"/>
          <w:sz w:val="24"/>
        </w:rPr>
        <w:t xml:space="preserve"> </w:t>
      </w:r>
      <w:r w:rsidRPr="00D44497">
        <w:rPr>
          <w:sz w:val="24"/>
        </w:rPr>
        <w:t>(2016).</w:t>
      </w:r>
      <w:r w:rsidRPr="00D44497">
        <w:rPr>
          <w:spacing w:val="-1"/>
          <w:sz w:val="24"/>
        </w:rPr>
        <w:t xml:space="preserve"> </w:t>
      </w:r>
      <w:r w:rsidRPr="00D44497">
        <w:rPr>
          <w:i/>
          <w:sz w:val="24"/>
        </w:rPr>
        <w:t>Penyusunan</w:t>
      </w:r>
      <w:r w:rsidRPr="00D44497">
        <w:rPr>
          <w:i/>
          <w:spacing w:val="-1"/>
          <w:sz w:val="24"/>
        </w:rPr>
        <w:t xml:space="preserve"> </w:t>
      </w:r>
      <w:r w:rsidRPr="00D44497">
        <w:rPr>
          <w:i/>
          <w:sz w:val="24"/>
        </w:rPr>
        <w:t>skala</w:t>
      </w:r>
      <w:r w:rsidRPr="00D44497">
        <w:rPr>
          <w:i/>
          <w:spacing w:val="-1"/>
          <w:sz w:val="24"/>
        </w:rPr>
        <w:t xml:space="preserve"> </w:t>
      </w:r>
      <w:r w:rsidRPr="00D44497">
        <w:rPr>
          <w:i/>
          <w:sz w:val="24"/>
        </w:rPr>
        <w:t>psikologi</w:t>
      </w:r>
      <w:r w:rsidRPr="00D44497">
        <w:rPr>
          <w:sz w:val="24"/>
        </w:rPr>
        <w:t>.</w:t>
      </w:r>
      <w:r>
        <w:rPr>
          <w:sz w:val="24"/>
        </w:rPr>
        <w:t xml:space="preserve"> Jakarta.</w:t>
      </w:r>
      <w:r w:rsidRPr="00D44497">
        <w:rPr>
          <w:spacing w:val="-1"/>
          <w:sz w:val="24"/>
        </w:rPr>
        <w:t xml:space="preserve"> </w:t>
      </w:r>
      <w:r w:rsidRPr="00D44497">
        <w:rPr>
          <w:sz w:val="24"/>
        </w:rPr>
        <w:t>Pustaka</w:t>
      </w:r>
      <w:r w:rsidRPr="00D44497">
        <w:rPr>
          <w:spacing w:val="-3"/>
          <w:sz w:val="24"/>
        </w:rPr>
        <w:t xml:space="preserve"> </w:t>
      </w:r>
      <w:r w:rsidRPr="00D44497">
        <w:rPr>
          <w:sz w:val="24"/>
        </w:rPr>
        <w:t>Pelajar.</w:t>
      </w:r>
    </w:p>
    <w:p w14:paraId="51FA2E43" w14:textId="77777777" w:rsidR="00C46D3D" w:rsidRPr="00C46D3D" w:rsidRDefault="00C46D3D" w:rsidP="00580C06">
      <w:pPr>
        <w:adjustRightInd w:val="0"/>
        <w:ind w:left="709" w:hanging="480"/>
        <w:rPr>
          <w:noProof/>
          <w:szCs w:val="24"/>
        </w:rPr>
      </w:pPr>
      <w:r w:rsidRPr="00C46D3D">
        <w:rPr>
          <w:noProof/>
          <w:szCs w:val="24"/>
        </w:rPr>
        <w:t xml:space="preserve">Distina, P. P., &amp; Kumail, M. H. (2019). Pengembangan dimensi psychological well-being untuk pengurangan risiko gangguan depresi. </w:t>
      </w:r>
      <w:r w:rsidRPr="00C46D3D">
        <w:rPr>
          <w:i/>
          <w:iCs/>
          <w:noProof/>
          <w:szCs w:val="24"/>
        </w:rPr>
        <w:t>Jurnal Dakwah Dan Pengembangan Sosial Kemanusiaan</w:t>
      </w:r>
      <w:r w:rsidRPr="00C46D3D">
        <w:rPr>
          <w:noProof/>
          <w:szCs w:val="24"/>
        </w:rPr>
        <w:t xml:space="preserve">, </w:t>
      </w:r>
      <w:r w:rsidRPr="00C46D3D">
        <w:rPr>
          <w:i/>
          <w:iCs/>
          <w:noProof/>
          <w:szCs w:val="24"/>
        </w:rPr>
        <w:t>10</w:t>
      </w:r>
      <w:r w:rsidRPr="00C46D3D">
        <w:rPr>
          <w:noProof/>
          <w:szCs w:val="24"/>
        </w:rPr>
        <w:t>(1), 39–59. https://doi.org/doi.org/10.32923/maw.v10i1.768</w:t>
      </w:r>
    </w:p>
    <w:p w14:paraId="05CD9EC1" w14:textId="77777777" w:rsidR="00C46D3D" w:rsidRPr="00C46D3D" w:rsidRDefault="00C46D3D" w:rsidP="00580C06">
      <w:pPr>
        <w:adjustRightInd w:val="0"/>
        <w:ind w:left="709" w:hanging="480"/>
        <w:rPr>
          <w:noProof/>
          <w:szCs w:val="24"/>
        </w:rPr>
      </w:pPr>
      <w:r w:rsidRPr="00C46D3D">
        <w:rPr>
          <w:noProof/>
          <w:szCs w:val="24"/>
        </w:rPr>
        <w:t xml:space="preserve">Greca, A. M. La, &amp; Lopez, N. (1998). </w:t>
      </w:r>
      <w:r w:rsidRPr="00C46D3D">
        <w:rPr>
          <w:i/>
          <w:iCs/>
          <w:noProof/>
          <w:szCs w:val="24"/>
        </w:rPr>
        <w:t>Social anxiety amon adolescents : linkages with peer relations and friendships</w:t>
      </w:r>
      <w:r w:rsidRPr="00C46D3D">
        <w:rPr>
          <w:noProof/>
          <w:szCs w:val="24"/>
        </w:rPr>
        <w:t xml:space="preserve">. </w:t>
      </w:r>
      <w:r w:rsidRPr="00C46D3D">
        <w:rPr>
          <w:i/>
          <w:iCs/>
          <w:noProof/>
          <w:szCs w:val="24"/>
        </w:rPr>
        <w:t>26</w:t>
      </w:r>
      <w:r w:rsidRPr="00C46D3D">
        <w:rPr>
          <w:noProof/>
          <w:szCs w:val="24"/>
        </w:rPr>
        <w:t>(2), 83–94.</w:t>
      </w:r>
    </w:p>
    <w:p w14:paraId="3C50007F" w14:textId="77777777" w:rsidR="00C46D3D" w:rsidRPr="00C46D3D" w:rsidRDefault="00C46D3D" w:rsidP="00580C06">
      <w:pPr>
        <w:adjustRightInd w:val="0"/>
        <w:ind w:left="709" w:hanging="480"/>
        <w:rPr>
          <w:noProof/>
          <w:szCs w:val="24"/>
        </w:rPr>
      </w:pPr>
      <w:r w:rsidRPr="00C46D3D">
        <w:rPr>
          <w:noProof/>
          <w:szCs w:val="24"/>
        </w:rPr>
        <w:t xml:space="preserve">Ismail, Z., &amp; Soha, D. (2012). Religiosity and psychological well-being. </w:t>
      </w:r>
      <w:r w:rsidRPr="00C46D3D">
        <w:rPr>
          <w:i/>
          <w:iCs/>
          <w:noProof/>
          <w:szCs w:val="24"/>
        </w:rPr>
        <w:t>International Journal of Business and Social Science</w:t>
      </w:r>
      <w:r w:rsidRPr="00C46D3D">
        <w:rPr>
          <w:noProof/>
          <w:szCs w:val="24"/>
        </w:rPr>
        <w:t xml:space="preserve">, </w:t>
      </w:r>
      <w:r w:rsidRPr="00C46D3D">
        <w:rPr>
          <w:i/>
          <w:iCs/>
          <w:noProof/>
          <w:szCs w:val="24"/>
        </w:rPr>
        <w:t>3</w:t>
      </w:r>
      <w:r w:rsidRPr="00C46D3D">
        <w:rPr>
          <w:noProof/>
          <w:szCs w:val="24"/>
        </w:rPr>
        <w:t>(11), 20–28. www.ijbssnet.com</w:t>
      </w:r>
    </w:p>
    <w:p w14:paraId="642FCC52" w14:textId="77777777" w:rsidR="00C46D3D" w:rsidRPr="00C46D3D" w:rsidRDefault="00C46D3D" w:rsidP="00580C06">
      <w:pPr>
        <w:adjustRightInd w:val="0"/>
        <w:ind w:left="709" w:hanging="480"/>
        <w:rPr>
          <w:noProof/>
          <w:szCs w:val="24"/>
        </w:rPr>
      </w:pPr>
      <w:r w:rsidRPr="00C46D3D">
        <w:rPr>
          <w:noProof/>
          <w:szCs w:val="24"/>
        </w:rPr>
        <w:t xml:space="preserve">Ismuniar, C., &amp; Ardiwinata, E. (2021). Gambaran psychologicall well being </w:t>
      </w:r>
      <w:r w:rsidRPr="00C46D3D">
        <w:rPr>
          <w:noProof/>
          <w:szCs w:val="24"/>
        </w:rPr>
        <w:lastRenderedPageBreak/>
        <w:t xml:space="preserve">mahasiswa selama proses perkuliahan online guna untuk melihat learning. </w:t>
      </w:r>
      <w:r w:rsidRPr="00C46D3D">
        <w:rPr>
          <w:i/>
          <w:iCs/>
          <w:noProof/>
          <w:szCs w:val="24"/>
        </w:rPr>
        <w:t>Jurnal Mahasiswa BK An-Nur</w:t>
      </w:r>
      <w:r w:rsidRPr="00C46D3D">
        <w:rPr>
          <w:noProof/>
          <w:szCs w:val="24"/>
        </w:rPr>
        <w:t xml:space="preserve">, </w:t>
      </w:r>
      <w:r w:rsidRPr="00C46D3D">
        <w:rPr>
          <w:i/>
          <w:iCs/>
          <w:noProof/>
          <w:szCs w:val="24"/>
        </w:rPr>
        <w:t>7</w:t>
      </w:r>
      <w:r w:rsidRPr="00C46D3D">
        <w:rPr>
          <w:noProof/>
          <w:szCs w:val="24"/>
        </w:rPr>
        <w:t>(3), 105–110.</w:t>
      </w:r>
    </w:p>
    <w:p w14:paraId="18BE4ADF" w14:textId="77777777" w:rsidR="00C46D3D" w:rsidRPr="00C46D3D" w:rsidRDefault="00C46D3D" w:rsidP="00580C06">
      <w:pPr>
        <w:adjustRightInd w:val="0"/>
        <w:ind w:left="709" w:hanging="480"/>
        <w:rPr>
          <w:noProof/>
          <w:szCs w:val="24"/>
        </w:rPr>
      </w:pPr>
      <w:r w:rsidRPr="00C46D3D">
        <w:rPr>
          <w:noProof/>
          <w:szCs w:val="24"/>
        </w:rPr>
        <w:t xml:space="preserve">Johal, S. K., &amp; Pooja. (2016). Relationship between Mental Health and Psychological Well Being of Prospective Female Teachers. </w:t>
      </w:r>
      <w:r w:rsidRPr="00C46D3D">
        <w:rPr>
          <w:i/>
          <w:iCs/>
          <w:noProof/>
          <w:szCs w:val="24"/>
        </w:rPr>
        <w:t>Journal of Research &amp; Method in Education</w:t>
      </w:r>
      <w:r w:rsidRPr="00C46D3D">
        <w:rPr>
          <w:noProof/>
          <w:szCs w:val="24"/>
        </w:rPr>
        <w:t xml:space="preserve">, </w:t>
      </w:r>
      <w:r w:rsidRPr="00C46D3D">
        <w:rPr>
          <w:i/>
          <w:iCs/>
          <w:noProof/>
          <w:szCs w:val="24"/>
        </w:rPr>
        <w:t>6</w:t>
      </w:r>
      <w:r w:rsidRPr="00C46D3D">
        <w:rPr>
          <w:noProof/>
          <w:szCs w:val="24"/>
        </w:rPr>
        <w:t>(1), 1–6. https://doi.org/10.9790/7388-06120106</w:t>
      </w:r>
    </w:p>
    <w:p w14:paraId="574B01C3" w14:textId="77777777" w:rsidR="00C46D3D" w:rsidRPr="00C46D3D" w:rsidRDefault="00C46D3D" w:rsidP="00580C06">
      <w:pPr>
        <w:adjustRightInd w:val="0"/>
        <w:ind w:left="709" w:hanging="480"/>
        <w:rPr>
          <w:noProof/>
          <w:szCs w:val="24"/>
        </w:rPr>
      </w:pPr>
      <w:r w:rsidRPr="00C46D3D">
        <w:rPr>
          <w:noProof/>
          <w:szCs w:val="24"/>
        </w:rPr>
        <w:t xml:space="preserve">Khosroshahi, J. B., &amp; Abad, T. H. N. (2012). The relationship between social anxiety, optimism and self-efficacy with psychological well being. </w:t>
      </w:r>
      <w:r w:rsidRPr="00C46D3D">
        <w:rPr>
          <w:i/>
          <w:iCs/>
          <w:noProof/>
          <w:szCs w:val="24"/>
        </w:rPr>
        <w:t>Journal Tudies in Medical Sciences</w:t>
      </w:r>
      <w:r w:rsidRPr="00C46D3D">
        <w:rPr>
          <w:noProof/>
          <w:szCs w:val="24"/>
        </w:rPr>
        <w:t xml:space="preserve">, </w:t>
      </w:r>
      <w:r w:rsidRPr="00C46D3D">
        <w:rPr>
          <w:i/>
          <w:iCs/>
          <w:noProof/>
          <w:szCs w:val="24"/>
        </w:rPr>
        <w:t>23</w:t>
      </w:r>
      <w:r w:rsidRPr="00C46D3D">
        <w:rPr>
          <w:noProof/>
          <w:szCs w:val="24"/>
        </w:rPr>
        <w:t>(2), 115–122.</w:t>
      </w:r>
    </w:p>
    <w:p w14:paraId="738F6AE1" w14:textId="77777777" w:rsidR="00C46D3D" w:rsidRPr="00C46D3D" w:rsidRDefault="00C46D3D" w:rsidP="00580C06">
      <w:pPr>
        <w:adjustRightInd w:val="0"/>
        <w:ind w:left="709" w:hanging="480"/>
        <w:rPr>
          <w:noProof/>
          <w:szCs w:val="24"/>
        </w:rPr>
      </w:pPr>
      <w:r w:rsidRPr="00C46D3D">
        <w:rPr>
          <w:noProof/>
          <w:szCs w:val="24"/>
        </w:rPr>
        <w:t xml:space="preserve">Natalia, E. C. (2016). Remaja media sosial dan cyberbullying. </w:t>
      </w:r>
      <w:r w:rsidRPr="00C46D3D">
        <w:rPr>
          <w:i/>
          <w:iCs/>
          <w:noProof/>
          <w:szCs w:val="24"/>
        </w:rPr>
        <w:t>Jurnal Ilmiah Komunikasi</w:t>
      </w:r>
      <w:r w:rsidRPr="00C46D3D">
        <w:rPr>
          <w:noProof/>
          <w:szCs w:val="24"/>
        </w:rPr>
        <w:t xml:space="preserve">, </w:t>
      </w:r>
      <w:r w:rsidRPr="00C46D3D">
        <w:rPr>
          <w:i/>
          <w:iCs/>
          <w:noProof/>
          <w:szCs w:val="24"/>
        </w:rPr>
        <w:t>5</w:t>
      </w:r>
      <w:r w:rsidRPr="00C46D3D">
        <w:rPr>
          <w:noProof/>
          <w:szCs w:val="24"/>
        </w:rPr>
        <w:t>(2), 119–139.</w:t>
      </w:r>
    </w:p>
    <w:p w14:paraId="60044028" w14:textId="77777777" w:rsidR="00C46D3D" w:rsidRPr="00C46D3D" w:rsidRDefault="00C46D3D" w:rsidP="00580C06">
      <w:pPr>
        <w:adjustRightInd w:val="0"/>
        <w:ind w:left="709" w:hanging="480"/>
        <w:rPr>
          <w:noProof/>
          <w:szCs w:val="24"/>
        </w:rPr>
      </w:pPr>
      <w:r w:rsidRPr="00C46D3D">
        <w:rPr>
          <w:noProof/>
          <w:szCs w:val="24"/>
        </w:rPr>
        <w:t xml:space="preserve">Nissa, R. N. F., &amp; Hatta, I. (2022). Hubungan self-esteem dengan perilaku cyberbullying pada remaja pengguna media sosial twitter. </w:t>
      </w:r>
      <w:r w:rsidRPr="00C46D3D">
        <w:rPr>
          <w:i/>
          <w:iCs/>
          <w:noProof/>
          <w:szCs w:val="24"/>
        </w:rPr>
        <w:t>Bandung Conference Series: Psychology Science</w:t>
      </w:r>
      <w:r w:rsidRPr="00C46D3D">
        <w:rPr>
          <w:noProof/>
          <w:szCs w:val="24"/>
        </w:rPr>
        <w:t xml:space="preserve">, </w:t>
      </w:r>
      <w:r w:rsidRPr="00C46D3D">
        <w:rPr>
          <w:i/>
          <w:iCs/>
          <w:noProof/>
          <w:szCs w:val="24"/>
        </w:rPr>
        <w:t>2</w:t>
      </w:r>
      <w:r w:rsidRPr="00C46D3D">
        <w:rPr>
          <w:noProof/>
          <w:szCs w:val="24"/>
        </w:rPr>
        <w:t>(1), 167–173. https://doi.org/10.29313/bcsps.v2i1.886</w:t>
      </w:r>
    </w:p>
    <w:p w14:paraId="1E1E39A4" w14:textId="77777777" w:rsidR="00C46D3D" w:rsidRPr="00C46D3D" w:rsidRDefault="00C46D3D" w:rsidP="00580C06">
      <w:pPr>
        <w:adjustRightInd w:val="0"/>
        <w:ind w:left="709" w:hanging="480"/>
        <w:rPr>
          <w:noProof/>
          <w:szCs w:val="24"/>
        </w:rPr>
      </w:pPr>
      <w:r w:rsidRPr="00C46D3D">
        <w:rPr>
          <w:noProof/>
          <w:szCs w:val="24"/>
        </w:rPr>
        <w:t xml:space="preserve">Rizki, K., &amp; Uyun, Q. (2015). Pelatihan arsetivitas terhadap penrunan kecemasan sosial pada siswa korban bullying. </w:t>
      </w:r>
      <w:r w:rsidRPr="00C46D3D">
        <w:rPr>
          <w:i/>
          <w:iCs/>
          <w:noProof/>
          <w:szCs w:val="24"/>
        </w:rPr>
        <w:t>Jurnal Ilmiah Psikologi Terapan</w:t>
      </w:r>
      <w:r w:rsidRPr="00C46D3D">
        <w:rPr>
          <w:noProof/>
          <w:szCs w:val="24"/>
        </w:rPr>
        <w:t xml:space="preserve">, </w:t>
      </w:r>
      <w:r w:rsidRPr="00C46D3D">
        <w:rPr>
          <w:i/>
          <w:iCs/>
          <w:noProof/>
          <w:szCs w:val="24"/>
        </w:rPr>
        <w:t>3</w:t>
      </w:r>
      <w:r w:rsidRPr="00C46D3D">
        <w:rPr>
          <w:noProof/>
          <w:szCs w:val="24"/>
        </w:rPr>
        <w:t>(2), 200–214.</w:t>
      </w:r>
    </w:p>
    <w:p w14:paraId="08960CC4" w14:textId="77777777" w:rsidR="00C46D3D" w:rsidRPr="00C46D3D" w:rsidRDefault="00C46D3D" w:rsidP="00580C06">
      <w:pPr>
        <w:adjustRightInd w:val="0"/>
        <w:ind w:left="709" w:hanging="480"/>
        <w:rPr>
          <w:noProof/>
          <w:szCs w:val="24"/>
        </w:rPr>
      </w:pPr>
      <w:r w:rsidRPr="00C46D3D">
        <w:rPr>
          <w:noProof/>
          <w:szCs w:val="24"/>
        </w:rPr>
        <w:t xml:space="preserve">Robertson, I., &amp; Cooper, C. (2011). </w:t>
      </w:r>
      <w:r w:rsidRPr="00C46D3D">
        <w:rPr>
          <w:i/>
          <w:iCs/>
          <w:noProof/>
          <w:szCs w:val="24"/>
        </w:rPr>
        <w:t>Well-being productivity and happiness at work</w:t>
      </w:r>
      <w:r w:rsidRPr="00C46D3D">
        <w:rPr>
          <w:noProof/>
          <w:szCs w:val="24"/>
        </w:rPr>
        <w:t>. Palgrave Macmillan.</w:t>
      </w:r>
    </w:p>
    <w:p w14:paraId="7F7479EA" w14:textId="77777777" w:rsidR="00C46D3D" w:rsidRPr="00C46D3D" w:rsidRDefault="00C46D3D" w:rsidP="00580C06">
      <w:pPr>
        <w:adjustRightInd w:val="0"/>
        <w:ind w:left="709" w:hanging="480"/>
        <w:rPr>
          <w:noProof/>
          <w:szCs w:val="24"/>
        </w:rPr>
      </w:pPr>
      <w:r w:rsidRPr="00C46D3D">
        <w:rPr>
          <w:noProof/>
          <w:szCs w:val="24"/>
        </w:rPr>
        <w:t xml:space="preserve">Ryff, C. D. (1995). Psychological well-being in adult life. </w:t>
      </w:r>
      <w:r w:rsidRPr="00C46D3D">
        <w:rPr>
          <w:i/>
          <w:iCs/>
          <w:noProof/>
          <w:szCs w:val="24"/>
        </w:rPr>
        <w:t>Current Directions in Psychological Science</w:t>
      </w:r>
      <w:r w:rsidRPr="00C46D3D">
        <w:rPr>
          <w:noProof/>
          <w:szCs w:val="24"/>
        </w:rPr>
        <w:t xml:space="preserve">, </w:t>
      </w:r>
      <w:r w:rsidRPr="00C46D3D">
        <w:rPr>
          <w:i/>
          <w:iCs/>
          <w:noProof/>
          <w:szCs w:val="24"/>
        </w:rPr>
        <w:t>4</w:t>
      </w:r>
      <w:r w:rsidRPr="00C46D3D">
        <w:rPr>
          <w:noProof/>
          <w:szCs w:val="24"/>
        </w:rPr>
        <w:t>(4), 99–104. https://doi.org/10.1111/1467-8721.ep10772395</w:t>
      </w:r>
    </w:p>
    <w:p w14:paraId="3276077C" w14:textId="77777777" w:rsidR="00C46D3D" w:rsidRPr="00C46D3D" w:rsidRDefault="00C46D3D" w:rsidP="00580C06">
      <w:pPr>
        <w:adjustRightInd w:val="0"/>
        <w:ind w:left="709" w:hanging="480"/>
        <w:rPr>
          <w:noProof/>
          <w:szCs w:val="24"/>
        </w:rPr>
      </w:pPr>
      <w:r w:rsidRPr="00C46D3D">
        <w:rPr>
          <w:noProof/>
          <w:szCs w:val="24"/>
        </w:rPr>
        <w:t xml:space="preserve">Safaria, T., Tentama, F., &amp; Suyono, H. (2016). Cyberbully, cybervictim, and forgiveness among Indonesian high school students. </w:t>
      </w:r>
      <w:r w:rsidRPr="00C46D3D">
        <w:rPr>
          <w:i/>
          <w:iCs/>
          <w:noProof/>
          <w:szCs w:val="24"/>
        </w:rPr>
        <w:t>Turkish Online Journal of Educational Technology</w:t>
      </w:r>
      <w:r w:rsidRPr="00C46D3D">
        <w:rPr>
          <w:noProof/>
          <w:szCs w:val="24"/>
        </w:rPr>
        <w:t xml:space="preserve">, </w:t>
      </w:r>
      <w:r w:rsidRPr="00C46D3D">
        <w:rPr>
          <w:i/>
          <w:iCs/>
          <w:noProof/>
          <w:szCs w:val="24"/>
        </w:rPr>
        <w:t>15</w:t>
      </w:r>
      <w:r w:rsidRPr="00C46D3D">
        <w:rPr>
          <w:noProof/>
          <w:szCs w:val="24"/>
        </w:rPr>
        <w:t>(3), 40–48.</w:t>
      </w:r>
    </w:p>
    <w:p w14:paraId="7509F516" w14:textId="77777777" w:rsidR="00C46D3D" w:rsidRDefault="00C46D3D" w:rsidP="00580C06">
      <w:pPr>
        <w:adjustRightInd w:val="0"/>
        <w:ind w:left="709" w:hanging="480"/>
        <w:rPr>
          <w:noProof/>
          <w:szCs w:val="24"/>
        </w:rPr>
      </w:pPr>
      <w:r w:rsidRPr="00C46D3D">
        <w:rPr>
          <w:noProof/>
          <w:szCs w:val="24"/>
        </w:rPr>
        <w:t xml:space="preserve">Smith, P. K., Mahdavi, J., Carvalho, M., Fisher, S., Russell, S., &amp; Tippett, N. (2008). Cyberbullying : its nature and impact in secondary school pupils. </w:t>
      </w:r>
      <w:r w:rsidRPr="00C46D3D">
        <w:rPr>
          <w:i/>
          <w:iCs/>
          <w:noProof/>
          <w:szCs w:val="24"/>
        </w:rPr>
        <w:t>THE JOURNAL OF CHILD PSYCHOLOGY AND PSYCHIATRY Journal</w:t>
      </w:r>
      <w:r w:rsidRPr="00C46D3D">
        <w:rPr>
          <w:noProof/>
          <w:szCs w:val="24"/>
        </w:rPr>
        <w:t xml:space="preserve">, </w:t>
      </w:r>
      <w:r w:rsidRPr="00C46D3D">
        <w:rPr>
          <w:i/>
          <w:iCs/>
          <w:noProof/>
          <w:szCs w:val="24"/>
        </w:rPr>
        <w:t>49</w:t>
      </w:r>
      <w:r w:rsidRPr="00C46D3D">
        <w:rPr>
          <w:noProof/>
          <w:szCs w:val="24"/>
        </w:rPr>
        <w:t>(4), 376–385. https://doi.org/10.1111/j.1469-7610.2007.01846.x</w:t>
      </w:r>
    </w:p>
    <w:p w14:paraId="1A0C536B" w14:textId="77777777" w:rsidR="00E024C5" w:rsidRDefault="00E024C5" w:rsidP="00580C06">
      <w:pPr>
        <w:adjustRightInd w:val="0"/>
        <w:ind w:left="709" w:hanging="480"/>
        <w:jc w:val="both"/>
        <w:rPr>
          <w:spacing w:val="-57"/>
          <w:sz w:val="24"/>
        </w:rPr>
      </w:pPr>
      <w:r w:rsidRPr="00D44497">
        <w:rPr>
          <w:sz w:val="24"/>
        </w:rPr>
        <w:t xml:space="preserve">Sugiyono. (2016). </w:t>
      </w:r>
      <w:r w:rsidRPr="00D44497">
        <w:rPr>
          <w:i/>
          <w:sz w:val="24"/>
        </w:rPr>
        <w:t>Metode penelitian kuantitatif, kualitatif, dan r &amp; d</w:t>
      </w:r>
      <w:r w:rsidRPr="00D44497">
        <w:rPr>
          <w:sz w:val="24"/>
        </w:rPr>
        <w:t xml:space="preserve">. </w:t>
      </w:r>
      <w:r>
        <w:rPr>
          <w:sz w:val="24"/>
        </w:rPr>
        <w:t xml:space="preserve">Bandung. </w:t>
      </w:r>
      <w:r w:rsidRPr="00D44497">
        <w:rPr>
          <w:sz w:val="24"/>
        </w:rPr>
        <w:t>Alfabeta.</w:t>
      </w:r>
      <w:r>
        <w:rPr>
          <w:sz w:val="24"/>
        </w:rPr>
        <w:t xml:space="preserve"> </w:t>
      </w:r>
    </w:p>
    <w:p w14:paraId="65E8DE40" w14:textId="77777777" w:rsidR="00E024C5" w:rsidRPr="00E024C5" w:rsidRDefault="00E024C5" w:rsidP="00580C06">
      <w:pPr>
        <w:adjustRightInd w:val="0"/>
        <w:ind w:left="709" w:hanging="480"/>
        <w:jc w:val="both"/>
        <w:rPr>
          <w:noProof/>
          <w:sz w:val="24"/>
          <w:szCs w:val="24"/>
        </w:rPr>
      </w:pPr>
      <w:r w:rsidRPr="00D44497">
        <w:rPr>
          <w:sz w:val="24"/>
        </w:rPr>
        <w:t>Sugiyono.</w:t>
      </w:r>
      <w:r w:rsidRPr="00D44497">
        <w:rPr>
          <w:spacing w:val="-1"/>
          <w:sz w:val="24"/>
        </w:rPr>
        <w:t xml:space="preserve"> </w:t>
      </w:r>
      <w:r w:rsidRPr="00D44497">
        <w:rPr>
          <w:sz w:val="24"/>
        </w:rPr>
        <w:t xml:space="preserve">(2012). </w:t>
      </w:r>
      <w:r w:rsidRPr="00D44497">
        <w:rPr>
          <w:i/>
          <w:sz w:val="24"/>
        </w:rPr>
        <w:t>Metode</w:t>
      </w:r>
      <w:r w:rsidRPr="00D44497">
        <w:rPr>
          <w:i/>
          <w:spacing w:val="-2"/>
          <w:sz w:val="24"/>
        </w:rPr>
        <w:t xml:space="preserve"> </w:t>
      </w:r>
      <w:r w:rsidRPr="00D44497">
        <w:rPr>
          <w:i/>
          <w:sz w:val="24"/>
        </w:rPr>
        <w:t>penelitian kuantitatif</w:t>
      </w:r>
      <w:r w:rsidRPr="00D44497">
        <w:rPr>
          <w:i/>
          <w:spacing w:val="-1"/>
          <w:sz w:val="24"/>
        </w:rPr>
        <w:t xml:space="preserve"> </w:t>
      </w:r>
      <w:r w:rsidRPr="00D44497">
        <w:rPr>
          <w:i/>
          <w:sz w:val="24"/>
        </w:rPr>
        <w:t>kualitatif dan</w:t>
      </w:r>
      <w:r w:rsidRPr="00D44497">
        <w:rPr>
          <w:i/>
          <w:spacing w:val="-1"/>
          <w:sz w:val="24"/>
        </w:rPr>
        <w:t xml:space="preserve"> </w:t>
      </w:r>
      <w:r w:rsidRPr="00D44497">
        <w:rPr>
          <w:i/>
          <w:sz w:val="24"/>
        </w:rPr>
        <w:t>r&amp;d</w:t>
      </w:r>
      <w:r w:rsidRPr="00D44497">
        <w:rPr>
          <w:sz w:val="24"/>
        </w:rPr>
        <w:t>.</w:t>
      </w:r>
      <w:r>
        <w:rPr>
          <w:sz w:val="24"/>
        </w:rPr>
        <w:t xml:space="preserve"> Bandung. Alfabeta</w:t>
      </w:r>
    </w:p>
    <w:p w14:paraId="31A327CD" w14:textId="77777777" w:rsidR="00C46D3D" w:rsidRPr="00C46D3D" w:rsidRDefault="00C46D3D" w:rsidP="00580C06">
      <w:pPr>
        <w:adjustRightInd w:val="0"/>
        <w:ind w:left="709" w:hanging="480"/>
        <w:rPr>
          <w:noProof/>
          <w:szCs w:val="24"/>
        </w:rPr>
      </w:pPr>
      <w:r w:rsidRPr="00C46D3D">
        <w:rPr>
          <w:noProof/>
          <w:szCs w:val="24"/>
        </w:rPr>
        <w:t xml:space="preserve">Supratman, L. P. (2018). Penggunaan media sosial oleh digital native. </w:t>
      </w:r>
      <w:r w:rsidRPr="00C46D3D">
        <w:rPr>
          <w:i/>
          <w:iCs/>
          <w:noProof/>
          <w:szCs w:val="24"/>
        </w:rPr>
        <w:t>Jurnal ILMU KOMUNIKASI</w:t>
      </w:r>
      <w:r w:rsidRPr="00C46D3D">
        <w:rPr>
          <w:noProof/>
          <w:szCs w:val="24"/>
        </w:rPr>
        <w:t xml:space="preserve">, </w:t>
      </w:r>
      <w:r w:rsidRPr="00C46D3D">
        <w:rPr>
          <w:i/>
          <w:iCs/>
          <w:noProof/>
          <w:szCs w:val="24"/>
        </w:rPr>
        <w:t>15</w:t>
      </w:r>
      <w:r w:rsidRPr="00C46D3D">
        <w:rPr>
          <w:noProof/>
          <w:szCs w:val="24"/>
        </w:rPr>
        <w:t>(1), 47–60. https://doi.org/10.24002/jik.v15i1.1243</w:t>
      </w:r>
    </w:p>
    <w:p w14:paraId="5B3AA230" w14:textId="77777777" w:rsidR="00C46D3D" w:rsidRPr="00C46D3D" w:rsidRDefault="00C46D3D" w:rsidP="00580C06">
      <w:pPr>
        <w:adjustRightInd w:val="0"/>
        <w:ind w:left="709" w:hanging="480"/>
        <w:rPr>
          <w:noProof/>
          <w:szCs w:val="24"/>
        </w:rPr>
      </w:pPr>
      <w:r w:rsidRPr="00C46D3D">
        <w:rPr>
          <w:noProof/>
          <w:szCs w:val="24"/>
        </w:rPr>
        <w:t xml:space="preserve">Syarif, K., &amp; Balqis, Z. (2014). Pengaruh </w:t>
      </w:r>
      <w:r w:rsidRPr="00C46D3D">
        <w:rPr>
          <w:noProof/>
          <w:szCs w:val="24"/>
        </w:rPr>
        <w:t xml:space="preserve">pemberian layanan bimbingan sosial dalam mereduksi kecemasan sosial remaja kelas x sma negeri 1 batang kuis tahun ajaran 2012/2013. </w:t>
      </w:r>
      <w:r w:rsidRPr="00C46D3D">
        <w:rPr>
          <w:i/>
          <w:iCs/>
          <w:noProof/>
          <w:szCs w:val="24"/>
        </w:rPr>
        <w:t>Jurnal BK FIP Unimed,</w:t>
      </w:r>
      <w:r w:rsidRPr="00C46D3D">
        <w:rPr>
          <w:noProof/>
          <w:szCs w:val="24"/>
        </w:rPr>
        <w:t xml:space="preserve"> </w:t>
      </w:r>
      <w:r w:rsidRPr="00C46D3D">
        <w:rPr>
          <w:i/>
          <w:iCs/>
          <w:noProof/>
          <w:szCs w:val="24"/>
        </w:rPr>
        <w:t>6</w:t>
      </w:r>
      <w:r w:rsidRPr="00C46D3D">
        <w:rPr>
          <w:noProof/>
          <w:szCs w:val="24"/>
        </w:rPr>
        <w:t>(11), 519–527.</w:t>
      </w:r>
    </w:p>
    <w:p w14:paraId="736CE68C" w14:textId="77777777" w:rsidR="00C46D3D" w:rsidRPr="00C46D3D" w:rsidRDefault="00C46D3D" w:rsidP="00580C06">
      <w:pPr>
        <w:adjustRightInd w:val="0"/>
        <w:ind w:left="709" w:hanging="480"/>
        <w:rPr>
          <w:noProof/>
          <w:szCs w:val="24"/>
        </w:rPr>
      </w:pPr>
      <w:r w:rsidRPr="00C46D3D">
        <w:rPr>
          <w:noProof/>
          <w:szCs w:val="24"/>
        </w:rPr>
        <w:t xml:space="preserve">Uyun, Q., &amp; Siddik, I. N. (2017). Khusnudzon dan psychological well being pada orang dengan hiv/aids. </w:t>
      </w:r>
      <w:r w:rsidRPr="00C46D3D">
        <w:rPr>
          <w:i/>
          <w:iCs/>
          <w:noProof/>
          <w:szCs w:val="24"/>
        </w:rPr>
        <w:t>Jurnal Psikologi Islami</w:t>
      </w:r>
      <w:r w:rsidRPr="00C46D3D">
        <w:rPr>
          <w:noProof/>
          <w:szCs w:val="24"/>
        </w:rPr>
        <w:t xml:space="preserve">, </w:t>
      </w:r>
      <w:r w:rsidRPr="00C46D3D">
        <w:rPr>
          <w:i/>
          <w:iCs/>
          <w:noProof/>
          <w:szCs w:val="24"/>
        </w:rPr>
        <w:t>3</w:t>
      </w:r>
      <w:r w:rsidRPr="00C46D3D">
        <w:rPr>
          <w:noProof/>
          <w:szCs w:val="24"/>
        </w:rPr>
        <w:t>(2), 86–93. https://doi.org/10.19109/psikis.v3i2.1735</w:t>
      </w:r>
    </w:p>
    <w:p w14:paraId="33D58444" w14:textId="77777777" w:rsidR="00C46D3D" w:rsidRPr="00C46D3D" w:rsidRDefault="00C46D3D" w:rsidP="00580C06">
      <w:pPr>
        <w:adjustRightInd w:val="0"/>
        <w:ind w:left="709" w:hanging="480"/>
        <w:rPr>
          <w:noProof/>
          <w:szCs w:val="24"/>
        </w:rPr>
      </w:pPr>
      <w:r w:rsidRPr="00C46D3D">
        <w:rPr>
          <w:noProof/>
          <w:szCs w:val="24"/>
        </w:rPr>
        <w:t xml:space="preserve">Weidman, A. C., Fernandez, K. C., Levinson, C. A., Augustine, A. A., Larsen, R. J., &amp; Rodebaugh, T. L. (2012). Compensatory internet use among individuals higher in social anxiety and its implications for well-being. </w:t>
      </w:r>
      <w:r w:rsidRPr="00C46D3D">
        <w:rPr>
          <w:i/>
          <w:iCs/>
          <w:noProof/>
          <w:szCs w:val="24"/>
        </w:rPr>
        <w:t>Personality and Individual Differences</w:t>
      </w:r>
      <w:r w:rsidRPr="00C46D3D">
        <w:rPr>
          <w:noProof/>
          <w:szCs w:val="24"/>
        </w:rPr>
        <w:t xml:space="preserve">, </w:t>
      </w:r>
      <w:r w:rsidRPr="00C46D3D">
        <w:rPr>
          <w:i/>
          <w:iCs/>
          <w:noProof/>
          <w:szCs w:val="24"/>
        </w:rPr>
        <w:t>53</w:t>
      </w:r>
      <w:r w:rsidRPr="00C46D3D">
        <w:rPr>
          <w:noProof/>
          <w:szCs w:val="24"/>
        </w:rPr>
        <w:t>(3), 191–195. https://doi.org/10.1016/j.paid.2012.03.003</w:t>
      </w:r>
    </w:p>
    <w:p w14:paraId="214004D7" w14:textId="77777777" w:rsidR="00C46D3D" w:rsidRPr="00C46D3D" w:rsidRDefault="00C46D3D" w:rsidP="00580C06">
      <w:pPr>
        <w:adjustRightInd w:val="0"/>
        <w:ind w:left="709" w:hanging="480"/>
        <w:rPr>
          <w:noProof/>
        </w:rPr>
      </w:pPr>
      <w:r w:rsidRPr="00C46D3D">
        <w:rPr>
          <w:noProof/>
          <w:szCs w:val="24"/>
        </w:rPr>
        <w:t xml:space="preserve">Willard, N. E. (2007). The authority and responsibility of school officials in responding to cyberbullying. </w:t>
      </w:r>
      <w:r w:rsidRPr="00C46D3D">
        <w:rPr>
          <w:i/>
          <w:iCs/>
          <w:noProof/>
          <w:szCs w:val="24"/>
        </w:rPr>
        <w:t>Journal of Adolescent Health</w:t>
      </w:r>
      <w:r w:rsidRPr="00C46D3D">
        <w:rPr>
          <w:noProof/>
          <w:szCs w:val="24"/>
        </w:rPr>
        <w:t xml:space="preserve">, </w:t>
      </w:r>
      <w:r w:rsidRPr="00C46D3D">
        <w:rPr>
          <w:i/>
          <w:iCs/>
          <w:noProof/>
          <w:szCs w:val="24"/>
        </w:rPr>
        <w:t>41</w:t>
      </w:r>
      <w:r w:rsidRPr="00C46D3D">
        <w:rPr>
          <w:noProof/>
          <w:szCs w:val="24"/>
        </w:rPr>
        <w:t>(6), 64–65. https://doi.org/10.1016/j.jadohealth.2007.08.013</w:t>
      </w:r>
    </w:p>
    <w:p w14:paraId="3006614E" w14:textId="77777777" w:rsidR="00132211" w:rsidRPr="00132211" w:rsidRDefault="00C46D3D" w:rsidP="00132211">
      <w:pPr>
        <w:spacing w:line="276" w:lineRule="auto"/>
        <w:rPr>
          <w:b/>
        </w:rPr>
        <w:sectPr w:rsidR="00132211" w:rsidRPr="00132211">
          <w:pgSz w:w="11910" w:h="16840"/>
          <w:pgMar w:top="1340" w:right="1320" w:bottom="280" w:left="1220" w:header="720" w:footer="720" w:gutter="0"/>
          <w:cols w:num="2" w:space="720" w:equalWidth="0">
            <w:col w:w="4491" w:space="307"/>
            <w:col w:w="4572"/>
          </w:cols>
        </w:sectPr>
      </w:pPr>
      <w:r>
        <w:rPr>
          <w:b/>
        </w:rPr>
        <w:fldChar w:fldCharType="end"/>
      </w:r>
    </w:p>
    <w:p w14:paraId="7FCFC5D3" w14:textId="77777777" w:rsidR="00517F8E" w:rsidRDefault="00517F8E" w:rsidP="00E06EA9"/>
    <w:sectPr w:rsidR="00517F8E">
      <w:pgSz w:w="11910" w:h="16840"/>
      <w:pgMar w:top="1340" w:right="13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9938" w14:textId="77777777" w:rsidR="005E53F8" w:rsidRDefault="005E53F8" w:rsidP="00580C06">
      <w:r>
        <w:separator/>
      </w:r>
    </w:p>
  </w:endnote>
  <w:endnote w:type="continuationSeparator" w:id="0">
    <w:p w14:paraId="570052E4" w14:textId="77777777" w:rsidR="005E53F8" w:rsidRDefault="005E53F8" w:rsidP="0058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Gungsuh">
    <w:altName w:val="Times New Roman"/>
    <w:charset w:val="81"/>
    <w:family w:val="roman"/>
    <w:pitch w:val="variable"/>
    <w:sig w:usb0="B00002AF" w:usb1="69D77CFB" w:usb2="00000030" w:usb3="00000000" w:csb0="0008009F" w:csb1="00000000"/>
  </w:font>
  <w:font w:name="Card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86C9" w14:textId="77777777" w:rsidR="005E53F8" w:rsidRDefault="005E53F8" w:rsidP="00580C06">
      <w:r>
        <w:separator/>
      </w:r>
    </w:p>
  </w:footnote>
  <w:footnote w:type="continuationSeparator" w:id="0">
    <w:p w14:paraId="0E6E6D87" w14:textId="77777777" w:rsidR="005E53F8" w:rsidRDefault="005E53F8" w:rsidP="00580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35CD6"/>
    <w:multiLevelType w:val="hybridMultilevel"/>
    <w:tmpl w:val="C520FA74"/>
    <w:lvl w:ilvl="0" w:tplc="DCF08BD0">
      <w:start w:val="1"/>
      <w:numFmt w:val="lowerLetter"/>
      <w:lvlText w:val="%1."/>
      <w:lvlJc w:val="left"/>
      <w:pPr>
        <w:ind w:left="503" w:hanging="284"/>
      </w:pPr>
      <w:rPr>
        <w:rFonts w:ascii="Times New Roman" w:eastAsia="Times New Roman" w:hAnsi="Times New Roman" w:cs="Times New Roman" w:hint="default"/>
        <w:b/>
        <w:bCs/>
        <w:spacing w:val="-17"/>
        <w:w w:val="99"/>
        <w:sz w:val="24"/>
        <w:szCs w:val="24"/>
        <w:lang w:val="id" w:eastAsia="en-US" w:bidi="ar-SA"/>
      </w:rPr>
    </w:lvl>
    <w:lvl w:ilvl="1" w:tplc="1FF2FC3E">
      <w:numFmt w:val="bullet"/>
      <w:lvlText w:val="•"/>
      <w:lvlJc w:val="left"/>
      <w:pPr>
        <w:ind w:left="899" w:hanging="284"/>
      </w:pPr>
      <w:rPr>
        <w:rFonts w:hint="default"/>
        <w:lang w:val="id" w:eastAsia="en-US" w:bidi="ar-SA"/>
      </w:rPr>
    </w:lvl>
    <w:lvl w:ilvl="2" w:tplc="6330C310">
      <w:numFmt w:val="bullet"/>
      <w:lvlText w:val="•"/>
      <w:lvlJc w:val="left"/>
      <w:pPr>
        <w:ind w:left="1298" w:hanging="284"/>
      </w:pPr>
      <w:rPr>
        <w:rFonts w:hint="default"/>
        <w:lang w:val="id" w:eastAsia="en-US" w:bidi="ar-SA"/>
      </w:rPr>
    </w:lvl>
    <w:lvl w:ilvl="3" w:tplc="EBA23D08">
      <w:numFmt w:val="bullet"/>
      <w:lvlText w:val="•"/>
      <w:lvlJc w:val="left"/>
      <w:pPr>
        <w:ind w:left="1697" w:hanging="284"/>
      </w:pPr>
      <w:rPr>
        <w:rFonts w:hint="default"/>
        <w:lang w:val="id" w:eastAsia="en-US" w:bidi="ar-SA"/>
      </w:rPr>
    </w:lvl>
    <w:lvl w:ilvl="4" w:tplc="C9929A5C">
      <w:numFmt w:val="bullet"/>
      <w:lvlText w:val="•"/>
      <w:lvlJc w:val="left"/>
      <w:pPr>
        <w:ind w:left="2096" w:hanging="284"/>
      </w:pPr>
      <w:rPr>
        <w:rFonts w:hint="default"/>
        <w:lang w:val="id" w:eastAsia="en-US" w:bidi="ar-SA"/>
      </w:rPr>
    </w:lvl>
    <w:lvl w:ilvl="5" w:tplc="64322CEE">
      <w:numFmt w:val="bullet"/>
      <w:lvlText w:val="•"/>
      <w:lvlJc w:val="left"/>
      <w:pPr>
        <w:ind w:left="2495" w:hanging="284"/>
      </w:pPr>
      <w:rPr>
        <w:rFonts w:hint="default"/>
        <w:lang w:val="id" w:eastAsia="en-US" w:bidi="ar-SA"/>
      </w:rPr>
    </w:lvl>
    <w:lvl w:ilvl="6" w:tplc="F99EB77C">
      <w:numFmt w:val="bullet"/>
      <w:lvlText w:val="•"/>
      <w:lvlJc w:val="left"/>
      <w:pPr>
        <w:ind w:left="2895" w:hanging="284"/>
      </w:pPr>
      <w:rPr>
        <w:rFonts w:hint="default"/>
        <w:lang w:val="id" w:eastAsia="en-US" w:bidi="ar-SA"/>
      </w:rPr>
    </w:lvl>
    <w:lvl w:ilvl="7" w:tplc="92D220EC">
      <w:numFmt w:val="bullet"/>
      <w:lvlText w:val="•"/>
      <w:lvlJc w:val="left"/>
      <w:pPr>
        <w:ind w:left="3294" w:hanging="284"/>
      </w:pPr>
      <w:rPr>
        <w:rFonts w:hint="default"/>
        <w:lang w:val="id" w:eastAsia="en-US" w:bidi="ar-SA"/>
      </w:rPr>
    </w:lvl>
    <w:lvl w:ilvl="8" w:tplc="4E2C639C">
      <w:numFmt w:val="bullet"/>
      <w:lvlText w:val="•"/>
      <w:lvlJc w:val="left"/>
      <w:pPr>
        <w:ind w:left="3693" w:hanging="284"/>
      </w:pPr>
      <w:rPr>
        <w:rFonts w:hint="default"/>
        <w:lang w:val="id" w:eastAsia="en-US" w:bidi="ar-SA"/>
      </w:rPr>
    </w:lvl>
  </w:abstractNum>
  <w:abstractNum w:abstractNumId="1" w15:restartNumberingAfterBreak="0">
    <w:nsid w:val="29F55D32"/>
    <w:multiLevelType w:val="hybridMultilevel"/>
    <w:tmpl w:val="2062B990"/>
    <w:lvl w:ilvl="0" w:tplc="411C29F2">
      <w:start w:val="1"/>
      <w:numFmt w:val="decimal"/>
      <w:lvlText w:val="%1."/>
      <w:lvlJc w:val="left"/>
      <w:pPr>
        <w:ind w:left="647" w:hanging="360"/>
      </w:pPr>
      <w:rPr>
        <w:rFonts w:ascii="Times New Roman" w:eastAsia="Times New Roman" w:hAnsi="Times New Roman" w:cs="Times New Roman" w:hint="default"/>
        <w:spacing w:val="-30"/>
        <w:w w:val="99"/>
        <w:sz w:val="24"/>
        <w:szCs w:val="24"/>
        <w:lang w:val="id" w:eastAsia="en-US" w:bidi="ar-SA"/>
      </w:rPr>
    </w:lvl>
    <w:lvl w:ilvl="1" w:tplc="AD203D34">
      <w:numFmt w:val="bullet"/>
      <w:lvlText w:val="•"/>
      <w:lvlJc w:val="left"/>
      <w:pPr>
        <w:ind w:left="700" w:hanging="360"/>
      </w:pPr>
      <w:rPr>
        <w:rFonts w:hint="default"/>
        <w:lang w:val="id" w:eastAsia="en-US" w:bidi="ar-SA"/>
      </w:rPr>
    </w:lvl>
    <w:lvl w:ilvl="2" w:tplc="652A8792">
      <w:numFmt w:val="bullet"/>
      <w:lvlText w:val="•"/>
      <w:lvlJc w:val="left"/>
      <w:pPr>
        <w:ind w:left="1129" w:hanging="360"/>
      </w:pPr>
      <w:rPr>
        <w:rFonts w:hint="default"/>
        <w:lang w:val="id" w:eastAsia="en-US" w:bidi="ar-SA"/>
      </w:rPr>
    </w:lvl>
    <w:lvl w:ilvl="3" w:tplc="52A86D9C">
      <w:numFmt w:val="bullet"/>
      <w:lvlText w:val="•"/>
      <w:lvlJc w:val="left"/>
      <w:pPr>
        <w:ind w:left="1559" w:hanging="360"/>
      </w:pPr>
      <w:rPr>
        <w:rFonts w:hint="default"/>
        <w:lang w:val="id" w:eastAsia="en-US" w:bidi="ar-SA"/>
      </w:rPr>
    </w:lvl>
    <w:lvl w:ilvl="4" w:tplc="84A88266">
      <w:numFmt w:val="bullet"/>
      <w:lvlText w:val="•"/>
      <w:lvlJc w:val="left"/>
      <w:pPr>
        <w:ind w:left="1989" w:hanging="360"/>
      </w:pPr>
      <w:rPr>
        <w:rFonts w:hint="default"/>
        <w:lang w:val="id" w:eastAsia="en-US" w:bidi="ar-SA"/>
      </w:rPr>
    </w:lvl>
    <w:lvl w:ilvl="5" w:tplc="F878D9A4">
      <w:numFmt w:val="bullet"/>
      <w:lvlText w:val="•"/>
      <w:lvlJc w:val="left"/>
      <w:pPr>
        <w:ind w:left="2419" w:hanging="360"/>
      </w:pPr>
      <w:rPr>
        <w:rFonts w:hint="default"/>
        <w:lang w:val="id" w:eastAsia="en-US" w:bidi="ar-SA"/>
      </w:rPr>
    </w:lvl>
    <w:lvl w:ilvl="6" w:tplc="27822E86">
      <w:numFmt w:val="bullet"/>
      <w:lvlText w:val="•"/>
      <w:lvlJc w:val="left"/>
      <w:pPr>
        <w:ind w:left="2848" w:hanging="360"/>
      </w:pPr>
      <w:rPr>
        <w:rFonts w:hint="default"/>
        <w:lang w:val="id" w:eastAsia="en-US" w:bidi="ar-SA"/>
      </w:rPr>
    </w:lvl>
    <w:lvl w:ilvl="7" w:tplc="0EC26660">
      <w:numFmt w:val="bullet"/>
      <w:lvlText w:val="•"/>
      <w:lvlJc w:val="left"/>
      <w:pPr>
        <w:ind w:left="3278" w:hanging="360"/>
      </w:pPr>
      <w:rPr>
        <w:rFonts w:hint="default"/>
        <w:lang w:val="id" w:eastAsia="en-US" w:bidi="ar-SA"/>
      </w:rPr>
    </w:lvl>
    <w:lvl w:ilvl="8" w:tplc="0764EF56">
      <w:numFmt w:val="bullet"/>
      <w:lvlText w:val="•"/>
      <w:lvlJc w:val="left"/>
      <w:pPr>
        <w:ind w:left="3708" w:hanging="360"/>
      </w:pPr>
      <w:rPr>
        <w:rFonts w:hint="default"/>
        <w:lang w:val="id" w:eastAsia="en-US" w:bidi="ar-SA"/>
      </w:rPr>
    </w:lvl>
  </w:abstractNum>
  <w:abstractNum w:abstractNumId="2" w15:restartNumberingAfterBreak="0">
    <w:nsid w:val="2A386C16"/>
    <w:multiLevelType w:val="hybridMultilevel"/>
    <w:tmpl w:val="B1964AFC"/>
    <w:lvl w:ilvl="0" w:tplc="34FE5224">
      <w:start w:val="1"/>
      <w:numFmt w:val="lowerLetter"/>
      <w:lvlText w:val="%1."/>
      <w:lvlJc w:val="left"/>
      <w:pPr>
        <w:ind w:left="503" w:hanging="284"/>
      </w:pPr>
      <w:rPr>
        <w:rFonts w:ascii="Times New Roman" w:eastAsia="Times New Roman" w:hAnsi="Times New Roman" w:cs="Times New Roman" w:hint="default"/>
        <w:b/>
        <w:bCs/>
        <w:i w:val="0"/>
        <w:spacing w:val="-17"/>
        <w:w w:val="99"/>
        <w:sz w:val="24"/>
        <w:szCs w:val="24"/>
        <w:lang w:val="id" w:eastAsia="en-US" w:bidi="ar-SA"/>
      </w:rPr>
    </w:lvl>
    <w:lvl w:ilvl="1" w:tplc="1FF2FC3E">
      <w:numFmt w:val="bullet"/>
      <w:lvlText w:val="•"/>
      <w:lvlJc w:val="left"/>
      <w:pPr>
        <w:ind w:left="899" w:hanging="284"/>
      </w:pPr>
      <w:rPr>
        <w:rFonts w:hint="default"/>
        <w:lang w:val="id" w:eastAsia="en-US" w:bidi="ar-SA"/>
      </w:rPr>
    </w:lvl>
    <w:lvl w:ilvl="2" w:tplc="6330C310">
      <w:numFmt w:val="bullet"/>
      <w:lvlText w:val="•"/>
      <w:lvlJc w:val="left"/>
      <w:pPr>
        <w:ind w:left="1298" w:hanging="284"/>
      </w:pPr>
      <w:rPr>
        <w:rFonts w:hint="default"/>
        <w:lang w:val="id" w:eastAsia="en-US" w:bidi="ar-SA"/>
      </w:rPr>
    </w:lvl>
    <w:lvl w:ilvl="3" w:tplc="EBA23D08">
      <w:numFmt w:val="bullet"/>
      <w:lvlText w:val="•"/>
      <w:lvlJc w:val="left"/>
      <w:pPr>
        <w:ind w:left="1697" w:hanging="284"/>
      </w:pPr>
      <w:rPr>
        <w:rFonts w:hint="default"/>
        <w:lang w:val="id" w:eastAsia="en-US" w:bidi="ar-SA"/>
      </w:rPr>
    </w:lvl>
    <w:lvl w:ilvl="4" w:tplc="C9929A5C">
      <w:numFmt w:val="bullet"/>
      <w:lvlText w:val="•"/>
      <w:lvlJc w:val="left"/>
      <w:pPr>
        <w:ind w:left="2096" w:hanging="284"/>
      </w:pPr>
      <w:rPr>
        <w:rFonts w:hint="default"/>
        <w:lang w:val="id" w:eastAsia="en-US" w:bidi="ar-SA"/>
      </w:rPr>
    </w:lvl>
    <w:lvl w:ilvl="5" w:tplc="64322CEE">
      <w:numFmt w:val="bullet"/>
      <w:lvlText w:val="•"/>
      <w:lvlJc w:val="left"/>
      <w:pPr>
        <w:ind w:left="2495" w:hanging="284"/>
      </w:pPr>
      <w:rPr>
        <w:rFonts w:hint="default"/>
        <w:lang w:val="id" w:eastAsia="en-US" w:bidi="ar-SA"/>
      </w:rPr>
    </w:lvl>
    <w:lvl w:ilvl="6" w:tplc="F99EB77C">
      <w:numFmt w:val="bullet"/>
      <w:lvlText w:val="•"/>
      <w:lvlJc w:val="left"/>
      <w:pPr>
        <w:ind w:left="2895" w:hanging="284"/>
      </w:pPr>
      <w:rPr>
        <w:rFonts w:hint="default"/>
        <w:lang w:val="id" w:eastAsia="en-US" w:bidi="ar-SA"/>
      </w:rPr>
    </w:lvl>
    <w:lvl w:ilvl="7" w:tplc="92D220EC">
      <w:numFmt w:val="bullet"/>
      <w:lvlText w:val="•"/>
      <w:lvlJc w:val="left"/>
      <w:pPr>
        <w:ind w:left="3294" w:hanging="284"/>
      </w:pPr>
      <w:rPr>
        <w:rFonts w:hint="default"/>
        <w:lang w:val="id" w:eastAsia="en-US" w:bidi="ar-SA"/>
      </w:rPr>
    </w:lvl>
    <w:lvl w:ilvl="8" w:tplc="4E2C639C">
      <w:numFmt w:val="bullet"/>
      <w:lvlText w:val="•"/>
      <w:lvlJc w:val="left"/>
      <w:pPr>
        <w:ind w:left="3693" w:hanging="284"/>
      </w:pPr>
      <w:rPr>
        <w:rFonts w:hint="default"/>
        <w:lang w:val="id"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133"/>
    <w:rsid w:val="00132211"/>
    <w:rsid w:val="001E1863"/>
    <w:rsid w:val="002A5ACE"/>
    <w:rsid w:val="00306559"/>
    <w:rsid w:val="00375294"/>
    <w:rsid w:val="00406559"/>
    <w:rsid w:val="0047755E"/>
    <w:rsid w:val="00517F8E"/>
    <w:rsid w:val="00543CA6"/>
    <w:rsid w:val="00556D1B"/>
    <w:rsid w:val="00580C06"/>
    <w:rsid w:val="005E53F8"/>
    <w:rsid w:val="006B28FF"/>
    <w:rsid w:val="007711D4"/>
    <w:rsid w:val="00AA0AD8"/>
    <w:rsid w:val="00BC66AC"/>
    <w:rsid w:val="00BF13FE"/>
    <w:rsid w:val="00C26133"/>
    <w:rsid w:val="00C46D3D"/>
    <w:rsid w:val="00CA6B22"/>
    <w:rsid w:val="00D17497"/>
    <w:rsid w:val="00DB3B75"/>
    <w:rsid w:val="00E024C5"/>
    <w:rsid w:val="00E0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2BD7"/>
  <w15:chartTrackingRefBased/>
  <w15:docId w15:val="{8C1A30F4-7695-4ECB-B516-44899CE0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21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06559"/>
    <w:pPr>
      <w:ind w:left="2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55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06559"/>
    <w:pPr>
      <w:ind w:left="220"/>
      <w:jc w:val="both"/>
    </w:pPr>
    <w:rPr>
      <w:sz w:val="24"/>
      <w:szCs w:val="24"/>
    </w:rPr>
  </w:style>
  <w:style w:type="character" w:customStyle="1" w:styleId="BodyTextChar">
    <w:name w:val="Body Text Char"/>
    <w:basedOn w:val="DefaultParagraphFont"/>
    <w:link w:val="BodyText"/>
    <w:uiPriority w:val="1"/>
    <w:rsid w:val="00306559"/>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306559"/>
    <w:pPr>
      <w:ind w:left="647" w:hanging="360"/>
      <w:jc w:val="both"/>
    </w:pPr>
  </w:style>
  <w:style w:type="paragraph" w:customStyle="1" w:styleId="TableParagraph">
    <w:name w:val="Table Paragraph"/>
    <w:basedOn w:val="Normal"/>
    <w:uiPriority w:val="1"/>
    <w:qFormat/>
    <w:rsid w:val="00306559"/>
  </w:style>
  <w:style w:type="character" w:styleId="Hyperlink">
    <w:name w:val="Hyperlink"/>
    <w:basedOn w:val="DefaultParagraphFont"/>
    <w:uiPriority w:val="99"/>
    <w:unhideWhenUsed/>
    <w:rsid w:val="00306559"/>
    <w:rPr>
      <w:color w:val="0563C1" w:themeColor="hyperlink"/>
      <w:u w:val="single"/>
    </w:rPr>
  </w:style>
  <w:style w:type="character" w:styleId="FollowedHyperlink">
    <w:name w:val="FollowedHyperlink"/>
    <w:basedOn w:val="DefaultParagraphFont"/>
    <w:uiPriority w:val="99"/>
    <w:semiHidden/>
    <w:unhideWhenUsed/>
    <w:rsid w:val="00306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97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01A5D-5BF9-491D-ADD5-BADC2134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9062</Words>
  <Characters>51659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11</cp:revision>
  <dcterms:created xsi:type="dcterms:W3CDTF">2022-12-26T19:44:00Z</dcterms:created>
  <dcterms:modified xsi:type="dcterms:W3CDTF">2023-02-09T06:30:00Z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3493e7f0-f522-3d06-a47d-618b1361062a</vt:lpwstr>
  </property>
  <property fmtid="{D5CDD505-2E9C-101B-9397-08002B2CF9AE}" pid="4" name="Mendeley Citation Style_1">
    <vt:lpwstr>http://www.zotero.org/styles/apa</vt:lpwstr>
  </property>
</Properties>
</file>