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D72" w:rsidRDefault="00E82D72" w:rsidP="00E82D72">
      <w:pPr>
        <w:spacing w:after="20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ABSTRAK</w:t>
      </w:r>
    </w:p>
    <w:p w:rsidR="00E82D72" w:rsidRDefault="00E82D72" w:rsidP="00E82D72">
      <w:pPr>
        <w:spacing w:after="20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Penelitian ini bertujuan untuk mengetahui pengaruh rasio likuiditas (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Current Ratio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leverage (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Debt to Equity</w:t>
      </w:r>
      <w:r>
        <w:rPr>
          <w:rFonts w:ascii="Times New Roman" w:hAnsi="Times New Roman" w:cs="Times New Roman"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dan profitabilitas (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Return On </w:t>
      </w:r>
      <w:r>
        <w:rPr>
          <w:rFonts w:ascii="Times New Roman" w:hAnsi="Times New Roman" w:cs="Times New Roman"/>
          <w:i/>
          <w:sz w:val="24"/>
          <w:szCs w:val="24"/>
        </w:rPr>
        <w:t>Equity</w:t>
      </w:r>
      <w:r>
        <w:rPr>
          <w:rFonts w:ascii="Times New Roman" w:hAnsi="Times New Roman" w:cs="Times New Roman"/>
          <w:sz w:val="24"/>
          <w:szCs w:val="24"/>
        </w:rPr>
        <w:t xml:space="preserve">) terhadap return saham pada perusahaan </w:t>
      </w:r>
      <w:r>
        <w:rPr>
          <w:rFonts w:ascii="Times New Roman" w:hAnsi="Times New Roman" w:cs="Times New Roman"/>
          <w:i/>
          <w:sz w:val="24"/>
          <w:szCs w:val="24"/>
        </w:rPr>
        <w:t>Automotive And Components</w:t>
      </w:r>
      <w:r>
        <w:rPr>
          <w:rFonts w:ascii="Times New Roman" w:hAnsi="Times New Roman" w:cs="Times New Roman"/>
          <w:sz w:val="24"/>
          <w:szCs w:val="24"/>
        </w:rPr>
        <w:t xml:space="preserve"> yang terdaftar di Bursa Efek Indonesia periode tahun 2010-2014 secara parsial dan secara simultan. Penelitian ini dilakukan dengan metode </w:t>
      </w:r>
      <w:r>
        <w:rPr>
          <w:rFonts w:ascii="Times New Roman" w:hAnsi="Times New Roman" w:cs="Times New Roman"/>
          <w:i/>
          <w:sz w:val="24"/>
          <w:szCs w:val="24"/>
        </w:rPr>
        <w:t>purposive sampling</w:t>
      </w:r>
      <w:r>
        <w:rPr>
          <w:rFonts w:ascii="Times New Roman" w:hAnsi="Times New Roman" w:cs="Times New Roman"/>
          <w:sz w:val="24"/>
          <w:szCs w:val="24"/>
        </w:rPr>
        <w:t xml:space="preserve"> untuk mendapatkan sampel yang representatif sesuai dengan kriteria yang telah ditentukan. Jumlah sampel yang didapat adalah sebanyak 55 perusahaan</w:t>
      </w:r>
      <w:r>
        <w:rPr>
          <w:rFonts w:ascii="Times New Roman" w:hAnsi="Times New Roman" w:cs="Times New Roman"/>
          <w:i/>
          <w:sz w:val="24"/>
          <w:szCs w:val="24"/>
        </w:rPr>
        <w:t xml:space="preserve"> Automotive And Components</w:t>
      </w:r>
      <w:r>
        <w:rPr>
          <w:rFonts w:ascii="Times New Roman" w:hAnsi="Times New Roman" w:cs="Times New Roman"/>
          <w:sz w:val="24"/>
          <w:szCs w:val="24"/>
        </w:rPr>
        <w:t xml:space="preserve"> dengan periode penelitian 2010-2014. Data ini merupakan data sekunder yang diperoleh dari </w:t>
      </w:r>
      <w:r>
        <w:rPr>
          <w:rFonts w:ascii="Times New Roman" w:hAnsi="Times New Roman" w:cs="Times New Roman"/>
          <w:i/>
          <w:sz w:val="24"/>
          <w:szCs w:val="24"/>
        </w:rPr>
        <w:t>www.idx.co.id</w:t>
      </w:r>
      <w:r>
        <w:rPr>
          <w:rFonts w:ascii="Times New Roman" w:hAnsi="Times New Roman" w:cs="Times New Roman"/>
          <w:sz w:val="24"/>
          <w:szCs w:val="24"/>
        </w:rPr>
        <w:t xml:space="preserve">. Metode yang digunakan untuk menganalisis data adalah metode analisis regresi linear berganda. Hasil dari penelitian ini menyatakan bahwa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Current Ratio</w:t>
      </w:r>
      <w:r>
        <w:rPr>
          <w:rFonts w:ascii="Times New Roman" w:hAnsi="Times New Roman" w:cs="Times New Roman"/>
          <w:sz w:val="24"/>
          <w:szCs w:val="24"/>
        </w:rPr>
        <w:t xml:space="preserve">(CR)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secaraparsialberpengaruhterhadap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return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saham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Debt to Equity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Ratio</w:t>
      </w:r>
      <w:r>
        <w:rPr>
          <w:rFonts w:ascii="Times New Roman" w:hAnsi="Times New Roman" w:cs="Times New Roman"/>
          <w:iCs/>
          <w:sz w:val="24"/>
          <w:szCs w:val="24"/>
        </w:rPr>
        <w:t xml:space="preserve">(DER) </w:t>
      </w:r>
      <w:r>
        <w:rPr>
          <w:rFonts w:ascii="Times New Roman" w:hAnsi="Times New Roman" w:cs="Times New Roman"/>
          <w:sz w:val="24"/>
          <w:szCs w:val="24"/>
        </w:rPr>
        <w:t xml:space="preserve">dan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Return On </w:t>
      </w:r>
      <w:r>
        <w:rPr>
          <w:rFonts w:ascii="Times New Roman" w:hAnsi="Times New Roman" w:cs="Times New Roman"/>
          <w:i/>
          <w:sz w:val="24"/>
          <w:szCs w:val="24"/>
        </w:rPr>
        <w:t>Equity</w:t>
      </w:r>
      <w:r>
        <w:rPr>
          <w:rFonts w:ascii="Times New Roman" w:hAnsi="Times New Roman" w:cs="Times New Roman"/>
          <w:sz w:val="24"/>
          <w:szCs w:val="24"/>
        </w:rPr>
        <w:t xml:space="preserve">(ROE)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secaraparsial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tidak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berpengaruhterhadap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return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saham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penelitianinimenunjukkanbahwa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Current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Ratio</w:t>
      </w:r>
      <w:r>
        <w:rPr>
          <w:rFonts w:ascii="Times New Roman" w:hAnsi="Times New Roman" w:cs="Times New Roman"/>
          <w:sz w:val="24"/>
          <w:szCs w:val="24"/>
        </w:rPr>
        <w:t>(CR)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Debt to Equity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Ratio </w:t>
      </w:r>
      <w:r>
        <w:rPr>
          <w:rFonts w:ascii="Times New Roman" w:hAnsi="Times New Roman" w:cs="Times New Roman"/>
          <w:iCs/>
          <w:sz w:val="24"/>
          <w:szCs w:val="24"/>
        </w:rPr>
        <w:t>(DER)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Return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On </w:t>
      </w:r>
      <w:r>
        <w:rPr>
          <w:rFonts w:ascii="Times New Roman" w:hAnsi="Times New Roman" w:cs="Times New Roman"/>
          <w:i/>
          <w:sz w:val="24"/>
          <w:szCs w:val="24"/>
        </w:rPr>
        <w:t>Equity (</w:t>
      </w:r>
      <w:r>
        <w:rPr>
          <w:rFonts w:ascii="Times New Roman" w:hAnsi="Times New Roman" w:cs="Times New Roman"/>
          <w:sz w:val="24"/>
          <w:szCs w:val="24"/>
        </w:rPr>
        <w:t xml:space="preserve">ROE)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secarasimultanberpengaruhpositifterhadap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return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saham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82D72" w:rsidRDefault="00E82D72" w:rsidP="00E82D72">
      <w:pPr>
        <w:spacing w:after="20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Kata kunci: Current Ratio (CR), Debt to Equity Ratio (DER), Return on Equity (ROE), Return saham</w:t>
      </w:r>
    </w:p>
    <w:p w:rsidR="006D79F1" w:rsidRDefault="006D79F1"/>
    <w:sectPr w:rsidR="006D79F1" w:rsidSect="00E82D72">
      <w:pgSz w:w="12240" w:h="15840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20"/>
  <w:characterSpacingControl w:val="doNotCompress"/>
  <w:compat/>
  <w:rsids>
    <w:rsidRoot w:val="00E82D72"/>
    <w:rsid w:val="006D79F1"/>
    <w:rsid w:val="00E82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D72"/>
    <w:pPr>
      <w:spacing w:after="0" w:line="360" w:lineRule="auto"/>
      <w:jc w:val="both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1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nughie</dc:creator>
  <cp:lastModifiedBy>nughie</cp:lastModifiedBy>
  <cp:revision>1</cp:revision>
  <dcterms:created xsi:type="dcterms:W3CDTF">2016-02-20T13:24:00Z</dcterms:created>
  <dcterms:modified xsi:type="dcterms:W3CDTF">2016-02-20T13:26:00Z</dcterms:modified>
</cp:coreProperties>
</file>