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C3" w:rsidRPr="00531DC3" w:rsidRDefault="0042209B" w:rsidP="00531DC3">
      <w:pPr>
        <w:pStyle w:val="ISI"/>
        <w:spacing w:after="0" w:line="240" w:lineRule="auto"/>
        <w:jc w:val="center"/>
        <w:rPr>
          <w:rFonts w:cs="Times New Roman"/>
          <w:b/>
          <w:color w:val="000000" w:themeColor="text1"/>
          <w:sz w:val="30"/>
          <w:szCs w:val="30"/>
          <w:lang w:val="id-ID"/>
        </w:rPr>
      </w:pPr>
      <w:r w:rsidRPr="00531DC3">
        <w:rPr>
          <w:rFonts w:cs="Times New Roman"/>
          <w:b/>
          <w:color w:val="000000" w:themeColor="text1"/>
          <w:sz w:val="30"/>
          <w:szCs w:val="30"/>
          <w:lang w:val="id-ID"/>
        </w:rPr>
        <w:t xml:space="preserve">ANALISIS PENILAIAN TINGKAT KESEHATAN BANK </w:t>
      </w:r>
    </w:p>
    <w:p w:rsidR="00531DC3" w:rsidRPr="00531DC3" w:rsidRDefault="0042209B" w:rsidP="00531DC3">
      <w:pPr>
        <w:pStyle w:val="ISI"/>
        <w:spacing w:after="0" w:line="240" w:lineRule="auto"/>
        <w:jc w:val="center"/>
        <w:rPr>
          <w:rFonts w:cs="Times New Roman"/>
          <w:b/>
          <w:color w:val="000000" w:themeColor="text1"/>
          <w:sz w:val="30"/>
          <w:szCs w:val="30"/>
          <w:lang w:val="id-ID"/>
        </w:rPr>
      </w:pPr>
      <w:r w:rsidRPr="00531DC3">
        <w:rPr>
          <w:rFonts w:cs="Times New Roman"/>
          <w:b/>
          <w:color w:val="000000" w:themeColor="text1"/>
          <w:sz w:val="30"/>
          <w:szCs w:val="30"/>
          <w:lang w:val="id-ID"/>
        </w:rPr>
        <w:t xml:space="preserve">DENGAN METODE RGEC </w:t>
      </w:r>
    </w:p>
    <w:p w:rsidR="0042209B" w:rsidRPr="00531DC3" w:rsidRDefault="0042209B" w:rsidP="00531DC3">
      <w:pPr>
        <w:pStyle w:val="ISI"/>
        <w:spacing w:after="0" w:line="240" w:lineRule="auto"/>
        <w:jc w:val="center"/>
        <w:rPr>
          <w:rFonts w:cs="Times New Roman"/>
          <w:b/>
          <w:color w:val="000000" w:themeColor="text1"/>
          <w:sz w:val="30"/>
          <w:szCs w:val="30"/>
          <w:lang w:val="id-ID"/>
        </w:rPr>
      </w:pPr>
      <w:r w:rsidRPr="00531DC3">
        <w:rPr>
          <w:rFonts w:cs="Times New Roman"/>
          <w:b/>
          <w:color w:val="000000" w:themeColor="text1"/>
          <w:sz w:val="30"/>
          <w:szCs w:val="30"/>
          <w:lang w:val="id-ID"/>
        </w:rPr>
        <w:t>PADA PT BANK CENTRAL ASIA TBK</w:t>
      </w:r>
    </w:p>
    <w:p w:rsidR="0042209B" w:rsidRPr="00531DC3" w:rsidRDefault="0042209B" w:rsidP="00531DC3">
      <w:pPr>
        <w:pStyle w:val="ISI"/>
        <w:spacing w:after="0" w:line="240" w:lineRule="auto"/>
        <w:jc w:val="center"/>
        <w:rPr>
          <w:rFonts w:cs="Times New Roman"/>
          <w:b/>
          <w:color w:val="000000" w:themeColor="text1"/>
          <w:sz w:val="30"/>
          <w:szCs w:val="30"/>
          <w:lang w:val="id-ID"/>
        </w:rPr>
      </w:pPr>
    </w:p>
    <w:p w:rsidR="0042209B" w:rsidRDefault="0042209B" w:rsidP="00531DC3">
      <w:pPr>
        <w:pStyle w:val="ISI"/>
        <w:spacing w:after="0" w:line="240" w:lineRule="auto"/>
        <w:jc w:val="center"/>
        <w:rPr>
          <w:rFonts w:cs="Times New Roman"/>
          <w:b/>
          <w:color w:val="000000" w:themeColor="text1"/>
          <w:szCs w:val="24"/>
          <w:lang w:val="id-ID"/>
        </w:rPr>
      </w:pPr>
      <w:r>
        <w:rPr>
          <w:rFonts w:cs="Times New Roman"/>
          <w:b/>
          <w:color w:val="000000" w:themeColor="text1"/>
          <w:szCs w:val="24"/>
          <w:lang w:val="id-ID"/>
        </w:rPr>
        <w:t>Eko Nur Cahyo</w:t>
      </w:r>
    </w:p>
    <w:p w:rsidR="0042209B" w:rsidRDefault="0042209B" w:rsidP="00531DC3">
      <w:pPr>
        <w:pStyle w:val="ISI"/>
        <w:spacing w:after="0" w:line="240" w:lineRule="auto"/>
        <w:jc w:val="center"/>
        <w:rPr>
          <w:rFonts w:cs="Times New Roman"/>
          <w:b/>
          <w:color w:val="000000" w:themeColor="text1"/>
          <w:szCs w:val="24"/>
          <w:lang w:val="id-ID"/>
        </w:rPr>
      </w:pPr>
      <w:r>
        <w:rPr>
          <w:rFonts w:cs="Times New Roman"/>
          <w:b/>
          <w:color w:val="000000" w:themeColor="text1"/>
          <w:szCs w:val="24"/>
          <w:lang w:val="id-ID"/>
        </w:rPr>
        <w:t>14061094</w:t>
      </w:r>
    </w:p>
    <w:p w:rsidR="0042209B" w:rsidRDefault="0042209B" w:rsidP="00531DC3">
      <w:pPr>
        <w:pStyle w:val="ISI"/>
        <w:spacing w:after="0" w:line="240" w:lineRule="auto"/>
        <w:jc w:val="center"/>
        <w:rPr>
          <w:rFonts w:cs="Times New Roman"/>
          <w:b/>
          <w:color w:val="000000" w:themeColor="text1"/>
          <w:szCs w:val="24"/>
          <w:lang w:val="id-ID"/>
        </w:rPr>
      </w:pPr>
      <w:r>
        <w:rPr>
          <w:rFonts w:cs="Times New Roman"/>
          <w:b/>
          <w:color w:val="000000" w:themeColor="text1"/>
          <w:szCs w:val="24"/>
          <w:lang w:val="id-ID"/>
        </w:rPr>
        <w:t>Program Studi Akuntansi</w:t>
      </w:r>
    </w:p>
    <w:p w:rsidR="0042209B" w:rsidRDefault="0042209B" w:rsidP="00531DC3">
      <w:pPr>
        <w:pStyle w:val="ISI"/>
        <w:spacing w:after="0" w:line="240" w:lineRule="auto"/>
        <w:jc w:val="center"/>
        <w:rPr>
          <w:rFonts w:cs="Times New Roman"/>
          <w:b/>
          <w:color w:val="000000" w:themeColor="text1"/>
          <w:szCs w:val="24"/>
          <w:lang w:val="id-ID"/>
        </w:rPr>
      </w:pPr>
      <w:r>
        <w:rPr>
          <w:rFonts w:cs="Times New Roman"/>
          <w:b/>
          <w:color w:val="000000" w:themeColor="text1"/>
          <w:szCs w:val="24"/>
          <w:lang w:val="id-ID"/>
        </w:rPr>
        <w:t>Universitas Mercu Buana Yogyakarta</w:t>
      </w:r>
    </w:p>
    <w:p w:rsidR="0042209B" w:rsidRDefault="0042209B" w:rsidP="00531DC3">
      <w:pPr>
        <w:pStyle w:val="ISI"/>
        <w:spacing w:after="0" w:line="240" w:lineRule="auto"/>
        <w:jc w:val="center"/>
        <w:rPr>
          <w:rFonts w:cs="Times New Roman"/>
          <w:b/>
          <w:color w:val="000000" w:themeColor="text1"/>
          <w:szCs w:val="24"/>
          <w:lang w:val="id-ID"/>
        </w:rPr>
      </w:pPr>
    </w:p>
    <w:p w:rsidR="0042209B" w:rsidRDefault="0042209B" w:rsidP="00531DC3">
      <w:pPr>
        <w:pStyle w:val="ISI"/>
        <w:spacing w:after="0" w:line="240" w:lineRule="auto"/>
        <w:jc w:val="center"/>
        <w:rPr>
          <w:rFonts w:cs="Times New Roman"/>
          <w:b/>
          <w:color w:val="000000" w:themeColor="text1"/>
          <w:szCs w:val="24"/>
          <w:lang w:val="id-ID"/>
        </w:rPr>
      </w:pPr>
      <w:r>
        <w:rPr>
          <w:rFonts w:cs="Times New Roman"/>
          <w:b/>
          <w:color w:val="000000" w:themeColor="text1"/>
          <w:szCs w:val="24"/>
          <w:lang w:val="id-ID"/>
        </w:rPr>
        <w:t>Abstrak</w:t>
      </w:r>
    </w:p>
    <w:p w:rsidR="0042209B" w:rsidRDefault="0042209B" w:rsidP="00B062A8">
      <w:pPr>
        <w:pStyle w:val="ISI"/>
        <w:spacing w:after="0" w:line="240" w:lineRule="auto"/>
        <w:rPr>
          <w:rFonts w:cs="Times New Roman"/>
          <w:b/>
          <w:color w:val="000000" w:themeColor="text1"/>
          <w:szCs w:val="24"/>
          <w:lang w:val="id-ID"/>
        </w:rPr>
      </w:pPr>
    </w:p>
    <w:p w:rsidR="00531DC3" w:rsidRPr="00D55A43" w:rsidRDefault="00531DC3" w:rsidP="00531DC3">
      <w:pPr>
        <w:spacing w:after="0" w:line="240" w:lineRule="auto"/>
        <w:ind w:firstLine="567"/>
        <w:jc w:val="both"/>
        <w:rPr>
          <w:rFonts w:ascii="Times New Roman" w:hAnsi="Times New Roman" w:cs="Times New Roman"/>
          <w:sz w:val="24"/>
          <w:szCs w:val="24"/>
          <w:lang w:val="id-ID"/>
        </w:rPr>
      </w:pPr>
      <w:r w:rsidRPr="00D55A43">
        <w:rPr>
          <w:rFonts w:ascii="Times New Roman" w:hAnsi="Times New Roman" w:cs="Times New Roman"/>
          <w:sz w:val="24"/>
          <w:szCs w:val="24"/>
          <w:lang w:val="id-ID"/>
        </w:rPr>
        <w:t xml:space="preserve">Penelitian ini bertujuan untuk mengetahui tingkat kesehatan bank pada PT Bank Central Asia Tbk tahun 2014-2016 ditinjau dari aspek </w:t>
      </w:r>
      <w:r w:rsidRPr="00D55A43">
        <w:rPr>
          <w:rFonts w:ascii="Times New Roman" w:hAnsi="Times New Roman" w:cs="Times New Roman"/>
          <w:i/>
          <w:sz w:val="24"/>
          <w:szCs w:val="24"/>
          <w:lang w:val="id-ID"/>
        </w:rPr>
        <w:t>Risk profile, Good Corporate Governance (GCG), Earnings, Capital,</w:t>
      </w:r>
      <w:r w:rsidRPr="00D55A43">
        <w:rPr>
          <w:rFonts w:ascii="Times New Roman" w:hAnsi="Times New Roman" w:cs="Times New Roman"/>
          <w:sz w:val="24"/>
          <w:szCs w:val="24"/>
          <w:lang w:val="id-ID"/>
        </w:rPr>
        <w:t xml:space="preserve"> dan RGEC (</w:t>
      </w:r>
      <w:r w:rsidRPr="00D55A43">
        <w:rPr>
          <w:rFonts w:ascii="Times New Roman" w:hAnsi="Times New Roman" w:cs="Times New Roman"/>
          <w:i/>
          <w:sz w:val="24"/>
          <w:szCs w:val="24"/>
          <w:lang w:val="id-ID"/>
        </w:rPr>
        <w:t>Risk profile, GCG, Earnings, dan Capital</w:t>
      </w:r>
      <w:r w:rsidRPr="00D55A43">
        <w:rPr>
          <w:rFonts w:ascii="Times New Roman" w:hAnsi="Times New Roman" w:cs="Times New Roman"/>
          <w:sz w:val="24"/>
          <w:szCs w:val="24"/>
          <w:lang w:val="id-ID"/>
        </w:rPr>
        <w:t>) secara keseluruhan.</w:t>
      </w:r>
    </w:p>
    <w:p w:rsidR="00531DC3" w:rsidRPr="00D55A43" w:rsidRDefault="00531DC3" w:rsidP="00531DC3">
      <w:pPr>
        <w:spacing w:after="0" w:line="240" w:lineRule="auto"/>
        <w:ind w:firstLine="567"/>
        <w:jc w:val="both"/>
        <w:rPr>
          <w:rFonts w:ascii="Times New Roman" w:hAnsi="Times New Roman" w:cs="Times New Roman"/>
          <w:sz w:val="24"/>
          <w:szCs w:val="24"/>
          <w:lang w:val="id-ID"/>
        </w:rPr>
      </w:pPr>
      <w:r w:rsidRPr="00D55A43">
        <w:rPr>
          <w:rFonts w:ascii="Times New Roman" w:hAnsi="Times New Roman" w:cs="Times New Roman"/>
          <w:sz w:val="24"/>
          <w:szCs w:val="24"/>
          <w:lang w:val="id-ID"/>
        </w:rPr>
        <w:t>Jenis penelitian ini adalah penelitian evaluatif dengan subjek peneli</w:t>
      </w:r>
      <w:r>
        <w:rPr>
          <w:rFonts w:ascii="Times New Roman" w:hAnsi="Times New Roman" w:cs="Times New Roman"/>
          <w:sz w:val="24"/>
          <w:szCs w:val="24"/>
          <w:lang w:val="id-ID"/>
        </w:rPr>
        <w:t>tian berupa bank umum yaitu PT B</w:t>
      </w:r>
      <w:r w:rsidRPr="00D55A43">
        <w:rPr>
          <w:rFonts w:ascii="Times New Roman" w:hAnsi="Times New Roman" w:cs="Times New Roman"/>
          <w:sz w:val="24"/>
          <w:szCs w:val="24"/>
          <w:lang w:val="id-ID"/>
        </w:rPr>
        <w:t>ank Central Asia Tbk yang terdaftar di Bursa Efek Indonesia tahun 2014-2016. Data diperoleh melalui teknik dokumentasi. Teknik analisis data yang digunakan adalah analisis kesehatan bank dengan pendekatan Risiko (</w:t>
      </w:r>
      <w:r w:rsidRPr="00D55A43">
        <w:rPr>
          <w:rFonts w:ascii="Times New Roman" w:hAnsi="Times New Roman" w:cs="Times New Roman"/>
          <w:i/>
          <w:sz w:val="24"/>
          <w:szCs w:val="24"/>
          <w:lang w:val="id-ID"/>
        </w:rPr>
        <w:t>Risk-based Bank Rating</w:t>
      </w:r>
      <w:r w:rsidRPr="00D55A43">
        <w:rPr>
          <w:rFonts w:ascii="Times New Roman" w:hAnsi="Times New Roman" w:cs="Times New Roman"/>
          <w:sz w:val="24"/>
          <w:szCs w:val="24"/>
          <w:lang w:val="id-ID"/>
        </w:rPr>
        <w:t>) dengan cakupan penilaian meliputi faktor-faktor RGEC.</w:t>
      </w:r>
    </w:p>
    <w:p w:rsidR="00531DC3" w:rsidRPr="00525011" w:rsidRDefault="00531DC3" w:rsidP="00531DC3">
      <w:pPr>
        <w:autoSpaceDE w:val="0"/>
        <w:autoSpaceDN w:val="0"/>
        <w:adjustRightInd w:val="0"/>
        <w:spacing w:after="0" w:line="240" w:lineRule="auto"/>
        <w:ind w:firstLine="567"/>
        <w:jc w:val="both"/>
        <w:rPr>
          <w:rFonts w:ascii="Times New Roman" w:hAnsi="Times New Roman" w:cs="Times New Roman"/>
          <w:sz w:val="24"/>
          <w:szCs w:val="24"/>
          <w:lang w:val="id-ID"/>
        </w:rPr>
      </w:pPr>
      <w:r w:rsidRPr="00525011">
        <w:rPr>
          <w:rFonts w:ascii="Times New Roman" w:hAnsi="Times New Roman" w:cs="Times New Roman"/>
          <w:sz w:val="24"/>
          <w:szCs w:val="24"/>
          <w:lang w:val="id-ID"/>
        </w:rPr>
        <w:t xml:space="preserve">Hasil penelitian pada PT Bank Central Asia Tbk periode 2014 menunjukkan bahwa Tingkat Kesehatan Bank sangat sehat, ditunjukkan pada aspek </w:t>
      </w:r>
      <w:r w:rsidRPr="00525011">
        <w:rPr>
          <w:rFonts w:ascii="Times New Roman" w:hAnsi="Times New Roman" w:cs="Times New Roman"/>
          <w:i/>
          <w:iCs/>
          <w:sz w:val="24"/>
          <w:szCs w:val="24"/>
          <w:lang w:val="id-ID"/>
        </w:rPr>
        <w:t xml:space="preserve">Risk Profile </w:t>
      </w:r>
      <w:r w:rsidRPr="00525011">
        <w:rPr>
          <w:rFonts w:ascii="Times New Roman" w:hAnsi="Times New Roman" w:cs="Times New Roman"/>
          <w:sz w:val="24"/>
          <w:szCs w:val="24"/>
          <w:lang w:val="id-ID"/>
        </w:rPr>
        <w:t xml:space="preserve">yang mencakup rasio NPL sebesar 0,61% dan LDR 75,88%. Untuk aspek </w:t>
      </w:r>
      <w:r w:rsidRPr="00525011">
        <w:rPr>
          <w:rFonts w:ascii="Times New Roman" w:hAnsi="Times New Roman" w:cs="Times New Roman"/>
          <w:i/>
          <w:iCs/>
          <w:sz w:val="24"/>
          <w:szCs w:val="24"/>
          <w:lang w:val="id-ID"/>
        </w:rPr>
        <w:t xml:space="preserve">Earnings </w:t>
      </w:r>
      <w:r w:rsidRPr="00525011">
        <w:rPr>
          <w:rFonts w:ascii="Times New Roman" w:hAnsi="Times New Roman" w:cs="Times New Roman"/>
          <w:sz w:val="24"/>
          <w:szCs w:val="24"/>
          <w:lang w:val="id-ID"/>
        </w:rPr>
        <w:t xml:space="preserve">yang mencakup rasio ROA 3,95% dan NIM 6,97. Aspek </w:t>
      </w:r>
      <w:r w:rsidRPr="00525011">
        <w:rPr>
          <w:rFonts w:ascii="Times New Roman" w:hAnsi="Times New Roman" w:cs="Times New Roman"/>
          <w:i/>
          <w:iCs/>
          <w:sz w:val="24"/>
          <w:szCs w:val="24"/>
          <w:lang w:val="id-ID"/>
        </w:rPr>
        <w:t xml:space="preserve">Capital </w:t>
      </w:r>
      <w:r w:rsidRPr="00525011">
        <w:rPr>
          <w:rFonts w:ascii="Times New Roman" w:hAnsi="Times New Roman" w:cs="Times New Roman"/>
          <w:sz w:val="24"/>
          <w:szCs w:val="24"/>
          <w:lang w:val="id-ID"/>
        </w:rPr>
        <w:t xml:space="preserve">yang mencakup rasio CAR 17,24%. Untuk tahun 2015 menunjukkan bahwa tingkat kesehatan bank sangat sehat ditunjukkan pada aspek </w:t>
      </w:r>
      <w:r w:rsidRPr="00525011">
        <w:rPr>
          <w:rFonts w:ascii="Times New Roman" w:hAnsi="Times New Roman" w:cs="Times New Roman"/>
          <w:i/>
          <w:iCs/>
          <w:sz w:val="24"/>
          <w:szCs w:val="24"/>
          <w:lang w:val="id-ID"/>
        </w:rPr>
        <w:t>Risk Profile</w:t>
      </w:r>
      <w:r w:rsidRPr="00525011">
        <w:rPr>
          <w:rFonts w:ascii="Times New Roman" w:hAnsi="Times New Roman" w:cs="Times New Roman"/>
          <w:sz w:val="24"/>
          <w:szCs w:val="24"/>
          <w:lang w:val="id-ID"/>
        </w:rPr>
        <w:t xml:space="preserve"> yang mencakup rasio NPL sebesar 0,73% dan LDR 79,93%. Untuk aspek </w:t>
      </w:r>
      <w:r w:rsidRPr="00525011">
        <w:rPr>
          <w:rFonts w:ascii="Times New Roman" w:hAnsi="Times New Roman" w:cs="Times New Roman"/>
          <w:i/>
          <w:iCs/>
          <w:sz w:val="24"/>
          <w:szCs w:val="24"/>
          <w:lang w:val="id-ID"/>
        </w:rPr>
        <w:t xml:space="preserve">Earnings </w:t>
      </w:r>
      <w:r w:rsidRPr="00525011">
        <w:rPr>
          <w:rFonts w:ascii="Times New Roman" w:hAnsi="Times New Roman" w:cs="Times New Roman"/>
          <w:sz w:val="24"/>
          <w:szCs w:val="24"/>
          <w:lang w:val="id-ID"/>
        </w:rPr>
        <w:t xml:space="preserve">yang mencakup rasio ROA 3,95% dan NIM 7,09%. Aspek </w:t>
      </w:r>
      <w:r w:rsidRPr="00525011">
        <w:rPr>
          <w:rFonts w:ascii="Times New Roman" w:hAnsi="Times New Roman" w:cs="Times New Roman"/>
          <w:i/>
          <w:iCs/>
          <w:sz w:val="24"/>
          <w:szCs w:val="24"/>
          <w:lang w:val="id-ID"/>
        </w:rPr>
        <w:t>Capital</w:t>
      </w:r>
      <w:r w:rsidRPr="00525011">
        <w:rPr>
          <w:rFonts w:ascii="Times New Roman" w:hAnsi="Times New Roman" w:cs="Times New Roman"/>
          <w:sz w:val="24"/>
          <w:szCs w:val="24"/>
          <w:lang w:val="id-ID"/>
        </w:rPr>
        <w:t xml:space="preserve"> mencakup rasio CAR 19,03%. Dan untuk tahun 2016 menunjukkan bahwa tingkat kesehatan bank sangat sehat ditunjukkan pada aspek </w:t>
      </w:r>
      <w:r w:rsidRPr="00525011">
        <w:rPr>
          <w:rFonts w:ascii="Times New Roman" w:hAnsi="Times New Roman" w:cs="Times New Roman"/>
          <w:i/>
          <w:iCs/>
          <w:sz w:val="24"/>
          <w:szCs w:val="24"/>
          <w:lang w:val="id-ID"/>
        </w:rPr>
        <w:t xml:space="preserve">Risk Profile </w:t>
      </w:r>
      <w:r w:rsidRPr="00525011">
        <w:rPr>
          <w:rFonts w:ascii="Times New Roman" w:hAnsi="Times New Roman" w:cs="Times New Roman"/>
          <w:sz w:val="24"/>
          <w:szCs w:val="24"/>
          <w:lang w:val="id-ID"/>
        </w:rPr>
        <w:t xml:space="preserve">yang mencakup rasio NPL sebesar 1,35% dan LDR 76,09%. Untuk aspek </w:t>
      </w:r>
      <w:r w:rsidRPr="00525011">
        <w:rPr>
          <w:rFonts w:ascii="Times New Roman" w:hAnsi="Times New Roman" w:cs="Times New Roman"/>
          <w:i/>
          <w:iCs/>
          <w:sz w:val="24"/>
          <w:szCs w:val="24"/>
          <w:lang w:val="id-ID"/>
        </w:rPr>
        <w:t xml:space="preserve">Earnings </w:t>
      </w:r>
      <w:r w:rsidRPr="00525011">
        <w:rPr>
          <w:rFonts w:ascii="Times New Roman" w:hAnsi="Times New Roman" w:cs="Times New Roman"/>
          <w:sz w:val="24"/>
          <w:szCs w:val="24"/>
          <w:lang w:val="id-ID"/>
        </w:rPr>
        <w:t xml:space="preserve">yang mencakup rasio ROA 4,06% dan NIM 7,08%. Aspek </w:t>
      </w:r>
      <w:r w:rsidRPr="00525011">
        <w:rPr>
          <w:rFonts w:ascii="Times New Roman" w:hAnsi="Times New Roman" w:cs="Times New Roman"/>
          <w:i/>
          <w:iCs/>
          <w:sz w:val="24"/>
          <w:szCs w:val="24"/>
          <w:lang w:val="id-ID"/>
        </w:rPr>
        <w:t xml:space="preserve">Capital </w:t>
      </w:r>
      <w:r w:rsidRPr="00525011">
        <w:rPr>
          <w:rFonts w:ascii="Times New Roman" w:hAnsi="Times New Roman" w:cs="Times New Roman"/>
          <w:sz w:val="24"/>
          <w:szCs w:val="24"/>
          <w:lang w:val="id-ID"/>
        </w:rPr>
        <w:t>mencakup rasio CAR 22,21%. Kinerja PT Bank Central Asia Tbk harus dipertahankan dengan cara menjaga tingkat kesehatan bank. PT Central Asia dapat meningkatkan kemampuan aset, pengelolaan modal, serta pendapatan operasional, sehingga kualitas laba bank dapat dipertahankan bahkan ditingkatkan.</w:t>
      </w:r>
    </w:p>
    <w:p w:rsidR="00531DC3" w:rsidRPr="00D55A43" w:rsidRDefault="00531DC3" w:rsidP="00531DC3">
      <w:pPr>
        <w:spacing w:after="0" w:line="240" w:lineRule="auto"/>
        <w:jc w:val="both"/>
        <w:rPr>
          <w:rFonts w:ascii="Times New Roman" w:hAnsi="Times New Roman" w:cs="Times New Roman"/>
          <w:sz w:val="24"/>
          <w:szCs w:val="24"/>
          <w:lang w:val="id-ID"/>
        </w:rPr>
      </w:pPr>
      <w:r w:rsidRPr="00525011">
        <w:rPr>
          <w:rFonts w:ascii="Times New Roman" w:hAnsi="Times New Roman" w:cs="Times New Roman"/>
          <w:b/>
          <w:bCs/>
          <w:sz w:val="24"/>
          <w:szCs w:val="24"/>
          <w:lang w:val="id-ID"/>
        </w:rPr>
        <w:t>Kata kunc</w:t>
      </w:r>
      <w:r w:rsidRPr="00525011">
        <w:rPr>
          <w:rFonts w:ascii="Times New Roman" w:hAnsi="Times New Roman" w:cs="Times New Roman"/>
          <w:sz w:val="24"/>
          <w:szCs w:val="24"/>
          <w:lang w:val="id-ID"/>
        </w:rPr>
        <w:t>i: Tingkat Kesehatan Bank dan Metode RGEC.</w:t>
      </w:r>
    </w:p>
    <w:p w:rsidR="0042209B" w:rsidRDefault="0042209B" w:rsidP="00B062A8">
      <w:pPr>
        <w:pStyle w:val="ISI"/>
        <w:spacing w:after="0" w:line="240" w:lineRule="auto"/>
        <w:rPr>
          <w:rFonts w:cs="Times New Roman"/>
          <w:b/>
          <w:color w:val="000000" w:themeColor="text1"/>
          <w:szCs w:val="24"/>
          <w:lang w:val="id-ID"/>
        </w:rPr>
      </w:pPr>
    </w:p>
    <w:p w:rsidR="005A4876" w:rsidRPr="002E2AC8" w:rsidRDefault="005A4876" w:rsidP="00B062A8">
      <w:pPr>
        <w:pStyle w:val="ISI"/>
        <w:spacing w:after="0" w:line="240" w:lineRule="auto"/>
        <w:rPr>
          <w:rFonts w:cs="Times New Roman"/>
          <w:b/>
          <w:color w:val="000000" w:themeColor="text1"/>
          <w:szCs w:val="24"/>
          <w:lang w:val="id-ID"/>
        </w:rPr>
      </w:pPr>
      <w:r w:rsidRPr="002E2AC8">
        <w:rPr>
          <w:rFonts w:cs="Times New Roman"/>
          <w:b/>
          <w:color w:val="000000" w:themeColor="text1"/>
          <w:szCs w:val="24"/>
          <w:lang w:val="id-ID"/>
        </w:rPr>
        <w:t>PENDAHULUAN</w:t>
      </w:r>
    </w:p>
    <w:p w:rsidR="00793AD0" w:rsidRPr="002E2AC8" w:rsidRDefault="00793AD0" w:rsidP="00B062A8">
      <w:pPr>
        <w:pStyle w:val="ISI"/>
        <w:spacing w:after="0" w:line="240" w:lineRule="auto"/>
        <w:ind w:firstLine="567"/>
        <w:rPr>
          <w:rFonts w:cs="Times New Roman"/>
          <w:color w:val="000000" w:themeColor="text1"/>
          <w:szCs w:val="24"/>
          <w:lang w:val="id-ID"/>
        </w:rPr>
      </w:pPr>
      <w:r w:rsidRPr="002E2AC8">
        <w:rPr>
          <w:rFonts w:cs="Times New Roman"/>
          <w:color w:val="000000" w:themeColor="text1"/>
          <w:szCs w:val="24"/>
          <w:lang w:val="id-ID"/>
        </w:rPr>
        <w:t xml:space="preserve">Perkembangan perbankan di Indonesia sangatlah pesat mengingat banyak berdirinya bank-bank baru pada akhir-akhir ini. Hal ini di dorong karena minat masyarakat dalam menggunakan produk perbankan. Kemudahan dan keamanan membuat masyarakat semakin percaya pada lembaga perbankan. </w:t>
      </w:r>
    </w:p>
    <w:p w:rsidR="00FD11E1" w:rsidRPr="002E2AC8" w:rsidRDefault="00793AD0" w:rsidP="00B062A8">
      <w:pPr>
        <w:pStyle w:val="ISI"/>
        <w:spacing w:after="0" w:line="240" w:lineRule="auto"/>
        <w:ind w:firstLine="567"/>
        <w:rPr>
          <w:rFonts w:cs="Times New Roman"/>
          <w:color w:val="000000" w:themeColor="text1"/>
          <w:szCs w:val="24"/>
          <w:lang w:val="id-ID"/>
        </w:rPr>
      </w:pPr>
      <w:r w:rsidRPr="002E2AC8">
        <w:rPr>
          <w:rFonts w:cs="Times New Roman"/>
          <w:color w:val="000000" w:themeColor="text1"/>
          <w:szCs w:val="24"/>
          <w:lang w:val="id-ID"/>
        </w:rPr>
        <w:lastRenderedPageBreak/>
        <w:t>Bank didirikan sebagai lembaga yang pokok kegiatannya menghimpun dana dari masyarakat dan menyalurkan ke masyarakat. Bank merupakan penyalur antara orang-orang yang kelebihan dana dengan orang-orang yang kekurangan dana. Tujuan kegiatan ini adalah dalam rangka meningkatkan taraf hidup rakyat banyak.</w:t>
      </w:r>
    </w:p>
    <w:p w:rsidR="00793AD0" w:rsidRPr="002E2AC8" w:rsidRDefault="00793AD0" w:rsidP="00B062A8">
      <w:pPr>
        <w:pStyle w:val="ISI"/>
        <w:spacing w:after="0" w:line="240" w:lineRule="auto"/>
        <w:ind w:firstLine="567"/>
        <w:rPr>
          <w:rFonts w:cs="Times New Roman"/>
          <w:color w:val="000000" w:themeColor="text1"/>
          <w:szCs w:val="24"/>
          <w:lang w:val="id-ID"/>
        </w:rPr>
      </w:pPr>
      <w:r w:rsidRPr="002E2AC8">
        <w:rPr>
          <w:rFonts w:cs="Times New Roman"/>
          <w:color w:val="000000" w:themeColor="text1"/>
          <w:szCs w:val="24"/>
          <w:lang w:val="id-ID"/>
        </w:rPr>
        <w:t>Adanya sebuah bank memudahkan masyarakat yang produktif mendapatkan dana untuk suatu usaha. Sehingga masyarakat yang awalnya menganggur bisa mendapatkan pekerjaan dan mengurangi tingkat kemiskinan. Meskipun masih banyak lagi faktor lain yang mempengaruhi perkembangan perekonomian, namun Bank merupakan salah satu faktor penting dalam perekonomian.</w:t>
      </w:r>
    </w:p>
    <w:p w:rsidR="00793AD0" w:rsidRPr="002E2AC8" w:rsidRDefault="00793AD0" w:rsidP="00B062A8">
      <w:pPr>
        <w:pStyle w:val="ISI"/>
        <w:spacing w:after="0" w:line="240" w:lineRule="auto"/>
        <w:ind w:firstLine="567"/>
        <w:rPr>
          <w:rFonts w:cs="Times New Roman"/>
          <w:szCs w:val="24"/>
          <w:lang w:val="id-ID"/>
        </w:rPr>
      </w:pPr>
      <w:r w:rsidRPr="002E2AC8">
        <w:rPr>
          <w:rFonts w:cs="Times New Roman"/>
          <w:color w:val="000000" w:themeColor="text1"/>
          <w:szCs w:val="24"/>
          <w:lang w:val="id-ID"/>
        </w:rPr>
        <w:t xml:space="preserve">Namun di era globalisasi ini persaiangan di dunia perbankan sangatlah ketat, </w:t>
      </w:r>
      <w:r w:rsidRPr="002E2AC8">
        <w:rPr>
          <w:rFonts w:cs="Times New Roman"/>
          <w:szCs w:val="24"/>
          <w:lang w:val="id-ID"/>
        </w:rPr>
        <w:t xml:space="preserve">maka </w:t>
      </w:r>
      <w:r w:rsidRPr="002E2AC8">
        <w:rPr>
          <w:rFonts w:cs="Times New Roman"/>
          <w:szCs w:val="24"/>
        </w:rPr>
        <w:t>dalam menghadapi daya saing tersebut, industri perbankan mulai berlomba-lomba untuk memperbaiki diri dengan cara mencapai kinerja yang baik</w:t>
      </w:r>
      <w:r w:rsidRPr="002E2AC8">
        <w:rPr>
          <w:rFonts w:cs="Times New Roman"/>
          <w:szCs w:val="24"/>
          <w:lang w:val="id-ID"/>
        </w:rPr>
        <w:t xml:space="preserve">, optimal. Salah satunya adalah dengan mengetahui kesehatan perbankan tersebut. </w:t>
      </w:r>
      <w:proofErr w:type="gramStart"/>
      <w:r w:rsidRPr="002E2AC8">
        <w:rPr>
          <w:rFonts w:cs="Times New Roman"/>
          <w:szCs w:val="24"/>
        </w:rPr>
        <w:t>Kesehatan bank merupakan kemampuan suatu bank untuk melakukan kegaiatan operasi perbankan secara normal dan mampu memenuhi semua kewajibannya dengan baik dengan cara–cara yang sesuai dengan peraturan perbankan yang berlaku (Sigit Triandaru dan Totok Budisantoso</w:t>
      </w:r>
      <w:r w:rsidRPr="002E2AC8">
        <w:rPr>
          <w:rFonts w:cs="Times New Roman"/>
          <w:szCs w:val="24"/>
          <w:lang w:val="id-ID"/>
        </w:rPr>
        <w:t xml:space="preserve"> dalam Nur Artyka</w:t>
      </w:r>
      <w:r w:rsidRPr="002E2AC8">
        <w:rPr>
          <w:rFonts w:cs="Times New Roman"/>
          <w:szCs w:val="24"/>
        </w:rPr>
        <w:t xml:space="preserve">, </w:t>
      </w:r>
      <w:r w:rsidRPr="002E2AC8">
        <w:rPr>
          <w:rFonts w:cs="Times New Roman"/>
          <w:szCs w:val="24"/>
          <w:lang w:val="id-ID"/>
        </w:rPr>
        <w:t>2015</w:t>
      </w:r>
      <w:r w:rsidRPr="002E2AC8">
        <w:rPr>
          <w:rFonts w:cs="Times New Roman"/>
          <w:szCs w:val="24"/>
        </w:rPr>
        <w:t>).</w:t>
      </w:r>
      <w:proofErr w:type="gramEnd"/>
    </w:p>
    <w:p w:rsidR="00793AD0" w:rsidRPr="002E2AC8" w:rsidRDefault="00793AD0" w:rsidP="00B062A8">
      <w:pPr>
        <w:pStyle w:val="ISI"/>
        <w:spacing w:after="0" w:line="240" w:lineRule="auto"/>
        <w:ind w:firstLine="567"/>
        <w:rPr>
          <w:rFonts w:cs="Times New Roman"/>
          <w:szCs w:val="24"/>
          <w:lang w:val="id-ID"/>
        </w:rPr>
      </w:pPr>
      <w:r w:rsidRPr="002E2AC8">
        <w:rPr>
          <w:rFonts w:cs="Times New Roman"/>
          <w:color w:val="000000" w:themeColor="text1"/>
          <w:szCs w:val="24"/>
          <w:lang w:val="id-ID"/>
        </w:rPr>
        <w:t>Salah satu indikator utama yang dijadikan penilaian kesehatan bank adalah laporan keuangan yang bersangkutan. Kasmir (2012) menjelaskan bahwa laporan keuangan bank menunjukan kondisi keuangan bank secara keseluruhan. Dari laporan keuangan akan terbaca bagaimana kondisi bank sesungguhnya, termasuk kelemahan dan kekuatan yang dimiliki. Berdasarkan laporan keuangan akan dapat dihitung sejumlah rasio yang lazim dijadikan dasar penilaian tingkat kesehatan bank. Dari rasio tersebut akan terlihat</w:t>
      </w:r>
      <w:r w:rsidRPr="002E2AC8">
        <w:rPr>
          <w:rFonts w:cs="Times New Roman"/>
          <w:szCs w:val="24"/>
          <w:lang w:val="id-ID"/>
        </w:rPr>
        <w:t xml:space="preserve"> </w:t>
      </w:r>
      <w:r w:rsidRPr="002E2AC8">
        <w:rPr>
          <w:rFonts w:cs="Times New Roman"/>
          <w:szCs w:val="24"/>
        </w:rPr>
        <w:t>apakah bank tersebut dalam kondisi yang sangat sehat, sehat, cukup sehat, kurang sehat atau tidak sehat.</w:t>
      </w:r>
    </w:p>
    <w:p w:rsidR="00793AD0" w:rsidRPr="002E2AC8" w:rsidRDefault="00793AD0" w:rsidP="00B062A8">
      <w:pPr>
        <w:pStyle w:val="ISI"/>
        <w:spacing w:after="0" w:line="240" w:lineRule="auto"/>
        <w:ind w:firstLine="567"/>
        <w:rPr>
          <w:rFonts w:cs="Times New Roman"/>
          <w:szCs w:val="24"/>
          <w:lang w:val="id-ID"/>
        </w:rPr>
      </w:pPr>
      <w:r w:rsidRPr="002E2AC8">
        <w:rPr>
          <w:rFonts w:cs="Times New Roman"/>
          <w:szCs w:val="24"/>
          <w:lang w:val="id-ID"/>
        </w:rPr>
        <w:t>Ada</w:t>
      </w:r>
      <w:r w:rsidRPr="002E2AC8">
        <w:rPr>
          <w:rFonts w:cs="Times New Roman"/>
          <w:szCs w:val="24"/>
        </w:rPr>
        <w:t xml:space="preserve"> beberapa metode</w:t>
      </w:r>
      <w:r w:rsidRPr="002E2AC8">
        <w:rPr>
          <w:rFonts w:cs="Times New Roman"/>
          <w:szCs w:val="24"/>
          <w:lang w:val="id-ID"/>
        </w:rPr>
        <w:t xml:space="preserve"> dalam peraturan Bank Indonesia</w:t>
      </w:r>
      <w:r w:rsidRPr="002E2AC8">
        <w:rPr>
          <w:rFonts w:cs="Times New Roman"/>
          <w:szCs w:val="24"/>
        </w:rPr>
        <w:t xml:space="preserve"> yang dapat digunakan </w:t>
      </w:r>
      <w:r w:rsidRPr="002E2AC8">
        <w:rPr>
          <w:rFonts w:cs="Times New Roman"/>
          <w:szCs w:val="24"/>
          <w:lang w:val="id-ID"/>
        </w:rPr>
        <w:t>untuk</w:t>
      </w:r>
      <w:r w:rsidRPr="002E2AC8">
        <w:rPr>
          <w:rFonts w:cs="Times New Roman"/>
          <w:szCs w:val="24"/>
        </w:rPr>
        <w:t xml:space="preserve"> menilai kesehatan bank dan salah satunya adalah Peraturan Bank Indonesia No.13/1/PBI/2011 yang dalam penilaiannya menggunakan pendekatan RGEC </w:t>
      </w:r>
      <w:r w:rsidRPr="002E2AC8">
        <w:rPr>
          <w:rFonts w:cs="Times New Roman"/>
          <w:i/>
          <w:iCs/>
          <w:szCs w:val="24"/>
        </w:rPr>
        <w:t>(Risk Profile, Good Corporate Governance, Earnings, Capital)</w:t>
      </w:r>
      <w:r w:rsidRPr="002E2AC8">
        <w:rPr>
          <w:rFonts w:cs="Times New Roman"/>
          <w:szCs w:val="24"/>
        </w:rPr>
        <w:t xml:space="preserve">. </w:t>
      </w:r>
      <w:proofErr w:type="gramStart"/>
      <w:r w:rsidRPr="002E2AC8">
        <w:rPr>
          <w:rFonts w:cs="Times New Roman"/>
          <w:szCs w:val="24"/>
        </w:rPr>
        <w:t xml:space="preserve">Peraturan ini sekaligus menggantikan Peraturan Bank Indonesia sebelumnya yaitu PBI No.6/10/PBI/2004 dengan faktor-faktor penilaianya digolongkan dalam 6 (enam) faktor yang disebut CAMELS </w:t>
      </w:r>
      <w:r w:rsidRPr="002E2AC8">
        <w:rPr>
          <w:rFonts w:cs="Times New Roman"/>
          <w:i/>
          <w:iCs/>
          <w:szCs w:val="24"/>
        </w:rPr>
        <w:t>(Capital, Asset Quality, Management, Earnings, Liquidity, and Sensitivity to Market Risks)</w:t>
      </w:r>
      <w:r w:rsidRPr="002E2AC8">
        <w:rPr>
          <w:rFonts w:cs="Times New Roman"/>
          <w:szCs w:val="24"/>
        </w:rPr>
        <w:t>.</w:t>
      </w:r>
      <w:proofErr w:type="gramEnd"/>
    </w:p>
    <w:p w:rsidR="005A4876" w:rsidRPr="002E2AC8" w:rsidRDefault="005A4876" w:rsidP="00B062A8">
      <w:pPr>
        <w:pStyle w:val="ISI"/>
        <w:spacing w:after="0" w:line="240" w:lineRule="auto"/>
        <w:ind w:firstLine="567"/>
        <w:rPr>
          <w:rFonts w:cs="Times New Roman"/>
          <w:szCs w:val="24"/>
          <w:lang w:val="id-ID"/>
        </w:rPr>
      </w:pPr>
      <w:r w:rsidRPr="002E2AC8">
        <w:rPr>
          <w:rFonts w:cs="Times New Roman"/>
          <w:szCs w:val="24"/>
          <w:lang w:val="id-ID"/>
        </w:rPr>
        <w:t xml:space="preserve">Penyempurnaan penilaian kesehatan bank dilatarbelakangi oleh perubahan kompleksitas usaha dan profil risiko, penerapan pengawasan secara konsolidasi, serta perubahan pendekatan penilaian kondisi bank yang diterapkan secara internasional mempengaruhi pendekatan penilaian Tingkat Kesehatan Bank. Sesuai dengan Peraturan Bank Indonesia Nomor </w:t>
      </w:r>
      <w:r w:rsidRPr="002E2AC8">
        <w:rPr>
          <w:rFonts w:cs="Times New Roman"/>
          <w:szCs w:val="24"/>
        </w:rPr>
        <w:t>13/1/PBI/2011</w:t>
      </w:r>
      <w:r w:rsidRPr="002E2AC8">
        <w:rPr>
          <w:rFonts w:cs="Times New Roman"/>
          <w:szCs w:val="24"/>
          <w:lang w:val="id-ID"/>
        </w:rPr>
        <w:t xml:space="preserve"> tentang Penilaian Tingkat Kesehatan Bank Umum, Bank wajib melakukan penilaian Tingkat Kesehatan Bank dengan menggunakan pendekatan berdasarkan Risiko (</w:t>
      </w:r>
      <w:r w:rsidRPr="002E2AC8">
        <w:rPr>
          <w:rFonts w:cs="Times New Roman"/>
          <w:i/>
          <w:szCs w:val="24"/>
          <w:lang w:val="id-ID"/>
        </w:rPr>
        <w:t>Risk-based bank Rating</w:t>
      </w:r>
      <w:r w:rsidRPr="002E2AC8">
        <w:rPr>
          <w:rFonts w:cs="Times New Roman"/>
          <w:szCs w:val="24"/>
          <w:lang w:val="id-ID"/>
        </w:rPr>
        <w:t xml:space="preserve">). Penilaian Tingkat Kesehatan Bank dilakukan terhadap Bank secara individual maupun konsolidasi. Tahap-tahap penilaian bank pada RGEC boleh disebut model penilaian kesehatan bank yang sarat dengan manajemen risiko. Menurut BI dalam PBI tersebut, Manajemen Bank perlu memperhatikan prinsip-prinsip umum berikut ini sebagai landasan dalam menilai Tingkat </w:t>
      </w:r>
      <w:r w:rsidRPr="002E2AC8">
        <w:rPr>
          <w:rFonts w:cs="Times New Roman"/>
          <w:szCs w:val="24"/>
          <w:lang w:val="id-ID"/>
        </w:rPr>
        <w:lastRenderedPageBreak/>
        <w:t>Kesehatan Bank yaitu berorientasi Risiko, Proporsionalitas, Materialitas, dan Signifikansi, serta Komperhensif dan Terstruktur.</w:t>
      </w:r>
    </w:p>
    <w:p w:rsidR="005A4876" w:rsidRPr="002E2AC8" w:rsidRDefault="005A4876" w:rsidP="00B062A8">
      <w:pPr>
        <w:pStyle w:val="ISI"/>
        <w:spacing w:after="0" w:line="240" w:lineRule="auto"/>
        <w:ind w:firstLine="426"/>
        <w:rPr>
          <w:rFonts w:cs="Times New Roman"/>
          <w:szCs w:val="24"/>
          <w:lang w:val="id-ID"/>
        </w:rPr>
      </w:pPr>
    </w:p>
    <w:p w:rsidR="005A4876" w:rsidRPr="002E2AC8" w:rsidRDefault="005A4876" w:rsidP="00B062A8">
      <w:pPr>
        <w:pStyle w:val="ISI"/>
        <w:spacing w:after="0" w:line="240" w:lineRule="auto"/>
        <w:rPr>
          <w:rFonts w:cs="Times New Roman"/>
          <w:b/>
          <w:color w:val="000000" w:themeColor="text1"/>
          <w:szCs w:val="24"/>
          <w:lang w:val="id-ID"/>
        </w:rPr>
      </w:pPr>
      <w:r w:rsidRPr="002E2AC8">
        <w:rPr>
          <w:rFonts w:cs="Times New Roman"/>
          <w:b/>
          <w:color w:val="000000" w:themeColor="text1"/>
          <w:szCs w:val="24"/>
          <w:lang w:val="id-ID"/>
        </w:rPr>
        <w:t>RUMUSAN MASALAH</w:t>
      </w:r>
    </w:p>
    <w:p w:rsidR="00437BCC" w:rsidRPr="002E2AC8" w:rsidRDefault="00437BCC" w:rsidP="00B062A8">
      <w:pPr>
        <w:autoSpaceDE w:val="0"/>
        <w:autoSpaceDN w:val="0"/>
        <w:adjustRightInd w:val="0"/>
        <w:spacing w:after="0" w:line="240" w:lineRule="auto"/>
        <w:ind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Berdasarkan latar belakang yang telah diuraikan diatas, maka rumusan masalah yang akan diuji lebih lanjut dalam penelitian ini adalah:</w:t>
      </w:r>
    </w:p>
    <w:p w:rsidR="00437BCC" w:rsidRPr="002E2AC8" w:rsidRDefault="00437BCC" w:rsidP="00B062A8">
      <w:pPr>
        <w:pStyle w:val="ListParagraph"/>
        <w:numPr>
          <w:ilvl w:val="0"/>
          <w:numId w:val="1"/>
        </w:numPr>
        <w:autoSpaceDE w:val="0"/>
        <w:autoSpaceDN w:val="0"/>
        <w:adjustRightInd w:val="0"/>
        <w:spacing w:after="0" w:line="240" w:lineRule="auto"/>
        <w:ind w:left="426" w:hanging="436"/>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 xml:space="preserve">Bagaimana Penilaian Tingkat Kesehatan Bank pada PT Bank Central Asia Tbk ditinjau dari </w:t>
      </w:r>
      <w:r w:rsidRPr="002E2AC8">
        <w:rPr>
          <w:rFonts w:ascii="Times New Roman" w:hAnsi="Times New Roman" w:cs="Times New Roman"/>
          <w:i/>
          <w:iCs/>
          <w:sz w:val="24"/>
          <w:szCs w:val="24"/>
          <w:lang w:val="id-ID"/>
        </w:rPr>
        <w:t xml:space="preserve">Risk Profile </w:t>
      </w:r>
      <w:r w:rsidRPr="002E2AC8">
        <w:rPr>
          <w:rFonts w:ascii="Times New Roman" w:hAnsi="Times New Roman" w:cs="Times New Roman"/>
          <w:sz w:val="24"/>
          <w:szCs w:val="24"/>
          <w:lang w:val="id-ID"/>
        </w:rPr>
        <w:t>pada tahun 2014-2016 ?</w:t>
      </w:r>
    </w:p>
    <w:p w:rsidR="00437BCC" w:rsidRPr="002E2AC8" w:rsidRDefault="00437BCC" w:rsidP="00B062A8">
      <w:pPr>
        <w:pStyle w:val="ListParagraph"/>
        <w:numPr>
          <w:ilvl w:val="0"/>
          <w:numId w:val="1"/>
        </w:numPr>
        <w:autoSpaceDE w:val="0"/>
        <w:autoSpaceDN w:val="0"/>
        <w:adjustRightInd w:val="0"/>
        <w:spacing w:after="0" w:line="240" w:lineRule="auto"/>
        <w:ind w:left="426" w:hanging="436"/>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 xml:space="preserve">Bagaimana Penilaian Tingkat Kesehatan Bank pada PT Bank Central Asia Tbk ditinjau dari </w:t>
      </w:r>
      <w:r w:rsidRPr="002E2AC8">
        <w:rPr>
          <w:rFonts w:ascii="Times New Roman" w:hAnsi="Times New Roman" w:cs="Times New Roman"/>
          <w:i/>
          <w:iCs/>
          <w:sz w:val="24"/>
          <w:szCs w:val="24"/>
          <w:lang w:val="id-ID"/>
        </w:rPr>
        <w:t xml:space="preserve">Good Coorporate Governance </w:t>
      </w:r>
      <w:r w:rsidRPr="002E2AC8">
        <w:rPr>
          <w:rFonts w:ascii="Times New Roman" w:hAnsi="Times New Roman" w:cs="Times New Roman"/>
          <w:sz w:val="24"/>
          <w:szCs w:val="24"/>
          <w:lang w:val="id-ID"/>
        </w:rPr>
        <w:t>pada tahun 2014-2016 ?</w:t>
      </w:r>
    </w:p>
    <w:p w:rsidR="00437BCC" w:rsidRPr="002E2AC8" w:rsidRDefault="00437BCC" w:rsidP="00B062A8">
      <w:pPr>
        <w:pStyle w:val="ListParagraph"/>
        <w:numPr>
          <w:ilvl w:val="0"/>
          <w:numId w:val="1"/>
        </w:numPr>
        <w:autoSpaceDE w:val="0"/>
        <w:autoSpaceDN w:val="0"/>
        <w:adjustRightInd w:val="0"/>
        <w:spacing w:after="0" w:line="240" w:lineRule="auto"/>
        <w:ind w:left="426" w:hanging="436"/>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 xml:space="preserve">Bagaimana Penilaian Tingkat Kesehatan Bank pada PT Bank Central Asia Tbk ditinjau dari </w:t>
      </w:r>
      <w:r w:rsidRPr="002E2AC8">
        <w:rPr>
          <w:rFonts w:ascii="Times New Roman" w:hAnsi="Times New Roman" w:cs="Times New Roman"/>
          <w:i/>
          <w:iCs/>
          <w:sz w:val="24"/>
          <w:szCs w:val="24"/>
          <w:lang w:val="id-ID"/>
        </w:rPr>
        <w:t xml:space="preserve">Earning </w:t>
      </w:r>
      <w:r w:rsidRPr="002E2AC8">
        <w:rPr>
          <w:rFonts w:ascii="Times New Roman" w:hAnsi="Times New Roman" w:cs="Times New Roman"/>
          <w:sz w:val="24"/>
          <w:szCs w:val="24"/>
          <w:lang w:val="id-ID"/>
        </w:rPr>
        <w:t>pada tahun 2014-2016 ?</w:t>
      </w:r>
    </w:p>
    <w:p w:rsidR="00437BCC" w:rsidRPr="002E2AC8" w:rsidRDefault="00437BCC" w:rsidP="00B062A8">
      <w:pPr>
        <w:pStyle w:val="ListParagraph"/>
        <w:numPr>
          <w:ilvl w:val="0"/>
          <w:numId w:val="1"/>
        </w:numPr>
        <w:autoSpaceDE w:val="0"/>
        <w:autoSpaceDN w:val="0"/>
        <w:adjustRightInd w:val="0"/>
        <w:spacing w:after="0" w:line="240" w:lineRule="auto"/>
        <w:ind w:left="426" w:hanging="436"/>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 xml:space="preserve">Bagaimana Penilaian Tingkat Kesehatan Bank pada PT Bank Cenral Asia Tbk ditinjau dari </w:t>
      </w:r>
      <w:r w:rsidRPr="002E2AC8">
        <w:rPr>
          <w:rFonts w:ascii="Times New Roman" w:hAnsi="Times New Roman" w:cs="Times New Roman"/>
          <w:i/>
          <w:iCs/>
          <w:sz w:val="24"/>
          <w:szCs w:val="24"/>
          <w:lang w:val="id-ID"/>
        </w:rPr>
        <w:t xml:space="preserve">Capital </w:t>
      </w:r>
      <w:r w:rsidRPr="002E2AC8">
        <w:rPr>
          <w:rFonts w:ascii="Times New Roman" w:hAnsi="Times New Roman" w:cs="Times New Roman"/>
          <w:sz w:val="24"/>
          <w:szCs w:val="24"/>
          <w:lang w:val="id-ID"/>
        </w:rPr>
        <w:t>pada tahun 2014-2016 ?</w:t>
      </w:r>
    </w:p>
    <w:p w:rsidR="00437BCC" w:rsidRPr="002E2AC8" w:rsidRDefault="00437BCC" w:rsidP="00B062A8">
      <w:pPr>
        <w:pStyle w:val="ListParagraph"/>
        <w:numPr>
          <w:ilvl w:val="0"/>
          <w:numId w:val="1"/>
        </w:numPr>
        <w:autoSpaceDE w:val="0"/>
        <w:autoSpaceDN w:val="0"/>
        <w:adjustRightInd w:val="0"/>
        <w:spacing w:after="0" w:line="240" w:lineRule="auto"/>
        <w:ind w:left="426" w:hanging="436"/>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Bagaimana Penilaian Tingkat Kesehatan Bank pada PT Bank Central Asia Tbk ditinjau dari aspek RGEC pada tahun 2014-2016 ?</w:t>
      </w:r>
    </w:p>
    <w:p w:rsidR="005A4876" w:rsidRPr="002E2AC8" w:rsidRDefault="005A4876" w:rsidP="00B062A8">
      <w:pPr>
        <w:pStyle w:val="ISI"/>
        <w:spacing w:after="0" w:line="240" w:lineRule="auto"/>
        <w:ind w:left="426" w:firstLine="426"/>
        <w:rPr>
          <w:rFonts w:cs="Times New Roman"/>
          <w:color w:val="000000" w:themeColor="text1"/>
          <w:szCs w:val="24"/>
          <w:lang w:val="id-ID"/>
        </w:rPr>
      </w:pPr>
    </w:p>
    <w:p w:rsidR="00B062A8" w:rsidRPr="002E2AC8" w:rsidRDefault="00B062A8" w:rsidP="00B062A8">
      <w:pPr>
        <w:pStyle w:val="ISI"/>
        <w:spacing w:after="0" w:line="240" w:lineRule="auto"/>
        <w:rPr>
          <w:rFonts w:cs="Times New Roman"/>
          <w:b/>
          <w:color w:val="000000" w:themeColor="text1"/>
          <w:szCs w:val="24"/>
          <w:lang w:val="id-ID"/>
        </w:rPr>
      </w:pPr>
      <w:r w:rsidRPr="002E2AC8">
        <w:rPr>
          <w:rFonts w:cs="Times New Roman"/>
          <w:b/>
          <w:color w:val="000000" w:themeColor="text1"/>
          <w:szCs w:val="24"/>
          <w:lang w:val="id-ID"/>
        </w:rPr>
        <w:t>LANDASAN TEORI</w:t>
      </w:r>
    </w:p>
    <w:p w:rsidR="00437BCC" w:rsidRPr="002E2AC8" w:rsidRDefault="00437BCC" w:rsidP="00B062A8">
      <w:pPr>
        <w:pStyle w:val="ISI"/>
        <w:numPr>
          <w:ilvl w:val="0"/>
          <w:numId w:val="12"/>
        </w:numPr>
        <w:spacing w:after="0" w:line="240" w:lineRule="auto"/>
        <w:ind w:left="426" w:hanging="426"/>
        <w:rPr>
          <w:rFonts w:cs="Times New Roman"/>
          <w:b/>
          <w:color w:val="000000" w:themeColor="text1"/>
          <w:szCs w:val="24"/>
          <w:lang w:val="id-ID"/>
        </w:rPr>
      </w:pPr>
      <w:r w:rsidRPr="002E2AC8">
        <w:rPr>
          <w:rFonts w:cs="Times New Roman"/>
          <w:b/>
          <w:szCs w:val="24"/>
          <w:lang w:val="id-ID"/>
        </w:rPr>
        <w:t>Kesehatan Bank</w:t>
      </w:r>
    </w:p>
    <w:p w:rsidR="00437BCC" w:rsidRPr="002E2AC8" w:rsidRDefault="00437BCC" w:rsidP="00B062A8">
      <w:pPr>
        <w:pStyle w:val="ListParagraph"/>
        <w:numPr>
          <w:ilvl w:val="0"/>
          <w:numId w:val="6"/>
        </w:numPr>
        <w:autoSpaceDE w:val="0"/>
        <w:autoSpaceDN w:val="0"/>
        <w:adjustRightInd w:val="0"/>
        <w:spacing w:after="0" w:line="240" w:lineRule="auto"/>
        <w:ind w:left="709" w:hanging="284"/>
        <w:jc w:val="both"/>
        <w:rPr>
          <w:rFonts w:ascii="Times New Roman" w:hAnsi="Times New Roman" w:cs="Times New Roman"/>
          <w:b/>
          <w:sz w:val="24"/>
          <w:szCs w:val="24"/>
          <w:lang w:val="id-ID"/>
        </w:rPr>
      </w:pPr>
      <w:r w:rsidRPr="002E2AC8">
        <w:rPr>
          <w:rFonts w:ascii="Times New Roman" w:hAnsi="Times New Roman" w:cs="Times New Roman"/>
          <w:b/>
          <w:sz w:val="24"/>
          <w:szCs w:val="24"/>
          <w:lang w:val="id-ID"/>
        </w:rPr>
        <w:t>Pengertian Kesehatan Bank</w:t>
      </w:r>
    </w:p>
    <w:p w:rsidR="00437BCC" w:rsidRPr="002E2AC8" w:rsidRDefault="00437BCC" w:rsidP="00B062A8">
      <w:pPr>
        <w:autoSpaceDE w:val="0"/>
        <w:autoSpaceDN w:val="0"/>
        <w:adjustRightInd w:val="0"/>
        <w:spacing w:after="0" w:line="240" w:lineRule="auto"/>
        <w:ind w:left="709"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Kesehatan Bank dapat diartikan sebagai kemampuan suatu bank untuk melakukan kegiatan operasional perbankan secara normal dan mampu memenuhi semua kewajibannya dengan baik dengan cara-cara yang sesuai dengan peraturan perbankan yang berlaku (Triandaru dan Budisantoso, 2006).Manajemen bank perlu memperhatikan prinsip-prinsip umum berikut ini sebagai landasan dalam menilai Tingkat Kesehatan Bank (Surat Edaran Bank Indonesia No.13/24/DPNP tanggal 25 Oktober 2011):</w:t>
      </w:r>
    </w:p>
    <w:p w:rsidR="00437BCC" w:rsidRPr="002E2AC8" w:rsidRDefault="00437BCC" w:rsidP="00B062A8">
      <w:pPr>
        <w:numPr>
          <w:ilvl w:val="0"/>
          <w:numId w:val="3"/>
        </w:numPr>
        <w:autoSpaceDE w:val="0"/>
        <w:autoSpaceDN w:val="0"/>
        <w:adjustRightInd w:val="0"/>
        <w:spacing w:after="0" w:line="240" w:lineRule="auto"/>
        <w:ind w:left="993" w:hanging="283"/>
        <w:jc w:val="both"/>
        <w:rPr>
          <w:rFonts w:ascii="Times New Roman" w:hAnsi="Times New Roman" w:cs="Times New Roman"/>
          <w:sz w:val="24"/>
          <w:szCs w:val="24"/>
        </w:rPr>
      </w:pPr>
      <w:r w:rsidRPr="002E2AC8">
        <w:rPr>
          <w:rFonts w:ascii="Times New Roman" w:hAnsi="Times New Roman" w:cs="Times New Roman"/>
          <w:sz w:val="24"/>
          <w:szCs w:val="24"/>
        </w:rPr>
        <w:t>Berorientasi Risiko.</w:t>
      </w:r>
    </w:p>
    <w:p w:rsidR="00437BCC" w:rsidRPr="002E2AC8" w:rsidRDefault="00437BCC" w:rsidP="00B062A8">
      <w:pPr>
        <w:autoSpaceDE w:val="0"/>
        <w:autoSpaceDN w:val="0"/>
        <w:adjustRightInd w:val="0"/>
        <w:spacing w:after="0" w:line="240" w:lineRule="auto"/>
        <w:ind w:left="993" w:firstLine="567"/>
        <w:jc w:val="both"/>
        <w:rPr>
          <w:rFonts w:ascii="Times New Roman" w:hAnsi="Times New Roman" w:cs="Times New Roman"/>
          <w:sz w:val="24"/>
          <w:szCs w:val="24"/>
        </w:rPr>
      </w:pPr>
      <w:proofErr w:type="gramStart"/>
      <w:r w:rsidRPr="002E2AC8">
        <w:rPr>
          <w:rFonts w:ascii="Times New Roman" w:hAnsi="Times New Roman" w:cs="Times New Roman"/>
          <w:sz w:val="24"/>
          <w:szCs w:val="24"/>
        </w:rPr>
        <w:t>Penilaian tingkat kesehatan didasarkan pada risiko-risiko bank dan dampak yang ditimbulkan pada kinerja bank secara keseluruhan.</w:t>
      </w:r>
      <w:proofErr w:type="gramEnd"/>
      <w:r w:rsidRPr="002E2AC8">
        <w:rPr>
          <w:rFonts w:ascii="Times New Roman" w:hAnsi="Times New Roman" w:cs="Times New Roman"/>
          <w:sz w:val="24"/>
          <w:szCs w:val="24"/>
        </w:rPr>
        <w:t xml:space="preserve"> Hal ini dilakukan dengan </w:t>
      </w:r>
      <w:proofErr w:type="gramStart"/>
      <w:r w:rsidRPr="002E2AC8">
        <w:rPr>
          <w:rFonts w:ascii="Times New Roman" w:hAnsi="Times New Roman" w:cs="Times New Roman"/>
          <w:sz w:val="24"/>
          <w:szCs w:val="24"/>
        </w:rPr>
        <w:t>cara</w:t>
      </w:r>
      <w:proofErr w:type="gramEnd"/>
      <w:r w:rsidRPr="002E2AC8">
        <w:rPr>
          <w:rFonts w:ascii="Times New Roman" w:hAnsi="Times New Roman" w:cs="Times New Roman"/>
          <w:sz w:val="24"/>
          <w:szCs w:val="24"/>
        </w:rPr>
        <w:t xml:space="preserve"> mengidentifikasi faktor internal maupun eksternal yang dapat meningkatkan risiko atau mempengaruhi kinerja keuangan bank pada saat ini dan di masa yang akan datang. </w:t>
      </w:r>
      <w:proofErr w:type="gramStart"/>
      <w:r w:rsidRPr="002E2AC8">
        <w:rPr>
          <w:rFonts w:ascii="Times New Roman" w:hAnsi="Times New Roman" w:cs="Times New Roman"/>
          <w:sz w:val="24"/>
          <w:szCs w:val="24"/>
        </w:rPr>
        <w:t>Dengan demikian, bank diharapkan mampu mendeteksi secara lebih dini akar permasalahan bank serta mengambil langkah-langkah pencegahan dan perbaikan secara efektif dan efisien.</w:t>
      </w:r>
      <w:proofErr w:type="gramEnd"/>
    </w:p>
    <w:p w:rsidR="00437BCC" w:rsidRPr="002E2AC8" w:rsidRDefault="00437BCC" w:rsidP="00B062A8">
      <w:pPr>
        <w:numPr>
          <w:ilvl w:val="0"/>
          <w:numId w:val="3"/>
        </w:numPr>
        <w:autoSpaceDE w:val="0"/>
        <w:autoSpaceDN w:val="0"/>
        <w:adjustRightInd w:val="0"/>
        <w:spacing w:after="0" w:line="240" w:lineRule="auto"/>
        <w:ind w:left="993" w:hanging="283"/>
        <w:jc w:val="both"/>
        <w:rPr>
          <w:rFonts w:ascii="Times New Roman" w:hAnsi="Times New Roman" w:cs="Times New Roman"/>
          <w:sz w:val="24"/>
          <w:szCs w:val="24"/>
        </w:rPr>
      </w:pPr>
      <w:r w:rsidRPr="002E2AC8">
        <w:rPr>
          <w:rFonts w:ascii="Times New Roman" w:hAnsi="Times New Roman" w:cs="Times New Roman"/>
          <w:sz w:val="24"/>
          <w:szCs w:val="24"/>
        </w:rPr>
        <w:t>Proporsionalitas</w:t>
      </w:r>
    </w:p>
    <w:p w:rsidR="00437BCC" w:rsidRPr="002E2AC8" w:rsidRDefault="00437BCC" w:rsidP="00B062A8">
      <w:pPr>
        <w:autoSpaceDE w:val="0"/>
        <w:autoSpaceDN w:val="0"/>
        <w:adjustRightInd w:val="0"/>
        <w:spacing w:after="0" w:line="240" w:lineRule="auto"/>
        <w:ind w:left="993" w:firstLine="567"/>
        <w:jc w:val="both"/>
        <w:rPr>
          <w:rFonts w:ascii="Times New Roman" w:hAnsi="Times New Roman" w:cs="Times New Roman"/>
          <w:sz w:val="24"/>
          <w:szCs w:val="24"/>
        </w:rPr>
      </w:pPr>
      <w:proofErr w:type="gramStart"/>
      <w:r w:rsidRPr="002E2AC8">
        <w:rPr>
          <w:rFonts w:ascii="Times New Roman" w:hAnsi="Times New Roman" w:cs="Times New Roman"/>
          <w:sz w:val="24"/>
          <w:szCs w:val="24"/>
        </w:rPr>
        <w:t>Penggunaan parameter/indikator dalam tiap faktor penilaian Tingkat Kesehatan Bank dilakukan dengan memperhatikan karakteristik dan kompleksitas usaha bank.</w:t>
      </w:r>
      <w:proofErr w:type="gramEnd"/>
      <w:r w:rsidRPr="002E2AC8">
        <w:rPr>
          <w:rFonts w:ascii="Times New Roman" w:hAnsi="Times New Roman" w:cs="Times New Roman"/>
          <w:sz w:val="24"/>
          <w:szCs w:val="24"/>
        </w:rPr>
        <w:t xml:space="preserve"> </w:t>
      </w:r>
      <w:proofErr w:type="gramStart"/>
      <w:r w:rsidRPr="002E2AC8">
        <w:rPr>
          <w:rFonts w:ascii="Times New Roman" w:hAnsi="Times New Roman" w:cs="Times New Roman"/>
          <w:sz w:val="24"/>
          <w:szCs w:val="24"/>
        </w:rPr>
        <w:t>Parameter/indikator penilaian Tingkat Kesehatan Bank merupakan standar minimum yang wajib digunakan dalam menilai Tingkat Kesehatan Bank.</w:t>
      </w:r>
      <w:proofErr w:type="gramEnd"/>
      <w:r w:rsidRPr="002E2AC8">
        <w:rPr>
          <w:rFonts w:ascii="Times New Roman" w:hAnsi="Times New Roman" w:cs="Times New Roman"/>
          <w:sz w:val="24"/>
          <w:szCs w:val="24"/>
        </w:rPr>
        <w:t xml:space="preserve"> </w:t>
      </w:r>
      <w:proofErr w:type="gramStart"/>
      <w:r w:rsidRPr="002E2AC8">
        <w:rPr>
          <w:rFonts w:ascii="Times New Roman" w:hAnsi="Times New Roman" w:cs="Times New Roman"/>
          <w:sz w:val="24"/>
          <w:szCs w:val="24"/>
        </w:rPr>
        <w:t>Namun demikian, bank dapat menggunakan parameter/indikator tambahan yang sesuai dengan karakteristik dan kompleksitas usahanya dalam menilai Tingkat Kesehatan Bank sehingga dapat mencerminkan kondisi bank dengan lebih baik.</w:t>
      </w:r>
      <w:proofErr w:type="gramEnd"/>
    </w:p>
    <w:p w:rsidR="00437BCC" w:rsidRPr="002E2AC8" w:rsidRDefault="00437BCC" w:rsidP="00B062A8">
      <w:pPr>
        <w:numPr>
          <w:ilvl w:val="0"/>
          <w:numId w:val="3"/>
        </w:numPr>
        <w:autoSpaceDE w:val="0"/>
        <w:autoSpaceDN w:val="0"/>
        <w:adjustRightInd w:val="0"/>
        <w:spacing w:after="0" w:line="240" w:lineRule="auto"/>
        <w:ind w:left="993" w:hanging="283"/>
        <w:jc w:val="both"/>
        <w:rPr>
          <w:rFonts w:ascii="Times New Roman" w:hAnsi="Times New Roman" w:cs="Times New Roman"/>
          <w:sz w:val="24"/>
          <w:szCs w:val="24"/>
        </w:rPr>
      </w:pPr>
      <w:r w:rsidRPr="002E2AC8">
        <w:rPr>
          <w:rFonts w:ascii="Times New Roman" w:hAnsi="Times New Roman" w:cs="Times New Roman"/>
          <w:sz w:val="24"/>
          <w:szCs w:val="24"/>
        </w:rPr>
        <w:lastRenderedPageBreak/>
        <w:t>Materialitas dan Signifikansi</w:t>
      </w:r>
    </w:p>
    <w:p w:rsidR="00437BCC" w:rsidRPr="002E2AC8" w:rsidRDefault="00437BCC" w:rsidP="00B062A8">
      <w:pPr>
        <w:autoSpaceDE w:val="0"/>
        <w:autoSpaceDN w:val="0"/>
        <w:adjustRightInd w:val="0"/>
        <w:spacing w:after="0" w:line="240" w:lineRule="auto"/>
        <w:ind w:left="993" w:firstLine="567"/>
        <w:jc w:val="both"/>
        <w:rPr>
          <w:rFonts w:ascii="Times New Roman" w:hAnsi="Times New Roman" w:cs="Times New Roman"/>
          <w:sz w:val="24"/>
          <w:szCs w:val="24"/>
        </w:rPr>
      </w:pPr>
      <w:proofErr w:type="gramStart"/>
      <w:r w:rsidRPr="002E2AC8">
        <w:rPr>
          <w:rFonts w:ascii="Times New Roman" w:hAnsi="Times New Roman" w:cs="Times New Roman"/>
          <w:sz w:val="24"/>
          <w:szCs w:val="24"/>
        </w:rPr>
        <w:t>Bank perlu memperhatikan materialitas atau signifikansi faktor penilaian Tingkat Kesehatan Bank yaitu Profil Risiko, GCG, Rentabilitas, dan Permodalan serta signifikansi parameter/indikator penilaian pada masing-masing faktor dalam menyimpulkan hasil penilaian dan menetapkan peringkat faktor.</w:t>
      </w:r>
      <w:proofErr w:type="gramEnd"/>
      <w:r w:rsidRPr="002E2AC8">
        <w:rPr>
          <w:rFonts w:ascii="Times New Roman" w:hAnsi="Times New Roman" w:cs="Times New Roman"/>
          <w:sz w:val="24"/>
          <w:szCs w:val="24"/>
        </w:rPr>
        <w:t xml:space="preserve"> </w:t>
      </w:r>
      <w:proofErr w:type="gramStart"/>
      <w:r w:rsidRPr="002E2AC8">
        <w:rPr>
          <w:rFonts w:ascii="Times New Roman" w:hAnsi="Times New Roman" w:cs="Times New Roman"/>
          <w:sz w:val="24"/>
          <w:szCs w:val="24"/>
        </w:rPr>
        <w:t>Penentuan materialitas dan signifikansi tersebut didasarkan pada analisis yang didukung oleh data dan informasi yang memadai mengenai risiko dan kinerja keuangan Bank.</w:t>
      </w:r>
      <w:proofErr w:type="gramEnd"/>
    </w:p>
    <w:p w:rsidR="00437BCC" w:rsidRPr="002E2AC8" w:rsidRDefault="00437BCC" w:rsidP="00B062A8">
      <w:pPr>
        <w:numPr>
          <w:ilvl w:val="0"/>
          <w:numId w:val="3"/>
        </w:numPr>
        <w:autoSpaceDE w:val="0"/>
        <w:autoSpaceDN w:val="0"/>
        <w:adjustRightInd w:val="0"/>
        <w:spacing w:after="0" w:line="240" w:lineRule="auto"/>
        <w:ind w:left="993" w:hanging="283"/>
        <w:jc w:val="both"/>
        <w:rPr>
          <w:rFonts w:ascii="Times New Roman" w:hAnsi="Times New Roman" w:cs="Times New Roman"/>
          <w:sz w:val="24"/>
          <w:szCs w:val="24"/>
        </w:rPr>
      </w:pPr>
      <w:r w:rsidRPr="002E2AC8">
        <w:rPr>
          <w:rFonts w:ascii="Times New Roman" w:hAnsi="Times New Roman" w:cs="Times New Roman"/>
          <w:sz w:val="24"/>
          <w:szCs w:val="24"/>
        </w:rPr>
        <w:t>Komprehensif dan Terstruktur</w:t>
      </w:r>
    </w:p>
    <w:p w:rsidR="00437BCC" w:rsidRPr="002E2AC8" w:rsidRDefault="00437BCC" w:rsidP="00B062A8">
      <w:pPr>
        <w:autoSpaceDE w:val="0"/>
        <w:autoSpaceDN w:val="0"/>
        <w:adjustRightInd w:val="0"/>
        <w:spacing w:after="0" w:line="240" w:lineRule="auto"/>
        <w:ind w:left="993" w:firstLine="567"/>
        <w:jc w:val="both"/>
        <w:rPr>
          <w:rFonts w:ascii="Times New Roman" w:hAnsi="Times New Roman" w:cs="Times New Roman"/>
          <w:sz w:val="24"/>
          <w:szCs w:val="24"/>
          <w:lang w:val="id-ID"/>
        </w:rPr>
      </w:pPr>
      <w:r w:rsidRPr="002E2AC8">
        <w:rPr>
          <w:rFonts w:ascii="Times New Roman" w:hAnsi="Times New Roman" w:cs="Times New Roman"/>
          <w:sz w:val="24"/>
          <w:szCs w:val="24"/>
        </w:rPr>
        <w:t xml:space="preserve">Proses penilaian dilakukan secara menyeluruh dan sistematis serta difokuskan pada permasalahan utama bank. Analisis dilakukan secara terintegrasi, yaitu dengan mempertimbangkan keterkaitan </w:t>
      </w:r>
      <w:proofErr w:type="gramStart"/>
      <w:r w:rsidRPr="002E2AC8">
        <w:rPr>
          <w:rFonts w:ascii="Times New Roman" w:hAnsi="Times New Roman" w:cs="Times New Roman"/>
          <w:sz w:val="24"/>
          <w:szCs w:val="24"/>
        </w:rPr>
        <w:t>antar</w:t>
      </w:r>
      <w:r w:rsidRPr="002E2AC8">
        <w:rPr>
          <w:rFonts w:ascii="Times New Roman" w:hAnsi="Times New Roman" w:cs="Times New Roman"/>
          <w:sz w:val="24"/>
          <w:szCs w:val="24"/>
          <w:lang w:val="id-ID"/>
        </w:rPr>
        <w:t xml:space="preserve"> </w:t>
      </w:r>
      <w:r w:rsidRPr="002E2AC8">
        <w:rPr>
          <w:rFonts w:ascii="Times New Roman" w:hAnsi="Times New Roman" w:cs="Times New Roman"/>
          <w:sz w:val="24"/>
          <w:szCs w:val="24"/>
        </w:rPr>
        <w:t xml:space="preserve"> risiko</w:t>
      </w:r>
      <w:proofErr w:type="gramEnd"/>
      <w:r w:rsidRPr="002E2AC8">
        <w:rPr>
          <w:rFonts w:ascii="Times New Roman" w:hAnsi="Times New Roman" w:cs="Times New Roman"/>
          <w:sz w:val="24"/>
          <w:szCs w:val="24"/>
        </w:rPr>
        <w:t xml:space="preserve"> dan antar faktor penilaian Tingkat Kesehatan Bank serta perusahaan anak yang wajib dikonsolidasikan. </w:t>
      </w:r>
      <w:proofErr w:type="gramStart"/>
      <w:r w:rsidRPr="002E2AC8">
        <w:rPr>
          <w:rFonts w:ascii="Times New Roman" w:hAnsi="Times New Roman" w:cs="Times New Roman"/>
          <w:sz w:val="24"/>
          <w:szCs w:val="24"/>
        </w:rPr>
        <w:t>Analisis harus didukung oleh fakta-fakta pokok dan rasio-rasio yang relevan untuk menunjukkan tingkat, trend, dan tingkat permasalahan yang dihadapi oleh bank.</w:t>
      </w:r>
      <w:proofErr w:type="gramEnd"/>
    </w:p>
    <w:p w:rsidR="00B062A8" w:rsidRPr="002E2AC8" w:rsidRDefault="00B062A8" w:rsidP="00B062A8">
      <w:pPr>
        <w:autoSpaceDE w:val="0"/>
        <w:autoSpaceDN w:val="0"/>
        <w:adjustRightInd w:val="0"/>
        <w:spacing w:after="0" w:line="240" w:lineRule="auto"/>
        <w:ind w:left="993" w:firstLine="567"/>
        <w:jc w:val="both"/>
        <w:rPr>
          <w:rFonts w:ascii="Times New Roman" w:hAnsi="Times New Roman" w:cs="Times New Roman"/>
          <w:sz w:val="24"/>
          <w:szCs w:val="24"/>
          <w:lang w:val="id-ID"/>
        </w:rPr>
      </w:pPr>
    </w:p>
    <w:p w:rsidR="00437BCC" w:rsidRPr="002E2AC8" w:rsidRDefault="00437BCC" w:rsidP="00B062A8">
      <w:pPr>
        <w:pStyle w:val="ListParagraph"/>
        <w:numPr>
          <w:ilvl w:val="0"/>
          <w:numId w:val="6"/>
        </w:numPr>
        <w:autoSpaceDE w:val="0"/>
        <w:autoSpaceDN w:val="0"/>
        <w:adjustRightInd w:val="0"/>
        <w:spacing w:after="0" w:line="240" w:lineRule="auto"/>
        <w:ind w:left="709" w:hanging="284"/>
        <w:jc w:val="both"/>
        <w:rPr>
          <w:rFonts w:ascii="Times New Roman" w:hAnsi="Times New Roman" w:cs="Times New Roman"/>
          <w:b/>
          <w:i/>
          <w:sz w:val="24"/>
          <w:szCs w:val="24"/>
          <w:lang w:val="id-ID"/>
        </w:rPr>
      </w:pPr>
      <w:r w:rsidRPr="002E2AC8">
        <w:rPr>
          <w:rFonts w:ascii="Times New Roman" w:hAnsi="Times New Roman" w:cs="Times New Roman"/>
          <w:b/>
          <w:sz w:val="24"/>
          <w:szCs w:val="24"/>
          <w:lang w:val="id-ID"/>
        </w:rPr>
        <w:t xml:space="preserve">Metode RGEC </w:t>
      </w:r>
      <w:r w:rsidRPr="002E2AC8">
        <w:rPr>
          <w:rFonts w:ascii="Times New Roman" w:hAnsi="Times New Roman" w:cs="Times New Roman"/>
          <w:b/>
          <w:i/>
          <w:sz w:val="24"/>
          <w:szCs w:val="24"/>
          <w:lang w:val="id-ID"/>
        </w:rPr>
        <w:t>(Risk Profile - GCG – Earnings – Capital)</w:t>
      </w:r>
    </w:p>
    <w:p w:rsidR="00437BCC" w:rsidRPr="002E2AC8" w:rsidRDefault="00437BCC" w:rsidP="00026B46">
      <w:pPr>
        <w:pStyle w:val="ListParagraph"/>
        <w:autoSpaceDE w:val="0"/>
        <w:autoSpaceDN w:val="0"/>
        <w:adjustRightInd w:val="0"/>
        <w:spacing w:after="0" w:line="240" w:lineRule="auto"/>
        <w:ind w:left="709"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Sesuai dengan Peraturan Bank Indonesia Nomor 13/1/PBI/2011 tentang Penilaian Tingkat Kesehatan Bank Umum, bank wajib melakukan penilaian Tingkat Kesehatan Bank berdasarkan risiko dengan metode RGEC. Adapun komponen-komponen penilaian Tingkat Kesehatan Bank dengan metode RGEC yang mengacu pada Surat Edaran Bank Indonesia No.13/24/DPNP tanggal 25 Oktober 2011 adalah sebagai berikut :</w:t>
      </w:r>
    </w:p>
    <w:p w:rsidR="00437BCC" w:rsidRPr="002E2AC8" w:rsidRDefault="00437BCC" w:rsidP="004E1F96">
      <w:pPr>
        <w:pStyle w:val="ListParagraph"/>
        <w:widowControl w:val="0"/>
        <w:numPr>
          <w:ilvl w:val="0"/>
          <w:numId w:val="7"/>
        </w:numPr>
        <w:autoSpaceDE w:val="0"/>
        <w:autoSpaceDN w:val="0"/>
        <w:spacing w:after="0" w:line="240" w:lineRule="auto"/>
        <w:ind w:left="993" w:hanging="283"/>
        <w:rPr>
          <w:rFonts w:ascii="Times New Roman" w:eastAsia="Times New Roman" w:hAnsi="Times New Roman" w:cs="Times New Roman"/>
          <w:b/>
          <w:sz w:val="24"/>
          <w:szCs w:val="24"/>
        </w:rPr>
      </w:pPr>
      <w:r w:rsidRPr="002E2AC8">
        <w:rPr>
          <w:rFonts w:ascii="Times New Roman" w:eastAsia="Times New Roman" w:hAnsi="Times New Roman" w:cs="Times New Roman"/>
          <w:b/>
          <w:sz w:val="24"/>
          <w:szCs w:val="24"/>
        </w:rPr>
        <w:t xml:space="preserve">Penilaian </w:t>
      </w:r>
      <w:r w:rsidRPr="002E2AC8">
        <w:rPr>
          <w:rFonts w:ascii="Times New Roman" w:eastAsia="Times New Roman" w:hAnsi="Times New Roman" w:cs="Times New Roman"/>
          <w:b/>
          <w:i/>
          <w:sz w:val="24"/>
          <w:szCs w:val="24"/>
        </w:rPr>
        <w:t>Risk Profile</w:t>
      </w:r>
      <w:r w:rsidRPr="002E2AC8">
        <w:rPr>
          <w:rFonts w:ascii="Times New Roman" w:eastAsia="Times New Roman" w:hAnsi="Times New Roman" w:cs="Times New Roman"/>
          <w:b/>
          <w:sz w:val="24"/>
          <w:szCs w:val="24"/>
        </w:rPr>
        <w:t>(Profil</w:t>
      </w:r>
      <w:r w:rsidRPr="002E2AC8">
        <w:rPr>
          <w:rFonts w:ascii="Times New Roman" w:eastAsia="Times New Roman" w:hAnsi="Times New Roman" w:cs="Times New Roman"/>
          <w:b/>
          <w:spacing w:val="-14"/>
          <w:sz w:val="24"/>
          <w:szCs w:val="24"/>
        </w:rPr>
        <w:t xml:space="preserve"> </w:t>
      </w:r>
      <w:r w:rsidRPr="002E2AC8">
        <w:rPr>
          <w:rFonts w:ascii="Times New Roman" w:eastAsia="Times New Roman" w:hAnsi="Times New Roman" w:cs="Times New Roman"/>
          <w:b/>
          <w:sz w:val="24"/>
          <w:szCs w:val="24"/>
        </w:rPr>
        <w:t>Risiko)</w:t>
      </w:r>
    </w:p>
    <w:p w:rsidR="00437BCC" w:rsidRPr="002E2AC8" w:rsidRDefault="00437BCC" w:rsidP="004E1F96">
      <w:pPr>
        <w:widowControl w:val="0"/>
        <w:autoSpaceDE w:val="0"/>
        <w:autoSpaceDN w:val="0"/>
        <w:spacing w:after="0" w:line="240" w:lineRule="auto"/>
        <w:ind w:left="993" w:right="216" w:firstLine="567"/>
        <w:jc w:val="both"/>
        <w:rPr>
          <w:rFonts w:ascii="Times New Roman" w:eastAsia="Times New Roman" w:hAnsi="Times New Roman" w:cs="Times New Roman"/>
          <w:sz w:val="24"/>
          <w:szCs w:val="24"/>
        </w:rPr>
      </w:pPr>
      <w:proofErr w:type="gramStart"/>
      <w:r w:rsidRPr="002E2AC8">
        <w:rPr>
          <w:rFonts w:ascii="Times New Roman" w:eastAsia="Times New Roman" w:hAnsi="Times New Roman" w:cs="Times New Roman"/>
          <w:sz w:val="24"/>
          <w:szCs w:val="24"/>
        </w:rPr>
        <w:t>Penilaian faktor Profil Risiko merupakan penilaian terhadap Risiko Inheren dan Kualitas Penerapan Manajemen Risiko dalam aktivitas operasional bank.</w:t>
      </w:r>
      <w:proofErr w:type="gramEnd"/>
      <w:r w:rsidRPr="002E2AC8">
        <w:rPr>
          <w:rFonts w:ascii="Times New Roman" w:eastAsia="Times New Roman" w:hAnsi="Times New Roman" w:cs="Times New Roman"/>
          <w:sz w:val="24"/>
          <w:szCs w:val="24"/>
        </w:rPr>
        <w:t xml:space="preserve"> Risiko yang wajib dinilai terdiri atas delapan jenis risiko yaitu Risiko Kredit, Risiko Pasar, Risiko Operasional, Risiko Likuiditas, Risiko Hukum, Risiko Stratejik, Risiko Kepatuhan, dan Risiko Reputasi.</w:t>
      </w:r>
    </w:p>
    <w:p w:rsidR="00437BCC" w:rsidRPr="002E2AC8" w:rsidRDefault="00437BCC" w:rsidP="00026B46">
      <w:pPr>
        <w:pStyle w:val="ListParagraph"/>
        <w:widowControl w:val="0"/>
        <w:numPr>
          <w:ilvl w:val="0"/>
          <w:numId w:val="8"/>
        </w:numPr>
        <w:tabs>
          <w:tab w:val="left" w:pos="851"/>
          <w:tab w:val="left" w:pos="1276"/>
        </w:tabs>
        <w:autoSpaceDE w:val="0"/>
        <w:autoSpaceDN w:val="0"/>
        <w:spacing w:after="0" w:line="240" w:lineRule="auto"/>
        <w:ind w:left="1276" w:hanging="284"/>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t>Penilaian 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Inheren</w:t>
      </w:r>
    </w:p>
    <w:p w:rsidR="00437BCC" w:rsidRDefault="00437BCC" w:rsidP="00026B46">
      <w:pPr>
        <w:widowControl w:val="0"/>
        <w:autoSpaceDE w:val="0"/>
        <w:autoSpaceDN w:val="0"/>
        <w:spacing w:after="0" w:line="240" w:lineRule="auto"/>
        <w:ind w:left="1276" w:right="214" w:firstLine="567"/>
        <w:jc w:val="both"/>
        <w:rPr>
          <w:rFonts w:ascii="Times New Roman" w:eastAsia="Times New Roman" w:hAnsi="Times New Roman" w:cs="Times New Roman"/>
          <w:sz w:val="24"/>
          <w:szCs w:val="24"/>
          <w:lang w:val="id-ID"/>
        </w:rPr>
      </w:pPr>
      <w:r w:rsidRPr="002E2AC8">
        <w:rPr>
          <w:rFonts w:ascii="Times New Roman" w:eastAsia="Times New Roman" w:hAnsi="Times New Roman" w:cs="Times New Roman"/>
          <w:sz w:val="24"/>
          <w:szCs w:val="24"/>
        </w:rPr>
        <w:t xml:space="preserve">Penilaian Risiko Inheren merupakan penilaian atas risiko yang melekat pada kegiatan bisnis bank, baik yang dapat dikuantifikasikan maupun yang tidak, yang berpotensi mempengaruhi posisi keuangan bank. </w:t>
      </w:r>
      <w:proofErr w:type="gramStart"/>
      <w:r w:rsidRPr="002E2AC8">
        <w:rPr>
          <w:rFonts w:ascii="Times New Roman" w:eastAsia="Times New Roman" w:hAnsi="Times New Roman" w:cs="Times New Roman"/>
          <w:sz w:val="24"/>
          <w:szCs w:val="24"/>
        </w:rPr>
        <w:t>Penetapan tingkat Risiko Inheren atas masing-masing jenis risiko mengacu pada prinsip-prinsip umum penilaian Tingkat Kesehatan Bank Umum.</w:t>
      </w:r>
      <w:proofErr w:type="gramEnd"/>
      <w:r w:rsidRPr="002E2AC8">
        <w:rPr>
          <w:rFonts w:ascii="Times New Roman" w:eastAsia="Times New Roman" w:hAnsi="Times New Roman" w:cs="Times New Roman"/>
          <w:sz w:val="24"/>
          <w:szCs w:val="24"/>
        </w:rPr>
        <w:t xml:space="preserve"> Penetapan Tingkat Risiko Inheren untuk masing-masing jenis risiko dikategorikan ke dalam peringkat 1 (</w:t>
      </w:r>
      <w:r w:rsidRPr="002E2AC8">
        <w:rPr>
          <w:rFonts w:ascii="Times New Roman" w:eastAsia="Times New Roman" w:hAnsi="Times New Roman" w:cs="Times New Roman"/>
          <w:i/>
          <w:sz w:val="24"/>
          <w:szCs w:val="24"/>
        </w:rPr>
        <w:t>low</w:t>
      </w:r>
      <w:r w:rsidRPr="002E2AC8">
        <w:rPr>
          <w:rFonts w:ascii="Times New Roman" w:eastAsia="Times New Roman" w:hAnsi="Times New Roman" w:cs="Times New Roman"/>
          <w:sz w:val="24"/>
          <w:szCs w:val="24"/>
        </w:rPr>
        <w:t>), peringkat 2 (</w:t>
      </w:r>
      <w:r w:rsidRPr="002E2AC8">
        <w:rPr>
          <w:rFonts w:ascii="Times New Roman" w:eastAsia="Times New Roman" w:hAnsi="Times New Roman" w:cs="Times New Roman"/>
          <w:i/>
          <w:sz w:val="24"/>
          <w:szCs w:val="24"/>
        </w:rPr>
        <w:t>low to moderate</w:t>
      </w:r>
      <w:r w:rsidRPr="002E2AC8">
        <w:rPr>
          <w:rFonts w:ascii="Times New Roman" w:eastAsia="Times New Roman" w:hAnsi="Times New Roman" w:cs="Times New Roman"/>
          <w:sz w:val="24"/>
          <w:szCs w:val="24"/>
        </w:rPr>
        <w:t>), peringkat 3 (</w:t>
      </w:r>
      <w:r w:rsidRPr="002E2AC8">
        <w:rPr>
          <w:rFonts w:ascii="Times New Roman" w:eastAsia="Times New Roman" w:hAnsi="Times New Roman" w:cs="Times New Roman"/>
          <w:i/>
          <w:sz w:val="24"/>
          <w:szCs w:val="24"/>
        </w:rPr>
        <w:t>moderate</w:t>
      </w:r>
      <w:r w:rsidRPr="002E2AC8">
        <w:rPr>
          <w:rFonts w:ascii="Times New Roman" w:eastAsia="Times New Roman" w:hAnsi="Times New Roman" w:cs="Times New Roman"/>
          <w:sz w:val="24"/>
          <w:szCs w:val="24"/>
        </w:rPr>
        <w:t>), peringkat 4 (</w:t>
      </w:r>
      <w:r w:rsidRPr="002E2AC8">
        <w:rPr>
          <w:rFonts w:ascii="Times New Roman" w:eastAsia="Times New Roman" w:hAnsi="Times New Roman" w:cs="Times New Roman"/>
          <w:i/>
          <w:sz w:val="24"/>
          <w:szCs w:val="24"/>
        </w:rPr>
        <w:t>moderate to high</w:t>
      </w:r>
      <w:r w:rsidRPr="002E2AC8">
        <w:rPr>
          <w:rFonts w:ascii="Times New Roman" w:eastAsia="Times New Roman" w:hAnsi="Times New Roman" w:cs="Times New Roman"/>
          <w:sz w:val="24"/>
          <w:szCs w:val="24"/>
        </w:rPr>
        <w:t>), dan peringkat 5 (</w:t>
      </w:r>
      <w:r w:rsidRPr="002E2AC8">
        <w:rPr>
          <w:rFonts w:ascii="Times New Roman" w:eastAsia="Times New Roman" w:hAnsi="Times New Roman" w:cs="Times New Roman"/>
          <w:i/>
          <w:sz w:val="24"/>
          <w:szCs w:val="24"/>
        </w:rPr>
        <w:t>high</w:t>
      </w:r>
      <w:r w:rsidRPr="002E2AC8">
        <w:rPr>
          <w:rFonts w:ascii="Times New Roman" w:eastAsia="Times New Roman" w:hAnsi="Times New Roman" w:cs="Times New Roman"/>
          <w:sz w:val="24"/>
          <w:szCs w:val="24"/>
        </w:rPr>
        <w:t>)</w:t>
      </w:r>
      <w:r w:rsidRPr="002E2AC8">
        <w:rPr>
          <w:rFonts w:ascii="Times New Roman" w:eastAsia="Times New Roman" w:hAnsi="Times New Roman" w:cs="Times New Roman"/>
          <w:sz w:val="24"/>
          <w:szCs w:val="24"/>
          <w:lang w:val="id-ID"/>
        </w:rPr>
        <w:t xml:space="preserve"> </w:t>
      </w:r>
      <w:r w:rsidRPr="002E2AC8">
        <w:rPr>
          <w:rFonts w:ascii="Times New Roman" w:eastAsia="Times New Roman" w:hAnsi="Times New Roman" w:cs="Times New Roman"/>
          <w:sz w:val="24"/>
          <w:szCs w:val="24"/>
        </w:rPr>
        <w:t>.Berikut ini adalah parameter/indikator yang wajib dijadikan acuan oleh bank dalam menilai Risiko</w:t>
      </w:r>
      <w:r w:rsidRPr="002E2AC8">
        <w:rPr>
          <w:rFonts w:ascii="Times New Roman" w:eastAsia="Times New Roman" w:hAnsi="Times New Roman" w:cs="Times New Roman"/>
          <w:spacing w:val="-14"/>
          <w:sz w:val="24"/>
          <w:szCs w:val="24"/>
        </w:rPr>
        <w:t xml:space="preserve"> </w:t>
      </w:r>
      <w:r w:rsidRPr="002E2AC8">
        <w:rPr>
          <w:rFonts w:ascii="Times New Roman" w:eastAsia="Times New Roman" w:hAnsi="Times New Roman" w:cs="Times New Roman"/>
          <w:sz w:val="24"/>
          <w:szCs w:val="24"/>
        </w:rPr>
        <w:t>Inheren</w:t>
      </w:r>
      <w:r w:rsidRPr="002E2AC8">
        <w:rPr>
          <w:rFonts w:ascii="Times New Roman" w:eastAsia="Times New Roman" w:hAnsi="Times New Roman" w:cs="Times New Roman"/>
          <w:sz w:val="24"/>
          <w:szCs w:val="24"/>
          <w:lang w:val="id-ID"/>
        </w:rPr>
        <w:t xml:space="preserve"> </w:t>
      </w:r>
      <w:r w:rsidRPr="002E2AC8">
        <w:rPr>
          <w:rFonts w:ascii="Times New Roman" w:eastAsia="Times New Roman" w:hAnsi="Times New Roman" w:cs="Times New Roman"/>
          <w:sz w:val="24"/>
          <w:szCs w:val="24"/>
        </w:rPr>
        <w:t>:</w:t>
      </w:r>
    </w:p>
    <w:p w:rsidR="0082268A" w:rsidRPr="0082268A" w:rsidRDefault="0082268A" w:rsidP="00026B46">
      <w:pPr>
        <w:widowControl w:val="0"/>
        <w:autoSpaceDE w:val="0"/>
        <w:autoSpaceDN w:val="0"/>
        <w:spacing w:after="0" w:line="240" w:lineRule="auto"/>
        <w:ind w:left="1276" w:right="214" w:firstLine="567"/>
        <w:jc w:val="both"/>
        <w:rPr>
          <w:rFonts w:ascii="Times New Roman" w:eastAsia="Times New Roman" w:hAnsi="Times New Roman" w:cs="Times New Roman"/>
          <w:sz w:val="24"/>
          <w:szCs w:val="24"/>
          <w:lang w:val="id-ID"/>
        </w:rPr>
      </w:pPr>
    </w:p>
    <w:p w:rsidR="00437BCC" w:rsidRPr="002E2AC8" w:rsidRDefault="00437BCC" w:rsidP="00026B46">
      <w:pPr>
        <w:pStyle w:val="ListParagraph"/>
        <w:widowControl w:val="0"/>
        <w:numPr>
          <w:ilvl w:val="0"/>
          <w:numId w:val="4"/>
        </w:numPr>
        <w:autoSpaceDE w:val="0"/>
        <w:autoSpaceDN w:val="0"/>
        <w:spacing w:after="0" w:line="240" w:lineRule="auto"/>
        <w:ind w:left="1560" w:right="214"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lastRenderedPageBreak/>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Kredit</w:t>
      </w:r>
    </w:p>
    <w:p w:rsidR="00437BCC" w:rsidRPr="002E2AC8" w:rsidRDefault="00437BCC" w:rsidP="00026B46">
      <w:pPr>
        <w:widowControl w:val="0"/>
        <w:autoSpaceDE w:val="0"/>
        <w:autoSpaceDN w:val="0"/>
        <w:spacing w:after="0" w:line="240" w:lineRule="auto"/>
        <w:ind w:left="1560" w:right="215"/>
        <w:jc w:val="both"/>
        <w:rPr>
          <w:rFonts w:ascii="Times New Roman" w:eastAsia="Times New Roman" w:hAnsi="Times New Roman" w:cs="Times New Roman"/>
          <w:sz w:val="24"/>
          <w:szCs w:val="24"/>
          <w:lang w:val="id-ID"/>
        </w:rPr>
      </w:pPr>
      <w:r w:rsidRPr="002E2AC8">
        <w:rPr>
          <w:rFonts w:ascii="Times New Roman" w:eastAsia="Times New Roman" w:hAnsi="Times New Roman" w:cs="Times New Roman"/>
          <w:sz w:val="24"/>
          <w:szCs w:val="24"/>
        </w:rPr>
        <w:t xml:space="preserve">Risiko Kredit adalah risiko akibat kegagalan debitur dan/atau pihak </w:t>
      </w:r>
      <w:proofErr w:type="gramStart"/>
      <w:r w:rsidRPr="002E2AC8">
        <w:rPr>
          <w:rFonts w:ascii="Times New Roman" w:eastAsia="Times New Roman" w:hAnsi="Times New Roman" w:cs="Times New Roman"/>
          <w:sz w:val="24"/>
          <w:szCs w:val="24"/>
        </w:rPr>
        <w:t>lain</w:t>
      </w:r>
      <w:proofErr w:type="gramEnd"/>
      <w:r w:rsidRPr="002E2AC8">
        <w:rPr>
          <w:rFonts w:ascii="Times New Roman" w:eastAsia="Times New Roman" w:hAnsi="Times New Roman" w:cs="Times New Roman"/>
          <w:sz w:val="24"/>
          <w:szCs w:val="24"/>
        </w:rPr>
        <w:t xml:space="preserve"> dalam memenuhi kewajiban kepada bank. Dalam menilai Risiko Inheren atas Risiko Kredit, parameter/indikator yang digunakan adalah (i) komposisi portofolio aset dan tingkat konsentrasi; (ii) kualitas penyediaan </w:t>
      </w:r>
      <w:proofErr w:type="gramStart"/>
      <w:r w:rsidRPr="002E2AC8">
        <w:rPr>
          <w:rFonts w:ascii="Times New Roman" w:eastAsia="Times New Roman" w:hAnsi="Times New Roman" w:cs="Times New Roman"/>
          <w:sz w:val="24"/>
          <w:szCs w:val="24"/>
        </w:rPr>
        <w:t>dana</w:t>
      </w:r>
      <w:proofErr w:type="gramEnd"/>
      <w:r w:rsidRPr="002E2AC8">
        <w:rPr>
          <w:rFonts w:ascii="Times New Roman" w:eastAsia="Times New Roman" w:hAnsi="Times New Roman" w:cs="Times New Roman"/>
          <w:sz w:val="24"/>
          <w:szCs w:val="24"/>
        </w:rPr>
        <w:t xml:space="preserve"> dan kecukupan pencadangan; (iii) strategi penyediaan dana dan sumber timbulnya penyediaan dana; dan</w:t>
      </w:r>
      <w:r w:rsidRPr="002E2AC8">
        <w:rPr>
          <w:rFonts w:ascii="Times New Roman" w:eastAsia="Times New Roman" w:hAnsi="Times New Roman" w:cs="Times New Roman"/>
          <w:sz w:val="24"/>
          <w:szCs w:val="24"/>
          <w:lang w:val="id-ID"/>
        </w:rPr>
        <w:t xml:space="preserve"> </w:t>
      </w:r>
      <w:r w:rsidRPr="002E2AC8">
        <w:rPr>
          <w:rFonts w:ascii="Times New Roman" w:eastAsia="Times New Roman" w:hAnsi="Times New Roman" w:cs="Times New Roman"/>
          <w:sz w:val="24"/>
          <w:szCs w:val="24"/>
        </w:rPr>
        <w:t>(iv) faktor eksternal.</w:t>
      </w:r>
    </w:p>
    <w:p w:rsidR="00437BCC" w:rsidRPr="002E2AC8" w:rsidRDefault="00437BCC" w:rsidP="00026B46">
      <w:pPr>
        <w:pStyle w:val="ListParagraph"/>
        <w:widowControl w:val="0"/>
        <w:numPr>
          <w:ilvl w:val="0"/>
          <w:numId w:val="4"/>
        </w:numPr>
        <w:autoSpaceDE w:val="0"/>
        <w:autoSpaceDN w:val="0"/>
        <w:spacing w:after="0" w:line="240" w:lineRule="auto"/>
        <w:ind w:left="1560" w:right="215"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Pasar</w:t>
      </w:r>
    </w:p>
    <w:p w:rsidR="00437BCC" w:rsidRPr="002E2AC8" w:rsidRDefault="00437BCC" w:rsidP="00026B46">
      <w:pPr>
        <w:widowControl w:val="0"/>
        <w:autoSpaceDE w:val="0"/>
        <w:autoSpaceDN w:val="0"/>
        <w:spacing w:after="0" w:line="240" w:lineRule="auto"/>
        <w:ind w:left="1560" w:right="214"/>
        <w:jc w:val="both"/>
        <w:rPr>
          <w:rFonts w:ascii="Times New Roman" w:eastAsia="Times New Roman" w:hAnsi="Times New Roman" w:cs="Times New Roman"/>
          <w:sz w:val="24"/>
          <w:szCs w:val="24"/>
          <w:lang w:val="id-ID"/>
        </w:rPr>
      </w:pPr>
      <w:proofErr w:type="gramStart"/>
      <w:r w:rsidRPr="002E2AC8">
        <w:rPr>
          <w:rFonts w:ascii="Times New Roman" w:eastAsia="Times New Roman" w:hAnsi="Times New Roman" w:cs="Times New Roman"/>
          <w:sz w:val="24"/>
          <w:szCs w:val="24"/>
        </w:rPr>
        <w:t xml:space="preserve">Risiko Pasar adalah risiko pada posisi neraca dan rekening administratif termasuk transaksi derivatif, akibat perubahan dari kondisi pasar, termasuk risiko perubahan harga </w:t>
      </w:r>
      <w:r w:rsidRPr="002E2AC8">
        <w:rPr>
          <w:rFonts w:ascii="Times New Roman" w:eastAsia="Times New Roman" w:hAnsi="Times New Roman" w:cs="Times New Roman"/>
          <w:i/>
          <w:sz w:val="24"/>
          <w:szCs w:val="24"/>
        </w:rPr>
        <w:t>option</w:t>
      </w:r>
      <w:r w:rsidRPr="002E2AC8">
        <w:rPr>
          <w:rFonts w:ascii="Times New Roman" w:eastAsia="Times New Roman" w:hAnsi="Times New Roman" w:cs="Times New Roman"/>
          <w:sz w:val="24"/>
          <w:szCs w:val="24"/>
        </w:rPr>
        <w:t>.</w:t>
      </w:r>
      <w:proofErr w:type="gramEnd"/>
      <w:r w:rsidRPr="002E2AC8">
        <w:rPr>
          <w:rFonts w:ascii="Times New Roman" w:eastAsia="Times New Roman" w:hAnsi="Times New Roman" w:cs="Times New Roman"/>
          <w:sz w:val="24"/>
          <w:szCs w:val="24"/>
        </w:rPr>
        <w:t xml:space="preserve"> Risiko Pasar meliputi antara lain risiko suku bunga, risiko nilai tukar, risiko ekuitas, </w:t>
      </w:r>
      <w:proofErr w:type="gramStart"/>
      <w:r w:rsidRPr="002E2AC8">
        <w:rPr>
          <w:rFonts w:ascii="Times New Roman" w:eastAsia="Times New Roman" w:hAnsi="Times New Roman" w:cs="Times New Roman"/>
          <w:sz w:val="24"/>
          <w:szCs w:val="24"/>
        </w:rPr>
        <w:t>dan</w:t>
      </w:r>
      <w:proofErr w:type="gramEnd"/>
      <w:r w:rsidRPr="002E2AC8">
        <w:rPr>
          <w:rFonts w:ascii="Times New Roman" w:eastAsia="Times New Roman" w:hAnsi="Times New Roman" w:cs="Times New Roman"/>
          <w:sz w:val="24"/>
          <w:szCs w:val="24"/>
        </w:rPr>
        <w:t xml:space="preserve"> risiko komoditas. Dalam menilai Risiko Inheren atas Risiko Pasar, parameter/indikator yang digunakan adalah (i) volume dan komposisi portofolio; (ii) kerugian potensial (</w:t>
      </w:r>
      <w:r w:rsidRPr="002E2AC8">
        <w:rPr>
          <w:rFonts w:ascii="Times New Roman" w:eastAsia="Times New Roman" w:hAnsi="Times New Roman" w:cs="Times New Roman"/>
          <w:i/>
          <w:sz w:val="24"/>
          <w:szCs w:val="24"/>
        </w:rPr>
        <w:t>potential loss</w:t>
      </w:r>
      <w:r w:rsidRPr="002E2AC8">
        <w:rPr>
          <w:rFonts w:ascii="Times New Roman" w:eastAsia="Times New Roman" w:hAnsi="Times New Roman" w:cs="Times New Roman"/>
          <w:sz w:val="24"/>
          <w:szCs w:val="24"/>
        </w:rPr>
        <w:t xml:space="preserve">) Risiko Suku Bunga dalam </w:t>
      </w:r>
      <w:r w:rsidRPr="002E2AC8">
        <w:rPr>
          <w:rFonts w:ascii="Times New Roman" w:eastAsia="Times New Roman" w:hAnsi="Times New Roman" w:cs="Times New Roman"/>
          <w:i/>
          <w:sz w:val="24"/>
          <w:szCs w:val="24"/>
        </w:rPr>
        <w:t xml:space="preserve">Banking Book </w:t>
      </w:r>
      <w:r w:rsidRPr="002E2AC8">
        <w:rPr>
          <w:rFonts w:ascii="Times New Roman" w:eastAsia="Times New Roman" w:hAnsi="Times New Roman" w:cs="Times New Roman"/>
          <w:sz w:val="24"/>
          <w:szCs w:val="24"/>
        </w:rPr>
        <w:t>(</w:t>
      </w:r>
      <w:r w:rsidRPr="002E2AC8">
        <w:rPr>
          <w:rFonts w:ascii="Times New Roman" w:eastAsia="Times New Roman" w:hAnsi="Times New Roman" w:cs="Times New Roman"/>
          <w:i/>
          <w:sz w:val="24"/>
          <w:szCs w:val="24"/>
        </w:rPr>
        <w:t>Interest Rate Risk in Banking Book-</w:t>
      </w:r>
      <w:r w:rsidRPr="002E2AC8">
        <w:rPr>
          <w:rFonts w:ascii="Times New Roman" w:eastAsia="Times New Roman" w:hAnsi="Times New Roman" w:cs="Times New Roman"/>
          <w:sz w:val="24"/>
          <w:szCs w:val="24"/>
        </w:rPr>
        <w:t>IRRBB); serta (iii) strategi dan kebijakan bisnis.</w:t>
      </w:r>
    </w:p>
    <w:p w:rsidR="00437BCC" w:rsidRPr="002E2AC8" w:rsidRDefault="00437BCC" w:rsidP="00026B46">
      <w:pPr>
        <w:pStyle w:val="ListParagraph"/>
        <w:widowControl w:val="0"/>
        <w:numPr>
          <w:ilvl w:val="0"/>
          <w:numId w:val="4"/>
        </w:numPr>
        <w:autoSpaceDE w:val="0"/>
        <w:autoSpaceDN w:val="0"/>
        <w:spacing w:after="0" w:line="240" w:lineRule="auto"/>
        <w:ind w:left="1560" w:right="214"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Likuiditas</w:t>
      </w:r>
    </w:p>
    <w:p w:rsidR="00437BCC" w:rsidRPr="002E2AC8" w:rsidRDefault="00437BCC" w:rsidP="00026B46">
      <w:pPr>
        <w:widowControl w:val="0"/>
        <w:autoSpaceDE w:val="0"/>
        <w:autoSpaceDN w:val="0"/>
        <w:spacing w:after="0" w:line="240" w:lineRule="auto"/>
        <w:ind w:left="1560" w:right="214"/>
        <w:jc w:val="both"/>
        <w:rPr>
          <w:rFonts w:ascii="Times New Roman" w:eastAsia="Times New Roman" w:hAnsi="Times New Roman" w:cs="Times New Roman"/>
          <w:sz w:val="24"/>
          <w:szCs w:val="24"/>
          <w:lang w:val="id-ID"/>
        </w:rPr>
      </w:pPr>
      <w:proofErr w:type="gramStart"/>
      <w:r w:rsidRPr="002E2AC8">
        <w:rPr>
          <w:rFonts w:ascii="Times New Roman" w:eastAsia="Times New Roman" w:hAnsi="Times New Roman" w:cs="Times New Roman"/>
          <w:sz w:val="24"/>
          <w:szCs w:val="24"/>
        </w:rPr>
        <w:t>Risiko Likuiditas adalah risiko akibat ketidakmampuan bank untuk memenuhi kewajiban yang jatuh tempo dari sumber pendanaan arus kas, dan/atau dari aset likuid berkualitas tinggi yang dapat diagunkan, tanpa mengganggu aktivitas dan kondisi keuangan bank.</w:t>
      </w:r>
      <w:proofErr w:type="gramEnd"/>
      <w:r w:rsidRPr="002E2AC8">
        <w:rPr>
          <w:rFonts w:ascii="Times New Roman" w:eastAsia="Times New Roman" w:hAnsi="Times New Roman" w:cs="Times New Roman"/>
          <w:sz w:val="24"/>
          <w:szCs w:val="24"/>
        </w:rPr>
        <w:t xml:space="preserve"> </w:t>
      </w:r>
      <w:proofErr w:type="gramStart"/>
      <w:r w:rsidRPr="002E2AC8">
        <w:rPr>
          <w:rFonts w:ascii="Times New Roman" w:eastAsia="Times New Roman" w:hAnsi="Times New Roman" w:cs="Times New Roman"/>
          <w:sz w:val="24"/>
          <w:szCs w:val="24"/>
        </w:rPr>
        <w:t>Risiko ini disebut juga Risiko Likuiditas Pendanaan (</w:t>
      </w:r>
      <w:r w:rsidRPr="002E2AC8">
        <w:rPr>
          <w:rFonts w:ascii="Times New Roman" w:eastAsia="Times New Roman" w:hAnsi="Times New Roman" w:cs="Times New Roman"/>
          <w:i/>
          <w:sz w:val="24"/>
          <w:szCs w:val="24"/>
        </w:rPr>
        <w:t>Funding Liquidity Risk</w:t>
      </w:r>
      <w:r w:rsidRPr="002E2AC8">
        <w:rPr>
          <w:rFonts w:ascii="Times New Roman" w:eastAsia="Times New Roman" w:hAnsi="Times New Roman" w:cs="Times New Roman"/>
          <w:sz w:val="24"/>
          <w:szCs w:val="24"/>
        </w:rPr>
        <w:t>).</w:t>
      </w:r>
      <w:proofErr w:type="gramEnd"/>
      <w:r w:rsidRPr="002E2AC8">
        <w:rPr>
          <w:rFonts w:ascii="Times New Roman" w:eastAsia="Times New Roman" w:hAnsi="Times New Roman" w:cs="Times New Roman"/>
          <w:sz w:val="24"/>
          <w:szCs w:val="24"/>
        </w:rPr>
        <w:t xml:space="preserve"> </w:t>
      </w:r>
      <w:proofErr w:type="gramStart"/>
      <w:r w:rsidRPr="002E2AC8">
        <w:rPr>
          <w:rFonts w:ascii="Times New Roman" w:eastAsia="Times New Roman" w:hAnsi="Times New Roman" w:cs="Times New Roman"/>
          <w:sz w:val="24"/>
          <w:szCs w:val="24"/>
        </w:rPr>
        <w:t>Risiko Likuiditas juga dapat disebabkan oleh ketidakmampuan bank melikuidasi aset tanpa terkena diskon yang material karena tidak adanya pasar aktif atau adanya gangguan pasar (</w:t>
      </w:r>
      <w:r w:rsidRPr="002E2AC8">
        <w:rPr>
          <w:rFonts w:ascii="Times New Roman" w:eastAsia="Times New Roman" w:hAnsi="Times New Roman" w:cs="Times New Roman"/>
          <w:i/>
          <w:sz w:val="24"/>
          <w:szCs w:val="24"/>
        </w:rPr>
        <w:t>market disruption</w:t>
      </w:r>
      <w:r w:rsidRPr="002E2AC8">
        <w:rPr>
          <w:rFonts w:ascii="Times New Roman" w:eastAsia="Times New Roman" w:hAnsi="Times New Roman" w:cs="Times New Roman"/>
          <w:sz w:val="24"/>
          <w:szCs w:val="24"/>
        </w:rPr>
        <w:t>) yang parah.</w:t>
      </w:r>
      <w:proofErr w:type="gramEnd"/>
      <w:r w:rsidRPr="002E2AC8">
        <w:rPr>
          <w:rFonts w:ascii="Times New Roman" w:eastAsia="Times New Roman" w:hAnsi="Times New Roman" w:cs="Times New Roman"/>
          <w:sz w:val="24"/>
          <w:szCs w:val="24"/>
        </w:rPr>
        <w:t xml:space="preserve"> </w:t>
      </w:r>
      <w:proofErr w:type="gramStart"/>
      <w:r w:rsidRPr="002E2AC8">
        <w:rPr>
          <w:rFonts w:ascii="Times New Roman" w:eastAsia="Times New Roman" w:hAnsi="Times New Roman" w:cs="Times New Roman"/>
          <w:sz w:val="24"/>
          <w:szCs w:val="24"/>
        </w:rPr>
        <w:t>Risiko ini disebut sebagai Risiko</w:t>
      </w:r>
      <w:r w:rsidRPr="002E2AC8">
        <w:rPr>
          <w:rFonts w:ascii="Times New Roman" w:eastAsia="Times New Roman" w:hAnsi="Times New Roman" w:cs="Times New Roman"/>
          <w:sz w:val="24"/>
          <w:szCs w:val="24"/>
          <w:lang w:val="id-ID"/>
        </w:rPr>
        <w:t xml:space="preserve"> Likuiditas Pasar </w:t>
      </w:r>
      <w:r w:rsidRPr="002E2AC8">
        <w:rPr>
          <w:rFonts w:ascii="Times New Roman" w:eastAsia="Times New Roman" w:hAnsi="Times New Roman" w:cs="Times New Roman"/>
          <w:i/>
          <w:sz w:val="24"/>
          <w:szCs w:val="24"/>
          <w:lang w:val="id-ID"/>
        </w:rPr>
        <w:t>(Market Liquidity Risk</w:t>
      </w:r>
      <w:r w:rsidRPr="002E2AC8">
        <w:rPr>
          <w:rFonts w:ascii="Times New Roman" w:eastAsia="Times New Roman" w:hAnsi="Times New Roman" w:cs="Times New Roman"/>
          <w:sz w:val="24"/>
          <w:szCs w:val="24"/>
          <w:lang w:val="id-ID"/>
        </w:rPr>
        <w:t>).</w:t>
      </w:r>
      <w:proofErr w:type="gramEnd"/>
      <w:r w:rsidRPr="002E2AC8">
        <w:rPr>
          <w:rFonts w:ascii="Times New Roman" w:eastAsia="Times New Roman" w:hAnsi="Times New Roman" w:cs="Times New Roman"/>
          <w:sz w:val="24"/>
          <w:szCs w:val="24"/>
          <w:lang w:val="id-ID"/>
        </w:rPr>
        <w:t xml:space="preserve"> Dalam menilai Risiko Inheren atas Risiko Likuiditas, parameter yang digunakan adalah (i) komposisi dari aset, kewajiban, dan transaksi rekening administratif; (ii) konsentrasi dari aset dan kewajiban; (iii) kerentanan pada kebutuhan pendanaan;  dan (iv) akses pada sumber-sumber pendanaan.</w:t>
      </w:r>
    </w:p>
    <w:p w:rsidR="00437BCC" w:rsidRPr="002E2AC8" w:rsidRDefault="00437BCC" w:rsidP="00026B46">
      <w:pPr>
        <w:pStyle w:val="ListParagraph"/>
        <w:numPr>
          <w:ilvl w:val="0"/>
          <w:numId w:val="4"/>
        </w:numPr>
        <w:autoSpaceDE w:val="0"/>
        <w:autoSpaceDN w:val="0"/>
        <w:adjustRightInd w:val="0"/>
        <w:spacing w:after="0" w:line="240" w:lineRule="auto"/>
        <w:ind w:left="1560" w:hanging="284"/>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Risiko Operasional</w:t>
      </w:r>
    </w:p>
    <w:p w:rsidR="00437BCC" w:rsidRDefault="00437BCC" w:rsidP="00026B46">
      <w:pPr>
        <w:autoSpaceDE w:val="0"/>
        <w:autoSpaceDN w:val="0"/>
        <w:adjustRightInd w:val="0"/>
        <w:spacing w:after="0" w:line="240" w:lineRule="auto"/>
        <w:ind w:left="1560"/>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Risiko Operasional adalah risiko akibat ketidakcukupan dan/atau tidak berfungsinya proses internal, kesalahan manusia, kegagalan sistem, dan/atau adanya kejadian eksternal yang mempengaruhi operasional bank. Dalam menilai Risiko Inheren atas Risiko Operasional, parameter/indikator yang digunakan adalah (i) karakteristik dan kompleksitas bisnis; (ii) sumber daya manusia; (iii) teknologi informasi dan infrastruktur pendukung; (iv) fraud, baik internal maupun eksternal; dan (v) kejadian eksternal</w:t>
      </w:r>
    </w:p>
    <w:p w:rsidR="0082268A" w:rsidRPr="002E2AC8" w:rsidRDefault="0082268A" w:rsidP="00026B46">
      <w:pPr>
        <w:autoSpaceDE w:val="0"/>
        <w:autoSpaceDN w:val="0"/>
        <w:adjustRightInd w:val="0"/>
        <w:spacing w:after="0" w:line="240" w:lineRule="auto"/>
        <w:ind w:left="1560"/>
        <w:jc w:val="both"/>
        <w:rPr>
          <w:rFonts w:ascii="Times New Roman" w:hAnsi="Times New Roman" w:cs="Times New Roman"/>
          <w:sz w:val="24"/>
          <w:szCs w:val="24"/>
          <w:lang w:val="id-ID"/>
        </w:rPr>
      </w:pPr>
    </w:p>
    <w:p w:rsidR="00437BCC" w:rsidRPr="002E2AC8" w:rsidRDefault="00437BCC" w:rsidP="00026B46">
      <w:pPr>
        <w:pStyle w:val="ListParagraph"/>
        <w:widowControl w:val="0"/>
        <w:numPr>
          <w:ilvl w:val="0"/>
          <w:numId w:val="4"/>
        </w:numPr>
        <w:tabs>
          <w:tab w:val="left" w:pos="941"/>
        </w:tabs>
        <w:autoSpaceDE w:val="0"/>
        <w:autoSpaceDN w:val="0"/>
        <w:spacing w:after="0" w:line="240" w:lineRule="auto"/>
        <w:ind w:left="1560"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lastRenderedPageBreak/>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Hukum</w:t>
      </w:r>
    </w:p>
    <w:p w:rsidR="00437BCC" w:rsidRPr="002E2AC8" w:rsidRDefault="00437BCC" w:rsidP="00026B46">
      <w:pPr>
        <w:widowControl w:val="0"/>
        <w:autoSpaceDE w:val="0"/>
        <w:autoSpaceDN w:val="0"/>
        <w:spacing w:after="0" w:line="240" w:lineRule="auto"/>
        <w:ind w:left="1560" w:right="213"/>
        <w:jc w:val="both"/>
        <w:rPr>
          <w:rFonts w:ascii="Times New Roman" w:eastAsia="Times New Roman" w:hAnsi="Times New Roman" w:cs="Times New Roman"/>
          <w:sz w:val="24"/>
          <w:szCs w:val="24"/>
          <w:lang w:val="id-ID"/>
        </w:rPr>
      </w:pPr>
      <w:proofErr w:type="gramStart"/>
      <w:r w:rsidRPr="002E2AC8">
        <w:rPr>
          <w:rFonts w:ascii="Times New Roman" w:eastAsia="Times New Roman" w:hAnsi="Times New Roman" w:cs="Times New Roman"/>
          <w:sz w:val="24"/>
          <w:szCs w:val="24"/>
        </w:rPr>
        <w:t>Risiko Hukum adalah risiko yang timbul akibat tuntutan hukum dan/atau kelemahan aspek yuridis.</w:t>
      </w:r>
      <w:proofErr w:type="gramEnd"/>
      <w:r w:rsidRPr="002E2AC8">
        <w:rPr>
          <w:rFonts w:ascii="Times New Roman" w:eastAsia="Times New Roman" w:hAnsi="Times New Roman" w:cs="Times New Roman"/>
          <w:sz w:val="24"/>
          <w:szCs w:val="24"/>
        </w:rPr>
        <w:t xml:space="preserve"> Risiko ini juga dapat timbul antara </w:t>
      </w:r>
      <w:proofErr w:type="gramStart"/>
      <w:r w:rsidRPr="002E2AC8">
        <w:rPr>
          <w:rFonts w:ascii="Times New Roman" w:eastAsia="Times New Roman" w:hAnsi="Times New Roman" w:cs="Times New Roman"/>
          <w:sz w:val="24"/>
          <w:szCs w:val="24"/>
        </w:rPr>
        <w:t>lain</w:t>
      </w:r>
      <w:proofErr w:type="gramEnd"/>
      <w:r w:rsidRPr="002E2AC8">
        <w:rPr>
          <w:rFonts w:ascii="Times New Roman" w:eastAsia="Times New Roman" w:hAnsi="Times New Roman" w:cs="Times New Roman"/>
          <w:sz w:val="24"/>
          <w:szCs w:val="24"/>
        </w:rPr>
        <w:t xml:space="preserve"> karena ketiadaan peraturan perundang-undangan yang mendasari atau kelemahan perikatan, seperti tidak dipenuhinya syarat sahnya kontrak atau agunan yang tidak memadai. Dalam menilai Risiko Inheren atas Risiko Hukum, parameter/indikator yang digunakan adalah (i) faktor litigasi; (ii) faktor kelemahan perikatan; dan (iii) faktor ketiadaan/perubahan peraturan perundang-undangan.</w:t>
      </w:r>
    </w:p>
    <w:p w:rsidR="00437BCC" w:rsidRPr="002E2AC8" w:rsidRDefault="00437BCC" w:rsidP="00026B46">
      <w:pPr>
        <w:widowControl w:val="0"/>
        <w:numPr>
          <w:ilvl w:val="0"/>
          <w:numId w:val="4"/>
        </w:numPr>
        <w:tabs>
          <w:tab w:val="left" w:pos="941"/>
        </w:tabs>
        <w:autoSpaceDE w:val="0"/>
        <w:autoSpaceDN w:val="0"/>
        <w:spacing w:after="0" w:line="240" w:lineRule="auto"/>
        <w:ind w:left="1560"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Stratejik</w:t>
      </w:r>
    </w:p>
    <w:p w:rsidR="00437BCC" w:rsidRPr="002E2AC8" w:rsidRDefault="00437BCC" w:rsidP="00026B46">
      <w:pPr>
        <w:widowControl w:val="0"/>
        <w:autoSpaceDE w:val="0"/>
        <w:autoSpaceDN w:val="0"/>
        <w:spacing w:after="0" w:line="240" w:lineRule="auto"/>
        <w:ind w:left="1560" w:right="216"/>
        <w:jc w:val="both"/>
        <w:rPr>
          <w:rFonts w:ascii="Times New Roman" w:eastAsia="Times New Roman" w:hAnsi="Times New Roman" w:cs="Times New Roman"/>
          <w:sz w:val="24"/>
          <w:szCs w:val="24"/>
        </w:rPr>
      </w:pPr>
      <w:proofErr w:type="gramStart"/>
      <w:r w:rsidRPr="002E2AC8">
        <w:rPr>
          <w:rFonts w:ascii="Times New Roman" w:eastAsia="Times New Roman" w:hAnsi="Times New Roman" w:cs="Times New Roman"/>
          <w:sz w:val="24"/>
          <w:szCs w:val="24"/>
        </w:rPr>
        <w:t>Risiko Stratejik adalah risiko akibat ketidaktepatan Bank dalam mengambil keputusan dan/atau pelaksanaan suatu keputusan stratejik serta kegagalan dalam mengantisipasi perubahan lingkungan bisnis.</w:t>
      </w:r>
      <w:proofErr w:type="gramEnd"/>
      <w:r w:rsidRPr="002E2AC8">
        <w:rPr>
          <w:rFonts w:ascii="Times New Roman" w:eastAsia="Times New Roman" w:hAnsi="Times New Roman" w:cs="Times New Roman"/>
          <w:sz w:val="24"/>
          <w:szCs w:val="24"/>
        </w:rPr>
        <w:t xml:space="preserve"> Dalam menilai Risiko Inheren atas Risiko Stratejik, parameter/indikator yang digunakan adalah (i) kesesuaian strategi bisnis bank dengan lingkungan bisnis; (ii) strategi berisiko rendah dan berisiko tinggi; (iii) posisi bisnis bank; dan </w:t>
      </w:r>
      <w:proofErr w:type="gramStart"/>
      <w:r w:rsidRPr="002E2AC8">
        <w:rPr>
          <w:rFonts w:ascii="Times New Roman" w:eastAsia="Times New Roman" w:hAnsi="Times New Roman" w:cs="Times New Roman"/>
          <w:sz w:val="24"/>
          <w:szCs w:val="24"/>
        </w:rPr>
        <w:t>(iv) pencapaian</w:t>
      </w:r>
      <w:proofErr w:type="gramEnd"/>
      <w:r w:rsidRPr="002E2AC8">
        <w:rPr>
          <w:rFonts w:ascii="Times New Roman" w:eastAsia="Times New Roman" w:hAnsi="Times New Roman" w:cs="Times New Roman"/>
          <w:sz w:val="24"/>
          <w:szCs w:val="24"/>
        </w:rPr>
        <w:t xml:space="preserve"> rencana bisnis</w:t>
      </w:r>
      <w:r w:rsidRPr="002E2AC8">
        <w:rPr>
          <w:rFonts w:ascii="Times New Roman" w:eastAsia="Times New Roman" w:hAnsi="Times New Roman" w:cs="Times New Roman"/>
          <w:spacing w:val="-3"/>
          <w:sz w:val="24"/>
          <w:szCs w:val="24"/>
        </w:rPr>
        <w:t xml:space="preserve"> </w:t>
      </w:r>
      <w:r w:rsidRPr="002E2AC8">
        <w:rPr>
          <w:rFonts w:ascii="Times New Roman" w:eastAsia="Times New Roman" w:hAnsi="Times New Roman" w:cs="Times New Roman"/>
          <w:sz w:val="24"/>
          <w:szCs w:val="24"/>
        </w:rPr>
        <w:t>bank.</w:t>
      </w:r>
    </w:p>
    <w:p w:rsidR="00437BCC" w:rsidRPr="002E2AC8" w:rsidRDefault="00437BCC" w:rsidP="00026B46">
      <w:pPr>
        <w:widowControl w:val="0"/>
        <w:numPr>
          <w:ilvl w:val="0"/>
          <w:numId w:val="4"/>
        </w:numPr>
        <w:tabs>
          <w:tab w:val="left" w:pos="941"/>
        </w:tabs>
        <w:autoSpaceDE w:val="0"/>
        <w:autoSpaceDN w:val="0"/>
        <w:spacing w:after="0" w:line="240" w:lineRule="auto"/>
        <w:ind w:left="1560"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Kepatuhan</w:t>
      </w:r>
    </w:p>
    <w:p w:rsidR="00437BCC" w:rsidRPr="002E2AC8" w:rsidRDefault="00437BCC" w:rsidP="00026B46">
      <w:pPr>
        <w:widowControl w:val="0"/>
        <w:autoSpaceDE w:val="0"/>
        <w:autoSpaceDN w:val="0"/>
        <w:spacing w:after="0" w:line="240" w:lineRule="auto"/>
        <w:ind w:left="1560" w:right="214"/>
        <w:jc w:val="both"/>
        <w:rPr>
          <w:rFonts w:ascii="Times New Roman" w:eastAsia="Times New Roman" w:hAnsi="Times New Roman" w:cs="Times New Roman"/>
          <w:sz w:val="24"/>
          <w:szCs w:val="24"/>
          <w:lang w:val="id-ID"/>
        </w:rPr>
      </w:pPr>
      <w:proofErr w:type="gramStart"/>
      <w:r w:rsidRPr="002E2AC8">
        <w:rPr>
          <w:rFonts w:ascii="Times New Roman" w:eastAsia="Times New Roman" w:hAnsi="Times New Roman" w:cs="Times New Roman"/>
          <w:sz w:val="24"/>
          <w:szCs w:val="24"/>
        </w:rPr>
        <w:t>Risiko Kepatuhan adalah risiko yang timbul akibat bank tidak mematuhi dan/atau tidak melaksanakan peraturan perundang-undangan dan ketentuan yang berlaku.</w:t>
      </w:r>
      <w:proofErr w:type="gramEnd"/>
      <w:r w:rsidRPr="002E2AC8">
        <w:rPr>
          <w:rFonts w:ascii="Times New Roman" w:eastAsia="Times New Roman" w:hAnsi="Times New Roman" w:cs="Times New Roman"/>
          <w:sz w:val="24"/>
          <w:szCs w:val="24"/>
        </w:rPr>
        <w:t xml:space="preserve"> Sumber Risiko Kepatuhan antara </w:t>
      </w:r>
      <w:proofErr w:type="gramStart"/>
      <w:r w:rsidRPr="002E2AC8">
        <w:rPr>
          <w:rFonts w:ascii="Times New Roman" w:eastAsia="Times New Roman" w:hAnsi="Times New Roman" w:cs="Times New Roman"/>
          <w:sz w:val="24"/>
          <w:szCs w:val="24"/>
        </w:rPr>
        <w:t>lain</w:t>
      </w:r>
      <w:proofErr w:type="gramEnd"/>
      <w:r w:rsidRPr="002E2AC8">
        <w:rPr>
          <w:rFonts w:ascii="Times New Roman" w:eastAsia="Times New Roman" w:hAnsi="Times New Roman" w:cs="Times New Roman"/>
          <w:sz w:val="24"/>
          <w:szCs w:val="24"/>
        </w:rPr>
        <w:t xml:space="preserve"> timbul karena kurangnya pemahaman atau kesadaran hukum terhadap ketentuan maupun standar bisnis yang berlaku umum. Dalam menilai Risiko Inheren atas Risiko Kepatuhan, parameter/indikator yang digunakan adalah (i) jenis dan signifikansi pelanggaran yang dilakukan; (ii) frekuensi pelanggaran yang dilakukan atau </w:t>
      </w:r>
      <w:r w:rsidRPr="002E2AC8">
        <w:rPr>
          <w:rFonts w:ascii="Times New Roman" w:eastAsia="Times New Roman" w:hAnsi="Times New Roman" w:cs="Times New Roman"/>
          <w:i/>
          <w:sz w:val="24"/>
          <w:szCs w:val="24"/>
        </w:rPr>
        <w:t xml:space="preserve">track record </w:t>
      </w:r>
      <w:r w:rsidRPr="002E2AC8">
        <w:rPr>
          <w:rFonts w:ascii="Times New Roman" w:eastAsia="Times New Roman" w:hAnsi="Times New Roman" w:cs="Times New Roman"/>
          <w:sz w:val="24"/>
          <w:szCs w:val="24"/>
        </w:rPr>
        <w:t>ketidakpatuhan Bank; dan (iii) pelanggaran terhadap ketentuan atau standar bisnis yang berlaku umum untuk transaksi keuangan</w:t>
      </w:r>
      <w:r w:rsidRPr="002E2AC8">
        <w:rPr>
          <w:rFonts w:ascii="Times New Roman" w:eastAsia="Times New Roman" w:hAnsi="Times New Roman" w:cs="Times New Roman"/>
          <w:spacing w:val="-13"/>
          <w:sz w:val="24"/>
          <w:szCs w:val="24"/>
        </w:rPr>
        <w:t xml:space="preserve"> </w:t>
      </w:r>
      <w:r w:rsidRPr="002E2AC8">
        <w:rPr>
          <w:rFonts w:ascii="Times New Roman" w:eastAsia="Times New Roman" w:hAnsi="Times New Roman" w:cs="Times New Roman"/>
          <w:sz w:val="24"/>
          <w:szCs w:val="24"/>
        </w:rPr>
        <w:t>tertentu.</w:t>
      </w:r>
    </w:p>
    <w:p w:rsidR="00437BCC" w:rsidRPr="002E2AC8" w:rsidRDefault="00437BCC" w:rsidP="00026B46">
      <w:pPr>
        <w:widowControl w:val="0"/>
        <w:numPr>
          <w:ilvl w:val="0"/>
          <w:numId w:val="4"/>
        </w:numPr>
        <w:tabs>
          <w:tab w:val="left" w:pos="941"/>
        </w:tabs>
        <w:autoSpaceDE w:val="0"/>
        <w:autoSpaceDN w:val="0"/>
        <w:spacing w:after="0" w:line="240" w:lineRule="auto"/>
        <w:ind w:left="1560" w:hanging="284"/>
        <w:jc w:val="both"/>
        <w:rPr>
          <w:rFonts w:ascii="Times New Roman" w:eastAsia="Times New Roman" w:hAnsi="Times New Roman" w:cs="Times New Roman"/>
          <w:sz w:val="24"/>
          <w:szCs w:val="24"/>
        </w:rPr>
      </w:pPr>
      <w:r w:rsidRPr="002E2AC8">
        <w:rPr>
          <w:rFonts w:ascii="Times New Roman" w:eastAsia="Times New Roman" w:hAnsi="Times New Roman" w:cs="Times New Roman"/>
          <w:sz w:val="24"/>
          <w:szCs w:val="24"/>
        </w:rPr>
        <w:t>Risiko</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Reputasi</w:t>
      </w:r>
    </w:p>
    <w:p w:rsidR="00437BCC" w:rsidRDefault="00437BCC" w:rsidP="00026B46">
      <w:pPr>
        <w:widowControl w:val="0"/>
        <w:autoSpaceDE w:val="0"/>
        <w:autoSpaceDN w:val="0"/>
        <w:spacing w:after="0" w:line="240" w:lineRule="auto"/>
        <w:ind w:left="1560" w:right="213"/>
        <w:jc w:val="both"/>
        <w:rPr>
          <w:rFonts w:ascii="Times New Roman" w:eastAsia="Times New Roman" w:hAnsi="Times New Roman" w:cs="Times New Roman"/>
          <w:sz w:val="24"/>
          <w:szCs w:val="24"/>
          <w:lang w:val="id-ID"/>
        </w:rPr>
      </w:pPr>
      <w:proofErr w:type="gramStart"/>
      <w:r w:rsidRPr="002E2AC8">
        <w:rPr>
          <w:rFonts w:ascii="Times New Roman" w:eastAsia="Times New Roman" w:hAnsi="Times New Roman" w:cs="Times New Roman"/>
          <w:sz w:val="24"/>
          <w:szCs w:val="24"/>
        </w:rPr>
        <w:t xml:space="preserve">Risiko Reputasi adalah risiko akibat menurunnya tingkat kepercayaan </w:t>
      </w:r>
      <w:r w:rsidRPr="002E2AC8">
        <w:rPr>
          <w:rFonts w:ascii="Times New Roman" w:eastAsia="Times New Roman" w:hAnsi="Times New Roman" w:cs="Times New Roman"/>
          <w:i/>
          <w:sz w:val="24"/>
          <w:szCs w:val="24"/>
        </w:rPr>
        <w:t xml:space="preserve">stakeholder </w:t>
      </w:r>
      <w:r w:rsidRPr="002E2AC8">
        <w:rPr>
          <w:rFonts w:ascii="Times New Roman" w:eastAsia="Times New Roman" w:hAnsi="Times New Roman" w:cs="Times New Roman"/>
          <w:sz w:val="24"/>
          <w:szCs w:val="24"/>
        </w:rPr>
        <w:t>yang bersumber dari persepsi negatif terhadap bank.</w:t>
      </w:r>
      <w:proofErr w:type="gramEnd"/>
      <w:r w:rsidRPr="002E2AC8">
        <w:rPr>
          <w:rFonts w:ascii="Times New Roman" w:eastAsia="Times New Roman" w:hAnsi="Times New Roman" w:cs="Times New Roman"/>
          <w:sz w:val="24"/>
          <w:szCs w:val="24"/>
        </w:rPr>
        <w:t xml:space="preserve"> </w:t>
      </w:r>
      <w:proofErr w:type="gramStart"/>
      <w:r w:rsidRPr="002E2AC8">
        <w:rPr>
          <w:rFonts w:ascii="Times New Roman" w:eastAsia="Times New Roman" w:hAnsi="Times New Roman" w:cs="Times New Roman"/>
          <w:sz w:val="24"/>
          <w:szCs w:val="24"/>
        </w:rPr>
        <w:t>Salah satu pendekatan yang digunakan dalam mengkategorikan sumber Risiko Reputasi bersifat tidak langsung (</w:t>
      </w:r>
      <w:r w:rsidRPr="002E2AC8">
        <w:rPr>
          <w:rFonts w:ascii="Times New Roman" w:eastAsia="Times New Roman" w:hAnsi="Times New Roman" w:cs="Times New Roman"/>
          <w:i/>
          <w:sz w:val="24"/>
          <w:szCs w:val="24"/>
        </w:rPr>
        <w:t>below the line</w:t>
      </w:r>
      <w:r w:rsidRPr="002E2AC8">
        <w:rPr>
          <w:rFonts w:ascii="Times New Roman" w:eastAsia="Times New Roman" w:hAnsi="Times New Roman" w:cs="Times New Roman"/>
          <w:sz w:val="24"/>
          <w:szCs w:val="24"/>
        </w:rPr>
        <w:t>) dan bersifat langsung (</w:t>
      </w:r>
      <w:r w:rsidRPr="002E2AC8">
        <w:rPr>
          <w:rFonts w:ascii="Times New Roman" w:eastAsia="Times New Roman" w:hAnsi="Times New Roman" w:cs="Times New Roman"/>
          <w:i/>
          <w:sz w:val="24"/>
          <w:szCs w:val="24"/>
        </w:rPr>
        <w:t>above the line</w:t>
      </w:r>
      <w:r w:rsidRPr="002E2AC8">
        <w:rPr>
          <w:rFonts w:ascii="Times New Roman" w:eastAsia="Times New Roman" w:hAnsi="Times New Roman" w:cs="Times New Roman"/>
          <w:sz w:val="24"/>
          <w:szCs w:val="24"/>
        </w:rPr>
        <w:t>).</w:t>
      </w:r>
      <w:proofErr w:type="gramEnd"/>
      <w:r w:rsidRPr="002E2AC8">
        <w:rPr>
          <w:rFonts w:ascii="Times New Roman" w:eastAsia="Times New Roman" w:hAnsi="Times New Roman" w:cs="Times New Roman"/>
          <w:sz w:val="24"/>
          <w:szCs w:val="24"/>
        </w:rPr>
        <w:t xml:space="preserve"> Dalam menilai Risiko Inheren atas Risiko Reputasi, parameter/indikator yang digunakan adalah (i) pengaruh reputasi negatif dari pemilik bank dan perusahaan terkait; (ii) pelanggaran etika bisnis; (iii) kompleksitas produk dan kerjasama bisnis bank; (iv) frekuensi, materialitas, dan eksposur pemberitaan negatif bank; serta (v) frekuensi dan materialitas keluhan</w:t>
      </w:r>
      <w:r w:rsidRPr="002E2AC8">
        <w:rPr>
          <w:rFonts w:ascii="Times New Roman" w:eastAsia="Times New Roman" w:hAnsi="Times New Roman" w:cs="Times New Roman"/>
          <w:spacing w:val="-1"/>
          <w:sz w:val="24"/>
          <w:szCs w:val="24"/>
        </w:rPr>
        <w:t xml:space="preserve"> </w:t>
      </w:r>
      <w:r w:rsidRPr="002E2AC8">
        <w:rPr>
          <w:rFonts w:ascii="Times New Roman" w:eastAsia="Times New Roman" w:hAnsi="Times New Roman" w:cs="Times New Roman"/>
          <w:sz w:val="24"/>
          <w:szCs w:val="24"/>
        </w:rPr>
        <w:t>nasabah.</w:t>
      </w:r>
    </w:p>
    <w:p w:rsidR="00026B46" w:rsidRPr="002E2AC8" w:rsidRDefault="00026B46" w:rsidP="0082268A">
      <w:pPr>
        <w:widowControl w:val="0"/>
        <w:autoSpaceDE w:val="0"/>
        <w:autoSpaceDN w:val="0"/>
        <w:spacing w:after="0" w:line="240" w:lineRule="auto"/>
        <w:ind w:right="213"/>
        <w:jc w:val="both"/>
        <w:rPr>
          <w:rFonts w:ascii="Times New Roman" w:eastAsia="Times New Roman" w:hAnsi="Times New Roman" w:cs="Times New Roman"/>
          <w:sz w:val="24"/>
          <w:szCs w:val="24"/>
          <w:lang w:val="id-ID"/>
        </w:rPr>
      </w:pPr>
    </w:p>
    <w:p w:rsidR="00437BCC" w:rsidRPr="002E2AC8" w:rsidRDefault="00437BCC" w:rsidP="00026B46">
      <w:pPr>
        <w:pStyle w:val="ListParagraph"/>
        <w:numPr>
          <w:ilvl w:val="0"/>
          <w:numId w:val="7"/>
        </w:numPr>
        <w:autoSpaceDE w:val="0"/>
        <w:autoSpaceDN w:val="0"/>
        <w:adjustRightInd w:val="0"/>
        <w:spacing w:after="0" w:line="240" w:lineRule="auto"/>
        <w:ind w:left="993" w:hanging="284"/>
        <w:jc w:val="both"/>
        <w:rPr>
          <w:rFonts w:ascii="Times New Roman" w:hAnsi="Times New Roman" w:cs="Times New Roman"/>
          <w:b/>
          <w:i/>
          <w:sz w:val="24"/>
          <w:szCs w:val="24"/>
          <w:lang w:val="id-ID"/>
        </w:rPr>
      </w:pPr>
      <w:r w:rsidRPr="002E2AC8">
        <w:rPr>
          <w:rFonts w:ascii="Times New Roman" w:hAnsi="Times New Roman" w:cs="Times New Roman"/>
          <w:b/>
          <w:sz w:val="24"/>
          <w:szCs w:val="24"/>
          <w:lang w:val="id-ID"/>
        </w:rPr>
        <w:lastRenderedPageBreak/>
        <w:t>Penilaian</w:t>
      </w:r>
      <w:r w:rsidRPr="002E2AC8">
        <w:rPr>
          <w:rFonts w:ascii="Times New Roman" w:hAnsi="Times New Roman" w:cs="Times New Roman"/>
          <w:b/>
          <w:i/>
          <w:sz w:val="24"/>
          <w:szCs w:val="24"/>
          <w:lang w:val="id-ID"/>
        </w:rPr>
        <w:t xml:space="preserve"> Good Corporate Governance (GCG)</w:t>
      </w:r>
    </w:p>
    <w:p w:rsidR="00437BCC" w:rsidRPr="002E2AC8" w:rsidRDefault="00437BCC" w:rsidP="00026B46">
      <w:pPr>
        <w:pStyle w:val="ListParagraph"/>
        <w:autoSpaceDE w:val="0"/>
        <w:autoSpaceDN w:val="0"/>
        <w:adjustRightInd w:val="0"/>
        <w:spacing w:after="0" w:line="240" w:lineRule="auto"/>
        <w:ind w:left="993"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Penilaian faktor GCG meerupakan penilaian terhadap kualitas manajemen bank atas pelaksanaan prinsip-prinsip GCG. Prinsip-prinsip GCG dan fokus penilaian terhadap pelaksanaan prinsip-prinsip GCG berpedoman pada ketentuan Bank Indonesia mengenai Pelaksanaan GCG bagi Bank Umum dengan memperhatikan karakteristik dan kompleksitas usaha bank. Penetapan peringkat faktor GCG dilakukan berdasarkan analisis atas (i) pelaksanaan prinsip-prinsip GCG bank; (ii) kecukupan tata kelola (</w:t>
      </w:r>
      <w:r w:rsidRPr="002E2AC8">
        <w:rPr>
          <w:rFonts w:ascii="Times New Roman" w:hAnsi="Times New Roman" w:cs="Times New Roman"/>
          <w:i/>
          <w:sz w:val="24"/>
          <w:szCs w:val="24"/>
          <w:lang w:val="id-ID"/>
        </w:rPr>
        <w:t>governance</w:t>
      </w:r>
      <w:r w:rsidRPr="002E2AC8">
        <w:rPr>
          <w:rFonts w:ascii="Times New Roman" w:hAnsi="Times New Roman" w:cs="Times New Roman"/>
          <w:sz w:val="24"/>
          <w:szCs w:val="24"/>
          <w:lang w:val="id-ID"/>
        </w:rPr>
        <w:t>) atas struktur, proses, dan hasil penerapan GCG pada bank; serta (iii) informasi lain yang terkait dengan GCG bank yang didasarkan pada data dan informasi yang relevan. Peringkat faktor GCG dikategorikan dalam lima peringkat yaitu Peringkat 1, Peringkat 2, Peringkat 3, Peringkat 4, dan Peringkat 5. Urutan peringkat faktor GCG yang lebih kecil mencerminkan penerapan GCG yang lebih baik.</w:t>
      </w:r>
    </w:p>
    <w:p w:rsidR="00437BCC" w:rsidRPr="002E2AC8" w:rsidRDefault="00437BCC" w:rsidP="00026B46">
      <w:pPr>
        <w:pStyle w:val="ListParagraph"/>
        <w:numPr>
          <w:ilvl w:val="0"/>
          <w:numId w:val="7"/>
        </w:numPr>
        <w:autoSpaceDE w:val="0"/>
        <w:autoSpaceDN w:val="0"/>
        <w:adjustRightInd w:val="0"/>
        <w:spacing w:after="0" w:line="240" w:lineRule="auto"/>
        <w:ind w:left="993" w:hanging="284"/>
        <w:jc w:val="both"/>
        <w:rPr>
          <w:rFonts w:ascii="Times New Roman" w:hAnsi="Times New Roman" w:cs="Times New Roman"/>
          <w:b/>
          <w:sz w:val="24"/>
          <w:szCs w:val="24"/>
          <w:lang w:val="id-ID"/>
        </w:rPr>
      </w:pPr>
      <w:r w:rsidRPr="002E2AC8">
        <w:rPr>
          <w:rFonts w:ascii="Times New Roman" w:hAnsi="Times New Roman" w:cs="Times New Roman"/>
          <w:b/>
          <w:sz w:val="24"/>
          <w:szCs w:val="24"/>
          <w:lang w:val="id-ID"/>
        </w:rPr>
        <w:t xml:space="preserve">Penilaian Earnings </w:t>
      </w:r>
      <w:r w:rsidRPr="002E2AC8">
        <w:rPr>
          <w:rFonts w:ascii="Times New Roman" w:hAnsi="Times New Roman" w:cs="Times New Roman"/>
          <w:b/>
          <w:i/>
          <w:sz w:val="24"/>
          <w:szCs w:val="24"/>
          <w:lang w:val="id-ID"/>
        </w:rPr>
        <w:t>(Rentabilitas)</w:t>
      </w:r>
    </w:p>
    <w:p w:rsidR="00437BCC" w:rsidRPr="002E2AC8" w:rsidRDefault="00437BCC" w:rsidP="00026B46">
      <w:pPr>
        <w:autoSpaceDE w:val="0"/>
        <w:autoSpaceDN w:val="0"/>
        <w:adjustRightInd w:val="0"/>
        <w:spacing w:after="0" w:line="240" w:lineRule="auto"/>
        <w:ind w:left="993"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Penilaian faktor Rentabilitas meliputi evaluasi terhadap kinerja rentabilitas, sumber-sumber rentabilitas, kesinambungan (</w:t>
      </w:r>
      <w:r w:rsidRPr="002E2AC8">
        <w:rPr>
          <w:rFonts w:ascii="Times New Roman" w:hAnsi="Times New Roman" w:cs="Times New Roman"/>
          <w:i/>
          <w:sz w:val="24"/>
          <w:szCs w:val="24"/>
          <w:lang w:val="id-ID"/>
        </w:rPr>
        <w:t>sustainability</w:t>
      </w:r>
      <w:r w:rsidRPr="002E2AC8">
        <w:rPr>
          <w:rFonts w:ascii="Times New Roman" w:hAnsi="Times New Roman" w:cs="Times New Roman"/>
          <w:sz w:val="24"/>
          <w:szCs w:val="24"/>
          <w:lang w:val="id-ID"/>
        </w:rPr>
        <w:t>) rentabilitas, dan manajemen rentabilitas. Penilaian dilakukan dengan mempertimbangkan tingkat, trend, struktur, stabilitas rentabilitas bank, dan perbandingan kinerja bank dengan kinerja peer group baik melalui analisis aspek kuantitatif maupun kualitatif. Penetapan faktor rentabilitas dikategorikan dalam lima peringkat yakni Peringkat 1, Peringkat 2, Peringkat 3, Peringkat 4, dan Peringkat 5. Urutan peringkat faktor rentabilitas yang lebih kecil mencerminkan kondisi rentabilitas bank yang lebih baik.</w:t>
      </w:r>
    </w:p>
    <w:p w:rsidR="00437BCC" w:rsidRPr="002E2AC8" w:rsidRDefault="00437BCC" w:rsidP="00026B46">
      <w:pPr>
        <w:pStyle w:val="ListParagraph"/>
        <w:numPr>
          <w:ilvl w:val="0"/>
          <w:numId w:val="7"/>
        </w:numPr>
        <w:spacing w:line="240" w:lineRule="auto"/>
        <w:ind w:left="993" w:hanging="284"/>
        <w:rPr>
          <w:rFonts w:ascii="Times New Roman" w:hAnsi="Times New Roman" w:cs="Times New Roman"/>
          <w:b/>
          <w:sz w:val="24"/>
          <w:szCs w:val="24"/>
          <w:lang w:val="id-ID"/>
        </w:rPr>
      </w:pPr>
      <w:r w:rsidRPr="002E2AC8">
        <w:rPr>
          <w:rFonts w:ascii="Times New Roman" w:hAnsi="Times New Roman" w:cs="Times New Roman"/>
          <w:b/>
          <w:sz w:val="24"/>
          <w:szCs w:val="24"/>
          <w:lang w:val="id-ID"/>
        </w:rPr>
        <w:t xml:space="preserve">Penilaian </w:t>
      </w:r>
      <w:r w:rsidRPr="002E2AC8">
        <w:rPr>
          <w:rFonts w:ascii="Times New Roman" w:hAnsi="Times New Roman" w:cs="Times New Roman"/>
          <w:b/>
          <w:i/>
          <w:sz w:val="24"/>
          <w:szCs w:val="24"/>
          <w:lang w:val="id-ID"/>
        </w:rPr>
        <w:t>Capital</w:t>
      </w:r>
      <w:r w:rsidRPr="002E2AC8">
        <w:rPr>
          <w:rFonts w:ascii="Times New Roman" w:hAnsi="Times New Roman" w:cs="Times New Roman"/>
          <w:b/>
          <w:sz w:val="24"/>
          <w:szCs w:val="24"/>
          <w:lang w:val="id-ID"/>
        </w:rPr>
        <w:t xml:space="preserve"> (Permodalan)</w:t>
      </w:r>
    </w:p>
    <w:p w:rsidR="00437BCC" w:rsidRPr="002E2AC8" w:rsidRDefault="00437BCC" w:rsidP="00026B46">
      <w:pPr>
        <w:pStyle w:val="ListParagraph"/>
        <w:autoSpaceDE w:val="0"/>
        <w:autoSpaceDN w:val="0"/>
        <w:adjustRightInd w:val="0"/>
        <w:spacing w:after="0" w:line="240" w:lineRule="auto"/>
        <w:ind w:left="993"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Penilaian atas faktor Permodalan meliputi evaluasi terhadap kecukupan permodalan dan kecukupan pengelolaan permodalan. Dalam melakukan perhitungan permodalan, bank wajib mengacu pada ketentuan Bank Indonesia yang mengatur mengenai Kewajiban Penyediaan Modal Minimum bagi Bank Umum. Selain itu, dalam melakukan penilaian kecukupan permodalan, bank juga harus mengaitkan kecukupan modal dengan Profil Risiko bank. Semakin tinggi risiko bank, semakin besar modal yang harus disediakan untuk mengantisipasi risiko tersebut.Penetapan faktor permodalan dikategorikan dalam lima peringkat yakni Peringkat 1, Peringkat 2, Peringkat 3, Peringkat 4, dan Peringkat 5. Urutan peringkat faktor permodalan yang lebih kecil mencerminkan kondisi permodalan bank yang lebih baik.</w:t>
      </w:r>
    </w:p>
    <w:p w:rsidR="00437BCC" w:rsidRPr="002E2AC8" w:rsidRDefault="00437BCC" w:rsidP="00026B46">
      <w:pPr>
        <w:pStyle w:val="ListParagraph"/>
        <w:autoSpaceDE w:val="0"/>
        <w:autoSpaceDN w:val="0"/>
        <w:adjustRightInd w:val="0"/>
        <w:spacing w:after="0" w:line="240" w:lineRule="auto"/>
        <w:ind w:left="709" w:firstLine="567"/>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 xml:space="preserve">Peringkat Komposit Tingkat Kesehatan Bank ditetapkan berdasarkan analisis secara komprehensif dan terstruktur terhadap peringkat setiap faktor dan dengan memperhatikan prinsip-prinsip umum penilaian Tingkat Kesehatan Bank Umum. Dalam melakukan analisis secara komprehensif, bank juga perlu mempertimbangkan kemampuan bank dalam menghadapi perubahan kondisi eksternal yang signifikan. Tabel 1 berikut ini </w:t>
      </w:r>
      <w:r w:rsidRPr="002E2AC8">
        <w:rPr>
          <w:rFonts w:ascii="Times New Roman" w:hAnsi="Times New Roman" w:cs="Times New Roman"/>
          <w:sz w:val="24"/>
          <w:szCs w:val="24"/>
          <w:lang w:val="id-ID"/>
        </w:rPr>
        <w:lastRenderedPageBreak/>
        <w:t>menjelaskan mengenai matriks peringkat komposit tingkat kesehatan bank berdasarkan Surat Edaran Bank Indonesia No.13/24/DPNP</w:t>
      </w:r>
    </w:p>
    <w:p w:rsidR="00437BCC" w:rsidRPr="002E2AC8" w:rsidRDefault="00437BCC" w:rsidP="00B062A8">
      <w:pPr>
        <w:pStyle w:val="ISI"/>
        <w:spacing w:after="0" w:line="240" w:lineRule="auto"/>
        <w:ind w:firstLine="426"/>
        <w:rPr>
          <w:rFonts w:cs="Times New Roman"/>
          <w:color w:val="000000" w:themeColor="text1"/>
          <w:szCs w:val="24"/>
          <w:lang w:val="id-ID"/>
        </w:rPr>
      </w:pPr>
    </w:p>
    <w:p w:rsidR="00467CAB" w:rsidRPr="002E2AC8" w:rsidRDefault="00467CAB" w:rsidP="005863D9">
      <w:pPr>
        <w:pStyle w:val="ISI"/>
        <w:numPr>
          <w:ilvl w:val="0"/>
          <w:numId w:val="13"/>
        </w:numPr>
        <w:spacing w:after="0" w:line="240" w:lineRule="auto"/>
        <w:ind w:left="709" w:hanging="283"/>
        <w:rPr>
          <w:rFonts w:cs="Times New Roman"/>
          <w:b/>
          <w:color w:val="000000" w:themeColor="text1"/>
          <w:szCs w:val="24"/>
          <w:lang w:val="id-ID"/>
        </w:rPr>
      </w:pPr>
      <w:r w:rsidRPr="002E2AC8">
        <w:rPr>
          <w:rFonts w:cs="Times New Roman"/>
          <w:b/>
          <w:color w:val="000000" w:themeColor="text1"/>
          <w:szCs w:val="24"/>
          <w:lang w:val="id-ID"/>
        </w:rPr>
        <w:t>Penelitian Terdahulu</w:t>
      </w:r>
    </w:p>
    <w:p w:rsidR="00467CAB" w:rsidRPr="002E2AC8" w:rsidRDefault="00467CAB" w:rsidP="005863D9">
      <w:pPr>
        <w:pStyle w:val="ListParagraph"/>
        <w:widowControl w:val="0"/>
        <w:numPr>
          <w:ilvl w:val="0"/>
          <w:numId w:val="10"/>
        </w:numPr>
        <w:autoSpaceDE w:val="0"/>
        <w:autoSpaceDN w:val="0"/>
        <w:spacing w:after="0" w:line="240" w:lineRule="auto"/>
        <w:ind w:left="993" w:hanging="284"/>
        <w:jc w:val="both"/>
        <w:rPr>
          <w:rFonts w:ascii="Times New Roman" w:eastAsia="Times New Roman" w:hAnsi="Times New Roman" w:cs="Times New Roman"/>
          <w:sz w:val="24"/>
          <w:szCs w:val="24"/>
          <w:lang w:val="id-ID"/>
        </w:rPr>
      </w:pPr>
      <w:r w:rsidRPr="002E2AC8">
        <w:rPr>
          <w:rFonts w:ascii="Times New Roman" w:eastAsia="Times New Roman" w:hAnsi="Times New Roman" w:cs="Times New Roman"/>
          <w:sz w:val="24"/>
          <w:szCs w:val="24"/>
          <w:lang w:val="id-ID"/>
        </w:rPr>
        <w:t xml:space="preserve">Pada penelitian yang disusun oleh Nur Artyka (2015). Berdasarkan hasil penelitian yang telah dilakukan pada PT Bank Rakyat Indonesia dengan menggunakan metode RGEC ini menunjukkan predikat kesehatan bank pada periode 2011-2013 secara keseluruhan sangat sehat. Tingkat Kesehatan Bank ditinjau dari aspek </w:t>
      </w:r>
      <w:r w:rsidRPr="002E2AC8">
        <w:rPr>
          <w:rFonts w:ascii="Times New Roman" w:eastAsia="Times New Roman" w:hAnsi="Times New Roman" w:cs="Times New Roman"/>
          <w:i/>
          <w:sz w:val="24"/>
          <w:szCs w:val="24"/>
          <w:lang w:val="id-ID"/>
        </w:rPr>
        <w:t xml:space="preserve">risk profile, earnings, good corporate governance, </w:t>
      </w:r>
      <w:r w:rsidRPr="002E2AC8">
        <w:rPr>
          <w:rFonts w:ascii="Times New Roman" w:eastAsia="Times New Roman" w:hAnsi="Times New Roman" w:cs="Times New Roman"/>
          <w:sz w:val="24"/>
          <w:szCs w:val="24"/>
          <w:lang w:val="id-ID"/>
        </w:rPr>
        <w:t>dan</w:t>
      </w:r>
      <w:r w:rsidRPr="002E2AC8">
        <w:rPr>
          <w:rFonts w:ascii="Times New Roman" w:eastAsia="Times New Roman" w:hAnsi="Times New Roman" w:cs="Times New Roman"/>
          <w:i/>
          <w:sz w:val="24"/>
          <w:szCs w:val="24"/>
          <w:lang w:val="id-ID"/>
        </w:rPr>
        <w:t xml:space="preserve"> capital</w:t>
      </w:r>
      <w:r w:rsidRPr="002E2AC8">
        <w:rPr>
          <w:rFonts w:ascii="Times New Roman" w:eastAsia="Times New Roman" w:hAnsi="Times New Roman" w:cs="Times New Roman"/>
          <w:sz w:val="24"/>
          <w:szCs w:val="24"/>
          <w:lang w:val="id-ID"/>
        </w:rPr>
        <w:t xml:space="preserve"> pada Bank Rakyat Indonesia tahun 2011, 2012, dan 2013 sangat sehat sehingga dinilai sangat mampu menghadapi pengaruh negatif yang signifikan dari perubahan kondisi bisnis dan faktor eksternal lainnya tercermin dari peringkat faktor-faktor penilaian antara lain profil risiko, rentabilitas, dan permodalan secara umum sangat baik.</w:t>
      </w:r>
    </w:p>
    <w:p w:rsidR="00467CAB" w:rsidRPr="002E2AC8" w:rsidRDefault="00467CAB" w:rsidP="005863D9">
      <w:pPr>
        <w:pStyle w:val="ListParagraph"/>
        <w:widowControl w:val="0"/>
        <w:numPr>
          <w:ilvl w:val="0"/>
          <w:numId w:val="10"/>
        </w:numPr>
        <w:autoSpaceDE w:val="0"/>
        <w:autoSpaceDN w:val="0"/>
        <w:spacing w:after="0" w:line="240" w:lineRule="auto"/>
        <w:ind w:left="993" w:hanging="284"/>
        <w:jc w:val="both"/>
        <w:rPr>
          <w:rFonts w:ascii="Times New Roman" w:eastAsia="Times New Roman" w:hAnsi="Times New Roman" w:cs="Times New Roman"/>
          <w:sz w:val="24"/>
          <w:szCs w:val="24"/>
          <w:lang w:val="id-ID"/>
        </w:rPr>
      </w:pPr>
      <w:r w:rsidRPr="002E2AC8">
        <w:rPr>
          <w:rFonts w:ascii="Times New Roman" w:eastAsia="Times New Roman" w:hAnsi="Times New Roman" w:cs="Times New Roman"/>
          <w:sz w:val="24"/>
          <w:szCs w:val="24"/>
          <w:lang w:val="id-ID"/>
        </w:rPr>
        <w:t>Pada penelitian yang dilakukan oleh Rina Trisnawati &amp; Ardian Eka Puspita (2014) dalam jurnal yang berjudul “Analisis Tingkat Kesehatan Bank dengan Menggunakan Metode RGEC Pada Bank BUMN yang Terdaftar di Bursa Efek Indonesia Tahun 2011 -2012”. Berdasarkan hasil penelitian menunjukkan bahwa Tingkat kesehatan pada bank BNI, BRI dan Mandiri selama periode tahun 2011-2012 dengan metode RGEC secara keseluruhan memiliki predikat sangat sehat. Hal tersebut dibuktikan dengan perolehan peringkat komposit tingkat kesehatan bank untuk setiap bank yang dijadikan sampel selama periode tahun 2011-2012 berada pada PK-1.</w:t>
      </w:r>
    </w:p>
    <w:p w:rsidR="00467CAB" w:rsidRPr="002E2AC8" w:rsidRDefault="00467CAB" w:rsidP="00B062A8">
      <w:pPr>
        <w:pStyle w:val="ListParagraph"/>
        <w:widowControl w:val="0"/>
        <w:tabs>
          <w:tab w:val="left" w:pos="0"/>
        </w:tabs>
        <w:autoSpaceDE w:val="0"/>
        <w:autoSpaceDN w:val="0"/>
        <w:spacing w:after="0" w:line="240" w:lineRule="auto"/>
        <w:ind w:left="0"/>
        <w:jc w:val="both"/>
        <w:rPr>
          <w:rFonts w:ascii="Times New Roman" w:eastAsia="Times New Roman" w:hAnsi="Times New Roman" w:cs="Times New Roman"/>
          <w:b/>
          <w:sz w:val="24"/>
          <w:szCs w:val="24"/>
          <w:lang w:val="id-ID"/>
        </w:rPr>
      </w:pPr>
    </w:p>
    <w:p w:rsidR="00467CAB" w:rsidRPr="002E2AC8" w:rsidRDefault="00672A9C" w:rsidP="005863D9">
      <w:pPr>
        <w:pStyle w:val="ListParagraph"/>
        <w:widowControl w:val="0"/>
        <w:tabs>
          <w:tab w:val="left" w:pos="0"/>
        </w:tabs>
        <w:autoSpaceDE w:val="0"/>
        <w:autoSpaceDN w:val="0"/>
        <w:spacing w:after="0" w:line="240" w:lineRule="auto"/>
        <w:ind w:left="0"/>
        <w:jc w:val="both"/>
        <w:rPr>
          <w:rFonts w:ascii="Times New Roman" w:eastAsia="Times New Roman" w:hAnsi="Times New Roman" w:cs="Times New Roman"/>
          <w:b/>
          <w:sz w:val="24"/>
          <w:szCs w:val="24"/>
          <w:lang w:val="id-ID"/>
        </w:rPr>
      </w:pPr>
      <w:r w:rsidRPr="002E2AC8">
        <w:rPr>
          <w:rFonts w:ascii="Times New Roman" w:eastAsia="Times New Roman" w:hAnsi="Times New Roman" w:cs="Times New Roman"/>
          <w:b/>
          <w:sz w:val="24"/>
          <w:szCs w:val="24"/>
          <w:lang w:val="id-ID"/>
        </w:rPr>
        <w:t>METODE PENELITIAN</w:t>
      </w:r>
    </w:p>
    <w:p w:rsidR="00672A9C" w:rsidRPr="002E2AC8" w:rsidRDefault="00672A9C" w:rsidP="005863D9">
      <w:pPr>
        <w:pStyle w:val="ListParagraph"/>
        <w:widowControl w:val="0"/>
        <w:numPr>
          <w:ilvl w:val="0"/>
          <w:numId w:val="14"/>
        </w:numPr>
        <w:tabs>
          <w:tab w:val="left" w:pos="0"/>
        </w:tabs>
        <w:autoSpaceDE w:val="0"/>
        <w:autoSpaceDN w:val="0"/>
        <w:spacing w:after="0" w:line="240" w:lineRule="auto"/>
        <w:ind w:left="284" w:hanging="284"/>
        <w:jc w:val="both"/>
        <w:rPr>
          <w:rFonts w:ascii="Times New Roman" w:eastAsia="Times New Roman" w:hAnsi="Times New Roman" w:cs="Times New Roman"/>
          <w:b/>
          <w:sz w:val="24"/>
          <w:szCs w:val="24"/>
          <w:lang w:val="id-ID"/>
        </w:rPr>
      </w:pPr>
      <w:r w:rsidRPr="002E2AC8">
        <w:rPr>
          <w:rFonts w:ascii="Times New Roman" w:eastAsia="Times New Roman" w:hAnsi="Times New Roman" w:cs="Times New Roman"/>
          <w:b/>
          <w:sz w:val="24"/>
          <w:szCs w:val="24"/>
          <w:lang w:val="id-ID"/>
        </w:rPr>
        <w:t>Jenis Penelitian</w:t>
      </w:r>
      <w:r w:rsidR="00DA033E" w:rsidRPr="002E2AC8">
        <w:rPr>
          <w:rFonts w:ascii="Times New Roman" w:eastAsia="Times New Roman" w:hAnsi="Times New Roman" w:cs="Times New Roman"/>
          <w:b/>
          <w:sz w:val="24"/>
          <w:szCs w:val="24"/>
          <w:lang w:val="id-ID"/>
        </w:rPr>
        <w:t xml:space="preserve"> dan Teknik Pengumpulan Data</w:t>
      </w:r>
    </w:p>
    <w:p w:rsidR="00672A9C" w:rsidRPr="002E2AC8" w:rsidRDefault="00672A9C" w:rsidP="005863D9">
      <w:pPr>
        <w:pStyle w:val="Default"/>
        <w:ind w:left="284" w:firstLine="567"/>
        <w:rPr>
          <w:rFonts w:ascii="Times New Roman" w:hAnsi="Times New Roman" w:cs="Times New Roman"/>
        </w:rPr>
      </w:pPr>
      <w:r w:rsidRPr="002E2AC8">
        <w:rPr>
          <w:rFonts w:ascii="Times New Roman" w:hAnsi="Times New Roman" w:cs="Times New Roman"/>
        </w:rPr>
        <w:t xml:space="preserve">Jenis penelitian yang digunakan dalam penelitian ini adalah penelitian deskriptif dengan pendekatan kuantitatif yaitu dengan cara Laporan Keuangan perusahaan dianalisis dan ditabulasikan sesuai dengan kategori perusahaan perbankan tersebut. </w:t>
      </w:r>
    </w:p>
    <w:p w:rsidR="00DA033E" w:rsidRPr="002E2AC8" w:rsidRDefault="00DA033E" w:rsidP="005863D9">
      <w:pPr>
        <w:spacing w:line="240" w:lineRule="auto"/>
        <w:ind w:left="284" w:firstLine="567"/>
        <w:jc w:val="both"/>
        <w:rPr>
          <w:rFonts w:ascii="Times New Roman" w:hAnsi="Times New Roman" w:cs="Times New Roman"/>
          <w:sz w:val="24"/>
          <w:szCs w:val="24"/>
          <w:lang w:val="id-ID"/>
        </w:rPr>
      </w:pPr>
      <w:proofErr w:type="gramStart"/>
      <w:r w:rsidRPr="00DA033E">
        <w:rPr>
          <w:rFonts w:ascii="Times New Roman" w:hAnsi="Times New Roman" w:cs="Times New Roman"/>
          <w:sz w:val="24"/>
          <w:szCs w:val="24"/>
        </w:rPr>
        <w:t xml:space="preserve">Untuk memperoleh data yang dibutuhkan dalam penelitian ini, digunakan teknik observasi non partisipan yaitu teknik pengumpulan data atau pengamatan peneliti tidak terlibat langsung dan hanya sebagai pengamat dengan melihat laporan keuangan yang dipublikasikan oleh perusahaan sampel melalui situs resmi </w:t>
      </w:r>
      <w:r w:rsidRPr="00DA033E">
        <w:rPr>
          <w:rFonts w:ascii="Times New Roman" w:hAnsi="Times New Roman" w:cs="Times New Roman"/>
          <w:i/>
          <w:sz w:val="24"/>
          <w:szCs w:val="24"/>
        </w:rPr>
        <w:t>www.idx.co.id</w:t>
      </w:r>
      <w:r w:rsidRPr="00DA033E">
        <w:rPr>
          <w:rFonts w:ascii="Times New Roman" w:hAnsi="Times New Roman" w:cs="Times New Roman"/>
          <w:sz w:val="24"/>
          <w:szCs w:val="24"/>
        </w:rPr>
        <w:t xml:space="preserve"> dari tahun 201</w:t>
      </w:r>
      <w:r w:rsidRPr="00DA033E">
        <w:rPr>
          <w:rFonts w:ascii="Times New Roman" w:hAnsi="Times New Roman" w:cs="Times New Roman"/>
          <w:sz w:val="24"/>
          <w:szCs w:val="24"/>
          <w:lang w:val="id-ID"/>
        </w:rPr>
        <w:t>4</w:t>
      </w:r>
      <w:r w:rsidRPr="00DA033E">
        <w:rPr>
          <w:rFonts w:ascii="Times New Roman" w:hAnsi="Times New Roman" w:cs="Times New Roman"/>
          <w:sz w:val="24"/>
          <w:szCs w:val="24"/>
        </w:rPr>
        <w:t xml:space="preserve"> – 201</w:t>
      </w:r>
      <w:r w:rsidRPr="00DA033E">
        <w:rPr>
          <w:rFonts w:ascii="Times New Roman" w:hAnsi="Times New Roman" w:cs="Times New Roman"/>
          <w:sz w:val="24"/>
          <w:szCs w:val="24"/>
          <w:lang w:val="id-ID"/>
        </w:rPr>
        <w:t>6</w:t>
      </w:r>
      <w:r w:rsidRPr="00DA033E">
        <w:rPr>
          <w:rFonts w:ascii="Times New Roman" w:hAnsi="Times New Roman" w:cs="Times New Roman"/>
          <w:sz w:val="24"/>
          <w:szCs w:val="24"/>
        </w:rPr>
        <w:t>.</w:t>
      </w:r>
      <w:proofErr w:type="gramEnd"/>
    </w:p>
    <w:p w:rsidR="00DA033E" w:rsidRPr="002E2AC8" w:rsidRDefault="005F1FD5" w:rsidP="004E1F96">
      <w:pPr>
        <w:pStyle w:val="ListParagraph"/>
        <w:numPr>
          <w:ilvl w:val="0"/>
          <w:numId w:val="14"/>
        </w:numPr>
        <w:spacing w:after="0" w:line="240" w:lineRule="auto"/>
        <w:ind w:left="284" w:hanging="284"/>
        <w:jc w:val="both"/>
        <w:rPr>
          <w:rFonts w:ascii="Times New Roman" w:hAnsi="Times New Roman" w:cs="Times New Roman"/>
          <w:b/>
          <w:sz w:val="24"/>
          <w:szCs w:val="24"/>
          <w:lang w:val="id-ID"/>
        </w:rPr>
      </w:pPr>
      <w:r w:rsidRPr="002E2AC8">
        <w:rPr>
          <w:rFonts w:ascii="Times New Roman" w:hAnsi="Times New Roman" w:cs="Times New Roman"/>
          <w:b/>
          <w:sz w:val="24"/>
          <w:szCs w:val="24"/>
          <w:lang w:val="id-ID"/>
        </w:rPr>
        <w:t>Devinisi Operasional Variabel</w:t>
      </w:r>
    </w:p>
    <w:p w:rsidR="005F1FD5" w:rsidRDefault="005F1FD5" w:rsidP="004E1F96">
      <w:pPr>
        <w:autoSpaceDE w:val="0"/>
        <w:autoSpaceDN w:val="0"/>
        <w:adjustRightInd w:val="0"/>
        <w:spacing w:after="0" w:line="240" w:lineRule="auto"/>
        <w:ind w:left="284" w:firstLine="567"/>
        <w:rPr>
          <w:rFonts w:ascii="Times New Roman" w:hAnsi="Times New Roman" w:cs="Times New Roman"/>
          <w:color w:val="000000"/>
          <w:sz w:val="24"/>
          <w:szCs w:val="24"/>
          <w:lang w:val="id-ID"/>
        </w:rPr>
      </w:pPr>
      <w:r w:rsidRPr="005F1FD5">
        <w:rPr>
          <w:rFonts w:ascii="Times New Roman" w:hAnsi="Times New Roman" w:cs="Times New Roman"/>
          <w:color w:val="000000"/>
          <w:sz w:val="24"/>
          <w:szCs w:val="24"/>
          <w:lang w:val="id-ID"/>
        </w:rPr>
        <w:t>Variabel dan pengukuran ini berfungsi untuk membatasi informasi yang tidak berkaitan dengan penelitian. Adapun yang menjadi variabel dan penguku</w:t>
      </w:r>
      <w:r w:rsidR="0082268A">
        <w:rPr>
          <w:rFonts w:ascii="Times New Roman" w:hAnsi="Times New Roman" w:cs="Times New Roman"/>
          <w:color w:val="000000"/>
          <w:sz w:val="24"/>
          <w:szCs w:val="24"/>
          <w:lang w:val="id-ID"/>
        </w:rPr>
        <w:t>ran dalam penelitian ini adalah:</w:t>
      </w:r>
    </w:p>
    <w:p w:rsidR="0082268A" w:rsidRDefault="0082268A" w:rsidP="004E1F96">
      <w:pPr>
        <w:autoSpaceDE w:val="0"/>
        <w:autoSpaceDN w:val="0"/>
        <w:adjustRightInd w:val="0"/>
        <w:spacing w:after="0" w:line="240" w:lineRule="auto"/>
        <w:ind w:left="284" w:firstLine="567"/>
        <w:rPr>
          <w:rFonts w:ascii="Times New Roman" w:hAnsi="Times New Roman" w:cs="Times New Roman"/>
          <w:color w:val="000000"/>
          <w:sz w:val="24"/>
          <w:szCs w:val="24"/>
          <w:lang w:val="id-ID"/>
        </w:rPr>
      </w:pPr>
    </w:p>
    <w:p w:rsidR="0082268A" w:rsidRDefault="0082268A" w:rsidP="004E1F96">
      <w:pPr>
        <w:autoSpaceDE w:val="0"/>
        <w:autoSpaceDN w:val="0"/>
        <w:adjustRightInd w:val="0"/>
        <w:spacing w:after="0" w:line="240" w:lineRule="auto"/>
        <w:ind w:left="284" w:firstLine="567"/>
        <w:rPr>
          <w:rFonts w:ascii="Times New Roman" w:hAnsi="Times New Roman" w:cs="Times New Roman"/>
          <w:color w:val="000000"/>
          <w:sz w:val="24"/>
          <w:szCs w:val="24"/>
          <w:lang w:val="id-ID"/>
        </w:rPr>
      </w:pPr>
    </w:p>
    <w:p w:rsidR="0082268A" w:rsidRDefault="0082268A" w:rsidP="004E1F96">
      <w:pPr>
        <w:autoSpaceDE w:val="0"/>
        <w:autoSpaceDN w:val="0"/>
        <w:adjustRightInd w:val="0"/>
        <w:spacing w:after="0" w:line="240" w:lineRule="auto"/>
        <w:ind w:left="284" w:firstLine="567"/>
        <w:rPr>
          <w:rFonts w:ascii="Times New Roman" w:hAnsi="Times New Roman" w:cs="Times New Roman"/>
          <w:color w:val="000000"/>
          <w:sz w:val="24"/>
          <w:szCs w:val="24"/>
          <w:lang w:val="id-ID"/>
        </w:rPr>
      </w:pPr>
    </w:p>
    <w:p w:rsidR="0082268A" w:rsidRPr="005F1FD5" w:rsidRDefault="0082268A" w:rsidP="004E1F96">
      <w:pPr>
        <w:autoSpaceDE w:val="0"/>
        <w:autoSpaceDN w:val="0"/>
        <w:adjustRightInd w:val="0"/>
        <w:spacing w:after="0" w:line="240" w:lineRule="auto"/>
        <w:ind w:left="284" w:firstLine="567"/>
        <w:rPr>
          <w:rFonts w:ascii="Times New Roman" w:hAnsi="Times New Roman" w:cs="Times New Roman"/>
          <w:color w:val="000000"/>
          <w:sz w:val="24"/>
          <w:szCs w:val="24"/>
          <w:lang w:val="id-ID"/>
        </w:rPr>
      </w:pPr>
      <w:bookmarkStart w:id="0" w:name="_GoBack"/>
      <w:bookmarkEnd w:id="0"/>
    </w:p>
    <w:p w:rsidR="005F1FD5" w:rsidRPr="002E2AC8" w:rsidRDefault="005F1FD5" w:rsidP="00B062A8">
      <w:pPr>
        <w:pStyle w:val="ListParagraph"/>
        <w:numPr>
          <w:ilvl w:val="0"/>
          <w:numId w:val="15"/>
        </w:numPr>
        <w:autoSpaceDE w:val="0"/>
        <w:autoSpaceDN w:val="0"/>
        <w:adjustRightInd w:val="0"/>
        <w:spacing w:after="0"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lastRenderedPageBreak/>
        <w:t xml:space="preserve"> Faktor </w:t>
      </w:r>
      <w:r w:rsidRPr="002E2AC8">
        <w:rPr>
          <w:rFonts w:ascii="Times New Roman" w:hAnsi="Times New Roman" w:cs="Times New Roman"/>
          <w:b/>
          <w:i/>
          <w:iCs/>
          <w:color w:val="000000"/>
          <w:sz w:val="24"/>
          <w:szCs w:val="24"/>
          <w:lang w:val="id-ID"/>
        </w:rPr>
        <w:t xml:space="preserve">Risk Profile </w:t>
      </w:r>
      <w:r w:rsidRPr="002E2AC8">
        <w:rPr>
          <w:rFonts w:ascii="Times New Roman" w:hAnsi="Times New Roman" w:cs="Times New Roman"/>
          <w:b/>
          <w:color w:val="000000"/>
          <w:sz w:val="24"/>
          <w:szCs w:val="24"/>
          <w:lang w:val="id-ID"/>
        </w:rPr>
        <w:t xml:space="preserve">(Profil Risiko) </w:t>
      </w:r>
    </w:p>
    <w:p w:rsidR="005F1FD5" w:rsidRPr="005F1FD5" w:rsidRDefault="005F1FD5" w:rsidP="005863D9">
      <w:pPr>
        <w:spacing w:after="0" w:line="240" w:lineRule="auto"/>
        <w:ind w:left="567" w:firstLine="567"/>
        <w:jc w:val="both"/>
        <w:rPr>
          <w:rFonts w:ascii="Times New Roman" w:hAnsi="Times New Roman" w:cs="Times New Roman"/>
          <w:sz w:val="24"/>
          <w:szCs w:val="24"/>
          <w:lang w:val="id-ID"/>
        </w:rPr>
      </w:pPr>
      <w:r w:rsidRPr="002E2AC8">
        <w:rPr>
          <w:rFonts w:ascii="Times New Roman" w:hAnsi="Times New Roman" w:cs="Times New Roman"/>
          <w:color w:val="000000"/>
          <w:sz w:val="24"/>
          <w:szCs w:val="24"/>
          <w:lang w:val="id-ID"/>
        </w:rPr>
        <w:t xml:space="preserve">Faktor Risk Profile dengan menggunakan indikator pengukuran pada faktor risiko kredit (dengan menggunakan rumus </w:t>
      </w:r>
      <w:r w:rsidRPr="002E2AC8">
        <w:rPr>
          <w:rFonts w:ascii="Times New Roman" w:hAnsi="Times New Roman" w:cs="Times New Roman"/>
          <w:i/>
          <w:iCs/>
          <w:color w:val="000000"/>
          <w:sz w:val="24"/>
          <w:szCs w:val="24"/>
          <w:lang w:val="id-ID"/>
        </w:rPr>
        <w:t>Non Performing Loan</w:t>
      </w:r>
      <w:r w:rsidRPr="002E2AC8">
        <w:rPr>
          <w:rFonts w:ascii="Times New Roman" w:hAnsi="Times New Roman" w:cs="Times New Roman"/>
          <w:color w:val="000000"/>
          <w:sz w:val="24"/>
          <w:szCs w:val="24"/>
          <w:lang w:val="id-ID"/>
        </w:rPr>
        <w:t xml:space="preserve">/NPL), risiko pasar (dengan menggunakan rumus </w:t>
      </w:r>
      <w:r w:rsidRPr="002E2AC8">
        <w:rPr>
          <w:rFonts w:ascii="Times New Roman" w:hAnsi="Times New Roman" w:cs="Times New Roman"/>
          <w:i/>
          <w:iCs/>
          <w:color w:val="000000"/>
          <w:sz w:val="24"/>
          <w:szCs w:val="24"/>
          <w:lang w:val="id-ID"/>
        </w:rPr>
        <w:t>Interest Rate Risk</w:t>
      </w:r>
      <w:r w:rsidRPr="002E2AC8">
        <w:rPr>
          <w:rFonts w:ascii="Times New Roman" w:hAnsi="Times New Roman" w:cs="Times New Roman"/>
          <w:color w:val="000000"/>
          <w:sz w:val="24"/>
          <w:szCs w:val="24"/>
          <w:lang w:val="id-ID"/>
        </w:rPr>
        <w:t xml:space="preserve">/IRR), dan risiko likuiditas (dengan menggunakan rumus </w:t>
      </w:r>
      <w:r w:rsidRPr="002E2AC8">
        <w:rPr>
          <w:rFonts w:ascii="Times New Roman" w:hAnsi="Times New Roman" w:cs="Times New Roman"/>
          <w:i/>
          <w:iCs/>
          <w:color w:val="000000"/>
          <w:sz w:val="24"/>
          <w:szCs w:val="24"/>
          <w:lang w:val="id-ID"/>
        </w:rPr>
        <w:t>Loan to Deposit Ratio</w:t>
      </w:r>
      <w:r w:rsidRPr="002E2AC8">
        <w:rPr>
          <w:rFonts w:ascii="Times New Roman" w:hAnsi="Times New Roman" w:cs="Times New Roman"/>
          <w:color w:val="000000"/>
          <w:sz w:val="24"/>
          <w:szCs w:val="24"/>
          <w:lang w:val="id-ID"/>
        </w:rPr>
        <w:t xml:space="preserve">/LDR, </w:t>
      </w:r>
      <w:r w:rsidRPr="002E2AC8">
        <w:rPr>
          <w:rFonts w:ascii="Times New Roman" w:hAnsi="Times New Roman" w:cs="Times New Roman"/>
          <w:i/>
          <w:iCs/>
          <w:color w:val="000000"/>
          <w:sz w:val="24"/>
          <w:szCs w:val="24"/>
          <w:lang w:val="id-ID"/>
        </w:rPr>
        <w:t>Loan to Assets Ratio</w:t>
      </w:r>
      <w:r w:rsidRPr="002E2AC8">
        <w:rPr>
          <w:rFonts w:ascii="Times New Roman" w:hAnsi="Times New Roman" w:cs="Times New Roman"/>
          <w:color w:val="000000"/>
          <w:sz w:val="24"/>
          <w:szCs w:val="24"/>
          <w:lang w:val="id-ID"/>
        </w:rPr>
        <w:t xml:space="preserve">/LAR, dan </w:t>
      </w:r>
      <w:r w:rsidRPr="002E2AC8">
        <w:rPr>
          <w:rFonts w:ascii="Times New Roman" w:hAnsi="Times New Roman" w:cs="Times New Roman"/>
          <w:i/>
          <w:iCs/>
          <w:color w:val="000000"/>
          <w:sz w:val="24"/>
          <w:szCs w:val="24"/>
          <w:lang w:val="id-ID"/>
        </w:rPr>
        <w:t>Cash Ratio</w:t>
      </w:r>
      <w:r w:rsidRPr="002E2AC8">
        <w:rPr>
          <w:rFonts w:ascii="Times New Roman" w:hAnsi="Times New Roman" w:cs="Times New Roman"/>
          <w:color w:val="000000"/>
          <w:sz w:val="24"/>
          <w:szCs w:val="24"/>
          <w:lang w:val="id-ID"/>
        </w:rPr>
        <w:t>) saja dikarenakan pada risiko tersebut peneliti dapat memperoleh data kuantitatif yang tidak dapat diperoleh pada faktor risiko operasional, risiko hukum, risiko stratejik, risiko kepatuhan dan risiko reputasi.</w:t>
      </w:r>
    </w:p>
    <w:p w:rsidR="005F1FD5" w:rsidRPr="002E2AC8" w:rsidRDefault="005F1FD5" w:rsidP="005863D9">
      <w:pPr>
        <w:pStyle w:val="ListParagraph"/>
        <w:numPr>
          <w:ilvl w:val="0"/>
          <w:numId w:val="15"/>
        </w:numPr>
        <w:autoSpaceDE w:val="0"/>
        <w:autoSpaceDN w:val="0"/>
        <w:adjustRightInd w:val="0"/>
        <w:spacing w:after="0"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 xml:space="preserve">Faktor </w:t>
      </w:r>
      <w:r w:rsidRPr="002E2AC8">
        <w:rPr>
          <w:rFonts w:ascii="Times New Roman" w:hAnsi="Times New Roman" w:cs="Times New Roman"/>
          <w:b/>
          <w:i/>
          <w:iCs/>
          <w:color w:val="000000"/>
          <w:sz w:val="24"/>
          <w:szCs w:val="24"/>
          <w:lang w:val="id-ID"/>
        </w:rPr>
        <w:t xml:space="preserve">Good Corporate Governance </w:t>
      </w:r>
      <w:r w:rsidRPr="002E2AC8">
        <w:rPr>
          <w:rFonts w:ascii="Times New Roman" w:hAnsi="Times New Roman" w:cs="Times New Roman"/>
          <w:b/>
          <w:color w:val="000000"/>
          <w:sz w:val="24"/>
          <w:szCs w:val="24"/>
          <w:lang w:val="id-ID"/>
        </w:rPr>
        <w:t xml:space="preserve">(GCG) </w:t>
      </w:r>
    </w:p>
    <w:p w:rsidR="005F1FD5" w:rsidRPr="005F1FD5" w:rsidRDefault="005F1FD5" w:rsidP="005863D9">
      <w:pPr>
        <w:autoSpaceDE w:val="0"/>
        <w:autoSpaceDN w:val="0"/>
        <w:adjustRightInd w:val="0"/>
        <w:spacing w:after="0" w:line="240" w:lineRule="auto"/>
        <w:ind w:left="567" w:firstLine="567"/>
        <w:rPr>
          <w:rFonts w:ascii="Times New Roman" w:hAnsi="Times New Roman" w:cs="Times New Roman"/>
          <w:color w:val="000000"/>
          <w:sz w:val="24"/>
          <w:szCs w:val="24"/>
          <w:lang w:val="id-ID"/>
        </w:rPr>
      </w:pPr>
      <w:r w:rsidRPr="005F1FD5">
        <w:rPr>
          <w:rFonts w:ascii="Times New Roman" w:hAnsi="Times New Roman" w:cs="Times New Roman"/>
          <w:color w:val="000000"/>
          <w:sz w:val="24"/>
          <w:szCs w:val="24"/>
          <w:lang w:val="id-ID"/>
        </w:rPr>
        <w:t xml:space="preserve">Faktor </w:t>
      </w:r>
      <w:r w:rsidRPr="005F1FD5">
        <w:rPr>
          <w:rFonts w:ascii="Times New Roman" w:hAnsi="Times New Roman" w:cs="Times New Roman"/>
          <w:i/>
          <w:iCs/>
          <w:color w:val="000000"/>
          <w:sz w:val="24"/>
          <w:szCs w:val="24"/>
          <w:lang w:val="id-ID"/>
        </w:rPr>
        <w:t xml:space="preserve">Good Corporate Governance </w:t>
      </w:r>
      <w:r w:rsidRPr="005F1FD5">
        <w:rPr>
          <w:rFonts w:ascii="Times New Roman" w:hAnsi="Times New Roman" w:cs="Times New Roman"/>
          <w:color w:val="000000"/>
          <w:sz w:val="24"/>
          <w:szCs w:val="24"/>
          <w:lang w:val="id-ID"/>
        </w:rPr>
        <w:t xml:space="preserve">dengan menganalisis Laporan </w:t>
      </w:r>
      <w:r w:rsidRPr="005F1FD5">
        <w:rPr>
          <w:rFonts w:ascii="Times New Roman" w:hAnsi="Times New Roman" w:cs="Times New Roman"/>
          <w:i/>
          <w:iCs/>
          <w:color w:val="000000"/>
          <w:sz w:val="24"/>
          <w:szCs w:val="24"/>
          <w:lang w:val="id-ID"/>
        </w:rPr>
        <w:t xml:space="preserve">Good Coporate Governance </w:t>
      </w:r>
      <w:r w:rsidRPr="005F1FD5">
        <w:rPr>
          <w:rFonts w:ascii="Times New Roman" w:hAnsi="Times New Roman" w:cs="Times New Roman"/>
          <w:color w:val="000000"/>
          <w:sz w:val="24"/>
          <w:szCs w:val="24"/>
          <w:lang w:val="id-ID"/>
        </w:rPr>
        <w:t xml:space="preserve">berdasarkan atas aspek penilaian yang mengacu pada ketentuan Bank Indonesia mengenai Bank Umum. </w:t>
      </w:r>
    </w:p>
    <w:p w:rsidR="005F1FD5" w:rsidRPr="002E2AC8" w:rsidRDefault="005F1FD5" w:rsidP="005863D9">
      <w:pPr>
        <w:pStyle w:val="ListParagraph"/>
        <w:numPr>
          <w:ilvl w:val="0"/>
          <w:numId w:val="15"/>
        </w:numPr>
        <w:autoSpaceDE w:val="0"/>
        <w:autoSpaceDN w:val="0"/>
        <w:adjustRightInd w:val="0"/>
        <w:spacing w:after="0"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 xml:space="preserve">Faktor </w:t>
      </w:r>
      <w:r w:rsidRPr="002E2AC8">
        <w:rPr>
          <w:rFonts w:ascii="Times New Roman" w:hAnsi="Times New Roman" w:cs="Times New Roman"/>
          <w:b/>
          <w:i/>
          <w:iCs/>
          <w:color w:val="000000"/>
          <w:sz w:val="24"/>
          <w:szCs w:val="24"/>
          <w:lang w:val="id-ID"/>
        </w:rPr>
        <w:t xml:space="preserve">Earnings </w:t>
      </w:r>
      <w:r w:rsidRPr="002E2AC8">
        <w:rPr>
          <w:rFonts w:ascii="Times New Roman" w:hAnsi="Times New Roman" w:cs="Times New Roman"/>
          <w:b/>
          <w:color w:val="000000"/>
          <w:sz w:val="24"/>
          <w:szCs w:val="24"/>
          <w:lang w:val="id-ID"/>
        </w:rPr>
        <w:t xml:space="preserve">(Rentabilitas) </w:t>
      </w:r>
    </w:p>
    <w:p w:rsidR="005F1FD5" w:rsidRPr="005F1FD5" w:rsidRDefault="005F1FD5" w:rsidP="005863D9">
      <w:pPr>
        <w:autoSpaceDE w:val="0"/>
        <w:autoSpaceDN w:val="0"/>
        <w:adjustRightInd w:val="0"/>
        <w:spacing w:after="0" w:line="240" w:lineRule="auto"/>
        <w:ind w:left="567" w:firstLine="567"/>
        <w:rPr>
          <w:rFonts w:ascii="Times New Roman" w:hAnsi="Times New Roman" w:cs="Times New Roman"/>
          <w:color w:val="000000"/>
          <w:sz w:val="24"/>
          <w:szCs w:val="24"/>
          <w:lang w:val="id-ID"/>
        </w:rPr>
      </w:pPr>
      <w:r w:rsidRPr="005F1FD5">
        <w:rPr>
          <w:rFonts w:ascii="Times New Roman" w:hAnsi="Times New Roman" w:cs="Times New Roman"/>
          <w:i/>
          <w:iCs/>
          <w:color w:val="000000"/>
          <w:sz w:val="24"/>
          <w:szCs w:val="24"/>
          <w:lang w:val="id-ID"/>
        </w:rPr>
        <w:t xml:space="preserve">Earning </w:t>
      </w:r>
      <w:r w:rsidRPr="005F1FD5">
        <w:rPr>
          <w:rFonts w:ascii="Times New Roman" w:hAnsi="Times New Roman" w:cs="Times New Roman"/>
          <w:color w:val="000000"/>
          <w:sz w:val="24"/>
          <w:szCs w:val="24"/>
          <w:lang w:val="id-ID"/>
        </w:rPr>
        <w:t xml:space="preserve">yaitu penilaian kemampuan bank dalam menghasilkan laba dengan menggunakan rasio </w:t>
      </w:r>
      <w:r w:rsidRPr="005F1FD5">
        <w:rPr>
          <w:rFonts w:ascii="Times New Roman" w:hAnsi="Times New Roman" w:cs="Times New Roman"/>
          <w:i/>
          <w:iCs/>
          <w:color w:val="000000"/>
          <w:sz w:val="24"/>
          <w:szCs w:val="24"/>
          <w:lang w:val="id-ID"/>
        </w:rPr>
        <w:t xml:space="preserve">Return on Aseets </w:t>
      </w:r>
      <w:r w:rsidRPr="005F1FD5">
        <w:rPr>
          <w:rFonts w:ascii="Times New Roman" w:hAnsi="Times New Roman" w:cs="Times New Roman"/>
          <w:color w:val="000000"/>
          <w:sz w:val="24"/>
          <w:szCs w:val="24"/>
          <w:lang w:val="id-ID"/>
        </w:rPr>
        <w:t xml:space="preserve">(ROA) dan </w:t>
      </w:r>
      <w:r w:rsidRPr="005F1FD5">
        <w:rPr>
          <w:rFonts w:ascii="Times New Roman" w:hAnsi="Times New Roman" w:cs="Times New Roman"/>
          <w:i/>
          <w:iCs/>
          <w:color w:val="000000"/>
          <w:sz w:val="24"/>
          <w:szCs w:val="24"/>
          <w:lang w:val="id-ID"/>
        </w:rPr>
        <w:t xml:space="preserve">Net Interest Margin </w:t>
      </w:r>
      <w:r w:rsidRPr="005F1FD5">
        <w:rPr>
          <w:rFonts w:ascii="Times New Roman" w:hAnsi="Times New Roman" w:cs="Times New Roman"/>
          <w:color w:val="000000"/>
          <w:sz w:val="24"/>
          <w:szCs w:val="24"/>
          <w:lang w:val="id-ID"/>
        </w:rPr>
        <w:t xml:space="preserve">(NIM). </w:t>
      </w:r>
    </w:p>
    <w:p w:rsidR="005F1FD5" w:rsidRPr="002E2AC8" w:rsidRDefault="005F1FD5" w:rsidP="005863D9">
      <w:pPr>
        <w:pStyle w:val="ListParagraph"/>
        <w:numPr>
          <w:ilvl w:val="0"/>
          <w:numId w:val="15"/>
        </w:numPr>
        <w:autoSpaceDE w:val="0"/>
        <w:autoSpaceDN w:val="0"/>
        <w:adjustRightInd w:val="0"/>
        <w:spacing w:after="0"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 xml:space="preserve">Faktor </w:t>
      </w:r>
      <w:r w:rsidRPr="002E2AC8">
        <w:rPr>
          <w:rFonts w:ascii="Times New Roman" w:hAnsi="Times New Roman" w:cs="Times New Roman"/>
          <w:b/>
          <w:i/>
          <w:iCs/>
          <w:color w:val="000000"/>
          <w:sz w:val="24"/>
          <w:szCs w:val="24"/>
          <w:lang w:val="id-ID"/>
        </w:rPr>
        <w:t xml:space="preserve">Capital </w:t>
      </w:r>
      <w:r w:rsidRPr="002E2AC8">
        <w:rPr>
          <w:rFonts w:ascii="Times New Roman" w:hAnsi="Times New Roman" w:cs="Times New Roman"/>
          <w:b/>
          <w:color w:val="000000"/>
          <w:sz w:val="24"/>
          <w:szCs w:val="24"/>
          <w:lang w:val="id-ID"/>
        </w:rPr>
        <w:t xml:space="preserve">(Permodalan) </w:t>
      </w:r>
    </w:p>
    <w:p w:rsidR="005863D9" w:rsidRPr="002E2AC8" w:rsidRDefault="005F1FD5" w:rsidP="002E2AC8">
      <w:pPr>
        <w:pStyle w:val="ISI"/>
        <w:spacing w:after="0" w:line="240" w:lineRule="auto"/>
        <w:ind w:left="567" w:firstLine="567"/>
        <w:rPr>
          <w:rFonts w:cs="Times New Roman"/>
          <w:color w:val="000000"/>
          <w:szCs w:val="24"/>
          <w:lang w:val="id-ID"/>
        </w:rPr>
      </w:pPr>
      <w:r w:rsidRPr="002E2AC8">
        <w:rPr>
          <w:rFonts w:cs="Times New Roman"/>
          <w:i/>
          <w:iCs/>
          <w:color w:val="000000"/>
          <w:szCs w:val="24"/>
          <w:lang w:val="id-ID"/>
        </w:rPr>
        <w:t xml:space="preserve">Capital </w:t>
      </w:r>
      <w:r w:rsidRPr="002E2AC8">
        <w:rPr>
          <w:rFonts w:cs="Times New Roman"/>
          <w:color w:val="000000"/>
          <w:szCs w:val="24"/>
          <w:lang w:val="id-ID"/>
        </w:rPr>
        <w:t xml:space="preserve">(permodalan), yaitu metode penilaian bank berdasarkan permodalan yang dimiliki bank dengan menggunakan rasio </w:t>
      </w:r>
      <w:r w:rsidRPr="002E2AC8">
        <w:rPr>
          <w:rFonts w:cs="Times New Roman"/>
          <w:i/>
          <w:iCs/>
          <w:color w:val="000000"/>
          <w:szCs w:val="24"/>
          <w:lang w:val="id-ID"/>
        </w:rPr>
        <w:t xml:space="preserve">Capital Adequacy Ratio </w:t>
      </w:r>
      <w:r w:rsidRPr="002E2AC8">
        <w:rPr>
          <w:rFonts w:cs="Times New Roman"/>
          <w:color w:val="000000"/>
          <w:szCs w:val="24"/>
          <w:lang w:val="id-ID"/>
        </w:rPr>
        <w:t>(CAR).</w:t>
      </w:r>
    </w:p>
    <w:p w:rsidR="005F1FD5" w:rsidRPr="005F1FD5" w:rsidRDefault="005F1FD5" w:rsidP="005863D9">
      <w:pPr>
        <w:autoSpaceDE w:val="0"/>
        <w:autoSpaceDN w:val="0"/>
        <w:adjustRightInd w:val="0"/>
        <w:spacing w:after="0" w:line="240" w:lineRule="auto"/>
        <w:ind w:firstLine="851"/>
        <w:rPr>
          <w:rFonts w:ascii="Times New Roman" w:hAnsi="Times New Roman" w:cs="Times New Roman"/>
          <w:color w:val="000000"/>
          <w:sz w:val="24"/>
          <w:szCs w:val="24"/>
          <w:lang w:val="id-ID"/>
        </w:rPr>
      </w:pPr>
      <w:r w:rsidRPr="005F1FD5">
        <w:rPr>
          <w:rFonts w:ascii="Times New Roman" w:hAnsi="Times New Roman" w:cs="Times New Roman"/>
          <w:color w:val="000000"/>
          <w:sz w:val="24"/>
          <w:szCs w:val="24"/>
          <w:lang w:val="id-ID"/>
        </w:rPr>
        <w:t xml:space="preserve">Langkah-langkah analisis data dalam penelitian ini adalah sebagai berikut: </w:t>
      </w:r>
    </w:p>
    <w:p w:rsidR="005F1FD5" w:rsidRPr="002E2AC8" w:rsidRDefault="005F1FD5" w:rsidP="005863D9">
      <w:pPr>
        <w:pStyle w:val="ListParagraph"/>
        <w:numPr>
          <w:ilvl w:val="0"/>
          <w:numId w:val="16"/>
        </w:numPr>
        <w:autoSpaceDE w:val="0"/>
        <w:autoSpaceDN w:val="0"/>
        <w:adjustRightInd w:val="0"/>
        <w:spacing w:after="27"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 xml:space="preserve">Analisis profile Risiko </w:t>
      </w:r>
      <w:r w:rsidRPr="002E2AC8">
        <w:rPr>
          <w:rFonts w:ascii="Times New Roman" w:hAnsi="Times New Roman" w:cs="Times New Roman"/>
          <w:b/>
          <w:i/>
          <w:iCs/>
          <w:color w:val="000000"/>
          <w:sz w:val="24"/>
          <w:szCs w:val="24"/>
          <w:lang w:val="id-ID"/>
        </w:rPr>
        <w:t xml:space="preserve">( Risk Profile) </w:t>
      </w:r>
    </w:p>
    <w:p w:rsidR="005F1FD5" w:rsidRPr="002E2AC8" w:rsidRDefault="005F1FD5" w:rsidP="007800C6">
      <w:pPr>
        <w:pStyle w:val="ListParagraph"/>
        <w:numPr>
          <w:ilvl w:val="0"/>
          <w:numId w:val="18"/>
        </w:numPr>
        <w:autoSpaceDE w:val="0"/>
        <w:autoSpaceDN w:val="0"/>
        <w:adjustRightInd w:val="0"/>
        <w:spacing w:after="0"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Risiko Kredit </w:t>
      </w:r>
    </w:p>
    <w:p w:rsidR="007800C6" w:rsidRPr="002E2AC8" w:rsidRDefault="007800C6" w:rsidP="007800C6">
      <w:pPr>
        <w:pStyle w:val="ISI"/>
        <w:spacing w:after="0" w:line="240" w:lineRule="auto"/>
        <w:ind w:left="851"/>
        <w:rPr>
          <w:rFonts w:cs="Times New Roman"/>
          <w:color w:val="000000" w:themeColor="text1"/>
          <w:szCs w:val="24"/>
          <w:lang w:val="id-ID"/>
        </w:rPr>
      </w:pPr>
      <w:r w:rsidRPr="002E2AC8">
        <w:rPr>
          <w:rFonts w:cs="Times New Roman"/>
          <w:szCs w:val="24"/>
          <w:lang w:val="id-ID"/>
        </w:rPr>
        <w:t xml:space="preserve">Dengan menghitung rasio </w:t>
      </w:r>
      <w:r w:rsidRPr="002E2AC8">
        <w:rPr>
          <w:rFonts w:cs="Times New Roman"/>
          <w:i/>
          <w:iCs/>
          <w:szCs w:val="24"/>
          <w:lang w:val="id-ID"/>
        </w:rPr>
        <w:t>Non Performing Loan</w:t>
      </w:r>
      <w:r w:rsidRPr="002E2AC8">
        <w:rPr>
          <w:rFonts w:cs="Times New Roman"/>
          <w:szCs w:val="24"/>
          <w:lang w:val="id-ID"/>
        </w:rPr>
        <w:t>:</w:t>
      </w:r>
    </w:p>
    <w:p w:rsidR="007800C6" w:rsidRPr="002E2AC8" w:rsidRDefault="007800C6" w:rsidP="007800C6">
      <w:pPr>
        <w:pStyle w:val="ISI"/>
        <w:spacing w:after="0" w:line="240" w:lineRule="auto"/>
        <w:ind w:left="-567"/>
        <w:rPr>
          <w:rFonts w:eastAsiaTheme="minorEastAsia" w:cs="Times New Roman"/>
          <w:color w:val="000000" w:themeColor="text1"/>
          <w:szCs w:val="24"/>
          <w:lang w:val="id-ID"/>
        </w:rPr>
      </w:pPr>
      <m:oMathPara>
        <m:oMath>
          <m:r>
            <w:rPr>
              <w:rFonts w:ascii="Cambria Math" w:hAnsi="Cambria Math" w:cs="Times New Roman"/>
              <w:color w:val="000000" w:themeColor="text1"/>
              <w:szCs w:val="24"/>
              <w:lang w:val="id-ID"/>
            </w:rPr>
            <m:t>NPL=</m:t>
          </m:r>
          <m:f>
            <m:fPr>
              <m:ctrlPr>
                <w:rPr>
                  <w:rFonts w:ascii="Cambria Math" w:hAnsi="Cambria Math" w:cs="Times New Roman"/>
                  <w:color w:val="000000" w:themeColor="text1"/>
                  <w:szCs w:val="24"/>
                  <w:lang w:val="id-ID"/>
                </w:rPr>
              </m:ctrlPr>
            </m:fPr>
            <m:num>
              <m:r>
                <w:rPr>
                  <w:rFonts w:ascii="Cambria Math" w:hAnsi="Cambria Math" w:cs="Times New Roman"/>
                  <w:color w:val="000000" w:themeColor="text1"/>
                  <w:szCs w:val="24"/>
                  <w:lang w:val="id-ID"/>
                </w:rPr>
                <m:t>Kredit Bermasalah</m:t>
              </m:r>
            </m:num>
            <m:den>
              <m:r>
                <w:rPr>
                  <w:rFonts w:ascii="Cambria Math" w:hAnsi="Cambria Math" w:cs="Times New Roman"/>
                  <w:color w:val="000000" w:themeColor="text1"/>
                  <w:szCs w:val="24"/>
                  <w:lang w:val="id-ID"/>
                </w:rPr>
                <m:t>Total Kredit</m:t>
              </m:r>
            </m:den>
          </m:f>
          <m:r>
            <w:rPr>
              <w:rFonts w:ascii="Cambria Math" w:hAnsi="Cambria Math" w:cs="Times New Roman"/>
              <w:color w:val="000000" w:themeColor="text1"/>
              <w:szCs w:val="24"/>
              <w:lang w:val="id-ID"/>
            </w:rPr>
            <m:t>x100%</m:t>
          </m:r>
        </m:oMath>
      </m:oMathPara>
    </w:p>
    <w:p w:rsidR="005F1FD5" w:rsidRPr="005F1FD5" w:rsidRDefault="005F1FD5" w:rsidP="00B062A8">
      <w:pPr>
        <w:autoSpaceDE w:val="0"/>
        <w:autoSpaceDN w:val="0"/>
        <w:adjustRightInd w:val="0"/>
        <w:spacing w:after="0" w:line="240" w:lineRule="auto"/>
        <w:rPr>
          <w:rFonts w:ascii="Times New Roman" w:hAnsi="Times New Roman" w:cs="Times New Roman"/>
          <w:color w:val="000000"/>
          <w:sz w:val="24"/>
          <w:szCs w:val="24"/>
          <w:lang w:val="id-ID"/>
        </w:rPr>
      </w:pPr>
    </w:p>
    <w:p w:rsidR="005F1FD5" w:rsidRPr="002E2AC8" w:rsidRDefault="005F1FD5" w:rsidP="007800C6">
      <w:pPr>
        <w:pStyle w:val="ListParagraph"/>
        <w:numPr>
          <w:ilvl w:val="0"/>
          <w:numId w:val="18"/>
        </w:numPr>
        <w:autoSpaceDE w:val="0"/>
        <w:autoSpaceDN w:val="0"/>
        <w:adjustRightInd w:val="0"/>
        <w:spacing w:after="0"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Risiko </w:t>
      </w:r>
      <w:r w:rsidR="00AA57D4" w:rsidRPr="005F1FD5">
        <w:rPr>
          <w:rFonts w:ascii="Times New Roman" w:hAnsi="Times New Roman" w:cs="Times New Roman"/>
          <w:color w:val="000000"/>
          <w:sz w:val="24"/>
          <w:szCs w:val="24"/>
          <w:lang w:val="id-ID"/>
        </w:rPr>
        <w:t>Likuiditas</w:t>
      </w:r>
    </w:p>
    <w:p w:rsidR="007800C6" w:rsidRPr="002E2AC8" w:rsidRDefault="007800C6" w:rsidP="007800C6">
      <w:pPr>
        <w:pStyle w:val="ListParagraph"/>
        <w:tabs>
          <w:tab w:val="left" w:pos="567"/>
        </w:tabs>
        <w:autoSpaceDE w:val="0"/>
        <w:autoSpaceDN w:val="0"/>
        <w:adjustRightInd w:val="0"/>
        <w:spacing w:after="0" w:line="240" w:lineRule="auto"/>
        <w:ind w:left="851"/>
        <w:jc w:val="both"/>
        <w:rPr>
          <w:rFonts w:ascii="Times New Roman" w:hAnsi="Times New Roman" w:cs="Times New Roman"/>
          <w:sz w:val="24"/>
          <w:szCs w:val="24"/>
          <w:lang w:val="id-ID"/>
        </w:rPr>
      </w:pPr>
      <w:r w:rsidRPr="002E2AC8">
        <w:rPr>
          <w:rFonts w:ascii="Times New Roman" w:hAnsi="Times New Roman" w:cs="Times New Roman"/>
          <w:sz w:val="24"/>
          <w:szCs w:val="24"/>
          <w:lang w:val="id-ID"/>
        </w:rPr>
        <w:t xml:space="preserve">Dengan menghitung rasio </w:t>
      </w:r>
      <w:r w:rsidRPr="002E2AC8">
        <w:rPr>
          <w:rFonts w:ascii="Times New Roman" w:hAnsi="Times New Roman" w:cs="Times New Roman"/>
          <w:i/>
          <w:sz w:val="24"/>
          <w:szCs w:val="24"/>
          <w:lang w:val="id-ID"/>
        </w:rPr>
        <w:t>Loan Deposit Ratio</w:t>
      </w:r>
      <w:r w:rsidRPr="002E2AC8">
        <w:rPr>
          <w:rFonts w:ascii="Times New Roman" w:hAnsi="Times New Roman" w:cs="Times New Roman"/>
          <w:sz w:val="24"/>
          <w:szCs w:val="24"/>
          <w:lang w:val="id-ID"/>
        </w:rPr>
        <w:t xml:space="preserve"> :</w:t>
      </w:r>
    </w:p>
    <w:p w:rsidR="005F1FD5" w:rsidRPr="005F1FD5" w:rsidRDefault="007800C6" w:rsidP="007800C6">
      <w:pPr>
        <w:pStyle w:val="ISI"/>
        <w:spacing w:line="240" w:lineRule="auto"/>
        <w:ind w:left="-567"/>
        <w:rPr>
          <w:rFonts w:eastAsiaTheme="minorEastAsia" w:cs="Times New Roman"/>
          <w:color w:val="000000" w:themeColor="text1"/>
          <w:szCs w:val="24"/>
          <w:lang w:val="id-ID"/>
        </w:rPr>
      </w:pPr>
      <m:oMathPara>
        <m:oMath>
          <m:r>
            <w:rPr>
              <w:rFonts w:ascii="Cambria Math" w:hAnsi="Cambria Math" w:cs="Times New Roman"/>
              <w:color w:val="000000" w:themeColor="text1"/>
              <w:szCs w:val="24"/>
              <w:lang w:val="id-ID"/>
            </w:rPr>
            <m:t>LDR=</m:t>
          </m:r>
          <m:f>
            <m:fPr>
              <m:ctrlPr>
                <w:rPr>
                  <w:rFonts w:ascii="Cambria Math" w:hAnsi="Cambria Math" w:cs="Times New Roman"/>
                  <w:color w:val="000000" w:themeColor="text1"/>
                  <w:szCs w:val="24"/>
                  <w:lang w:val="id-ID"/>
                </w:rPr>
              </m:ctrlPr>
            </m:fPr>
            <m:num>
              <m:r>
                <w:rPr>
                  <w:rFonts w:ascii="Cambria Math" w:hAnsi="Cambria Math" w:cs="Times New Roman"/>
                  <w:color w:val="000000" w:themeColor="text1"/>
                  <w:szCs w:val="24"/>
                  <w:lang w:val="id-ID"/>
                </w:rPr>
                <m:t>Total Kredit</m:t>
              </m:r>
            </m:num>
            <m:den>
              <m:r>
                <w:rPr>
                  <w:rFonts w:ascii="Cambria Math" w:hAnsi="Cambria Math" w:cs="Times New Roman"/>
                  <w:color w:val="000000" w:themeColor="text1"/>
                  <w:szCs w:val="24"/>
                  <w:lang w:val="id-ID"/>
                </w:rPr>
                <m:t>Dana Pihak Ketiga</m:t>
              </m:r>
            </m:den>
          </m:f>
          <m:r>
            <w:rPr>
              <w:rFonts w:ascii="Cambria Math" w:hAnsi="Cambria Math" w:cs="Times New Roman"/>
              <w:color w:val="000000" w:themeColor="text1"/>
              <w:szCs w:val="24"/>
              <w:lang w:val="id-ID"/>
            </w:rPr>
            <m:t>x100%</m:t>
          </m:r>
        </m:oMath>
      </m:oMathPara>
    </w:p>
    <w:p w:rsidR="005F1FD5" w:rsidRPr="002E2AC8" w:rsidRDefault="005F1FD5" w:rsidP="00B062A8">
      <w:pPr>
        <w:pStyle w:val="ListParagraph"/>
        <w:numPr>
          <w:ilvl w:val="0"/>
          <w:numId w:val="16"/>
        </w:numPr>
        <w:autoSpaceDE w:val="0"/>
        <w:autoSpaceDN w:val="0"/>
        <w:adjustRightInd w:val="0"/>
        <w:spacing w:after="0"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 xml:space="preserve">Analisis </w:t>
      </w:r>
      <w:r w:rsidRPr="002E2AC8">
        <w:rPr>
          <w:rFonts w:ascii="Times New Roman" w:hAnsi="Times New Roman" w:cs="Times New Roman"/>
          <w:b/>
          <w:i/>
          <w:iCs/>
          <w:color w:val="000000"/>
          <w:sz w:val="24"/>
          <w:szCs w:val="24"/>
          <w:lang w:val="id-ID"/>
        </w:rPr>
        <w:t xml:space="preserve">Good Corporate Governance </w:t>
      </w:r>
      <w:r w:rsidRPr="002E2AC8">
        <w:rPr>
          <w:rFonts w:ascii="Times New Roman" w:hAnsi="Times New Roman" w:cs="Times New Roman"/>
          <w:b/>
          <w:color w:val="000000"/>
          <w:sz w:val="24"/>
          <w:szCs w:val="24"/>
          <w:lang w:val="id-ID"/>
        </w:rPr>
        <w:t xml:space="preserve">(GCG) </w:t>
      </w:r>
    </w:p>
    <w:p w:rsidR="005F1FD5" w:rsidRPr="005F1FD5" w:rsidRDefault="005F1FD5" w:rsidP="00AA57D4">
      <w:pPr>
        <w:autoSpaceDE w:val="0"/>
        <w:autoSpaceDN w:val="0"/>
        <w:adjustRightInd w:val="0"/>
        <w:spacing w:after="0" w:line="240" w:lineRule="auto"/>
        <w:ind w:left="567" w:firstLine="567"/>
        <w:rPr>
          <w:rFonts w:ascii="Times New Roman" w:hAnsi="Times New Roman" w:cs="Times New Roman"/>
          <w:color w:val="000000"/>
          <w:sz w:val="24"/>
          <w:szCs w:val="24"/>
          <w:lang w:val="id-ID"/>
        </w:rPr>
      </w:pPr>
      <w:r w:rsidRPr="005F1FD5">
        <w:rPr>
          <w:rFonts w:ascii="Times New Roman" w:hAnsi="Times New Roman" w:cs="Times New Roman"/>
          <w:color w:val="000000"/>
          <w:sz w:val="24"/>
          <w:szCs w:val="24"/>
          <w:lang w:val="id-ID"/>
        </w:rPr>
        <w:t xml:space="preserve">Dengan menganalisis laporan </w:t>
      </w:r>
      <w:r w:rsidRPr="005F1FD5">
        <w:rPr>
          <w:rFonts w:ascii="Times New Roman" w:hAnsi="Times New Roman" w:cs="Times New Roman"/>
          <w:i/>
          <w:iCs/>
          <w:color w:val="000000"/>
          <w:sz w:val="24"/>
          <w:szCs w:val="24"/>
          <w:lang w:val="id-ID"/>
        </w:rPr>
        <w:t xml:space="preserve">Good Corporate Governance </w:t>
      </w:r>
      <w:r w:rsidRPr="005F1FD5">
        <w:rPr>
          <w:rFonts w:ascii="Times New Roman" w:hAnsi="Times New Roman" w:cs="Times New Roman"/>
          <w:color w:val="000000"/>
          <w:sz w:val="24"/>
          <w:szCs w:val="24"/>
          <w:lang w:val="id-ID"/>
        </w:rPr>
        <w:t xml:space="preserve">berdasarkan atas aspek penilaian yang mengacu pada ketentuan Bank Indonesia mengenai Bank Umum yang terdiri dari: </w:t>
      </w:r>
    </w:p>
    <w:p w:rsidR="00AA57D4" w:rsidRPr="002E2AC8" w:rsidRDefault="005F1FD5" w:rsidP="00AA57D4">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Pelaksanaan tugas dan tanggung jawab Dewan Komisaris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Pelaksanaan tugas dan tanggung jawab Direksi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Kelengkapan dan pelaksanaan tugas komite-komite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Penanganan benturan kepentingan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Penerapan fungsi kepatuhan bank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Penerapan fungsi audit intern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Penerapan fungsi audit ekstern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Penerapan fungsi manajemen risiko dan pengendalian intern </w:t>
      </w:r>
    </w:p>
    <w:p w:rsidR="00AA57D4" w:rsidRPr="002E2AC8" w:rsidRDefault="005F1FD5" w:rsidP="00B062A8">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lastRenderedPageBreak/>
        <w:t xml:space="preserve">Penyediaan dana kepada pihak terkait (related party) dan Debitur Besar (large exposures) </w:t>
      </w:r>
    </w:p>
    <w:p w:rsidR="00AA57D4" w:rsidRPr="002E2AC8" w:rsidRDefault="005F1FD5" w:rsidP="00AA57D4">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Transparansi kondisi keuangan dan non keuangan, laporan pelaksanaan GCG dan laporan internal </w:t>
      </w:r>
    </w:p>
    <w:p w:rsidR="005F1FD5" w:rsidRPr="002E2AC8" w:rsidRDefault="005F1FD5" w:rsidP="00AA57D4">
      <w:pPr>
        <w:pStyle w:val="ListParagraph"/>
        <w:numPr>
          <w:ilvl w:val="0"/>
          <w:numId w:val="20"/>
        </w:numPr>
        <w:autoSpaceDE w:val="0"/>
        <w:autoSpaceDN w:val="0"/>
        <w:adjustRightInd w:val="0"/>
        <w:spacing w:after="27"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color w:val="000000"/>
          <w:sz w:val="24"/>
          <w:szCs w:val="24"/>
          <w:lang w:val="id-ID"/>
        </w:rPr>
        <w:t xml:space="preserve">Rencana strategis bank. </w:t>
      </w:r>
    </w:p>
    <w:p w:rsidR="005F1FD5" w:rsidRPr="002E2AC8" w:rsidRDefault="005F1FD5" w:rsidP="00AA57D4">
      <w:pPr>
        <w:pStyle w:val="ListParagraph"/>
        <w:numPr>
          <w:ilvl w:val="0"/>
          <w:numId w:val="16"/>
        </w:numPr>
        <w:autoSpaceDE w:val="0"/>
        <w:autoSpaceDN w:val="0"/>
        <w:adjustRightInd w:val="0"/>
        <w:spacing w:after="28"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Analisis Rentabilitas (</w:t>
      </w:r>
      <w:r w:rsidRPr="002E2AC8">
        <w:rPr>
          <w:rFonts w:ascii="Times New Roman" w:hAnsi="Times New Roman" w:cs="Times New Roman"/>
          <w:b/>
          <w:i/>
          <w:iCs/>
          <w:color w:val="000000"/>
          <w:sz w:val="24"/>
          <w:szCs w:val="24"/>
          <w:lang w:val="id-ID"/>
        </w:rPr>
        <w:t>Earnings</w:t>
      </w:r>
      <w:r w:rsidRPr="002E2AC8">
        <w:rPr>
          <w:rFonts w:ascii="Times New Roman" w:hAnsi="Times New Roman" w:cs="Times New Roman"/>
          <w:b/>
          <w:color w:val="000000"/>
          <w:sz w:val="24"/>
          <w:szCs w:val="24"/>
          <w:lang w:val="id-ID"/>
        </w:rPr>
        <w:t xml:space="preserve">) </w:t>
      </w:r>
    </w:p>
    <w:p w:rsidR="005F1FD5" w:rsidRPr="002E2AC8" w:rsidRDefault="005F1FD5" w:rsidP="00AA57D4">
      <w:pPr>
        <w:pStyle w:val="ListParagraph"/>
        <w:numPr>
          <w:ilvl w:val="0"/>
          <w:numId w:val="22"/>
        </w:numPr>
        <w:autoSpaceDE w:val="0"/>
        <w:autoSpaceDN w:val="0"/>
        <w:adjustRightInd w:val="0"/>
        <w:spacing w:after="0"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i/>
          <w:iCs/>
          <w:color w:val="000000"/>
          <w:sz w:val="24"/>
          <w:szCs w:val="24"/>
          <w:lang w:val="id-ID"/>
        </w:rPr>
        <w:t xml:space="preserve">Return on Assets </w:t>
      </w:r>
      <w:r w:rsidRPr="002E2AC8">
        <w:rPr>
          <w:rFonts w:ascii="Times New Roman" w:hAnsi="Times New Roman" w:cs="Times New Roman"/>
          <w:color w:val="000000"/>
          <w:sz w:val="24"/>
          <w:szCs w:val="24"/>
          <w:lang w:val="id-ID"/>
        </w:rPr>
        <w:t xml:space="preserve">(ROA) </w:t>
      </w:r>
    </w:p>
    <w:p w:rsidR="005F1FD5" w:rsidRPr="005F1FD5" w:rsidRDefault="00AA57D4" w:rsidP="00AA57D4">
      <w:pPr>
        <w:pStyle w:val="ISI"/>
        <w:spacing w:line="240" w:lineRule="auto"/>
        <w:ind w:left="-851"/>
        <w:rPr>
          <w:rFonts w:eastAsiaTheme="minorEastAsia" w:cs="Times New Roman"/>
          <w:color w:val="000000" w:themeColor="text1"/>
          <w:szCs w:val="24"/>
          <w:lang w:val="id-ID"/>
        </w:rPr>
      </w:pPr>
      <m:oMathPara>
        <m:oMath>
          <m:r>
            <w:rPr>
              <w:rFonts w:ascii="Cambria Math" w:hAnsi="Cambria Math" w:cs="Times New Roman"/>
              <w:color w:val="000000" w:themeColor="text1"/>
              <w:szCs w:val="24"/>
              <w:lang w:val="id-ID"/>
            </w:rPr>
            <m:t>ROA=</m:t>
          </m:r>
          <m:f>
            <m:fPr>
              <m:ctrlPr>
                <w:rPr>
                  <w:rFonts w:ascii="Cambria Math" w:hAnsi="Cambria Math" w:cs="Times New Roman"/>
                  <w:color w:val="000000" w:themeColor="text1"/>
                  <w:szCs w:val="24"/>
                  <w:lang w:val="id-ID"/>
                </w:rPr>
              </m:ctrlPr>
            </m:fPr>
            <m:num>
              <m:r>
                <w:rPr>
                  <w:rFonts w:ascii="Cambria Math" w:hAnsi="Cambria Math" w:cs="Times New Roman"/>
                  <w:color w:val="000000" w:themeColor="text1"/>
                  <w:szCs w:val="24"/>
                  <w:lang w:val="id-ID"/>
                </w:rPr>
                <m:t>Laba Sebelum Pajak</m:t>
              </m:r>
            </m:num>
            <m:den>
              <m:r>
                <w:rPr>
                  <w:rFonts w:ascii="Cambria Math" w:hAnsi="Cambria Math" w:cs="Times New Roman"/>
                  <w:color w:val="000000" w:themeColor="text1"/>
                  <w:szCs w:val="24"/>
                  <w:lang w:val="id-ID"/>
                </w:rPr>
                <m:t>Rata-rata Total Aset</m:t>
              </m:r>
            </m:den>
          </m:f>
          <m:r>
            <w:rPr>
              <w:rFonts w:ascii="Cambria Math" w:hAnsi="Cambria Math" w:cs="Times New Roman"/>
              <w:color w:val="000000" w:themeColor="text1"/>
              <w:szCs w:val="24"/>
              <w:lang w:val="id-ID"/>
            </w:rPr>
            <m:t>x100%</m:t>
          </m:r>
        </m:oMath>
      </m:oMathPara>
    </w:p>
    <w:p w:rsidR="005F1FD5" w:rsidRPr="002E2AC8" w:rsidRDefault="005F1FD5" w:rsidP="00AA57D4">
      <w:pPr>
        <w:pStyle w:val="ListParagraph"/>
        <w:numPr>
          <w:ilvl w:val="0"/>
          <w:numId w:val="22"/>
        </w:numPr>
        <w:autoSpaceDE w:val="0"/>
        <w:autoSpaceDN w:val="0"/>
        <w:adjustRightInd w:val="0"/>
        <w:spacing w:after="0"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i/>
          <w:iCs/>
          <w:color w:val="000000"/>
          <w:sz w:val="24"/>
          <w:szCs w:val="24"/>
          <w:lang w:val="id-ID"/>
        </w:rPr>
        <w:t xml:space="preserve">Net Interest Margin </w:t>
      </w:r>
      <w:r w:rsidRPr="002E2AC8">
        <w:rPr>
          <w:rFonts w:ascii="Times New Roman" w:hAnsi="Times New Roman" w:cs="Times New Roman"/>
          <w:color w:val="000000"/>
          <w:sz w:val="24"/>
          <w:szCs w:val="24"/>
          <w:lang w:val="id-ID"/>
        </w:rPr>
        <w:t xml:space="preserve">(NIM) </w:t>
      </w:r>
    </w:p>
    <w:p w:rsidR="005F1FD5" w:rsidRPr="005F1FD5" w:rsidRDefault="005F1FD5" w:rsidP="00AA57D4">
      <w:pPr>
        <w:autoSpaceDE w:val="0"/>
        <w:autoSpaceDN w:val="0"/>
        <w:adjustRightInd w:val="0"/>
        <w:spacing w:after="0" w:line="240" w:lineRule="auto"/>
        <w:rPr>
          <w:rFonts w:ascii="Times New Roman" w:hAnsi="Times New Roman" w:cs="Times New Roman"/>
          <w:color w:val="000000"/>
          <w:sz w:val="24"/>
          <w:szCs w:val="24"/>
          <w:lang w:val="id-ID"/>
        </w:rPr>
      </w:pPr>
    </w:p>
    <w:p w:rsidR="00AA57D4" w:rsidRPr="002E2AC8" w:rsidRDefault="00AA57D4" w:rsidP="00AA57D4">
      <w:pPr>
        <w:pStyle w:val="ISI"/>
        <w:spacing w:line="240" w:lineRule="auto"/>
        <w:rPr>
          <w:rFonts w:eastAsiaTheme="minorEastAsia" w:cs="Times New Roman"/>
          <w:color w:val="000000" w:themeColor="text1"/>
          <w:szCs w:val="24"/>
          <w:lang w:val="id-ID"/>
        </w:rPr>
      </w:pPr>
      <m:oMathPara>
        <m:oMath>
          <m:r>
            <w:rPr>
              <w:rFonts w:ascii="Cambria Math" w:hAnsi="Cambria Math" w:cs="Times New Roman"/>
              <w:color w:val="000000" w:themeColor="text1"/>
              <w:szCs w:val="24"/>
              <w:lang w:val="id-ID"/>
            </w:rPr>
            <m:t>NIM=</m:t>
          </m:r>
          <m:f>
            <m:fPr>
              <m:ctrlPr>
                <w:rPr>
                  <w:rFonts w:ascii="Cambria Math" w:hAnsi="Cambria Math" w:cs="Times New Roman"/>
                  <w:color w:val="000000" w:themeColor="text1"/>
                  <w:szCs w:val="24"/>
                  <w:lang w:val="id-ID"/>
                </w:rPr>
              </m:ctrlPr>
            </m:fPr>
            <m:num>
              <m:r>
                <w:rPr>
                  <w:rFonts w:ascii="Cambria Math" w:hAnsi="Cambria Math" w:cs="Times New Roman"/>
                  <w:color w:val="000000" w:themeColor="text1"/>
                  <w:szCs w:val="24"/>
                  <w:lang w:val="id-ID"/>
                </w:rPr>
                <m:t>Pendapatan Bunga Bersih</m:t>
              </m:r>
            </m:num>
            <m:den>
              <m:r>
                <w:rPr>
                  <w:rFonts w:ascii="Cambria Math" w:hAnsi="Cambria Math" w:cs="Times New Roman"/>
                  <w:color w:val="000000" w:themeColor="text1"/>
                  <w:szCs w:val="24"/>
                  <w:lang w:val="id-ID"/>
                </w:rPr>
                <m:t>Rata-rata Aktiva Produktif</m:t>
              </m:r>
            </m:den>
          </m:f>
          <m:r>
            <w:rPr>
              <w:rFonts w:ascii="Cambria Math" w:hAnsi="Cambria Math" w:cs="Times New Roman"/>
              <w:color w:val="000000" w:themeColor="text1"/>
              <w:szCs w:val="24"/>
              <w:lang w:val="id-ID"/>
            </w:rPr>
            <m:t>x100%</m:t>
          </m:r>
        </m:oMath>
      </m:oMathPara>
    </w:p>
    <w:p w:rsidR="005F1FD5" w:rsidRPr="002E2AC8" w:rsidRDefault="005F1FD5" w:rsidP="00AA57D4">
      <w:pPr>
        <w:pStyle w:val="ListParagraph"/>
        <w:numPr>
          <w:ilvl w:val="0"/>
          <w:numId w:val="16"/>
        </w:numPr>
        <w:autoSpaceDE w:val="0"/>
        <w:autoSpaceDN w:val="0"/>
        <w:adjustRightInd w:val="0"/>
        <w:spacing w:after="27" w:line="240" w:lineRule="auto"/>
        <w:ind w:left="567" w:hanging="283"/>
        <w:rPr>
          <w:rFonts w:ascii="Times New Roman" w:hAnsi="Times New Roman" w:cs="Times New Roman"/>
          <w:b/>
          <w:color w:val="000000"/>
          <w:sz w:val="24"/>
          <w:szCs w:val="24"/>
          <w:lang w:val="id-ID"/>
        </w:rPr>
      </w:pPr>
      <w:r w:rsidRPr="002E2AC8">
        <w:rPr>
          <w:rFonts w:ascii="Times New Roman" w:hAnsi="Times New Roman" w:cs="Times New Roman"/>
          <w:b/>
          <w:color w:val="000000"/>
          <w:sz w:val="24"/>
          <w:szCs w:val="24"/>
          <w:lang w:val="id-ID"/>
        </w:rPr>
        <w:t>Analisis Permodalan (</w:t>
      </w:r>
      <w:r w:rsidRPr="002E2AC8">
        <w:rPr>
          <w:rFonts w:ascii="Times New Roman" w:hAnsi="Times New Roman" w:cs="Times New Roman"/>
          <w:b/>
          <w:i/>
          <w:iCs/>
          <w:color w:val="000000"/>
          <w:sz w:val="24"/>
          <w:szCs w:val="24"/>
          <w:lang w:val="id-ID"/>
        </w:rPr>
        <w:t>Capital</w:t>
      </w:r>
      <w:r w:rsidRPr="002E2AC8">
        <w:rPr>
          <w:rFonts w:ascii="Times New Roman" w:hAnsi="Times New Roman" w:cs="Times New Roman"/>
          <w:b/>
          <w:color w:val="000000"/>
          <w:sz w:val="24"/>
          <w:szCs w:val="24"/>
          <w:lang w:val="id-ID"/>
        </w:rPr>
        <w:t xml:space="preserve">) </w:t>
      </w:r>
    </w:p>
    <w:p w:rsidR="005F1FD5" w:rsidRPr="002E2AC8" w:rsidRDefault="005F1FD5" w:rsidP="00AA57D4">
      <w:pPr>
        <w:pStyle w:val="ListParagraph"/>
        <w:numPr>
          <w:ilvl w:val="0"/>
          <w:numId w:val="24"/>
        </w:numPr>
        <w:autoSpaceDE w:val="0"/>
        <w:autoSpaceDN w:val="0"/>
        <w:adjustRightInd w:val="0"/>
        <w:spacing w:after="0" w:line="240" w:lineRule="auto"/>
        <w:ind w:left="851" w:hanging="284"/>
        <w:rPr>
          <w:rFonts w:ascii="Times New Roman" w:hAnsi="Times New Roman" w:cs="Times New Roman"/>
          <w:color w:val="000000"/>
          <w:sz w:val="24"/>
          <w:szCs w:val="24"/>
          <w:lang w:val="id-ID"/>
        </w:rPr>
      </w:pPr>
      <w:r w:rsidRPr="002E2AC8">
        <w:rPr>
          <w:rFonts w:ascii="Times New Roman" w:hAnsi="Times New Roman" w:cs="Times New Roman"/>
          <w:i/>
          <w:iCs/>
          <w:color w:val="000000"/>
          <w:sz w:val="24"/>
          <w:szCs w:val="24"/>
          <w:lang w:val="id-ID"/>
        </w:rPr>
        <w:t xml:space="preserve">Capital Adequacy Ratio </w:t>
      </w:r>
      <w:r w:rsidRPr="002E2AC8">
        <w:rPr>
          <w:rFonts w:ascii="Times New Roman" w:hAnsi="Times New Roman" w:cs="Times New Roman"/>
          <w:color w:val="000000"/>
          <w:sz w:val="24"/>
          <w:szCs w:val="24"/>
          <w:lang w:val="id-ID"/>
        </w:rPr>
        <w:t xml:space="preserve">(CAR) </w:t>
      </w:r>
    </w:p>
    <w:p w:rsidR="002E2AC8" w:rsidRPr="002E2AC8" w:rsidRDefault="00AA57D4" w:rsidP="002E2AC8">
      <w:pPr>
        <w:pStyle w:val="ISI"/>
        <w:spacing w:line="240" w:lineRule="auto"/>
        <w:ind w:left="-1985"/>
        <w:rPr>
          <w:rFonts w:eastAsiaTheme="minorEastAsia" w:cs="Times New Roman"/>
          <w:color w:val="000000" w:themeColor="text1"/>
          <w:szCs w:val="24"/>
          <w:lang w:val="id-ID"/>
        </w:rPr>
      </w:pPr>
      <m:oMathPara>
        <m:oMath>
          <m:r>
            <w:rPr>
              <w:rFonts w:ascii="Cambria Math" w:hAnsi="Cambria Math" w:cs="Times New Roman"/>
              <w:color w:val="000000" w:themeColor="text1"/>
              <w:szCs w:val="24"/>
              <w:lang w:val="id-ID"/>
            </w:rPr>
            <m:t>CAR=</m:t>
          </m:r>
          <m:f>
            <m:fPr>
              <m:ctrlPr>
                <w:rPr>
                  <w:rFonts w:ascii="Cambria Math" w:hAnsi="Cambria Math" w:cs="Times New Roman"/>
                  <w:color w:val="000000" w:themeColor="text1"/>
                  <w:szCs w:val="24"/>
                  <w:lang w:val="id-ID"/>
                </w:rPr>
              </m:ctrlPr>
            </m:fPr>
            <m:num>
              <m:r>
                <w:rPr>
                  <w:rFonts w:ascii="Cambria Math" w:hAnsi="Cambria Math" w:cs="Times New Roman"/>
                  <w:color w:val="000000" w:themeColor="text1"/>
                  <w:szCs w:val="24"/>
                  <w:lang w:val="id-ID"/>
                </w:rPr>
                <m:t>Modal Bank</m:t>
              </m:r>
            </m:num>
            <m:den>
              <m:r>
                <w:rPr>
                  <w:rFonts w:ascii="Cambria Math" w:hAnsi="Cambria Math" w:cs="Times New Roman"/>
                  <w:color w:val="000000" w:themeColor="text1"/>
                  <w:szCs w:val="24"/>
                  <w:lang w:val="id-ID"/>
                </w:rPr>
                <m:t>ATMR</m:t>
              </m:r>
            </m:den>
          </m:f>
          <m:r>
            <w:rPr>
              <w:rFonts w:ascii="Cambria Math" w:hAnsi="Cambria Math" w:cs="Times New Roman"/>
              <w:color w:val="000000" w:themeColor="text1"/>
              <w:szCs w:val="24"/>
              <w:lang w:val="id-ID"/>
            </w:rPr>
            <m:t>x100%</m:t>
          </m:r>
        </m:oMath>
      </m:oMathPara>
    </w:p>
    <w:p w:rsidR="004E1F96" w:rsidRDefault="004E1F96" w:rsidP="002E2AC8">
      <w:pPr>
        <w:pStyle w:val="ISI"/>
        <w:spacing w:after="0" w:line="240" w:lineRule="auto"/>
        <w:rPr>
          <w:rFonts w:eastAsiaTheme="minorEastAsia" w:cs="Times New Roman"/>
          <w:b/>
          <w:color w:val="000000" w:themeColor="text1"/>
          <w:szCs w:val="24"/>
          <w:lang w:val="id-ID"/>
        </w:rPr>
      </w:pPr>
    </w:p>
    <w:p w:rsidR="002E2AC8" w:rsidRPr="002E2AC8" w:rsidRDefault="002E2AC8" w:rsidP="002E2AC8">
      <w:pPr>
        <w:pStyle w:val="ISI"/>
        <w:spacing w:after="0" w:line="240" w:lineRule="auto"/>
        <w:rPr>
          <w:rFonts w:eastAsiaTheme="minorEastAsia" w:cs="Times New Roman"/>
          <w:b/>
          <w:color w:val="000000" w:themeColor="text1"/>
          <w:szCs w:val="24"/>
          <w:lang w:val="id-ID"/>
        </w:rPr>
      </w:pPr>
      <w:r w:rsidRPr="002E2AC8">
        <w:rPr>
          <w:rFonts w:eastAsiaTheme="minorEastAsia" w:cs="Times New Roman"/>
          <w:b/>
          <w:color w:val="000000" w:themeColor="text1"/>
          <w:szCs w:val="24"/>
          <w:lang w:val="id-ID"/>
        </w:rPr>
        <w:t>HASIL PENELITIAN DAN PEMBAHASAN</w:t>
      </w:r>
    </w:p>
    <w:p w:rsidR="00BD29CC" w:rsidRPr="00BD29CC" w:rsidRDefault="002E2AC8" w:rsidP="00BD29CC">
      <w:pPr>
        <w:pStyle w:val="ISI"/>
        <w:spacing w:after="0" w:line="240" w:lineRule="auto"/>
        <w:ind w:firstLine="567"/>
        <w:rPr>
          <w:rFonts w:cs="Times New Roman"/>
          <w:szCs w:val="24"/>
          <w:lang w:val="id-ID"/>
        </w:rPr>
      </w:pPr>
      <w:r w:rsidRPr="002E2AC8">
        <w:rPr>
          <w:rFonts w:cs="Times New Roman"/>
          <w:szCs w:val="24"/>
        </w:rPr>
        <w:t xml:space="preserve">Berdasarkan Surat Edaran Bank Indonesia No. 13/24/DPNP tanggal 25 Oktober 2011 pada Lampiran 1 (satu) perihal Penilaian Tingkat Kesehatan Bank Umum, metode penilaian yang digunakan adalah metode RGEC. </w:t>
      </w:r>
      <w:proofErr w:type="gramStart"/>
      <w:r w:rsidRPr="002E2AC8">
        <w:rPr>
          <w:rFonts w:cs="Times New Roman"/>
          <w:szCs w:val="24"/>
        </w:rPr>
        <w:t>Untuk aspek</w:t>
      </w:r>
      <w:r>
        <w:rPr>
          <w:rFonts w:cs="Times New Roman"/>
          <w:szCs w:val="24"/>
          <w:lang w:val="id-ID"/>
        </w:rPr>
        <w:t xml:space="preserve"> </w:t>
      </w:r>
      <w:r w:rsidRPr="002E2AC8">
        <w:rPr>
          <w:rFonts w:cs="Times New Roman"/>
          <w:szCs w:val="24"/>
          <w:lang w:val="id-ID"/>
        </w:rPr>
        <w:t>Risk</w:t>
      </w:r>
      <w:r w:rsidRPr="002E2AC8">
        <w:rPr>
          <w:rFonts w:cs="Times New Roman"/>
          <w:szCs w:val="24"/>
        </w:rPr>
        <w:t xml:space="preserve"> </w:t>
      </w:r>
      <w:r w:rsidRPr="002E2AC8">
        <w:rPr>
          <w:rFonts w:cs="Times New Roman"/>
          <w:i/>
          <w:iCs/>
          <w:szCs w:val="24"/>
        </w:rPr>
        <w:t>Profile</w:t>
      </w:r>
      <w:r w:rsidRPr="002E2AC8">
        <w:rPr>
          <w:rFonts w:cs="Times New Roman"/>
          <w:szCs w:val="24"/>
        </w:rPr>
        <w:t xml:space="preserve">, </w:t>
      </w:r>
      <w:r w:rsidR="00BD29CC">
        <w:rPr>
          <w:rFonts w:cs="Times New Roman"/>
          <w:szCs w:val="24"/>
        </w:rPr>
        <w:t>rasio yang digunakan yaitu NPL</w:t>
      </w:r>
      <w:r w:rsidR="00BD29CC">
        <w:rPr>
          <w:rFonts w:cs="Times New Roman"/>
          <w:szCs w:val="24"/>
          <w:lang w:val="id-ID"/>
        </w:rPr>
        <w:t xml:space="preserve"> dan </w:t>
      </w:r>
      <w:r w:rsidR="00BD29CC">
        <w:rPr>
          <w:rFonts w:cs="Times New Roman"/>
          <w:szCs w:val="24"/>
        </w:rPr>
        <w:t>LDR</w:t>
      </w:r>
      <w:r w:rsidRPr="002E2AC8">
        <w:rPr>
          <w:rFonts w:cs="Times New Roman"/>
          <w:szCs w:val="24"/>
        </w:rPr>
        <w:t xml:space="preserve">, </w:t>
      </w:r>
      <w:r w:rsidRPr="002E2AC8">
        <w:rPr>
          <w:rFonts w:cs="Times New Roman"/>
          <w:i/>
          <w:iCs/>
          <w:szCs w:val="24"/>
        </w:rPr>
        <w:t>Good Corporate Governance</w:t>
      </w:r>
      <w:r w:rsidRPr="002E2AC8">
        <w:rPr>
          <w:rFonts w:cs="Times New Roman"/>
          <w:szCs w:val="24"/>
        </w:rPr>
        <w:t xml:space="preserve">, </w:t>
      </w:r>
      <w:r w:rsidRPr="002E2AC8">
        <w:rPr>
          <w:rFonts w:cs="Times New Roman"/>
          <w:i/>
          <w:iCs/>
          <w:szCs w:val="24"/>
        </w:rPr>
        <w:t xml:space="preserve">Earnings </w:t>
      </w:r>
      <w:r w:rsidR="00BD29CC">
        <w:rPr>
          <w:rFonts w:cs="Times New Roman"/>
          <w:szCs w:val="24"/>
        </w:rPr>
        <w:t>dengan rasio ROA</w:t>
      </w:r>
      <w:r w:rsidR="00BD29CC">
        <w:rPr>
          <w:rFonts w:cs="Times New Roman"/>
          <w:szCs w:val="24"/>
          <w:lang w:val="id-ID"/>
        </w:rPr>
        <w:t xml:space="preserve"> dan</w:t>
      </w:r>
      <w:r w:rsidRPr="002E2AC8">
        <w:rPr>
          <w:rFonts w:cs="Times New Roman"/>
          <w:szCs w:val="24"/>
        </w:rPr>
        <w:t xml:space="preserve"> NIM, </w:t>
      </w:r>
      <w:r w:rsidRPr="002E2AC8">
        <w:rPr>
          <w:rFonts w:cs="Times New Roman"/>
          <w:i/>
          <w:iCs/>
          <w:szCs w:val="24"/>
        </w:rPr>
        <w:t xml:space="preserve">Capital </w:t>
      </w:r>
      <w:r w:rsidRPr="002E2AC8">
        <w:rPr>
          <w:rFonts w:cs="Times New Roman"/>
          <w:szCs w:val="24"/>
        </w:rPr>
        <w:t>dengan rasio CAR.</w:t>
      </w:r>
      <w:proofErr w:type="gramEnd"/>
      <w:r w:rsidRPr="002E2AC8">
        <w:rPr>
          <w:rFonts w:cs="Times New Roman"/>
          <w:szCs w:val="24"/>
        </w:rPr>
        <w:t xml:space="preserve"> Berikut perhitungan rasio dan analisis dalam me</w:t>
      </w:r>
      <w:r w:rsidR="00BD29CC">
        <w:rPr>
          <w:rFonts w:cs="Times New Roman"/>
          <w:szCs w:val="24"/>
        </w:rPr>
        <w:t>tode RGEC</w:t>
      </w:r>
      <w:r>
        <w:rPr>
          <w:rFonts w:cs="Times New Roman"/>
          <w:szCs w:val="24"/>
        </w:rPr>
        <w:t xml:space="preserve"> pada PT. Bank </w:t>
      </w:r>
      <w:r>
        <w:rPr>
          <w:rFonts w:cs="Times New Roman"/>
          <w:szCs w:val="24"/>
          <w:lang w:val="id-ID"/>
        </w:rPr>
        <w:t xml:space="preserve">Central </w:t>
      </w:r>
      <w:proofErr w:type="gramStart"/>
      <w:r>
        <w:rPr>
          <w:rFonts w:cs="Times New Roman"/>
          <w:szCs w:val="24"/>
          <w:lang w:val="id-ID"/>
        </w:rPr>
        <w:t>A</w:t>
      </w:r>
      <w:r w:rsidR="00813DCB">
        <w:rPr>
          <w:rFonts w:cs="Times New Roman"/>
          <w:szCs w:val="24"/>
          <w:lang w:val="id-ID"/>
        </w:rPr>
        <w:t>s</w:t>
      </w:r>
      <w:r>
        <w:rPr>
          <w:rFonts w:cs="Times New Roman"/>
          <w:szCs w:val="24"/>
          <w:lang w:val="id-ID"/>
        </w:rPr>
        <w:t>ia</w:t>
      </w:r>
      <w:r>
        <w:rPr>
          <w:rFonts w:cs="Times New Roman"/>
          <w:szCs w:val="24"/>
        </w:rPr>
        <w:t xml:space="preserve"> :</w:t>
      </w:r>
      <w:proofErr w:type="gramEnd"/>
    </w:p>
    <w:p w:rsidR="00BD29CC" w:rsidRPr="00BD29CC" w:rsidRDefault="00BD29CC" w:rsidP="00BD29CC">
      <w:pPr>
        <w:pStyle w:val="ListParagraph"/>
        <w:numPr>
          <w:ilvl w:val="0"/>
          <w:numId w:val="25"/>
        </w:numPr>
        <w:autoSpaceDE w:val="0"/>
        <w:autoSpaceDN w:val="0"/>
        <w:adjustRightInd w:val="0"/>
        <w:spacing w:after="0" w:line="240" w:lineRule="auto"/>
        <w:ind w:left="284" w:hanging="284"/>
        <w:rPr>
          <w:rFonts w:ascii="Times New Roman" w:hAnsi="Times New Roman" w:cs="Times New Roman"/>
          <w:b/>
          <w:color w:val="000000"/>
          <w:sz w:val="24"/>
          <w:szCs w:val="24"/>
          <w:lang w:val="id-ID"/>
        </w:rPr>
      </w:pPr>
      <w:r w:rsidRPr="00BD29CC">
        <w:rPr>
          <w:rFonts w:ascii="Times New Roman" w:hAnsi="Times New Roman" w:cs="Times New Roman"/>
          <w:b/>
          <w:color w:val="000000"/>
          <w:sz w:val="24"/>
          <w:szCs w:val="24"/>
          <w:lang w:val="id-ID"/>
        </w:rPr>
        <w:t xml:space="preserve">Tingkat Kesehatan Bank ditinjau dari aspek </w:t>
      </w:r>
      <w:r w:rsidRPr="00BD29CC">
        <w:rPr>
          <w:rFonts w:ascii="Times New Roman" w:hAnsi="Times New Roman" w:cs="Times New Roman"/>
          <w:b/>
          <w:i/>
          <w:iCs/>
          <w:color w:val="000000"/>
          <w:sz w:val="24"/>
          <w:szCs w:val="24"/>
          <w:lang w:val="id-ID"/>
        </w:rPr>
        <w:t xml:space="preserve">Risk Profile </w:t>
      </w:r>
    </w:p>
    <w:p w:rsidR="00BD29CC" w:rsidRDefault="00BD29CC" w:rsidP="00BD29CC">
      <w:pPr>
        <w:pStyle w:val="ISI"/>
        <w:numPr>
          <w:ilvl w:val="0"/>
          <w:numId w:val="26"/>
        </w:numPr>
        <w:spacing w:after="0" w:line="240" w:lineRule="auto"/>
        <w:ind w:left="567" w:hanging="283"/>
        <w:rPr>
          <w:rFonts w:eastAsiaTheme="minorEastAsia" w:cs="Times New Roman"/>
          <w:color w:val="000000" w:themeColor="text1"/>
          <w:szCs w:val="24"/>
          <w:lang w:val="id-ID"/>
        </w:rPr>
      </w:pPr>
      <w:r w:rsidRPr="00BD29CC">
        <w:rPr>
          <w:rFonts w:eastAsiaTheme="minorEastAsia" w:cs="Times New Roman"/>
          <w:color w:val="000000" w:themeColor="text1"/>
          <w:szCs w:val="24"/>
          <w:lang w:val="id-ID"/>
        </w:rPr>
        <w:t>Risiko Kredit</w:t>
      </w:r>
    </w:p>
    <w:p w:rsidR="00BD29CC" w:rsidRPr="007C7769" w:rsidRDefault="00BD29CC" w:rsidP="00BD29CC">
      <w:pPr>
        <w:pStyle w:val="ListParagraph"/>
        <w:spacing w:line="240" w:lineRule="auto"/>
        <w:ind w:left="1134"/>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Pr>
          <w:rFonts w:ascii="Times New Roman" w:hAnsi="Times New Roman" w:cs="Times New Roman"/>
          <w:b/>
          <w:sz w:val="24"/>
          <w:szCs w:val="24"/>
          <w:lang w:val="id-ID"/>
        </w:rPr>
        <w:t>4</w:t>
      </w:r>
      <w:r w:rsidRPr="007C7769">
        <w:rPr>
          <w:rFonts w:ascii="Times New Roman" w:hAnsi="Times New Roman" w:cs="Times New Roman"/>
          <w:b/>
          <w:sz w:val="24"/>
          <w:szCs w:val="24"/>
        </w:rPr>
        <w:t>.</w:t>
      </w:r>
      <w:r>
        <w:rPr>
          <w:rFonts w:ascii="Times New Roman" w:hAnsi="Times New Roman" w:cs="Times New Roman"/>
          <w:b/>
          <w:sz w:val="24"/>
          <w:szCs w:val="24"/>
          <w:lang w:val="id-ID"/>
        </w:rPr>
        <w:t>1.</w:t>
      </w:r>
      <w:proofErr w:type="gramEnd"/>
      <w:r w:rsidRPr="007C7769">
        <w:rPr>
          <w:rFonts w:ascii="Times New Roman" w:hAnsi="Times New Roman" w:cs="Times New Roman"/>
          <w:b/>
          <w:sz w:val="24"/>
          <w:szCs w:val="24"/>
        </w:rPr>
        <w:t xml:space="preserve"> Bobot PK Komponen NPL </w:t>
      </w:r>
      <w:r w:rsidRPr="007C7769">
        <w:rPr>
          <w:rFonts w:ascii="Times New Roman" w:hAnsi="Times New Roman" w:cs="Times New Roman"/>
          <w:b/>
          <w:i/>
          <w:sz w:val="24"/>
          <w:szCs w:val="24"/>
        </w:rPr>
        <w:t>(Non Performing Loan</w:t>
      </w:r>
      <w:r w:rsidRPr="007C7769">
        <w:rPr>
          <w:rFonts w:ascii="Times New Roman" w:hAnsi="Times New Roman" w:cs="Times New Roman"/>
          <w:b/>
          <w:sz w:val="24"/>
          <w:szCs w:val="24"/>
        </w:rPr>
        <w:t>)</w:t>
      </w:r>
    </w:p>
    <w:tbl>
      <w:tblPr>
        <w:tblStyle w:val="TableGrid"/>
        <w:tblW w:w="0" w:type="auto"/>
        <w:tblInd w:w="1307" w:type="dxa"/>
        <w:tblLook w:val="04A0" w:firstRow="1" w:lastRow="0" w:firstColumn="1" w:lastColumn="0" w:noHBand="0" w:noVBand="1"/>
      </w:tblPr>
      <w:tblGrid>
        <w:gridCol w:w="1383"/>
        <w:gridCol w:w="1560"/>
        <w:gridCol w:w="1417"/>
        <w:gridCol w:w="1843"/>
      </w:tblGrid>
      <w:tr w:rsidR="00BD29CC" w:rsidTr="00BD29CC">
        <w:trPr>
          <w:trHeight w:val="376"/>
        </w:trPr>
        <w:tc>
          <w:tcPr>
            <w:tcW w:w="138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560"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NPL</w:t>
            </w:r>
          </w:p>
        </w:tc>
        <w:tc>
          <w:tcPr>
            <w:tcW w:w="1417"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Peringkat</w:t>
            </w:r>
          </w:p>
        </w:tc>
        <w:tc>
          <w:tcPr>
            <w:tcW w:w="184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BD29CC" w:rsidTr="00BD29CC">
        <w:tc>
          <w:tcPr>
            <w:tcW w:w="138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560"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0.61 %</w:t>
            </w:r>
          </w:p>
        </w:tc>
        <w:tc>
          <w:tcPr>
            <w:tcW w:w="1417"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BD29CC" w:rsidTr="00BD29CC">
        <w:tc>
          <w:tcPr>
            <w:tcW w:w="138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560"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0.73 %</w:t>
            </w:r>
          </w:p>
        </w:tc>
        <w:tc>
          <w:tcPr>
            <w:tcW w:w="1417"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BD29CC" w:rsidTr="00BD29CC">
        <w:tc>
          <w:tcPr>
            <w:tcW w:w="1383"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560"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1.35 %</w:t>
            </w:r>
          </w:p>
        </w:tc>
        <w:tc>
          <w:tcPr>
            <w:tcW w:w="1417"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Sehat</w:t>
            </w:r>
          </w:p>
        </w:tc>
      </w:tr>
    </w:tbl>
    <w:p w:rsidR="00BD29CC" w:rsidRDefault="00BD29CC" w:rsidP="00BD29CC">
      <w:pPr>
        <w:pStyle w:val="ListParagraph"/>
        <w:spacing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rPr>
        <w:t>Sumber: Data Sekunder yang diolah peneliti, 2017</w:t>
      </w:r>
    </w:p>
    <w:p w:rsidR="00BD29CC" w:rsidRDefault="00BD29CC" w:rsidP="00BD29CC">
      <w:pPr>
        <w:pStyle w:val="ListParagraph"/>
        <w:numPr>
          <w:ilvl w:val="0"/>
          <w:numId w:val="26"/>
        </w:numPr>
        <w:spacing w:line="240" w:lineRule="auto"/>
        <w:ind w:left="567" w:hanging="283"/>
        <w:jc w:val="both"/>
        <w:rPr>
          <w:rFonts w:ascii="Times New Roman" w:hAnsi="Times New Roman" w:cs="Times New Roman"/>
          <w:sz w:val="24"/>
          <w:szCs w:val="24"/>
          <w:lang w:val="id-ID"/>
        </w:rPr>
      </w:pPr>
      <w:r w:rsidRPr="00BD29CC">
        <w:rPr>
          <w:rFonts w:ascii="Times New Roman" w:hAnsi="Times New Roman" w:cs="Times New Roman"/>
          <w:sz w:val="24"/>
          <w:szCs w:val="24"/>
          <w:lang w:val="id-ID"/>
        </w:rPr>
        <w:t xml:space="preserve">Risiko </w:t>
      </w:r>
      <w:r>
        <w:rPr>
          <w:rFonts w:ascii="Times New Roman" w:hAnsi="Times New Roman" w:cs="Times New Roman"/>
          <w:sz w:val="24"/>
          <w:szCs w:val="24"/>
          <w:lang w:val="id-ID"/>
        </w:rPr>
        <w:t>Likuiditas</w:t>
      </w:r>
    </w:p>
    <w:p w:rsidR="00BD29CC" w:rsidRPr="00B529D1" w:rsidRDefault="00BD29CC" w:rsidP="00BD29CC">
      <w:pPr>
        <w:pStyle w:val="ListParagraph"/>
        <w:spacing w:line="240" w:lineRule="auto"/>
        <w:ind w:left="1134"/>
        <w:jc w:val="both"/>
        <w:rPr>
          <w:rFonts w:ascii="Times New Roman" w:hAnsi="Times New Roman" w:cs="Times New Roman"/>
          <w:b/>
          <w:sz w:val="24"/>
          <w:szCs w:val="24"/>
        </w:rPr>
      </w:pPr>
      <w:proofErr w:type="gramStart"/>
      <w:r w:rsidRPr="00B529D1">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4.2.</w:t>
      </w:r>
      <w:proofErr w:type="gramEnd"/>
      <w:r w:rsidRPr="00B529D1">
        <w:rPr>
          <w:rFonts w:ascii="Times New Roman" w:hAnsi="Times New Roman" w:cs="Times New Roman"/>
          <w:b/>
          <w:sz w:val="24"/>
          <w:szCs w:val="24"/>
        </w:rPr>
        <w:t xml:space="preserve"> Bobot PK Komponen LDR (</w:t>
      </w:r>
      <w:r w:rsidRPr="00B529D1">
        <w:rPr>
          <w:rFonts w:ascii="Times New Roman" w:hAnsi="Times New Roman" w:cs="Times New Roman"/>
          <w:b/>
          <w:i/>
          <w:sz w:val="24"/>
          <w:szCs w:val="24"/>
        </w:rPr>
        <w:t>Loan to Deposit Ratio</w:t>
      </w:r>
      <w:r w:rsidRPr="00B529D1">
        <w:rPr>
          <w:rFonts w:ascii="Times New Roman" w:hAnsi="Times New Roman" w:cs="Times New Roman"/>
          <w:b/>
          <w:sz w:val="24"/>
          <w:szCs w:val="24"/>
        </w:rPr>
        <w:t>)</w:t>
      </w:r>
    </w:p>
    <w:tbl>
      <w:tblPr>
        <w:tblStyle w:val="TableGrid"/>
        <w:tblW w:w="0" w:type="auto"/>
        <w:tblInd w:w="1274" w:type="dxa"/>
        <w:tblLook w:val="04A0" w:firstRow="1" w:lastRow="0" w:firstColumn="1" w:lastColumn="0" w:noHBand="0" w:noVBand="1"/>
      </w:tblPr>
      <w:tblGrid>
        <w:gridCol w:w="1383"/>
        <w:gridCol w:w="1560"/>
        <w:gridCol w:w="1417"/>
        <w:gridCol w:w="1843"/>
      </w:tblGrid>
      <w:tr w:rsidR="00BD29CC" w:rsidTr="00BD29CC">
        <w:trPr>
          <w:trHeight w:val="376"/>
        </w:trPr>
        <w:tc>
          <w:tcPr>
            <w:tcW w:w="138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560"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LDR</w:t>
            </w:r>
          </w:p>
        </w:tc>
        <w:tc>
          <w:tcPr>
            <w:tcW w:w="1417"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Peringkat</w:t>
            </w:r>
          </w:p>
        </w:tc>
        <w:tc>
          <w:tcPr>
            <w:tcW w:w="184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BD29CC" w:rsidTr="00BD29CC">
        <w:tc>
          <w:tcPr>
            <w:tcW w:w="138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560"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75.88 %</w:t>
            </w:r>
          </w:p>
        </w:tc>
        <w:tc>
          <w:tcPr>
            <w:tcW w:w="1417"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BD29CC" w:rsidTr="00BD29CC">
        <w:tc>
          <w:tcPr>
            <w:tcW w:w="138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560"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79.93 %</w:t>
            </w:r>
          </w:p>
        </w:tc>
        <w:tc>
          <w:tcPr>
            <w:tcW w:w="1417"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BD29CC" w:rsidRDefault="00BD29CC"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BD29CC" w:rsidTr="00BD29CC">
        <w:tc>
          <w:tcPr>
            <w:tcW w:w="1383"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560"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76.09 %</w:t>
            </w:r>
          </w:p>
        </w:tc>
        <w:tc>
          <w:tcPr>
            <w:tcW w:w="1417"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BD29CC" w:rsidRDefault="00BD29CC"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Sehat</w:t>
            </w:r>
          </w:p>
        </w:tc>
      </w:tr>
    </w:tbl>
    <w:p w:rsidR="00BD29CC" w:rsidRDefault="00BD29CC" w:rsidP="00BD29CC">
      <w:pPr>
        <w:pStyle w:val="ListParagraph"/>
        <w:spacing w:after="0" w:line="240" w:lineRule="auto"/>
        <w:ind w:left="1701"/>
        <w:jc w:val="both"/>
        <w:rPr>
          <w:rFonts w:ascii="Times New Roman" w:hAnsi="Times New Roman" w:cs="Times New Roman"/>
          <w:sz w:val="24"/>
          <w:szCs w:val="24"/>
          <w:lang w:val="id-ID"/>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Sekunder yang diolah peneliti, 2017</w:t>
      </w:r>
    </w:p>
    <w:p w:rsidR="0082268A" w:rsidRPr="0082268A" w:rsidRDefault="0082268A" w:rsidP="0082268A">
      <w:pPr>
        <w:spacing w:after="0" w:line="240" w:lineRule="auto"/>
        <w:jc w:val="both"/>
        <w:rPr>
          <w:rFonts w:ascii="Times New Roman" w:hAnsi="Times New Roman" w:cs="Times New Roman"/>
          <w:sz w:val="24"/>
          <w:szCs w:val="24"/>
          <w:lang w:val="id-ID"/>
        </w:rPr>
      </w:pPr>
    </w:p>
    <w:p w:rsidR="00BD29CC" w:rsidRPr="00AF5F70" w:rsidRDefault="00BD29CC" w:rsidP="00AF5F70">
      <w:pPr>
        <w:pStyle w:val="ListParagraph"/>
        <w:numPr>
          <w:ilvl w:val="0"/>
          <w:numId w:val="25"/>
        </w:numPr>
        <w:autoSpaceDE w:val="0"/>
        <w:autoSpaceDN w:val="0"/>
        <w:adjustRightInd w:val="0"/>
        <w:spacing w:after="0" w:line="240" w:lineRule="auto"/>
        <w:ind w:left="284" w:hanging="284"/>
        <w:rPr>
          <w:rFonts w:ascii="Times New Roman" w:hAnsi="Times New Roman" w:cs="Times New Roman"/>
          <w:b/>
          <w:color w:val="000000"/>
          <w:sz w:val="24"/>
          <w:szCs w:val="24"/>
          <w:lang w:val="id-ID"/>
        </w:rPr>
      </w:pPr>
      <w:r w:rsidRPr="00AF5F70">
        <w:rPr>
          <w:rFonts w:ascii="Times New Roman" w:hAnsi="Times New Roman" w:cs="Times New Roman"/>
          <w:b/>
          <w:color w:val="000000"/>
          <w:sz w:val="24"/>
          <w:szCs w:val="24"/>
          <w:lang w:val="id-ID"/>
        </w:rPr>
        <w:lastRenderedPageBreak/>
        <w:t xml:space="preserve">Tingkat Kesehatan Bank ditinjau dari aspek </w:t>
      </w:r>
      <w:r w:rsidRPr="00AF5F70">
        <w:rPr>
          <w:rFonts w:ascii="Times New Roman" w:hAnsi="Times New Roman" w:cs="Times New Roman"/>
          <w:b/>
          <w:i/>
          <w:iCs/>
          <w:color w:val="000000"/>
          <w:sz w:val="24"/>
          <w:szCs w:val="24"/>
          <w:lang w:val="id-ID"/>
        </w:rPr>
        <w:t xml:space="preserve">Good Corporate Governance </w:t>
      </w:r>
    </w:p>
    <w:p w:rsidR="00AF5F70" w:rsidRPr="00B529D1" w:rsidRDefault="00AF5F70" w:rsidP="00AF5F70">
      <w:pPr>
        <w:pStyle w:val="ListParagraph"/>
        <w:spacing w:line="240" w:lineRule="auto"/>
        <w:ind w:left="1134"/>
        <w:jc w:val="both"/>
        <w:rPr>
          <w:rFonts w:ascii="Times New Roman" w:hAnsi="Times New Roman" w:cs="Times New Roman"/>
          <w:b/>
          <w:sz w:val="24"/>
          <w:szCs w:val="24"/>
        </w:rPr>
      </w:pPr>
      <w:proofErr w:type="gramStart"/>
      <w:r w:rsidRPr="00B529D1">
        <w:rPr>
          <w:rFonts w:ascii="Times New Roman" w:hAnsi="Times New Roman" w:cs="Times New Roman"/>
          <w:b/>
          <w:sz w:val="24"/>
          <w:szCs w:val="24"/>
        </w:rPr>
        <w:t>Tabel</w:t>
      </w:r>
      <w:r>
        <w:rPr>
          <w:rFonts w:ascii="Times New Roman" w:hAnsi="Times New Roman" w:cs="Times New Roman"/>
          <w:b/>
          <w:sz w:val="24"/>
          <w:szCs w:val="24"/>
        </w:rPr>
        <w:t xml:space="preserve"> </w:t>
      </w:r>
      <w:r>
        <w:rPr>
          <w:rFonts w:ascii="Times New Roman" w:hAnsi="Times New Roman" w:cs="Times New Roman"/>
          <w:b/>
          <w:sz w:val="24"/>
          <w:szCs w:val="24"/>
          <w:lang w:val="id-ID"/>
        </w:rPr>
        <w:t>4.3.</w:t>
      </w:r>
      <w:proofErr w:type="gramEnd"/>
      <w:r>
        <w:rPr>
          <w:rFonts w:ascii="Times New Roman" w:hAnsi="Times New Roman" w:cs="Times New Roman"/>
          <w:b/>
          <w:sz w:val="24"/>
          <w:szCs w:val="24"/>
        </w:rPr>
        <w:t xml:space="preserve"> Bobot PK Komponen </w:t>
      </w:r>
      <w:r>
        <w:rPr>
          <w:rFonts w:ascii="Times New Roman" w:hAnsi="Times New Roman" w:cs="Times New Roman"/>
          <w:b/>
          <w:sz w:val="24"/>
          <w:szCs w:val="24"/>
          <w:lang w:val="id-ID"/>
        </w:rPr>
        <w:t>GCG</w:t>
      </w:r>
      <w:r w:rsidRPr="00B529D1">
        <w:rPr>
          <w:rFonts w:ascii="Times New Roman" w:hAnsi="Times New Roman" w:cs="Times New Roman"/>
          <w:b/>
          <w:sz w:val="24"/>
          <w:szCs w:val="24"/>
        </w:rPr>
        <w:t xml:space="preserve"> (</w:t>
      </w:r>
      <w:r>
        <w:rPr>
          <w:rFonts w:ascii="Times New Roman" w:hAnsi="Times New Roman" w:cs="Times New Roman"/>
          <w:b/>
          <w:i/>
          <w:sz w:val="24"/>
          <w:szCs w:val="24"/>
          <w:lang w:val="id-ID"/>
        </w:rPr>
        <w:t>Good Corporate Governance</w:t>
      </w:r>
      <w:r w:rsidRPr="00B529D1">
        <w:rPr>
          <w:rFonts w:ascii="Times New Roman" w:hAnsi="Times New Roman" w:cs="Times New Roman"/>
          <w:b/>
          <w:sz w:val="24"/>
          <w:szCs w:val="24"/>
        </w:rPr>
        <w:t>)</w:t>
      </w:r>
    </w:p>
    <w:tbl>
      <w:tblPr>
        <w:tblStyle w:val="TableGrid"/>
        <w:tblW w:w="0" w:type="auto"/>
        <w:tblInd w:w="1291" w:type="dxa"/>
        <w:tblLook w:val="04A0" w:firstRow="1" w:lastRow="0" w:firstColumn="1" w:lastColumn="0" w:noHBand="0" w:noVBand="1"/>
      </w:tblPr>
      <w:tblGrid>
        <w:gridCol w:w="1617"/>
        <w:gridCol w:w="1701"/>
        <w:gridCol w:w="2409"/>
      </w:tblGrid>
      <w:tr w:rsidR="00AF5F70" w:rsidTr="00AF5F70">
        <w:trPr>
          <w:trHeight w:val="376"/>
        </w:trPr>
        <w:tc>
          <w:tcPr>
            <w:tcW w:w="16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701"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Peringkat</w:t>
            </w:r>
          </w:p>
        </w:tc>
        <w:tc>
          <w:tcPr>
            <w:tcW w:w="2409"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AF5F70" w:rsidTr="00AF5F70">
        <w:tc>
          <w:tcPr>
            <w:tcW w:w="16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701"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vAlign w:val="center"/>
          </w:tcPr>
          <w:p w:rsidR="00AF5F70" w:rsidRPr="00C37BF9" w:rsidRDefault="00AF5F70" w:rsidP="00983A79">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Sangat </w:t>
            </w:r>
            <w:r>
              <w:rPr>
                <w:rFonts w:ascii="Times New Roman" w:hAnsi="Times New Roman" w:cs="Times New Roman"/>
                <w:sz w:val="24"/>
                <w:szCs w:val="24"/>
                <w:lang w:val="id-ID"/>
              </w:rPr>
              <w:t>Baik</w:t>
            </w:r>
          </w:p>
        </w:tc>
      </w:tr>
      <w:tr w:rsidR="00AF5F70" w:rsidTr="00AF5F70">
        <w:tc>
          <w:tcPr>
            <w:tcW w:w="16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vAlign w:val="center"/>
          </w:tcPr>
          <w:p w:rsidR="00AF5F70" w:rsidRPr="00C37BF9" w:rsidRDefault="00AF5F70" w:rsidP="00983A79">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Sangat </w:t>
            </w:r>
            <w:r>
              <w:rPr>
                <w:rFonts w:ascii="Times New Roman" w:hAnsi="Times New Roman" w:cs="Times New Roman"/>
                <w:sz w:val="24"/>
                <w:szCs w:val="24"/>
                <w:lang w:val="id-ID"/>
              </w:rPr>
              <w:t>Baik</w:t>
            </w:r>
          </w:p>
        </w:tc>
      </w:tr>
      <w:tr w:rsidR="00AF5F70" w:rsidTr="00AF5F70">
        <w:tc>
          <w:tcPr>
            <w:tcW w:w="1617" w:type="dxa"/>
            <w:vAlign w:val="center"/>
          </w:tcPr>
          <w:p w:rsidR="00AF5F70" w:rsidRDefault="00AF5F70"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701" w:type="dxa"/>
            <w:vAlign w:val="center"/>
          </w:tcPr>
          <w:p w:rsidR="00AF5F70" w:rsidRDefault="00AF5F70" w:rsidP="00983A7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vAlign w:val="center"/>
          </w:tcPr>
          <w:p w:rsidR="00AF5F70" w:rsidRPr="00C37BF9" w:rsidRDefault="00AF5F70" w:rsidP="00983A7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Sangat </w:t>
            </w:r>
            <w:r>
              <w:rPr>
                <w:rFonts w:ascii="Times New Roman" w:hAnsi="Times New Roman" w:cs="Times New Roman"/>
                <w:sz w:val="24"/>
                <w:szCs w:val="24"/>
                <w:lang w:val="id-ID"/>
              </w:rPr>
              <w:t>Baik</w:t>
            </w:r>
          </w:p>
        </w:tc>
      </w:tr>
    </w:tbl>
    <w:p w:rsidR="00AF5F70" w:rsidRPr="00AF5F70" w:rsidRDefault="00AF5F70" w:rsidP="00AF5F70">
      <w:pPr>
        <w:pStyle w:val="ListParagraph"/>
        <w:spacing w:after="0" w:line="240" w:lineRule="auto"/>
        <w:ind w:left="1701"/>
        <w:jc w:val="both"/>
        <w:rPr>
          <w:rFonts w:ascii="Times New Roman" w:hAnsi="Times New Roman" w:cs="Times New Roman"/>
          <w:sz w:val="24"/>
          <w:szCs w:val="24"/>
          <w:lang w:val="id-ID"/>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Sekunder yang diolah peneliti, 201</w:t>
      </w:r>
      <w:r>
        <w:rPr>
          <w:rFonts w:ascii="Times New Roman" w:hAnsi="Times New Roman" w:cs="Times New Roman"/>
          <w:sz w:val="24"/>
          <w:szCs w:val="24"/>
          <w:lang w:val="id-ID"/>
        </w:rPr>
        <w:t>7</w:t>
      </w:r>
    </w:p>
    <w:p w:rsidR="00AF5F70" w:rsidRPr="00AF5F70" w:rsidRDefault="00AF5F70" w:rsidP="00AF5F70">
      <w:pPr>
        <w:pStyle w:val="ListParagraph"/>
        <w:numPr>
          <w:ilvl w:val="0"/>
          <w:numId w:val="25"/>
        </w:numPr>
        <w:autoSpaceDE w:val="0"/>
        <w:autoSpaceDN w:val="0"/>
        <w:adjustRightInd w:val="0"/>
        <w:spacing w:after="0" w:line="240" w:lineRule="auto"/>
        <w:ind w:left="284" w:hanging="284"/>
        <w:rPr>
          <w:rFonts w:ascii="Times New Roman" w:hAnsi="Times New Roman" w:cs="Times New Roman"/>
          <w:b/>
          <w:color w:val="000000"/>
          <w:sz w:val="24"/>
          <w:szCs w:val="24"/>
          <w:lang w:val="id-ID"/>
        </w:rPr>
      </w:pPr>
      <w:r w:rsidRPr="00AF5F70">
        <w:rPr>
          <w:rFonts w:ascii="Times New Roman" w:hAnsi="Times New Roman" w:cs="Times New Roman"/>
          <w:b/>
          <w:color w:val="000000"/>
          <w:sz w:val="24"/>
          <w:szCs w:val="24"/>
          <w:lang w:val="id-ID"/>
        </w:rPr>
        <w:t xml:space="preserve">Tingkat Kesehatan Bank ditinjau dari aspek </w:t>
      </w:r>
      <w:r w:rsidRPr="00AF5F70">
        <w:rPr>
          <w:rFonts w:ascii="Times New Roman" w:hAnsi="Times New Roman" w:cs="Times New Roman"/>
          <w:b/>
          <w:i/>
          <w:iCs/>
          <w:color w:val="000000"/>
          <w:sz w:val="24"/>
          <w:szCs w:val="24"/>
          <w:lang w:val="id-ID"/>
        </w:rPr>
        <w:t xml:space="preserve">Earnings </w:t>
      </w:r>
    </w:p>
    <w:p w:rsidR="00AF5F70" w:rsidRDefault="00AF5F70" w:rsidP="00AF5F70">
      <w:pPr>
        <w:pStyle w:val="ISI"/>
        <w:numPr>
          <w:ilvl w:val="0"/>
          <w:numId w:val="27"/>
        </w:numPr>
        <w:spacing w:after="0" w:line="240" w:lineRule="auto"/>
        <w:ind w:left="567" w:hanging="283"/>
        <w:rPr>
          <w:rFonts w:eastAsiaTheme="minorEastAsia" w:cs="Times New Roman"/>
          <w:color w:val="000000" w:themeColor="text1"/>
          <w:szCs w:val="24"/>
          <w:lang w:val="id-ID"/>
        </w:rPr>
      </w:pPr>
      <w:r w:rsidRPr="00AF5F70">
        <w:rPr>
          <w:rFonts w:eastAsiaTheme="minorEastAsia" w:cs="Times New Roman"/>
          <w:i/>
          <w:color w:val="000000" w:themeColor="text1"/>
          <w:szCs w:val="24"/>
          <w:lang w:val="id-ID"/>
        </w:rPr>
        <w:t>Return on Asset</w:t>
      </w:r>
      <w:r>
        <w:rPr>
          <w:rFonts w:eastAsiaTheme="minorEastAsia" w:cs="Times New Roman"/>
          <w:color w:val="000000" w:themeColor="text1"/>
          <w:szCs w:val="24"/>
          <w:lang w:val="id-ID"/>
        </w:rPr>
        <w:t xml:space="preserve"> (ROA)</w:t>
      </w:r>
    </w:p>
    <w:p w:rsidR="00AF5F70" w:rsidRPr="00AF5F70" w:rsidRDefault="00AF5F70" w:rsidP="00813DCB">
      <w:pPr>
        <w:pStyle w:val="ISI"/>
        <w:spacing w:after="0" w:line="240" w:lineRule="auto"/>
        <w:ind w:left="1134"/>
        <w:rPr>
          <w:rFonts w:eastAsiaTheme="minorEastAsia" w:cs="Times New Roman"/>
          <w:color w:val="000000" w:themeColor="text1"/>
          <w:szCs w:val="24"/>
          <w:lang w:val="id-ID"/>
        </w:rPr>
      </w:pPr>
      <w:proofErr w:type="gramStart"/>
      <w:r w:rsidRPr="00AF5F70">
        <w:rPr>
          <w:rFonts w:cs="Times New Roman"/>
          <w:b/>
          <w:bCs/>
          <w:iCs/>
          <w:szCs w:val="24"/>
        </w:rPr>
        <w:t xml:space="preserve">Tabel </w:t>
      </w:r>
      <w:r w:rsidRPr="00AF5F70">
        <w:rPr>
          <w:rFonts w:cs="Times New Roman"/>
          <w:b/>
          <w:bCs/>
          <w:iCs/>
          <w:szCs w:val="24"/>
          <w:lang w:val="id-ID"/>
        </w:rPr>
        <w:t>4</w:t>
      </w:r>
      <w:r w:rsidRPr="00AF5F70">
        <w:rPr>
          <w:rFonts w:cs="Times New Roman"/>
          <w:b/>
          <w:bCs/>
          <w:iCs/>
          <w:szCs w:val="24"/>
        </w:rPr>
        <w:t>.</w:t>
      </w:r>
      <w:r w:rsidRPr="00AF5F70">
        <w:rPr>
          <w:rFonts w:cs="Times New Roman"/>
          <w:b/>
          <w:bCs/>
          <w:iCs/>
          <w:szCs w:val="24"/>
          <w:lang w:val="id-ID"/>
        </w:rPr>
        <w:t>3.</w:t>
      </w:r>
      <w:proofErr w:type="gramEnd"/>
      <w:r w:rsidRPr="00AF5F70">
        <w:rPr>
          <w:rFonts w:cs="Times New Roman"/>
          <w:b/>
          <w:bCs/>
          <w:iCs/>
          <w:szCs w:val="24"/>
        </w:rPr>
        <w:t xml:space="preserve"> Bobot PK Komponen ROA (</w:t>
      </w:r>
      <w:r w:rsidRPr="00AF5F70">
        <w:rPr>
          <w:rFonts w:cs="Times New Roman"/>
          <w:b/>
          <w:bCs/>
          <w:i/>
          <w:iCs/>
          <w:szCs w:val="24"/>
        </w:rPr>
        <w:t xml:space="preserve">Return </w:t>
      </w:r>
      <w:proofErr w:type="gramStart"/>
      <w:r w:rsidRPr="00AF5F70">
        <w:rPr>
          <w:rFonts w:cs="Times New Roman"/>
          <w:b/>
          <w:bCs/>
          <w:i/>
          <w:iCs/>
          <w:szCs w:val="24"/>
        </w:rPr>
        <w:t>On</w:t>
      </w:r>
      <w:proofErr w:type="gramEnd"/>
      <w:r w:rsidRPr="00AF5F70">
        <w:rPr>
          <w:rFonts w:cs="Times New Roman"/>
          <w:b/>
          <w:bCs/>
          <w:i/>
          <w:iCs/>
          <w:szCs w:val="24"/>
        </w:rPr>
        <w:t xml:space="preserve"> Assets)</w:t>
      </w:r>
    </w:p>
    <w:tbl>
      <w:tblPr>
        <w:tblStyle w:val="TableGrid"/>
        <w:tblW w:w="0" w:type="auto"/>
        <w:tblInd w:w="1242" w:type="dxa"/>
        <w:tblLook w:val="04A0" w:firstRow="1" w:lastRow="0" w:firstColumn="1" w:lastColumn="0" w:noHBand="0" w:noVBand="1"/>
      </w:tblPr>
      <w:tblGrid>
        <w:gridCol w:w="1383"/>
        <w:gridCol w:w="1560"/>
        <w:gridCol w:w="1417"/>
        <w:gridCol w:w="1843"/>
      </w:tblGrid>
      <w:tr w:rsidR="00AF5F70" w:rsidTr="00AF5F70">
        <w:trPr>
          <w:trHeight w:val="376"/>
        </w:trPr>
        <w:tc>
          <w:tcPr>
            <w:tcW w:w="138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560"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ROA</w:t>
            </w:r>
          </w:p>
        </w:tc>
        <w:tc>
          <w:tcPr>
            <w:tcW w:w="1417"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Peringkat</w:t>
            </w:r>
          </w:p>
        </w:tc>
        <w:tc>
          <w:tcPr>
            <w:tcW w:w="184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AF5F70" w:rsidTr="00AF5F70">
        <w:tc>
          <w:tcPr>
            <w:tcW w:w="138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560"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3.95 %</w:t>
            </w:r>
          </w:p>
        </w:tc>
        <w:tc>
          <w:tcPr>
            <w:tcW w:w="1417"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AF5F70" w:rsidTr="00AF5F70">
        <w:tc>
          <w:tcPr>
            <w:tcW w:w="138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560"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3.95 %</w:t>
            </w:r>
          </w:p>
        </w:tc>
        <w:tc>
          <w:tcPr>
            <w:tcW w:w="1417"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AF5F70" w:rsidTr="00AF5F70">
        <w:tc>
          <w:tcPr>
            <w:tcW w:w="138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560"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4.06 %</w:t>
            </w:r>
          </w:p>
        </w:tc>
        <w:tc>
          <w:tcPr>
            <w:tcW w:w="1417"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AF5F70" w:rsidRDefault="00AF5F70" w:rsidP="00AF5F7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bl>
    <w:p w:rsidR="00AF5F70" w:rsidRDefault="00AF5F70" w:rsidP="00AF5F70">
      <w:pPr>
        <w:pStyle w:val="ListParagraph"/>
        <w:spacing w:line="240" w:lineRule="auto"/>
        <w:ind w:left="1560"/>
        <w:jc w:val="both"/>
        <w:rPr>
          <w:rFonts w:ascii="Times New Roman" w:hAnsi="Times New Roman" w:cs="Times New Roman"/>
          <w:sz w:val="24"/>
          <w:szCs w:val="24"/>
          <w:lang w:val="id-ID"/>
        </w:rPr>
      </w:pPr>
      <w:r>
        <w:rPr>
          <w:rFonts w:ascii="Times New Roman" w:hAnsi="Times New Roman" w:cs="Times New Roman"/>
          <w:sz w:val="24"/>
          <w:szCs w:val="24"/>
        </w:rPr>
        <w:t>Sumber: Data Sekunder yang diolah peneliti, 2017</w:t>
      </w:r>
    </w:p>
    <w:p w:rsidR="00AF5F70" w:rsidRPr="00AF5F70" w:rsidRDefault="00AF5F70" w:rsidP="00AF5F70">
      <w:pPr>
        <w:pStyle w:val="ListParagraph"/>
        <w:numPr>
          <w:ilvl w:val="0"/>
          <w:numId w:val="27"/>
        </w:numPr>
        <w:spacing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Net Interest Margin</w:t>
      </w:r>
    </w:p>
    <w:p w:rsidR="00AF5F70" w:rsidRDefault="00AF5F70" w:rsidP="00813DCB">
      <w:pPr>
        <w:pStyle w:val="ListParagraph"/>
        <w:spacing w:before="240" w:line="240" w:lineRule="auto"/>
        <w:ind w:left="1134"/>
        <w:jc w:val="both"/>
        <w:rPr>
          <w:rFonts w:ascii="Times New Roman" w:hAnsi="Times New Roman" w:cs="Times New Roman"/>
          <w:bCs/>
          <w:iCs/>
          <w:sz w:val="24"/>
          <w:szCs w:val="24"/>
        </w:rPr>
      </w:pPr>
      <w:proofErr w:type="gramStart"/>
      <w:r>
        <w:rPr>
          <w:rFonts w:ascii="Times New Roman" w:hAnsi="Times New Roman" w:cs="Times New Roman"/>
          <w:b/>
          <w:bCs/>
          <w:iCs/>
          <w:sz w:val="24"/>
          <w:szCs w:val="24"/>
        </w:rPr>
        <w:t xml:space="preserve">Tabel </w:t>
      </w:r>
      <w:r>
        <w:rPr>
          <w:rFonts w:ascii="Times New Roman" w:hAnsi="Times New Roman" w:cs="Times New Roman"/>
          <w:b/>
          <w:bCs/>
          <w:iCs/>
          <w:sz w:val="24"/>
          <w:szCs w:val="24"/>
          <w:lang w:val="id-ID"/>
        </w:rPr>
        <w:t>4</w:t>
      </w:r>
      <w:r w:rsidRPr="00047A45">
        <w:rPr>
          <w:rFonts w:ascii="Times New Roman" w:hAnsi="Times New Roman" w:cs="Times New Roman"/>
          <w:b/>
          <w:bCs/>
          <w:iCs/>
          <w:sz w:val="24"/>
          <w:szCs w:val="24"/>
        </w:rPr>
        <w:t>.</w:t>
      </w:r>
      <w:r>
        <w:rPr>
          <w:rFonts w:ascii="Times New Roman" w:hAnsi="Times New Roman" w:cs="Times New Roman"/>
          <w:b/>
          <w:bCs/>
          <w:iCs/>
          <w:sz w:val="24"/>
          <w:szCs w:val="24"/>
          <w:lang w:val="id-ID"/>
        </w:rPr>
        <w:t>5.</w:t>
      </w:r>
      <w:proofErr w:type="gramEnd"/>
      <w:r w:rsidRPr="00047A45">
        <w:rPr>
          <w:rFonts w:ascii="Times New Roman" w:hAnsi="Times New Roman" w:cs="Times New Roman"/>
          <w:b/>
          <w:bCs/>
          <w:iCs/>
          <w:sz w:val="24"/>
          <w:szCs w:val="24"/>
        </w:rPr>
        <w:t xml:space="preserve"> Bobot PK Komponen </w:t>
      </w:r>
      <w:r>
        <w:rPr>
          <w:rFonts w:ascii="Times New Roman" w:hAnsi="Times New Roman" w:cs="Times New Roman"/>
          <w:b/>
          <w:bCs/>
          <w:iCs/>
          <w:sz w:val="24"/>
          <w:szCs w:val="24"/>
        </w:rPr>
        <w:t>NIM</w:t>
      </w:r>
      <w:r w:rsidRPr="00047A45">
        <w:rPr>
          <w:rFonts w:ascii="Times New Roman" w:hAnsi="Times New Roman" w:cs="Times New Roman"/>
          <w:b/>
          <w:bCs/>
          <w:iCs/>
          <w:sz w:val="24"/>
          <w:szCs w:val="24"/>
        </w:rPr>
        <w:t xml:space="preserve"> (</w:t>
      </w:r>
      <w:r>
        <w:rPr>
          <w:rFonts w:ascii="Times New Roman" w:hAnsi="Times New Roman" w:cs="Times New Roman"/>
          <w:b/>
          <w:bCs/>
          <w:i/>
          <w:iCs/>
          <w:sz w:val="24"/>
          <w:szCs w:val="24"/>
        </w:rPr>
        <w:t>Net Interest Margin</w:t>
      </w:r>
      <w:r w:rsidRPr="00047A45">
        <w:rPr>
          <w:rFonts w:ascii="Times New Roman" w:hAnsi="Times New Roman" w:cs="Times New Roman"/>
          <w:b/>
          <w:bCs/>
          <w:i/>
          <w:iCs/>
          <w:sz w:val="24"/>
          <w:szCs w:val="24"/>
        </w:rPr>
        <w:t>)</w:t>
      </w:r>
    </w:p>
    <w:tbl>
      <w:tblPr>
        <w:tblStyle w:val="TableGrid"/>
        <w:tblW w:w="0" w:type="auto"/>
        <w:tblInd w:w="1241" w:type="dxa"/>
        <w:tblLook w:val="04A0" w:firstRow="1" w:lastRow="0" w:firstColumn="1" w:lastColumn="0" w:noHBand="0" w:noVBand="1"/>
      </w:tblPr>
      <w:tblGrid>
        <w:gridCol w:w="1383"/>
        <w:gridCol w:w="1560"/>
        <w:gridCol w:w="1417"/>
        <w:gridCol w:w="1843"/>
      </w:tblGrid>
      <w:tr w:rsidR="00AF5F70" w:rsidTr="00813DCB">
        <w:trPr>
          <w:trHeight w:val="376"/>
        </w:trPr>
        <w:tc>
          <w:tcPr>
            <w:tcW w:w="138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560"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NIM</w:t>
            </w:r>
          </w:p>
        </w:tc>
        <w:tc>
          <w:tcPr>
            <w:tcW w:w="14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Peringkat</w:t>
            </w:r>
          </w:p>
        </w:tc>
        <w:tc>
          <w:tcPr>
            <w:tcW w:w="184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AF5F70" w:rsidTr="00813DCB">
        <w:tc>
          <w:tcPr>
            <w:tcW w:w="138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560"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6.97 %</w:t>
            </w:r>
          </w:p>
        </w:tc>
        <w:tc>
          <w:tcPr>
            <w:tcW w:w="14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AF5F70" w:rsidTr="00813DCB">
        <w:tc>
          <w:tcPr>
            <w:tcW w:w="138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560"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7.09 %</w:t>
            </w:r>
          </w:p>
        </w:tc>
        <w:tc>
          <w:tcPr>
            <w:tcW w:w="14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AF5F70" w:rsidTr="00813DCB">
        <w:tc>
          <w:tcPr>
            <w:tcW w:w="138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560"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7.08 %</w:t>
            </w:r>
          </w:p>
        </w:tc>
        <w:tc>
          <w:tcPr>
            <w:tcW w:w="1417"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AF5F70" w:rsidRDefault="00AF5F70"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bl>
    <w:p w:rsidR="00813DCB" w:rsidRPr="00813DCB" w:rsidRDefault="00AF5F70" w:rsidP="00813DCB">
      <w:pPr>
        <w:pStyle w:val="ListParagraph"/>
        <w:spacing w:after="0"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rPr>
        <w:t>Sumber: Data Sekunder yang diolah peneliti, 2017</w:t>
      </w:r>
    </w:p>
    <w:p w:rsidR="00813DCB" w:rsidRPr="00813DCB" w:rsidRDefault="00813DCB" w:rsidP="00813DCB">
      <w:pPr>
        <w:pStyle w:val="ListParagraph"/>
        <w:numPr>
          <w:ilvl w:val="0"/>
          <w:numId w:val="25"/>
        </w:numPr>
        <w:autoSpaceDE w:val="0"/>
        <w:autoSpaceDN w:val="0"/>
        <w:adjustRightInd w:val="0"/>
        <w:spacing w:after="0" w:line="240" w:lineRule="auto"/>
        <w:ind w:left="284" w:hanging="284"/>
        <w:rPr>
          <w:rFonts w:ascii="Times New Roman" w:hAnsi="Times New Roman" w:cs="Times New Roman"/>
          <w:b/>
          <w:color w:val="000000"/>
          <w:sz w:val="24"/>
          <w:szCs w:val="24"/>
          <w:lang w:val="id-ID"/>
        </w:rPr>
      </w:pPr>
      <w:r w:rsidRPr="00813DCB">
        <w:rPr>
          <w:rFonts w:ascii="Times New Roman" w:hAnsi="Times New Roman" w:cs="Times New Roman"/>
          <w:b/>
          <w:color w:val="000000"/>
          <w:sz w:val="24"/>
          <w:szCs w:val="24"/>
          <w:lang w:val="id-ID"/>
        </w:rPr>
        <w:t xml:space="preserve">Tingkat Kesehatan Bank ditinjau dari aspek </w:t>
      </w:r>
      <w:r w:rsidRPr="00813DCB">
        <w:rPr>
          <w:rFonts w:ascii="Times New Roman" w:hAnsi="Times New Roman" w:cs="Times New Roman"/>
          <w:b/>
          <w:i/>
          <w:iCs/>
          <w:color w:val="000000"/>
          <w:sz w:val="24"/>
          <w:szCs w:val="24"/>
          <w:lang w:val="id-ID"/>
        </w:rPr>
        <w:t xml:space="preserve">Capital </w:t>
      </w:r>
    </w:p>
    <w:p w:rsidR="00813DCB" w:rsidRDefault="00813DCB" w:rsidP="00813DCB">
      <w:pPr>
        <w:pStyle w:val="ListParagraph"/>
        <w:numPr>
          <w:ilvl w:val="0"/>
          <w:numId w:val="28"/>
        </w:numPr>
        <w:autoSpaceDE w:val="0"/>
        <w:autoSpaceDN w:val="0"/>
        <w:adjustRightInd w:val="0"/>
        <w:spacing w:after="0" w:line="240" w:lineRule="auto"/>
        <w:ind w:left="567" w:hanging="283"/>
        <w:rPr>
          <w:rFonts w:ascii="Times New Roman" w:hAnsi="Times New Roman" w:cs="Times New Roman"/>
          <w:color w:val="000000"/>
          <w:sz w:val="24"/>
          <w:szCs w:val="24"/>
          <w:lang w:val="id-ID"/>
        </w:rPr>
      </w:pPr>
      <w:r w:rsidRPr="00813DCB">
        <w:rPr>
          <w:rFonts w:ascii="Times New Roman" w:hAnsi="Times New Roman" w:cs="Times New Roman"/>
          <w:color w:val="000000"/>
          <w:sz w:val="24"/>
          <w:szCs w:val="24"/>
          <w:lang w:val="id-ID"/>
        </w:rPr>
        <w:t>Capital Adequacy Ratio (CAR)</w:t>
      </w:r>
    </w:p>
    <w:p w:rsidR="00813DCB" w:rsidRDefault="00813DCB" w:rsidP="00813DCB">
      <w:pPr>
        <w:pStyle w:val="ListParagraph"/>
        <w:spacing w:before="240" w:line="240" w:lineRule="auto"/>
        <w:ind w:left="1134"/>
        <w:jc w:val="both"/>
        <w:rPr>
          <w:rFonts w:ascii="Times New Roman" w:hAnsi="Times New Roman" w:cs="Times New Roman"/>
          <w:bCs/>
          <w:iCs/>
          <w:sz w:val="24"/>
          <w:szCs w:val="24"/>
        </w:rPr>
      </w:pPr>
      <w:proofErr w:type="gramStart"/>
      <w:r>
        <w:rPr>
          <w:rFonts w:ascii="Times New Roman" w:hAnsi="Times New Roman" w:cs="Times New Roman"/>
          <w:b/>
          <w:bCs/>
          <w:iCs/>
          <w:sz w:val="24"/>
          <w:szCs w:val="24"/>
        </w:rPr>
        <w:t xml:space="preserve">Tabel </w:t>
      </w:r>
      <w:r>
        <w:rPr>
          <w:rFonts w:ascii="Times New Roman" w:hAnsi="Times New Roman" w:cs="Times New Roman"/>
          <w:b/>
          <w:bCs/>
          <w:iCs/>
          <w:sz w:val="24"/>
          <w:szCs w:val="24"/>
          <w:lang w:val="id-ID"/>
        </w:rPr>
        <w:t>4</w:t>
      </w:r>
      <w:r w:rsidRPr="00047A45">
        <w:rPr>
          <w:rFonts w:ascii="Times New Roman" w:hAnsi="Times New Roman" w:cs="Times New Roman"/>
          <w:b/>
          <w:bCs/>
          <w:iCs/>
          <w:sz w:val="24"/>
          <w:szCs w:val="24"/>
        </w:rPr>
        <w:t>.</w:t>
      </w:r>
      <w:r>
        <w:rPr>
          <w:rFonts w:ascii="Times New Roman" w:hAnsi="Times New Roman" w:cs="Times New Roman"/>
          <w:b/>
          <w:bCs/>
          <w:iCs/>
          <w:sz w:val="24"/>
          <w:szCs w:val="24"/>
          <w:lang w:val="id-ID"/>
        </w:rPr>
        <w:t>6.</w:t>
      </w:r>
      <w:proofErr w:type="gramEnd"/>
      <w:r w:rsidRPr="00047A45">
        <w:rPr>
          <w:rFonts w:ascii="Times New Roman" w:hAnsi="Times New Roman" w:cs="Times New Roman"/>
          <w:b/>
          <w:bCs/>
          <w:iCs/>
          <w:sz w:val="24"/>
          <w:szCs w:val="24"/>
        </w:rPr>
        <w:t xml:space="preserve"> Bobot PK Komponen </w:t>
      </w:r>
      <w:r>
        <w:rPr>
          <w:rFonts w:ascii="Times New Roman" w:hAnsi="Times New Roman" w:cs="Times New Roman"/>
          <w:b/>
          <w:bCs/>
          <w:iCs/>
          <w:sz w:val="24"/>
          <w:szCs w:val="24"/>
        </w:rPr>
        <w:t>CAR</w:t>
      </w:r>
      <w:r w:rsidRPr="00047A45">
        <w:rPr>
          <w:rFonts w:ascii="Times New Roman" w:hAnsi="Times New Roman" w:cs="Times New Roman"/>
          <w:b/>
          <w:bCs/>
          <w:iCs/>
          <w:sz w:val="24"/>
          <w:szCs w:val="24"/>
        </w:rPr>
        <w:t xml:space="preserve"> (</w:t>
      </w:r>
      <w:r w:rsidRPr="005A0945">
        <w:rPr>
          <w:rFonts w:ascii="Times New Roman" w:hAnsi="Times New Roman" w:cs="Times New Roman"/>
          <w:b/>
          <w:bCs/>
          <w:i/>
          <w:iCs/>
          <w:sz w:val="24"/>
          <w:szCs w:val="24"/>
        </w:rPr>
        <w:t>Capital AdequacyRatio</w:t>
      </w:r>
      <w:r w:rsidRPr="005A0945">
        <w:rPr>
          <w:rFonts w:ascii="Times New Roman" w:hAnsi="Times New Roman" w:cs="Times New Roman"/>
          <w:b/>
          <w:bCs/>
          <w:iCs/>
          <w:sz w:val="24"/>
          <w:szCs w:val="24"/>
        </w:rPr>
        <w:t>)</w:t>
      </w:r>
    </w:p>
    <w:tbl>
      <w:tblPr>
        <w:tblStyle w:val="TableGrid"/>
        <w:tblW w:w="0" w:type="auto"/>
        <w:tblInd w:w="1291" w:type="dxa"/>
        <w:tblLook w:val="04A0" w:firstRow="1" w:lastRow="0" w:firstColumn="1" w:lastColumn="0" w:noHBand="0" w:noVBand="1"/>
      </w:tblPr>
      <w:tblGrid>
        <w:gridCol w:w="1383"/>
        <w:gridCol w:w="1560"/>
        <w:gridCol w:w="1417"/>
        <w:gridCol w:w="1843"/>
      </w:tblGrid>
      <w:tr w:rsidR="00813DCB" w:rsidTr="00813DCB">
        <w:trPr>
          <w:trHeight w:val="376"/>
        </w:trPr>
        <w:tc>
          <w:tcPr>
            <w:tcW w:w="138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560"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CAR</w:t>
            </w:r>
          </w:p>
        </w:tc>
        <w:tc>
          <w:tcPr>
            <w:tcW w:w="1417"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Peringkat</w:t>
            </w:r>
          </w:p>
        </w:tc>
        <w:tc>
          <w:tcPr>
            <w:tcW w:w="184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813DCB" w:rsidTr="00813DCB">
        <w:tc>
          <w:tcPr>
            <w:tcW w:w="138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560"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17.24 %</w:t>
            </w:r>
          </w:p>
        </w:tc>
        <w:tc>
          <w:tcPr>
            <w:tcW w:w="1417"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813DCB" w:rsidTr="00813DCB">
        <w:tc>
          <w:tcPr>
            <w:tcW w:w="138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560"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19.03 %</w:t>
            </w:r>
          </w:p>
        </w:tc>
        <w:tc>
          <w:tcPr>
            <w:tcW w:w="1417"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r w:rsidR="00813DCB" w:rsidTr="00813DCB">
        <w:tc>
          <w:tcPr>
            <w:tcW w:w="138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560"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22.21 %</w:t>
            </w:r>
          </w:p>
        </w:tc>
        <w:tc>
          <w:tcPr>
            <w:tcW w:w="1417"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13DCB" w:rsidRDefault="00813DCB" w:rsidP="0098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Sehat</w:t>
            </w:r>
          </w:p>
        </w:tc>
      </w:tr>
    </w:tbl>
    <w:p w:rsidR="00813DCB" w:rsidRDefault="00813DCB" w:rsidP="00813DCB">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Sumber: Data Sekunder yang diolah peneliti, 2017</w:t>
      </w:r>
    </w:p>
    <w:p w:rsidR="00813DCB" w:rsidRDefault="00813DCB" w:rsidP="00813DCB">
      <w:pPr>
        <w:pStyle w:val="ListParagraph"/>
        <w:spacing w:line="240" w:lineRule="auto"/>
        <w:ind w:left="0" w:firstLine="567"/>
        <w:jc w:val="both"/>
        <w:rPr>
          <w:rFonts w:ascii="Times New Roman" w:hAnsi="Times New Roman" w:cs="Times New Roman"/>
          <w:sz w:val="24"/>
          <w:szCs w:val="24"/>
          <w:lang w:val="id-ID"/>
        </w:rPr>
      </w:pPr>
    </w:p>
    <w:p w:rsidR="0082268A" w:rsidRPr="0082268A" w:rsidRDefault="00813DCB" w:rsidP="0082268A">
      <w:pPr>
        <w:pStyle w:val="ListParagraph"/>
        <w:spacing w:after="0" w:line="240" w:lineRule="auto"/>
        <w:ind w:left="0" w:firstLine="567"/>
        <w:jc w:val="both"/>
        <w:rPr>
          <w:rFonts w:ascii="Times New Roman" w:hAnsi="Times New Roman" w:cs="Times New Roman"/>
          <w:sz w:val="24"/>
          <w:szCs w:val="24"/>
          <w:lang w:val="id-ID"/>
        </w:rPr>
      </w:pPr>
      <w:r w:rsidRPr="00813DCB">
        <w:rPr>
          <w:rFonts w:ascii="Times New Roman" w:hAnsi="Times New Roman" w:cs="Times New Roman"/>
          <w:sz w:val="24"/>
          <w:szCs w:val="24"/>
        </w:rPr>
        <w:t>Setelah menghitung dan menilai dari masing-masing aspek pada metode RGEC yaitu Risk Profile dengan rasio NPL (</w:t>
      </w:r>
      <w:r w:rsidRPr="00813DCB">
        <w:rPr>
          <w:rFonts w:ascii="Times New Roman" w:hAnsi="Times New Roman" w:cs="Times New Roman"/>
          <w:i/>
          <w:iCs/>
          <w:sz w:val="24"/>
          <w:szCs w:val="24"/>
        </w:rPr>
        <w:t>Non Performing Loan</w:t>
      </w:r>
      <w:r w:rsidRPr="00813DCB">
        <w:rPr>
          <w:rFonts w:ascii="Times New Roman" w:hAnsi="Times New Roman" w:cs="Times New Roman"/>
          <w:sz w:val="24"/>
          <w:szCs w:val="24"/>
        </w:rPr>
        <w:t>), LDR (</w:t>
      </w:r>
      <w:r w:rsidRPr="00813DCB">
        <w:rPr>
          <w:rFonts w:ascii="Times New Roman" w:hAnsi="Times New Roman" w:cs="Times New Roman"/>
          <w:i/>
          <w:iCs/>
          <w:sz w:val="24"/>
          <w:szCs w:val="24"/>
        </w:rPr>
        <w:t>Loan to Deposit Ratio</w:t>
      </w:r>
      <w:r w:rsidRPr="00813DCB">
        <w:rPr>
          <w:rFonts w:ascii="Times New Roman" w:hAnsi="Times New Roman" w:cs="Times New Roman"/>
          <w:sz w:val="24"/>
          <w:szCs w:val="24"/>
        </w:rPr>
        <w:t>), dan IRR (</w:t>
      </w:r>
      <w:r w:rsidRPr="00813DCB">
        <w:rPr>
          <w:rFonts w:ascii="Times New Roman" w:hAnsi="Times New Roman" w:cs="Times New Roman"/>
          <w:i/>
          <w:iCs/>
          <w:sz w:val="24"/>
          <w:szCs w:val="24"/>
        </w:rPr>
        <w:t>Interest Rate Risk</w:t>
      </w:r>
      <w:r w:rsidRPr="00813DCB">
        <w:rPr>
          <w:rFonts w:ascii="Times New Roman" w:hAnsi="Times New Roman" w:cs="Times New Roman"/>
          <w:sz w:val="24"/>
          <w:szCs w:val="24"/>
        </w:rPr>
        <w:t xml:space="preserve">), </w:t>
      </w:r>
      <w:r w:rsidRPr="00813DCB">
        <w:rPr>
          <w:rFonts w:ascii="Times New Roman" w:hAnsi="Times New Roman" w:cs="Times New Roman"/>
          <w:i/>
          <w:iCs/>
          <w:sz w:val="24"/>
          <w:szCs w:val="24"/>
        </w:rPr>
        <w:t xml:space="preserve">Good Corporate Governance </w:t>
      </w:r>
      <w:r w:rsidRPr="00813DCB">
        <w:rPr>
          <w:rFonts w:ascii="Times New Roman" w:hAnsi="Times New Roman" w:cs="Times New Roman"/>
          <w:sz w:val="24"/>
          <w:szCs w:val="24"/>
        </w:rPr>
        <w:t xml:space="preserve">dengan 3 penilaian yaitu </w:t>
      </w:r>
      <w:r w:rsidRPr="00813DCB">
        <w:rPr>
          <w:rFonts w:ascii="Times New Roman" w:hAnsi="Times New Roman" w:cs="Times New Roman"/>
          <w:i/>
          <w:iCs/>
          <w:sz w:val="24"/>
          <w:szCs w:val="24"/>
        </w:rPr>
        <w:t>Governance Structuer</w:t>
      </w:r>
      <w:r w:rsidRPr="00813DCB">
        <w:rPr>
          <w:rFonts w:ascii="Times New Roman" w:hAnsi="Times New Roman" w:cs="Times New Roman"/>
          <w:sz w:val="24"/>
          <w:szCs w:val="24"/>
        </w:rPr>
        <w:t xml:space="preserve">, </w:t>
      </w:r>
      <w:r w:rsidRPr="00813DCB">
        <w:rPr>
          <w:rFonts w:ascii="Times New Roman" w:hAnsi="Times New Roman" w:cs="Times New Roman"/>
          <w:i/>
          <w:iCs/>
          <w:sz w:val="24"/>
          <w:szCs w:val="24"/>
        </w:rPr>
        <w:t>Governance Process</w:t>
      </w:r>
      <w:r w:rsidRPr="00813DCB">
        <w:rPr>
          <w:rFonts w:ascii="Times New Roman" w:hAnsi="Times New Roman" w:cs="Times New Roman"/>
          <w:sz w:val="24"/>
          <w:szCs w:val="24"/>
        </w:rPr>
        <w:t xml:space="preserve">, dan </w:t>
      </w:r>
      <w:r w:rsidRPr="00813DCB">
        <w:rPr>
          <w:rFonts w:ascii="Times New Roman" w:hAnsi="Times New Roman" w:cs="Times New Roman"/>
          <w:i/>
          <w:iCs/>
          <w:sz w:val="24"/>
          <w:szCs w:val="24"/>
        </w:rPr>
        <w:t>Governance Outcomes</w:t>
      </w:r>
      <w:r w:rsidRPr="00813DCB">
        <w:rPr>
          <w:rFonts w:ascii="Times New Roman" w:hAnsi="Times New Roman" w:cs="Times New Roman"/>
          <w:sz w:val="24"/>
          <w:szCs w:val="24"/>
        </w:rPr>
        <w:t>, Earnings dengan rasio ROA (</w:t>
      </w:r>
      <w:r w:rsidRPr="00813DCB">
        <w:rPr>
          <w:rFonts w:ascii="Times New Roman" w:hAnsi="Times New Roman" w:cs="Times New Roman"/>
          <w:i/>
          <w:iCs/>
          <w:sz w:val="24"/>
          <w:szCs w:val="24"/>
        </w:rPr>
        <w:t>Return On Asset</w:t>
      </w:r>
      <w:r w:rsidRPr="00813DCB">
        <w:rPr>
          <w:rFonts w:ascii="Times New Roman" w:hAnsi="Times New Roman" w:cs="Times New Roman"/>
          <w:sz w:val="24"/>
          <w:szCs w:val="24"/>
        </w:rPr>
        <w:t>), ROE (</w:t>
      </w:r>
      <w:r w:rsidRPr="00813DCB">
        <w:rPr>
          <w:rFonts w:ascii="Times New Roman" w:hAnsi="Times New Roman" w:cs="Times New Roman"/>
          <w:i/>
          <w:iCs/>
          <w:sz w:val="24"/>
          <w:szCs w:val="24"/>
        </w:rPr>
        <w:t>Return On Equity</w:t>
      </w:r>
      <w:r w:rsidRPr="00813DCB">
        <w:rPr>
          <w:rFonts w:ascii="Times New Roman" w:hAnsi="Times New Roman" w:cs="Times New Roman"/>
          <w:sz w:val="24"/>
          <w:szCs w:val="24"/>
        </w:rPr>
        <w:t>), NIM (</w:t>
      </w:r>
      <w:r w:rsidRPr="00813DCB">
        <w:rPr>
          <w:rFonts w:ascii="Times New Roman" w:hAnsi="Times New Roman" w:cs="Times New Roman"/>
          <w:i/>
          <w:iCs/>
          <w:sz w:val="24"/>
          <w:szCs w:val="24"/>
        </w:rPr>
        <w:t>Net Interest Margin</w:t>
      </w:r>
      <w:r w:rsidRPr="00813DCB">
        <w:rPr>
          <w:rFonts w:ascii="Times New Roman" w:hAnsi="Times New Roman" w:cs="Times New Roman"/>
          <w:sz w:val="24"/>
          <w:szCs w:val="24"/>
        </w:rPr>
        <w:t>), dan BOPO (Beban Operasional terhadap Pendapatan Operasional), Capital dengan rasio CAR (</w:t>
      </w:r>
      <w:r w:rsidRPr="00813DCB">
        <w:rPr>
          <w:rFonts w:ascii="Times New Roman" w:hAnsi="Times New Roman" w:cs="Times New Roman"/>
          <w:i/>
          <w:iCs/>
          <w:sz w:val="24"/>
          <w:szCs w:val="24"/>
        </w:rPr>
        <w:t>Capital Adequacy Ratio</w:t>
      </w:r>
      <w:r w:rsidRPr="00813DCB">
        <w:rPr>
          <w:rFonts w:ascii="Times New Roman" w:hAnsi="Times New Roman" w:cs="Times New Roman"/>
          <w:sz w:val="24"/>
          <w:szCs w:val="24"/>
        </w:rPr>
        <w:t>), maka selanjutnya menentukan nilai komposit PT. Bank Mandiri (Persero), Tbk dengan menjumlahkan nilai masing-masing komposit yang telah dihitung dibagi dengan jumlah komponen yang ada lalu dikalikan dengan persentasi 100%. Untuk Nilai komposit dari masing-masing aspek pada metode RGEC (</w:t>
      </w:r>
      <w:r w:rsidRPr="00813DCB">
        <w:rPr>
          <w:rFonts w:ascii="Times New Roman" w:hAnsi="Times New Roman" w:cs="Times New Roman"/>
          <w:i/>
          <w:iCs/>
          <w:sz w:val="24"/>
          <w:szCs w:val="24"/>
        </w:rPr>
        <w:t xml:space="preserve">Risk </w:t>
      </w:r>
      <w:r w:rsidRPr="00813DCB">
        <w:rPr>
          <w:rFonts w:ascii="Times New Roman" w:hAnsi="Times New Roman" w:cs="Times New Roman"/>
          <w:i/>
          <w:iCs/>
          <w:sz w:val="24"/>
          <w:szCs w:val="24"/>
        </w:rPr>
        <w:lastRenderedPageBreak/>
        <w:t>Profile</w:t>
      </w:r>
      <w:r w:rsidRPr="00813DCB">
        <w:rPr>
          <w:rFonts w:ascii="Times New Roman" w:hAnsi="Times New Roman" w:cs="Times New Roman"/>
          <w:sz w:val="24"/>
          <w:szCs w:val="24"/>
        </w:rPr>
        <w:t xml:space="preserve">, GCG, </w:t>
      </w:r>
      <w:r w:rsidRPr="00813DCB">
        <w:rPr>
          <w:rFonts w:ascii="Times New Roman" w:hAnsi="Times New Roman" w:cs="Times New Roman"/>
          <w:i/>
          <w:iCs/>
          <w:sz w:val="24"/>
          <w:szCs w:val="24"/>
        </w:rPr>
        <w:t>Earnings</w:t>
      </w:r>
      <w:r w:rsidRPr="00813DCB">
        <w:rPr>
          <w:rFonts w:ascii="Times New Roman" w:hAnsi="Times New Roman" w:cs="Times New Roman"/>
          <w:sz w:val="24"/>
          <w:szCs w:val="24"/>
        </w:rPr>
        <w:t xml:space="preserve">, dan </w:t>
      </w:r>
      <w:r w:rsidRPr="00813DCB">
        <w:rPr>
          <w:rFonts w:ascii="Times New Roman" w:hAnsi="Times New Roman" w:cs="Times New Roman"/>
          <w:i/>
          <w:iCs/>
          <w:sz w:val="24"/>
          <w:szCs w:val="24"/>
        </w:rPr>
        <w:t>Capital</w:t>
      </w:r>
      <w:r w:rsidRPr="00813DCB">
        <w:rPr>
          <w:rFonts w:ascii="Times New Roman" w:hAnsi="Times New Roman" w:cs="Times New Roman"/>
          <w:sz w:val="24"/>
          <w:szCs w:val="24"/>
        </w:rPr>
        <w:t>) yang sudah dinilai dan dianalisis disajikan sebagai berikut dalam tabel:</w:t>
      </w:r>
    </w:p>
    <w:p w:rsidR="00983A79" w:rsidRPr="00983A79" w:rsidRDefault="00983A79" w:rsidP="00983A79">
      <w:pPr>
        <w:numPr>
          <w:ilvl w:val="0"/>
          <w:numId w:val="29"/>
        </w:numPr>
        <w:autoSpaceDE w:val="0"/>
        <w:autoSpaceDN w:val="0"/>
        <w:adjustRightInd w:val="0"/>
        <w:spacing w:after="0" w:line="240" w:lineRule="auto"/>
        <w:ind w:left="284" w:hanging="284"/>
        <w:contextualSpacing/>
        <w:rPr>
          <w:rFonts w:ascii="Times New Roman" w:hAnsi="Times New Roman" w:cs="Times New Roman"/>
          <w:sz w:val="24"/>
          <w:szCs w:val="24"/>
        </w:rPr>
      </w:pPr>
      <w:r w:rsidRPr="00983A79">
        <w:rPr>
          <w:rFonts w:ascii="Times New Roman" w:hAnsi="Times New Roman" w:cs="Times New Roman"/>
          <w:sz w:val="24"/>
          <w:szCs w:val="24"/>
        </w:rPr>
        <w:t>Penetapan Peringkat Komposit Penilaian Tingkat Kesehatan Bank Central Asia dengan metode RGEC periode 2014.</w:t>
      </w:r>
    </w:p>
    <w:p w:rsidR="00983A79" w:rsidRPr="00983A79" w:rsidRDefault="00983A79" w:rsidP="00983A79">
      <w:pPr>
        <w:spacing w:before="240" w:after="0" w:line="240" w:lineRule="auto"/>
        <w:ind w:left="284"/>
        <w:contextualSpacing/>
        <w:jc w:val="both"/>
        <w:rPr>
          <w:rFonts w:ascii="Times New Roman" w:hAnsi="Times New Roman" w:cs="Times New Roman"/>
          <w:bCs/>
          <w:iCs/>
          <w:sz w:val="24"/>
          <w:szCs w:val="24"/>
        </w:rPr>
      </w:pPr>
      <w:proofErr w:type="gramStart"/>
      <w:r w:rsidRPr="00983A79">
        <w:rPr>
          <w:rFonts w:ascii="Times New Roman" w:hAnsi="Times New Roman" w:cs="Times New Roman"/>
          <w:b/>
          <w:bCs/>
          <w:sz w:val="24"/>
          <w:szCs w:val="24"/>
        </w:rPr>
        <w:t xml:space="preserve">Tabel </w:t>
      </w:r>
      <w:r w:rsidRPr="00983A79">
        <w:rPr>
          <w:rFonts w:ascii="Times New Roman" w:hAnsi="Times New Roman" w:cs="Times New Roman"/>
          <w:b/>
          <w:bCs/>
          <w:sz w:val="24"/>
          <w:szCs w:val="24"/>
          <w:lang w:val="id-ID"/>
        </w:rPr>
        <w:t>4</w:t>
      </w:r>
      <w:r w:rsidRPr="00983A79">
        <w:rPr>
          <w:rFonts w:ascii="Times New Roman" w:hAnsi="Times New Roman" w:cs="Times New Roman"/>
          <w:b/>
          <w:bCs/>
          <w:sz w:val="24"/>
          <w:szCs w:val="24"/>
        </w:rPr>
        <w:t>.</w:t>
      </w:r>
      <w:r w:rsidRPr="00983A79">
        <w:rPr>
          <w:rFonts w:ascii="Times New Roman" w:hAnsi="Times New Roman" w:cs="Times New Roman"/>
          <w:b/>
          <w:bCs/>
          <w:sz w:val="24"/>
          <w:szCs w:val="24"/>
          <w:lang w:val="id-ID"/>
        </w:rPr>
        <w:t>7.</w:t>
      </w:r>
      <w:proofErr w:type="gramEnd"/>
      <w:r w:rsidRPr="00983A79">
        <w:rPr>
          <w:rFonts w:ascii="Times New Roman" w:hAnsi="Times New Roman" w:cs="Times New Roman"/>
          <w:b/>
          <w:bCs/>
          <w:sz w:val="24"/>
          <w:szCs w:val="24"/>
        </w:rPr>
        <w:t xml:space="preserve"> Penilaian tingkat kesehatan Bank Central Asia periode 2014</w:t>
      </w:r>
    </w:p>
    <w:tbl>
      <w:tblPr>
        <w:tblStyle w:val="TableGrid"/>
        <w:tblW w:w="6945" w:type="dxa"/>
        <w:tblInd w:w="505" w:type="dxa"/>
        <w:tblLayout w:type="fixed"/>
        <w:tblLook w:val="04A0" w:firstRow="1" w:lastRow="0" w:firstColumn="1" w:lastColumn="0" w:noHBand="0" w:noVBand="1"/>
      </w:tblPr>
      <w:tblGrid>
        <w:gridCol w:w="1417"/>
        <w:gridCol w:w="851"/>
        <w:gridCol w:w="850"/>
        <w:gridCol w:w="425"/>
        <w:gridCol w:w="284"/>
        <w:gridCol w:w="283"/>
        <w:gridCol w:w="284"/>
        <w:gridCol w:w="283"/>
        <w:gridCol w:w="1276"/>
        <w:gridCol w:w="992"/>
      </w:tblGrid>
      <w:tr w:rsidR="00983A79" w:rsidRPr="00983A79" w:rsidTr="00983A79">
        <w:tc>
          <w:tcPr>
            <w:tcW w:w="1417"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1577"/>
            </w:tblGrid>
            <w:tr w:rsidR="00983A79" w:rsidRPr="00983A79" w:rsidTr="00983A79">
              <w:trPr>
                <w:trHeight w:val="205"/>
              </w:trPr>
              <w:tc>
                <w:tcPr>
                  <w:tcW w:w="1577" w:type="dxa"/>
                  <w:vAlign w:val="center"/>
                </w:tcPr>
                <w:p w:rsidR="00983A79" w:rsidRPr="00983A79" w:rsidRDefault="00983A79" w:rsidP="00983A79">
                  <w:pPr>
                    <w:autoSpaceDE w:val="0"/>
                    <w:autoSpaceDN w:val="0"/>
                    <w:adjustRightInd w:val="0"/>
                    <w:spacing w:after="0" w:line="240" w:lineRule="auto"/>
                    <w:ind w:right="159" w:hanging="74"/>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KOMPONEN FAKTOR</w:t>
                  </w:r>
                </w:p>
              </w:tc>
            </w:tr>
          </w:tbl>
          <w:p w:rsidR="00983A79" w:rsidRPr="00983A79" w:rsidRDefault="00983A79" w:rsidP="00983A79">
            <w:pPr>
              <w:spacing w:before="240"/>
              <w:contextualSpacing/>
              <w:jc w:val="center"/>
              <w:rPr>
                <w:rFonts w:ascii="Times New Roman" w:hAnsi="Times New Roman" w:cs="Times New Roman"/>
                <w:bCs/>
                <w:iCs/>
                <w:sz w:val="20"/>
                <w:szCs w:val="20"/>
              </w:rPr>
            </w:pPr>
          </w:p>
        </w:tc>
        <w:tc>
          <w:tcPr>
            <w:tcW w:w="851" w:type="dxa"/>
            <w:vMerge w:val="restart"/>
            <w:vAlign w:val="center"/>
          </w:tcPr>
          <w:p w:rsidR="00983A79" w:rsidRPr="00983A79" w:rsidRDefault="00983A79" w:rsidP="00983A79">
            <w:pPr>
              <w:autoSpaceDE w:val="0"/>
              <w:autoSpaceDN w:val="0"/>
              <w:adjustRightInd w:val="0"/>
              <w:ind w:left="-108" w:right="-108"/>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RASIO</w:t>
            </w:r>
          </w:p>
        </w:tc>
        <w:tc>
          <w:tcPr>
            <w:tcW w:w="850" w:type="dxa"/>
            <w:vMerge w:val="restart"/>
            <w:vAlign w:val="center"/>
          </w:tcPr>
          <w:p w:rsidR="00983A79" w:rsidRPr="00983A79" w:rsidRDefault="00983A79" w:rsidP="00983A79">
            <w:pPr>
              <w:autoSpaceDE w:val="0"/>
              <w:autoSpaceDN w:val="0"/>
              <w:adjustRightInd w:val="0"/>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RASIO (%)</w:t>
            </w:r>
          </w:p>
        </w:tc>
        <w:tc>
          <w:tcPr>
            <w:tcW w:w="1559" w:type="dxa"/>
            <w:gridSpan w:val="5"/>
            <w:vAlign w:val="center"/>
          </w:tcPr>
          <w:p w:rsidR="00983A79" w:rsidRPr="00983A79" w:rsidRDefault="00983A79" w:rsidP="00983A79">
            <w:pPr>
              <w:spacing w:before="240"/>
              <w:ind w:right="-108"/>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KRITERIA</w:t>
            </w:r>
          </w:p>
        </w:tc>
        <w:tc>
          <w:tcPr>
            <w:tcW w:w="1276" w:type="dxa"/>
            <w:vMerge w:val="restart"/>
            <w:vAlign w:val="center"/>
          </w:tcPr>
          <w:p w:rsidR="00983A79" w:rsidRPr="00983A79" w:rsidRDefault="00983A79" w:rsidP="00983A79">
            <w:pPr>
              <w:spacing w:before="240"/>
              <w:ind w:right="-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KET</w:t>
            </w:r>
          </w:p>
        </w:tc>
        <w:tc>
          <w:tcPr>
            <w:tcW w:w="992" w:type="dxa"/>
            <w:vMerge w:val="restart"/>
            <w:vAlign w:val="center"/>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PK</w:t>
            </w:r>
          </w:p>
        </w:tc>
      </w:tr>
      <w:tr w:rsidR="00983A79" w:rsidRPr="00983A79" w:rsidTr="00983A79">
        <w:tc>
          <w:tcPr>
            <w:tcW w:w="1417" w:type="dxa"/>
            <w:vMerge/>
            <w:vAlign w:val="center"/>
          </w:tcPr>
          <w:p w:rsidR="00983A79" w:rsidRPr="00983A79" w:rsidRDefault="00983A79" w:rsidP="00983A79">
            <w:pPr>
              <w:autoSpaceDE w:val="0"/>
              <w:autoSpaceDN w:val="0"/>
              <w:adjustRightInd w:val="0"/>
              <w:ind w:right="159" w:hanging="74"/>
              <w:jc w:val="center"/>
              <w:rPr>
                <w:rFonts w:ascii="Times New Roman" w:hAnsi="Times New Roman" w:cs="Times New Roman"/>
                <w:color w:val="000000"/>
                <w:sz w:val="20"/>
                <w:szCs w:val="20"/>
              </w:rPr>
            </w:pPr>
          </w:p>
        </w:tc>
        <w:tc>
          <w:tcPr>
            <w:tcW w:w="851" w:type="dxa"/>
            <w:vMerge/>
            <w:vAlign w:val="center"/>
          </w:tcPr>
          <w:p w:rsidR="00983A79" w:rsidRPr="00983A79" w:rsidRDefault="00983A79" w:rsidP="00983A79">
            <w:pPr>
              <w:autoSpaceDE w:val="0"/>
              <w:autoSpaceDN w:val="0"/>
              <w:adjustRightInd w:val="0"/>
              <w:ind w:left="-108" w:right="-108"/>
              <w:jc w:val="center"/>
              <w:rPr>
                <w:rFonts w:ascii="Times New Roman" w:hAnsi="Times New Roman" w:cs="Times New Roman"/>
                <w:color w:val="000000"/>
                <w:sz w:val="20"/>
                <w:szCs w:val="20"/>
              </w:rPr>
            </w:pPr>
          </w:p>
        </w:tc>
        <w:tc>
          <w:tcPr>
            <w:tcW w:w="850" w:type="dxa"/>
            <w:vMerge/>
            <w:vAlign w:val="center"/>
          </w:tcPr>
          <w:p w:rsidR="00983A79" w:rsidRPr="00983A79" w:rsidRDefault="00983A79" w:rsidP="00983A79">
            <w:pPr>
              <w:autoSpaceDE w:val="0"/>
              <w:autoSpaceDN w:val="0"/>
              <w:adjustRightInd w:val="0"/>
              <w:jc w:val="center"/>
              <w:rPr>
                <w:rFonts w:ascii="Times New Roman" w:hAnsi="Times New Roman" w:cs="Times New Roman"/>
                <w:color w:val="000000"/>
                <w:sz w:val="20"/>
                <w:szCs w:val="20"/>
              </w:rPr>
            </w:pPr>
          </w:p>
        </w:tc>
        <w:tc>
          <w:tcPr>
            <w:tcW w:w="425"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1</w:t>
            </w:r>
          </w:p>
        </w:tc>
        <w:tc>
          <w:tcPr>
            <w:tcW w:w="284" w:type="dxa"/>
            <w:vAlign w:val="bottom"/>
          </w:tcPr>
          <w:p w:rsidR="00983A79" w:rsidRPr="00983A79" w:rsidRDefault="00983A79" w:rsidP="00983A79">
            <w:pPr>
              <w:spacing w:before="240"/>
              <w:ind w:right="-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2</w:t>
            </w:r>
          </w:p>
        </w:tc>
        <w:tc>
          <w:tcPr>
            <w:tcW w:w="283" w:type="dxa"/>
            <w:vAlign w:val="bottom"/>
          </w:tcPr>
          <w:p w:rsidR="00983A79" w:rsidRPr="00983A79" w:rsidRDefault="00983A79" w:rsidP="00983A79">
            <w:pPr>
              <w:spacing w:before="240"/>
              <w:ind w:right="-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w:t>
            </w:r>
          </w:p>
        </w:tc>
        <w:tc>
          <w:tcPr>
            <w:tcW w:w="284" w:type="dxa"/>
            <w:vAlign w:val="bottom"/>
          </w:tcPr>
          <w:p w:rsidR="00983A79" w:rsidRPr="00983A79" w:rsidRDefault="00983A79" w:rsidP="00983A79">
            <w:pPr>
              <w:spacing w:before="240"/>
              <w:ind w:right="-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4</w:t>
            </w:r>
          </w:p>
        </w:tc>
        <w:tc>
          <w:tcPr>
            <w:tcW w:w="283" w:type="dxa"/>
            <w:vAlign w:val="bottom"/>
          </w:tcPr>
          <w:p w:rsidR="00983A79" w:rsidRPr="00983A79" w:rsidRDefault="00983A79" w:rsidP="00983A79">
            <w:pPr>
              <w:spacing w:before="240"/>
              <w:ind w:right="-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5</w:t>
            </w:r>
          </w:p>
        </w:tc>
        <w:tc>
          <w:tcPr>
            <w:tcW w:w="1276" w:type="dxa"/>
            <w:vMerge/>
            <w:vAlign w:val="bottom"/>
          </w:tcPr>
          <w:p w:rsidR="00983A79" w:rsidRPr="00983A79" w:rsidRDefault="00983A79" w:rsidP="00983A79">
            <w:pPr>
              <w:spacing w:before="240"/>
              <w:ind w:right="-108"/>
              <w:contextualSpacing/>
              <w:rPr>
                <w:rFonts w:ascii="Times New Roman" w:hAnsi="Times New Roman" w:cs="Times New Roman"/>
                <w:bCs/>
                <w:iCs/>
                <w:sz w:val="20"/>
                <w:szCs w:val="20"/>
              </w:rPr>
            </w:pPr>
          </w:p>
        </w:tc>
        <w:tc>
          <w:tcPr>
            <w:tcW w:w="992" w:type="dxa"/>
            <w:vMerge/>
            <w:vAlign w:val="bottom"/>
          </w:tcPr>
          <w:p w:rsidR="00983A79" w:rsidRPr="00983A79" w:rsidRDefault="00983A79" w:rsidP="00983A79">
            <w:pPr>
              <w:spacing w:before="240"/>
              <w:ind w:right="-108" w:hanging="108"/>
              <w:contextualSpacing/>
              <w:rPr>
                <w:rFonts w:ascii="Times New Roman" w:hAnsi="Times New Roman" w:cs="Times New Roman"/>
                <w:bCs/>
                <w:iCs/>
                <w:sz w:val="20"/>
                <w:szCs w:val="20"/>
                <w:lang w:val="id-ID"/>
              </w:rPr>
            </w:pPr>
          </w:p>
        </w:tc>
      </w:tr>
      <w:tr w:rsidR="00983A79" w:rsidRPr="00983A79" w:rsidTr="00983A79">
        <w:tc>
          <w:tcPr>
            <w:tcW w:w="1417" w:type="dxa"/>
            <w:vMerge w:val="restart"/>
            <w:vAlign w:val="center"/>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RISK PROFIL</w:t>
            </w:r>
          </w:p>
        </w:tc>
        <w:tc>
          <w:tcPr>
            <w:tcW w:w="851"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NPL</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0.61 %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restart"/>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r>
      <w:tr w:rsidR="00983A79" w:rsidRPr="00983A79" w:rsidTr="00983A79">
        <w:tc>
          <w:tcPr>
            <w:tcW w:w="1417" w:type="dxa"/>
            <w:vMerge/>
          </w:tcPr>
          <w:p w:rsidR="00983A79" w:rsidRPr="00983A79" w:rsidRDefault="00983A79" w:rsidP="00983A79">
            <w:pPr>
              <w:spacing w:before="240"/>
              <w:contextualSpacing/>
              <w:jc w:val="both"/>
              <w:rPr>
                <w:rFonts w:ascii="Times New Roman" w:hAnsi="Times New Roman" w:cs="Times New Roman"/>
                <w:bCs/>
                <w:i/>
                <w:iCs/>
                <w:sz w:val="20"/>
                <w:szCs w:val="20"/>
              </w:rPr>
            </w:pPr>
          </w:p>
        </w:tc>
        <w:tc>
          <w:tcPr>
            <w:tcW w:w="851"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LDR</w:t>
            </w:r>
          </w:p>
        </w:tc>
        <w:tc>
          <w:tcPr>
            <w:tcW w:w="850"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75.88 %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rPr>
          <w:trHeight w:val="328"/>
        </w:trPr>
        <w:tc>
          <w:tcPr>
            <w:tcW w:w="1417" w:type="dxa"/>
          </w:tcPr>
          <w:p w:rsidR="00983A79" w:rsidRPr="00983A79" w:rsidRDefault="00983A79" w:rsidP="00983A79">
            <w:pPr>
              <w:spacing w:before="240"/>
              <w:contextualSpacing/>
              <w:jc w:val="both"/>
              <w:rPr>
                <w:rFonts w:ascii="Times New Roman" w:hAnsi="Times New Roman" w:cs="Times New Roman"/>
                <w:bCs/>
                <w:i/>
                <w:iCs/>
                <w:sz w:val="20"/>
                <w:szCs w:val="20"/>
              </w:rPr>
            </w:pPr>
            <w:r w:rsidRPr="00983A79">
              <w:rPr>
                <w:rFonts w:ascii="Times New Roman" w:hAnsi="Times New Roman" w:cs="Times New Roman"/>
                <w:bCs/>
                <w:i/>
                <w:iCs/>
                <w:sz w:val="20"/>
                <w:szCs w:val="20"/>
              </w:rPr>
              <w:t>GCG</w:t>
            </w:r>
          </w:p>
        </w:tc>
        <w:tc>
          <w:tcPr>
            <w:tcW w:w="851" w:type="dxa"/>
            <w:vAlign w:val="bottom"/>
          </w:tcPr>
          <w:p w:rsidR="00983A79" w:rsidRPr="00983A79" w:rsidRDefault="00983A79" w:rsidP="00983A79">
            <w:pPr>
              <w:spacing w:before="240"/>
              <w:contextualSpacing/>
              <w:rPr>
                <w:rFonts w:ascii="Times New Roman" w:hAnsi="Times New Roman" w:cs="Times New Roman"/>
                <w:bCs/>
                <w:iCs/>
                <w:sz w:val="20"/>
                <w:szCs w:val="20"/>
              </w:rPr>
            </w:pP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BAIK</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c>
          <w:tcPr>
            <w:tcW w:w="1417" w:type="dxa"/>
            <w:vMerge w:val="restart"/>
            <w:vAlign w:val="center"/>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EARNING</w:t>
            </w:r>
          </w:p>
        </w:tc>
        <w:tc>
          <w:tcPr>
            <w:tcW w:w="851"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ROA</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3.95 %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c>
          <w:tcPr>
            <w:tcW w:w="1417" w:type="dxa"/>
            <w:vMerge/>
          </w:tcPr>
          <w:p w:rsidR="00983A79" w:rsidRPr="00983A79" w:rsidRDefault="00983A79" w:rsidP="00983A79">
            <w:pPr>
              <w:spacing w:before="240"/>
              <w:contextualSpacing/>
              <w:jc w:val="both"/>
              <w:rPr>
                <w:rFonts w:ascii="Times New Roman" w:hAnsi="Times New Roman" w:cs="Times New Roman"/>
                <w:bCs/>
                <w:i/>
                <w:iCs/>
                <w:sz w:val="20"/>
                <w:szCs w:val="20"/>
              </w:rPr>
            </w:pPr>
          </w:p>
        </w:tc>
        <w:tc>
          <w:tcPr>
            <w:tcW w:w="851"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NIM</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sz w:val="20"/>
                <w:szCs w:val="20"/>
              </w:rPr>
              <w:t>6.97 %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c>
          <w:tcPr>
            <w:tcW w:w="1417" w:type="dxa"/>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CAPITAL</w:t>
            </w:r>
          </w:p>
        </w:tc>
        <w:tc>
          <w:tcPr>
            <w:tcW w:w="851"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CAR</w:t>
            </w:r>
          </w:p>
        </w:tc>
        <w:tc>
          <w:tcPr>
            <w:tcW w:w="850"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sz w:val="20"/>
                <w:szCs w:val="20"/>
              </w:rPr>
              <w:t>17.24 %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rPr>
          <w:trHeight w:val="573"/>
        </w:trPr>
        <w:tc>
          <w:tcPr>
            <w:tcW w:w="3118" w:type="dxa"/>
            <w:gridSpan w:val="3"/>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PERINGKAT KOMPOSIT</w:t>
            </w:r>
          </w:p>
        </w:tc>
        <w:tc>
          <w:tcPr>
            <w:tcW w:w="425" w:type="dxa"/>
            <w:vAlign w:val="center"/>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30</w:t>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268" w:type="dxa"/>
            <w:gridSpan w:val="2"/>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lang w:val="id-ID"/>
              </w:rPr>
              <w:t>(30/30)x100% = 100%</w:t>
            </w:r>
          </w:p>
        </w:tc>
      </w:tr>
    </w:tbl>
    <w:p w:rsidR="00983A79" w:rsidRPr="00983A79" w:rsidRDefault="00983A79" w:rsidP="00983A79">
      <w:pPr>
        <w:spacing w:before="240" w:after="0" w:line="240" w:lineRule="auto"/>
        <w:ind w:left="709"/>
        <w:contextualSpacing/>
        <w:jc w:val="both"/>
        <w:rPr>
          <w:rFonts w:ascii="Times New Roman" w:hAnsi="Times New Roman" w:cs="Times New Roman"/>
          <w:bCs/>
          <w:iCs/>
          <w:sz w:val="24"/>
          <w:szCs w:val="24"/>
        </w:rPr>
      </w:pPr>
      <w:r w:rsidRPr="00983A79">
        <w:rPr>
          <w:rFonts w:ascii="Times New Roman" w:hAnsi="Times New Roman" w:cs="Times New Roman"/>
          <w:bCs/>
          <w:iCs/>
          <w:sz w:val="24"/>
          <w:szCs w:val="24"/>
        </w:rPr>
        <w:t>Sumber: Data Sekunder yang diolah oleh peneliti, 2017</w:t>
      </w:r>
    </w:p>
    <w:p w:rsidR="00983A79" w:rsidRPr="00983A79" w:rsidRDefault="00983A79" w:rsidP="007C3DEB">
      <w:pPr>
        <w:spacing w:before="240" w:after="0" w:line="240" w:lineRule="auto"/>
        <w:ind w:left="284" w:firstLine="709"/>
        <w:contextualSpacing/>
        <w:jc w:val="both"/>
        <w:rPr>
          <w:rFonts w:ascii="Times New Roman" w:hAnsi="Times New Roman" w:cs="Times New Roman"/>
          <w:bCs/>
          <w:iCs/>
          <w:sz w:val="24"/>
          <w:szCs w:val="24"/>
        </w:rPr>
      </w:pPr>
      <w:r w:rsidRPr="00983A79">
        <w:rPr>
          <w:rFonts w:ascii="Times New Roman" w:hAnsi="Times New Roman" w:cs="Times New Roman"/>
          <w:bCs/>
          <w:iCs/>
          <w:sz w:val="24"/>
          <w:szCs w:val="24"/>
        </w:rPr>
        <w:t>Berdasarkan Penilaian tingkat kesehatan Bank Cntral Asia periode 2014 pada tabel diatas, memperoleh peringkat komposit 1 yang artinya sangat sehat sesuai dengan Surat Edaran Bank Indonesia.</w:t>
      </w:r>
    </w:p>
    <w:p w:rsidR="00983A79" w:rsidRPr="0082268A" w:rsidRDefault="00983A79" w:rsidP="007C3DEB">
      <w:pPr>
        <w:spacing w:before="240" w:after="0" w:line="240" w:lineRule="auto"/>
        <w:ind w:left="284" w:firstLine="709"/>
        <w:contextualSpacing/>
        <w:jc w:val="both"/>
        <w:rPr>
          <w:rFonts w:ascii="Times New Roman" w:hAnsi="Times New Roman" w:cs="Times New Roman"/>
          <w:bCs/>
          <w:iCs/>
          <w:sz w:val="24"/>
          <w:szCs w:val="24"/>
          <w:lang w:val="id-ID"/>
        </w:rPr>
      </w:pPr>
      <w:r w:rsidRPr="00983A79">
        <w:rPr>
          <w:rFonts w:ascii="Times New Roman" w:hAnsi="Times New Roman" w:cs="Times New Roman"/>
          <w:bCs/>
          <w:i/>
          <w:iCs/>
          <w:sz w:val="24"/>
          <w:szCs w:val="24"/>
        </w:rPr>
        <w:t>Risk Profile</w:t>
      </w:r>
      <w:r w:rsidRPr="00983A79">
        <w:rPr>
          <w:rFonts w:ascii="Times New Roman" w:hAnsi="Times New Roman" w:cs="Times New Roman"/>
          <w:bCs/>
          <w:iCs/>
          <w:sz w:val="24"/>
          <w:szCs w:val="24"/>
        </w:rPr>
        <w:t xml:space="preserve"> memperoleh predikat sangat sehat, tercermin dari perhitungan risiko kredit dengan rasio NPL yang menghasilkan rasio NPL sebesar 0,61% dengan peringkat 1 dan perhitungan risiko likuiditas dengan rasio LDR yang menghasilkan rasio LDR sebesar 75,88% dengan peringkat 1. </w:t>
      </w:r>
      <w:proofErr w:type="gramStart"/>
      <w:r w:rsidRPr="00983A79">
        <w:rPr>
          <w:rFonts w:ascii="Times New Roman" w:hAnsi="Times New Roman" w:cs="Times New Roman"/>
          <w:bCs/>
          <w:iCs/>
          <w:sz w:val="24"/>
          <w:szCs w:val="24"/>
        </w:rPr>
        <w:t xml:space="preserve">Faktor </w:t>
      </w:r>
      <w:r w:rsidRPr="00983A79">
        <w:rPr>
          <w:rFonts w:ascii="Times New Roman" w:hAnsi="Times New Roman" w:cs="Times New Roman"/>
          <w:bCs/>
          <w:i/>
          <w:iCs/>
          <w:sz w:val="24"/>
          <w:szCs w:val="24"/>
        </w:rPr>
        <w:t>Good Corporate Governance</w:t>
      </w:r>
      <w:r w:rsidRPr="00983A79">
        <w:rPr>
          <w:rFonts w:ascii="Times New Roman" w:hAnsi="Times New Roman" w:cs="Times New Roman"/>
          <w:bCs/>
          <w:iCs/>
          <w:sz w:val="24"/>
          <w:szCs w:val="24"/>
        </w:rPr>
        <w:t xml:space="preserve"> memperoleh predikat sangat baik atau kategori sangat sehat dengan peringkat 1 berdasarkan </w:t>
      </w:r>
      <w:r w:rsidRPr="00983A79">
        <w:rPr>
          <w:rFonts w:ascii="Times New Roman" w:hAnsi="Times New Roman" w:cs="Times New Roman"/>
          <w:bCs/>
          <w:i/>
          <w:iCs/>
          <w:sz w:val="24"/>
          <w:szCs w:val="24"/>
        </w:rPr>
        <w:t>self assessment</w:t>
      </w:r>
      <w:r w:rsidRPr="00983A79">
        <w:rPr>
          <w:rFonts w:ascii="Times New Roman" w:hAnsi="Times New Roman" w:cs="Times New Roman"/>
          <w:bCs/>
          <w:iCs/>
          <w:sz w:val="24"/>
          <w:szCs w:val="24"/>
        </w:rPr>
        <w:t xml:space="preserve"> Bank Central Asia yang diperoleh dari laporan tahunan yang dipublikasikan.</w:t>
      </w:r>
      <w:proofErr w:type="gramEnd"/>
      <w:r w:rsidRPr="00983A79">
        <w:rPr>
          <w:rFonts w:ascii="Times New Roman" w:hAnsi="Times New Roman" w:cs="Times New Roman"/>
          <w:bCs/>
          <w:iCs/>
          <w:sz w:val="24"/>
          <w:szCs w:val="24"/>
        </w:rPr>
        <w:t xml:space="preserve"> </w:t>
      </w:r>
      <w:r w:rsidRPr="00983A79">
        <w:rPr>
          <w:rFonts w:ascii="Times New Roman" w:hAnsi="Times New Roman" w:cs="Times New Roman"/>
          <w:bCs/>
          <w:i/>
          <w:iCs/>
          <w:sz w:val="24"/>
          <w:szCs w:val="24"/>
        </w:rPr>
        <w:t xml:space="preserve">Earning </w:t>
      </w:r>
      <w:r w:rsidRPr="00983A79">
        <w:rPr>
          <w:rFonts w:ascii="Times New Roman" w:hAnsi="Times New Roman" w:cs="Times New Roman"/>
          <w:bCs/>
          <w:iCs/>
          <w:sz w:val="24"/>
          <w:szCs w:val="24"/>
        </w:rPr>
        <w:t xml:space="preserve">memperoleh predikat sangat sehat tercermin dari perhitungan ROA yang menghasilkan rasio ROA sebesar 3,95% dengan peringkat 1 dan perhitungan NIM yang menghasilkan rasio NIM sebesar 6,97% dengan peringkat 1. </w:t>
      </w:r>
      <w:r w:rsidRPr="00983A79">
        <w:rPr>
          <w:rFonts w:ascii="Times New Roman" w:hAnsi="Times New Roman" w:cs="Times New Roman"/>
          <w:bCs/>
          <w:i/>
          <w:iCs/>
          <w:sz w:val="24"/>
          <w:szCs w:val="24"/>
        </w:rPr>
        <w:t>Capital</w:t>
      </w:r>
      <w:r w:rsidRPr="00983A79">
        <w:rPr>
          <w:rFonts w:ascii="Times New Roman" w:hAnsi="Times New Roman" w:cs="Times New Roman"/>
          <w:bCs/>
          <w:iCs/>
          <w:sz w:val="24"/>
          <w:szCs w:val="24"/>
        </w:rPr>
        <w:t xml:space="preserve"> atau permodalan memperoleh predikat sangat sehat yang dicerminkan oleh perhitungan CAR yang menghasilkan rasio CAR sebesar 17</w:t>
      </w:r>
      <w:proofErr w:type="gramStart"/>
      <w:r w:rsidRPr="00983A79">
        <w:rPr>
          <w:rFonts w:ascii="Times New Roman" w:hAnsi="Times New Roman" w:cs="Times New Roman"/>
          <w:bCs/>
          <w:iCs/>
          <w:sz w:val="24"/>
          <w:szCs w:val="24"/>
        </w:rPr>
        <w:t>,24</w:t>
      </w:r>
      <w:proofErr w:type="gramEnd"/>
      <w:r w:rsidRPr="00983A79">
        <w:rPr>
          <w:rFonts w:ascii="Times New Roman" w:hAnsi="Times New Roman" w:cs="Times New Roman"/>
          <w:bCs/>
          <w:iCs/>
          <w:sz w:val="24"/>
          <w:szCs w:val="24"/>
        </w:rPr>
        <w:t>% dengan peringkat 1.</w:t>
      </w:r>
    </w:p>
    <w:p w:rsidR="00983A79" w:rsidRPr="00983A79" w:rsidRDefault="00983A79" w:rsidP="00983A79">
      <w:pPr>
        <w:numPr>
          <w:ilvl w:val="0"/>
          <w:numId w:val="29"/>
        </w:numPr>
        <w:autoSpaceDE w:val="0"/>
        <w:autoSpaceDN w:val="0"/>
        <w:adjustRightInd w:val="0"/>
        <w:spacing w:after="0" w:line="240" w:lineRule="auto"/>
        <w:ind w:left="284" w:hanging="284"/>
        <w:contextualSpacing/>
        <w:rPr>
          <w:rFonts w:ascii="Times New Roman" w:hAnsi="Times New Roman" w:cs="Times New Roman"/>
          <w:sz w:val="24"/>
          <w:szCs w:val="24"/>
        </w:rPr>
      </w:pPr>
      <w:r w:rsidRPr="00983A79">
        <w:rPr>
          <w:rFonts w:ascii="Times New Roman" w:hAnsi="Times New Roman" w:cs="Times New Roman"/>
          <w:sz w:val="24"/>
          <w:szCs w:val="24"/>
        </w:rPr>
        <w:t>Penetapan Peringkat Komposit Penilaian Tingkat Kesehatan Bank Central Asia dengan metode RGEC periode 2015.</w:t>
      </w:r>
    </w:p>
    <w:p w:rsidR="00983A79" w:rsidRPr="00983A79" w:rsidRDefault="00983A79" w:rsidP="007C3DEB">
      <w:pPr>
        <w:spacing w:before="240" w:after="0" w:line="240" w:lineRule="auto"/>
        <w:ind w:left="426"/>
        <w:contextualSpacing/>
        <w:jc w:val="both"/>
        <w:rPr>
          <w:rFonts w:ascii="Times New Roman" w:hAnsi="Times New Roman" w:cs="Times New Roman"/>
          <w:bCs/>
          <w:iCs/>
          <w:sz w:val="24"/>
          <w:szCs w:val="24"/>
        </w:rPr>
      </w:pPr>
      <w:proofErr w:type="gramStart"/>
      <w:r w:rsidRPr="00983A79">
        <w:rPr>
          <w:rFonts w:ascii="Times New Roman" w:hAnsi="Times New Roman" w:cs="Times New Roman"/>
          <w:b/>
          <w:bCs/>
          <w:sz w:val="24"/>
          <w:szCs w:val="24"/>
        </w:rPr>
        <w:t xml:space="preserve">Tabel </w:t>
      </w:r>
      <w:r w:rsidRPr="00983A79">
        <w:rPr>
          <w:rFonts w:ascii="Times New Roman" w:hAnsi="Times New Roman" w:cs="Times New Roman"/>
          <w:b/>
          <w:bCs/>
          <w:sz w:val="24"/>
          <w:szCs w:val="24"/>
          <w:lang w:val="id-ID"/>
        </w:rPr>
        <w:t>4</w:t>
      </w:r>
      <w:r w:rsidRPr="00983A79">
        <w:rPr>
          <w:rFonts w:ascii="Times New Roman" w:hAnsi="Times New Roman" w:cs="Times New Roman"/>
          <w:b/>
          <w:bCs/>
          <w:sz w:val="24"/>
          <w:szCs w:val="24"/>
        </w:rPr>
        <w:t>.</w:t>
      </w:r>
      <w:r w:rsidRPr="00983A79">
        <w:rPr>
          <w:rFonts w:ascii="Times New Roman" w:hAnsi="Times New Roman" w:cs="Times New Roman"/>
          <w:b/>
          <w:bCs/>
          <w:sz w:val="24"/>
          <w:szCs w:val="24"/>
          <w:lang w:val="id-ID"/>
        </w:rPr>
        <w:t>8.</w:t>
      </w:r>
      <w:proofErr w:type="gramEnd"/>
      <w:r w:rsidRPr="00983A79">
        <w:rPr>
          <w:rFonts w:ascii="Times New Roman" w:hAnsi="Times New Roman" w:cs="Times New Roman"/>
          <w:b/>
          <w:bCs/>
          <w:sz w:val="24"/>
          <w:szCs w:val="24"/>
        </w:rPr>
        <w:t xml:space="preserve"> Penilaian tingkat kesehatan Bank Central Asia periode 2015</w:t>
      </w:r>
    </w:p>
    <w:tbl>
      <w:tblPr>
        <w:tblStyle w:val="TableGrid"/>
        <w:tblW w:w="6804" w:type="dxa"/>
        <w:tblInd w:w="620" w:type="dxa"/>
        <w:tblLayout w:type="fixed"/>
        <w:tblLook w:val="04A0" w:firstRow="1" w:lastRow="0" w:firstColumn="1" w:lastColumn="0" w:noHBand="0" w:noVBand="1"/>
      </w:tblPr>
      <w:tblGrid>
        <w:gridCol w:w="1418"/>
        <w:gridCol w:w="709"/>
        <w:gridCol w:w="850"/>
        <w:gridCol w:w="425"/>
        <w:gridCol w:w="284"/>
        <w:gridCol w:w="283"/>
        <w:gridCol w:w="284"/>
        <w:gridCol w:w="283"/>
        <w:gridCol w:w="1276"/>
        <w:gridCol w:w="992"/>
      </w:tblGrid>
      <w:tr w:rsidR="00983A79" w:rsidRPr="00983A79" w:rsidTr="00983A79">
        <w:tc>
          <w:tcPr>
            <w:tcW w:w="1418"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1577"/>
            </w:tblGrid>
            <w:tr w:rsidR="00983A79" w:rsidRPr="00983A79" w:rsidTr="00983A79">
              <w:trPr>
                <w:trHeight w:val="205"/>
              </w:trPr>
              <w:tc>
                <w:tcPr>
                  <w:tcW w:w="1577" w:type="dxa"/>
                  <w:vAlign w:val="center"/>
                </w:tcPr>
                <w:p w:rsidR="00983A79" w:rsidRPr="00983A79" w:rsidRDefault="00983A79" w:rsidP="00983A79">
                  <w:pPr>
                    <w:autoSpaceDE w:val="0"/>
                    <w:autoSpaceDN w:val="0"/>
                    <w:adjustRightInd w:val="0"/>
                    <w:spacing w:after="0" w:line="240" w:lineRule="auto"/>
                    <w:ind w:right="301" w:hanging="74"/>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KOMPONEN FAKTOR</w:t>
                  </w:r>
                </w:p>
              </w:tc>
            </w:tr>
          </w:tbl>
          <w:p w:rsidR="00983A79" w:rsidRPr="00983A79" w:rsidRDefault="00983A79" w:rsidP="00983A79">
            <w:pPr>
              <w:spacing w:before="240"/>
              <w:contextualSpacing/>
              <w:jc w:val="center"/>
              <w:rPr>
                <w:rFonts w:ascii="Times New Roman" w:hAnsi="Times New Roman" w:cs="Times New Roman"/>
                <w:bCs/>
                <w:iCs/>
                <w:sz w:val="20"/>
                <w:szCs w:val="20"/>
              </w:rPr>
            </w:pPr>
          </w:p>
        </w:tc>
        <w:tc>
          <w:tcPr>
            <w:tcW w:w="709" w:type="dxa"/>
            <w:vMerge w:val="restart"/>
            <w:vAlign w:val="center"/>
          </w:tcPr>
          <w:p w:rsidR="00983A79" w:rsidRPr="00983A79" w:rsidRDefault="00983A79" w:rsidP="00983A79">
            <w:pPr>
              <w:autoSpaceDE w:val="0"/>
              <w:autoSpaceDN w:val="0"/>
              <w:adjustRightInd w:val="0"/>
              <w:ind w:right="-108" w:hanging="108"/>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RASIO</w:t>
            </w:r>
          </w:p>
        </w:tc>
        <w:tc>
          <w:tcPr>
            <w:tcW w:w="850" w:type="dxa"/>
            <w:vMerge w:val="restart"/>
            <w:vAlign w:val="center"/>
          </w:tcPr>
          <w:p w:rsidR="00983A79" w:rsidRPr="00983A79" w:rsidRDefault="00983A79" w:rsidP="00983A79">
            <w:pPr>
              <w:autoSpaceDE w:val="0"/>
              <w:autoSpaceDN w:val="0"/>
              <w:adjustRightInd w:val="0"/>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RASIO (%)</w:t>
            </w:r>
          </w:p>
        </w:tc>
        <w:tc>
          <w:tcPr>
            <w:tcW w:w="1559" w:type="dxa"/>
            <w:gridSpan w:val="5"/>
            <w:vAlign w:val="center"/>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KRITERIA</w:t>
            </w:r>
          </w:p>
        </w:tc>
        <w:tc>
          <w:tcPr>
            <w:tcW w:w="1276" w:type="dxa"/>
            <w:vMerge w:val="restart"/>
            <w:vAlign w:val="center"/>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t>K</w:t>
            </w:r>
            <w:r w:rsidRPr="00983A79">
              <w:rPr>
                <w:rFonts w:ascii="Times New Roman" w:hAnsi="Times New Roman" w:cs="Times New Roman"/>
                <w:bCs/>
                <w:iCs/>
                <w:sz w:val="20"/>
                <w:szCs w:val="20"/>
                <w:lang w:val="id-ID"/>
              </w:rPr>
              <w:t>ET</w:t>
            </w:r>
          </w:p>
        </w:tc>
        <w:tc>
          <w:tcPr>
            <w:tcW w:w="992" w:type="dxa"/>
            <w:vMerge w:val="restart"/>
            <w:vAlign w:val="center"/>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PK</w:t>
            </w:r>
          </w:p>
        </w:tc>
      </w:tr>
      <w:tr w:rsidR="00983A79" w:rsidRPr="00983A79" w:rsidTr="00983A79">
        <w:tc>
          <w:tcPr>
            <w:tcW w:w="1418" w:type="dxa"/>
            <w:vMerge/>
            <w:vAlign w:val="center"/>
          </w:tcPr>
          <w:p w:rsidR="00983A79" w:rsidRPr="00983A79" w:rsidRDefault="00983A79" w:rsidP="00983A79">
            <w:pPr>
              <w:autoSpaceDE w:val="0"/>
              <w:autoSpaceDN w:val="0"/>
              <w:adjustRightInd w:val="0"/>
              <w:ind w:right="301" w:hanging="216"/>
              <w:jc w:val="center"/>
              <w:rPr>
                <w:rFonts w:ascii="Times New Roman" w:hAnsi="Times New Roman" w:cs="Times New Roman"/>
                <w:color w:val="000000"/>
                <w:sz w:val="20"/>
                <w:szCs w:val="20"/>
              </w:rPr>
            </w:pPr>
          </w:p>
        </w:tc>
        <w:tc>
          <w:tcPr>
            <w:tcW w:w="709" w:type="dxa"/>
            <w:vMerge/>
            <w:vAlign w:val="center"/>
          </w:tcPr>
          <w:p w:rsidR="00983A79" w:rsidRPr="00983A79" w:rsidRDefault="00983A79" w:rsidP="00983A79">
            <w:pPr>
              <w:autoSpaceDE w:val="0"/>
              <w:autoSpaceDN w:val="0"/>
              <w:adjustRightInd w:val="0"/>
              <w:ind w:right="-108" w:hanging="108"/>
              <w:jc w:val="center"/>
              <w:rPr>
                <w:rFonts w:ascii="Times New Roman" w:hAnsi="Times New Roman" w:cs="Times New Roman"/>
                <w:color w:val="000000"/>
                <w:sz w:val="20"/>
                <w:szCs w:val="20"/>
              </w:rPr>
            </w:pPr>
          </w:p>
        </w:tc>
        <w:tc>
          <w:tcPr>
            <w:tcW w:w="850" w:type="dxa"/>
            <w:vMerge/>
            <w:vAlign w:val="center"/>
          </w:tcPr>
          <w:p w:rsidR="00983A79" w:rsidRPr="00983A79" w:rsidRDefault="00983A79" w:rsidP="00983A79">
            <w:pPr>
              <w:autoSpaceDE w:val="0"/>
              <w:autoSpaceDN w:val="0"/>
              <w:adjustRightInd w:val="0"/>
              <w:jc w:val="center"/>
              <w:rPr>
                <w:rFonts w:ascii="Times New Roman" w:hAnsi="Times New Roman" w:cs="Times New Roman"/>
                <w:color w:val="000000"/>
                <w:sz w:val="20"/>
                <w:szCs w:val="20"/>
              </w:rPr>
            </w:pPr>
          </w:p>
        </w:tc>
        <w:tc>
          <w:tcPr>
            <w:tcW w:w="425"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1</w:t>
            </w:r>
          </w:p>
        </w:tc>
        <w:tc>
          <w:tcPr>
            <w:tcW w:w="284"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2</w:t>
            </w:r>
          </w:p>
        </w:tc>
        <w:tc>
          <w:tcPr>
            <w:tcW w:w="283"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w:t>
            </w:r>
          </w:p>
        </w:tc>
        <w:tc>
          <w:tcPr>
            <w:tcW w:w="284"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4</w:t>
            </w:r>
          </w:p>
        </w:tc>
        <w:tc>
          <w:tcPr>
            <w:tcW w:w="283"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5</w:t>
            </w:r>
          </w:p>
        </w:tc>
        <w:tc>
          <w:tcPr>
            <w:tcW w:w="1276" w:type="dxa"/>
            <w:vMerge/>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p>
        </w:tc>
        <w:tc>
          <w:tcPr>
            <w:tcW w:w="992" w:type="dxa"/>
            <w:vMerge/>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p>
        </w:tc>
      </w:tr>
      <w:tr w:rsidR="00983A79" w:rsidRPr="00983A79" w:rsidTr="00983A79">
        <w:tc>
          <w:tcPr>
            <w:tcW w:w="1418" w:type="dxa"/>
            <w:vMerge w:val="restart"/>
            <w:vAlign w:val="center"/>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RISK PROFIL</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NPL</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0.73 %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restart"/>
            <w:vAlign w:val="center"/>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r>
      <w:tr w:rsidR="00983A79" w:rsidRPr="00983A79" w:rsidTr="00983A79">
        <w:tc>
          <w:tcPr>
            <w:tcW w:w="1418" w:type="dxa"/>
            <w:vMerge/>
          </w:tcPr>
          <w:p w:rsidR="00983A79" w:rsidRPr="00983A79" w:rsidRDefault="00983A79" w:rsidP="00983A79">
            <w:pPr>
              <w:spacing w:before="240"/>
              <w:contextualSpacing/>
              <w:jc w:val="both"/>
              <w:rPr>
                <w:rFonts w:ascii="Times New Roman" w:hAnsi="Times New Roman" w:cs="Times New Roman"/>
                <w:bCs/>
                <w:i/>
                <w:iCs/>
                <w:sz w:val="20"/>
                <w:szCs w:val="20"/>
              </w:rPr>
            </w:pP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LDR</w:t>
            </w:r>
          </w:p>
        </w:tc>
        <w:tc>
          <w:tcPr>
            <w:tcW w:w="850"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79.93 %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rPr>
          <w:trHeight w:val="328"/>
        </w:trPr>
        <w:tc>
          <w:tcPr>
            <w:tcW w:w="1418" w:type="dxa"/>
          </w:tcPr>
          <w:p w:rsidR="00983A79" w:rsidRPr="00983A79" w:rsidRDefault="00983A79" w:rsidP="00983A79">
            <w:pPr>
              <w:spacing w:before="240"/>
              <w:contextualSpacing/>
              <w:jc w:val="both"/>
              <w:rPr>
                <w:rFonts w:ascii="Times New Roman" w:hAnsi="Times New Roman" w:cs="Times New Roman"/>
                <w:bCs/>
                <w:i/>
                <w:iCs/>
                <w:sz w:val="20"/>
                <w:szCs w:val="20"/>
              </w:rPr>
            </w:pPr>
            <w:r w:rsidRPr="00983A79">
              <w:rPr>
                <w:rFonts w:ascii="Times New Roman" w:hAnsi="Times New Roman" w:cs="Times New Roman"/>
                <w:bCs/>
                <w:i/>
                <w:iCs/>
                <w:sz w:val="20"/>
                <w:szCs w:val="20"/>
              </w:rPr>
              <w:t>GCG</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p>
        </w:tc>
        <w:tc>
          <w:tcPr>
            <w:tcW w:w="850" w:type="dxa"/>
          </w:tcPr>
          <w:p w:rsidR="00983A79" w:rsidRPr="00983A79" w:rsidRDefault="00983A79" w:rsidP="00983A79">
            <w:pPr>
              <w:spacing w:before="240"/>
              <w:contextualSpacing/>
              <w:jc w:val="both"/>
              <w:rPr>
                <w:rFonts w:ascii="Times New Roman" w:hAnsi="Times New Roman" w:cs="Times New Roman"/>
                <w:bCs/>
                <w:iCs/>
                <w:sz w:val="20"/>
                <w:szCs w:val="20"/>
              </w:rPr>
            </w:pP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BAIK</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c>
          <w:tcPr>
            <w:tcW w:w="1418" w:type="dxa"/>
            <w:vMerge w:val="restart"/>
            <w:vAlign w:val="center"/>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lastRenderedPageBreak/>
              <w:t>EARNING</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ROA</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3.95 %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c>
          <w:tcPr>
            <w:tcW w:w="1418" w:type="dxa"/>
            <w:vMerge/>
          </w:tcPr>
          <w:p w:rsidR="00983A79" w:rsidRPr="00983A79" w:rsidRDefault="00983A79" w:rsidP="00983A79">
            <w:pPr>
              <w:spacing w:before="240"/>
              <w:contextualSpacing/>
              <w:jc w:val="both"/>
              <w:rPr>
                <w:rFonts w:ascii="Times New Roman" w:hAnsi="Times New Roman" w:cs="Times New Roman"/>
                <w:bCs/>
                <w:i/>
                <w:iCs/>
                <w:sz w:val="20"/>
                <w:szCs w:val="20"/>
              </w:rPr>
            </w:pP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NIM</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sz w:val="20"/>
                <w:szCs w:val="20"/>
              </w:rPr>
              <w:t>7.09 %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c>
          <w:tcPr>
            <w:tcW w:w="1418" w:type="dxa"/>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CAPITAL</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CAR</w:t>
            </w:r>
          </w:p>
        </w:tc>
        <w:tc>
          <w:tcPr>
            <w:tcW w:w="850"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sz w:val="20"/>
                <w:szCs w:val="20"/>
              </w:rPr>
              <w:t>19.03 %</w:t>
            </w:r>
          </w:p>
        </w:tc>
        <w:tc>
          <w:tcPr>
            <w:tcW w:w="425" w:type="dxa"/>
          </w:tcPr>
          <w:p w:rsidR="00983A79" w:rsidRPr="00983A79" w:rsidRDefault="00983A79" w:rsidP="00983A79">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276"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992"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983A79">
        <w:trPr>
          <w:trHeight w:val="573"/>
        </w:trPr>
        <w:tc>
          <w:tcPr>
            <w:tcW w:w="2977" w:type="dxa"/>
            <w:gridSpan w:val="3"/>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PERINGKAT KOMPOSIT</w:t>
            </w:r>
          </w:p>
        </w:tc>
        <w:tc>
          <w:tcPr>
            <w:tcW w:w="425" w:type="dxa"/>
            <w:vAlign w:val="center"/>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30</w:t>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268" w:type="dxa"/>
            <w:gridSpan w:val="2"/>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lang w:val="id-ID"/>
              </w:rPr>
              <w:t>(30/30)x100% = 100%</w:t>
            </w:r>
          </w:p>
        </w:tc>
      </w:tr>
    </w:tbl>
    <w:p w:rsidR="00983A79" w:rsidRPr="00983A79" w:rsidRDefault="00983A79" w:rsidP="007C3DEB">
      <w:pPr>
        <w:spacing w:before="240" w:after="0" w:line="240" w:lineRule="auto"/>
        <w:ind w:left="709"/>
        <w:contextualSpacing/>
        <w:jc w:val="both"/>
        <w:rPr>
          <w:rFonts w:ascii="Times New Roman" w:hAnsi="Times New Roman" w:cs="Times New Roman"/>
          <w:bCs/>
          <w:iCs/>
          <w:sz w:val="24"/>
          <w:szCs w:val="24"/>
        </w:rPr>
      </w:pPr>
      <w:r w:rsidRPr="00983A79">
        <w:rPr>
          <w:rFonts w:ascii="Times New Roman" w:hAnsi="Times New Roman" w:cs="Times New Roman"/>
          <w:bCs/>
          <w:iCs/>
          <w:sz w:val="24"/>
          <w:szCs w:val="24"/>
        </w:rPr>
        <w:t>Sumber: Data Sekunder yang diolah oleh peneliti, 2017</w:t>
      </w:r>
    </w:p>
    <w:p w:rsidR="00983A79" w:rsidRPr="00983A79" w:rsidRDefault="00983A79" w:rsidP="007C3DEB">
      <w:pPr>
        <w:spacing w:before="240" w:after="0" w:line="240" w:lineRule="auto"/>
        <w:ind w:left="284" w:firstLine="709"/>
        <w:contextualSpacing/>
        <w:jc w:val="both"/>
        <w:rPr>
          <w:rFonts w:ascii="Times New Roman" w:hAnsi="Times New Roman" w:cs="Times New Roman"/>
          <w:bCs/>
          <w:iCs/>
          <w:sz w:val="24"/>
          <w:szCs w:val="24"/>
        </w:rPr>
      </w:pPr>
      <w:r w:rsidRPr="00983A79">
        <w:rPr>
          <w:rFonts w:ascii="Times New Roman" w:hAnsi="Times New Roman" w:cs="Times New Roman"/>
          <w:bCs/>
          <w:iCs/>
          <w:sz w:val="24"/>
          <w:szCs w:val="24"/>
        </w:rPr>
        <w:t>Berdasarkan Penilaian tingkat kesehatan Bank Danamon periode 2015 pada tabel diatas, memperoleh peringkat komposit 1 yang artinya sangat sehat sesuai dengan Surat Edaran Bank Indonesia.</w:t>
      </w:r>
    </w:p>
    <w:p w:rsidR="00983A79" w:rsidRPr="00983A79" w:rsidRDefault="00983A79" w:rsidP="007C3DEB">
      <w:pPr>
        <w:spacing w:before="240" w:after="0" w:line="240" w:lineRule="auto"/>
        <w:ind w:left="284" w:firstLine="709"/>
        <w:contextualSpacing/>
        <w:jc w:val="both"/>
        <w:rPr>
          <w:rFonts w:ascii="Times New Roman" w:hAnsi="Times New Roman" w:cs="Times New Roman"/>
          <w:bCs/>
          <w:iCs/>
          <w:sz w:val="24"/>
          <w:szCs w:val="24"/>
        </w:rPr>
      </w:pPr>
      <w:r w:rsidRPr="00983A79">
        <w:rPr>
          <w:rFonts w:ascii="Times New Roman" w:hAnsi="Times New Roman" w:cs="Times New Roman"/>
          <w:bCs/>
          <w:i/>
          <w:iCs/>
          <w:sz w:val="24"/>
          <w:szCs w:val="24"/>
        </w:rPr>
        <w:t>Risk Profile</w:t>
      </w:r>
      <w:r w:rsidRPr="00983A79">
        <w:rPr>
          <w:rFonts w:ascii="Times New Roman" w:hAnsi="Times New Roman" w:cs="Times New Roman"/>
          <w:bCs/>
          <w:iCs/>
          <w:sz w:val="24"/>
          <w:szCs w:val="24"/>
        </w:rPr>
        <w:t xml:space="preserve"> memperoleh predikat sangat sehat, tercermin dari perhitungan risiko kredit dengan rasio NPL yang menghasilkan rasio NPL sebesar 0,73% dengan peringkat 1 dan perhitungan risiko likuiditas dengan rasio LDR yang menghasilkan rasio LDR sebesar 79,93% dengan peringkat 1. </w:t>
      </w:r>
      <w:proofErr w:type="gramStart"/>
      <w:r w:rsidRPr="00983A79">
        <w:rPr>
          <w:rFonts w:ascii="Times New Roman" w:hAnsi="Times New Roman" w:cs="Times New Roman"/>
          <w:bCs/>
          <w:iCs/>
          <w:sz w:val="24"/>
          <w:szCs w:val="24"/>
        </w:rPr>
        <w:t xml:space="preserve">Faktor </w:t>
      </w:r>
      <w:r w:rsidRPr="00983A79">
        <w:rPr>
          <w:rFonts w:ascii="Times New Roman" w:hAnsi="Times New Roman" w:cs="Times New Roman"/>
          <w:bCs/>
          <w:i/>
          <w:iCs/>
          <w:sz w:val="24"/>
          <w:szCs w:val="24"/>
        </w:rPr>
        <w:t>Good Corporate Governance</w:t>
      </w:r>
      <w:r w:rsidRPr="00983A79">
        <w:rPr>
          <w:rFonts w:ascii="Times New Roman" w:hAnsi="Times New Roman" w:cs="Times New Roman"/>
          <w:bCs/>
          <w:iCs/>
          <w:sz w:val="24"/>
          <w:szCs w:val="24"/>
        </w:rPr>
        <w:t xml:space="preserve"> memperoleh predikat sangat baik atau kategori sangat sehat dengan peringkat 1 berdasarkan </w:t>
      </w:r>
      <w:r w:rsidRPr="00983A79">
        <w:rPr>
          <w:rFonts w:ascii="Times New Roman" w:hAnsi="Times New Roman" w:cs="Times New Roman"/>
          <w:bCs/>
          <w:i/>
          <w:iCs/>
          <w:sz w:val="24"/>
          <w:szCs w:val="24"/>
        </w:rPr>
        <w:t>self assessment</w:t>
      </w:r>
      <w:r w:rsidRPr="00983A79">
        <w:rPr>
          <w:rFonts w:ascii="Times New Roman" w:hAnsi="Times New Roman" w:cs="Times New Roman"/>
          <w:bCs/>
          <w:iCs/>
          <w:sz w:val="24"/>
          <w:szCs w:val="24"/>
        </w:rPr>
        <w:t xml:space="preserve"> Bank Central Asia yang diperoleh dari laporan tahunan yang dipublikasikan.</w:t>
      </w:r>
      <w:proofErr w:type="gramEnd"/>
      <w:r w:rsidRPr="00983A79">
        <w:rPr>
          <w:rFonts w:ascii="Times New Roman" w:hAnsi="Times New Roman" w:cs="Times New Roman"/>
          <w:bCs/>
          <w:iCs/>
          <w:sz w:val="24"/>
          <w:szCs w:val="24"/>
        </w:rPr>
        <w:t xml:space="preserve"> </w:t>
      </w:r>
      <w:r w:rsidRPr="00983A79">
        <w:rPr>
          <w:rFonts w:ascii="Times New Roman" w:hAnsi="Times New Roman" w:cs="Times New Roman"/>
          <w:bCs/>
          <w:i/>
          <w:iCs/>
          <w:sz w:val="24"/>
          <w:szCs w:val="24"/>
        </w:rPr>
        <w:t xml:space="preserve">Earning </w:t>
      </w:r>
      <w:r w:rsidRPr="00983A79">
        <w:rPr>
          <w:rFonts w:ascii="Times New Roman" w:hAnsi="Times New Roman" w:cs="Times New Roman"/>
          <w:bCs/>
          <w:iCs/>
          <w:sz w:val="24"/>
          <w:szCs w:val="24"/>
        </w:rPr>
        <w:t xml:space="preserve">memperoleh predikat sangat sehat tercermin dari perhitungan ROA yang menghasilkan rasio ROA sebesar 3,95% dengan peringkat 1 dan perhitungan NIM yang menghasilkan rasio NIM sebesar 7,09% dengan peringkat 1. </w:t>
      </w:r>
      <w:r w:rsidRPr="00983A79">
        <w:rPr>
          <w:rFonts w:ascii="Times New Roman" w:hAnsi="Times New Roman" w:cs="Times New Roman"/>
          <w:bCs/>
          <w:i/>
          <w:iCs/>
          <w:sz w:val="24"/>
          <w:szCs w:val="24"/>
        </w:rPr>
        <w:t>Capital</w:t>
      </w:r>
      <w:r w:rsidRPr="00983A79">
        <w:rPr>
          <w:rFonts w:ascii="Times New Roman" w:hAnsi="Times New Roman" w:cs="Times New Roman"/>
          <w:bCs/>
          <w:iCs/>
          <w:sz w:val="24"/>
          <w:szCs w:val="24"/>
        </w:rPr>
        <w:t xml:space="preserve"> atau permodalan memperoleh predikat sangat sehat yang dicerminkan poleh perhitungan CAR yang menghasilkan rasio CAR sebesar 19</w:t>
      </w:r>
      <w:proofErr w:type="gramStart"/>
      <w:r w:rsidRPr="00983A79">
        <w:rPr>
          <w:rFonts w:ascii="Times New Roman" w:hAnsi="Times New Roman" w:cs="Times New Roman"/>
          <w:bCs/>
          <w:iCs/>
          <w:sz w:val="24"/>
          <w:szCs w:val="24"/>
        </w:rPr>
        <w:t>,03</w:t>
      </w:r>
      <w:proofErr w:type="gramEnd"/>
      <w:r w:rsidRPr="00983A79">
        <w:rPr>
          <w:rFonts w:ascii="Times New Roman" w:hAnsi="Times New Roman" w:cs="Times New Roman"/>
          <w:bCs/>
          <w:iCs/>
          <w:sz w:val="24"/>
          <w:szCs w:val="24"/>
        </w:rPr>
        <w:t>% dengan peringkat 1.</w:t>
      </w:r>
    </w:p>
    <w:p w:rsidR="00983A79" w:rsidRPr="00983A79" w:rsidRDefault="00983A79" w:rsidP="007C3DEB">
      <w:pPr>
        <w:numPr>
          <w:ilvl w:val="0"/>
          <w:numId w:val="29"/>
        </w:numPr>
        <w:autoSpaceDE w:val="0"/>
        <w:autoSpaceDN w:val="0"/>
        <w:adjustRightInd w:val="0"/>
        <w:spacing w:after="0" w:line="240" w:lineRule="auto"/>
        <w:ind w:left="284" w:hanging="284"/>
        <w:contextualSpacing/>
        <w:rPr>
          <w:rFonts w:ascii="Times New Roman" w:hAnsi="Times New Roman" w:cs="Times New Roman"/>
          <w:sz w:val="24"/>
          <w:szCs w:val="24"/>
        </w:rPr>
      </w:pPr>
      <w:r w:rsidRPr="00983A79">
        <w:rPr>
          <w:rFonts w:ascii="Times New Roman" w:hAnsi="Times New Roman" w:cs="Times New Roman"/>
          <w:sz w:val="24"/>
          <w:szCs w:val="24"/>
        </w:rPr>
        <w:t>Penetapan Peringkat Komposit Penilaian Tingkat Kesehatan Bank Central Asia dengan metode RGEC periode 2016.</w:t>
      </w:r>
    </w:p>
    <w:p w:rsidR="00983A79" w:rsidRPr="00983A79" w:rsidRDefault="00983A79" w:rsidP="007C3DEB">
      <w:pPr>
        <w:spacing w:before="240" w:after="0" w:line="240" w:lineRule="auto"/>
        <w:ind w:left="284"/>
        <w:contextualSpacing/>
        <w:jc w:val="both"/>
        <w:rPr>
          <w:rFonts w:ascii="Times New Roman" w:hAnsi="Times New Roman" w:cs="Times New Roman"/>
          <w:bCs/>
          <w:iCs/>
          <w:sz w:val="24"/>
          <w:szCs w:val="24"/>
        </w:rPr>
      </w:pPr>
      <w:proofErr w:type="gramStart"/>
      <w:r w:rsidRPr="00983A79">
        <w:rPr>
          <w:rFonts w:ascii="Times New Roman" w:hAnsi="Times New Roman" w:cs="Times New Roman"/>
          <w:b/>
          <w:bCs/>
          <w:sz w:val="24"/>
          <w:szCs w:val="24"/>
        </w:rPr>
        <w:t xml:space="preserve">Tabel </w:t>
      </w:r>
      <w:r w:rsidRPr="00983A79">
        <w:rPr>
          <w:rFonts w:ascii="Times New Roman" w:hAnsi="Times New Roman" w:cs="Times New Roman"/>
          <w:b/>
          <w:bCs/>
          <w:sz w:val="24"/>
          <w:szCs w:val="24"/>
          <w:lang w:val="id-ID"/>
        </w:rPr>
        <w:t>4</w:t>
      </w:r>
      <w:r w:rsidRPr="00983A79">
        <w:rPr>
          <w:rFonts w:ascii="Times New Roman" w:hAnsi="Times New Roman" w:cs="Times New Roman"/>
          <w:b/>
          <w:bCs/>
          <w:sz w:val="24"/>
          <w:szCs w:val="24"/>
        </w:rPr>
        <w:t>.</w:t>
      </w:r>
      <w:r w:rsidRPr="00983A79">
        <w:rPr>
          <w:rFonts w:ascii="Times New Roman" w:hAnsi="Times New Roman" w:cs="Times New Roman"/>
          <w:b/>
          <w:bCs/>
          <w:sz w:val="24"/>
          <w:szCs w:val="24"/>
          <w:lang w:val="id-ID"/>
        </w:rPr>
        <w:t>9.</w:t>
      </w:r>
      <w:proofErr w:type="gramEnd"/>
      <w:r w:rsidRPr="00983A79">
        <w:rPr>
          <w:rFonts w:ascii="Times New Roman" w:hAnsi="Times New Roman" w:cs="Times New Roman"/>
          <w:b/>
          <w:bCs/>
          <w:sz w:val="24"/>
          <w:szCs w:val="24"/>
        </w:rPr>
        <w:t xml:space="preserve"> Penilaian tingkat kesehatan Bank Central Asia periode 2016</w:t>
      </w:r>
    </w:p>
    <w:tbl>
      <w:tblPr>
        <w:tblStyle w:val="TableGrid"/>
        <w:tblW w:w="6804" w:type="dxa"/>
        <w:tblInd w:w="538" w:type="dxa"/>
        <w:tblLayout w:type="fixed"/>
        <w:tblLook w:val="04A0" w:firstRow="1" w:lastRow="0" w:firstColumn="1" w:lastColumn="0" w:noHBand="0" w:noVBand="1"/>
      </w:tblPr>
      <w:tblGrid>
        <w:gridCol w:w="1418"/>
        <w:gridCol w:w="709"/>
        <w:gridCol w:w="850"/>
        <w:gridCol w:w="425"/>
        <w:gridCol w:w="284"/>
        <w:gridCol w:w="283"/>
        <w:gridCol w:w="284"/>
        <w:gridCol w:w="283"/>
        <w:gridCol w:w="1134"/>
        <w:gridCol w:w="1134"/>
      </w:tblGrid>
      <w:tr w:rsidR="00983A79" w:rsidRPr="00983A79" w:rsidTr="007C3DEB">
        <w:tc>
          <w:tcPr>
            <w:tcW w:w="1418"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1577"/>
            </w:tblGrid>
            <w:tr w:rsidR="00983A79" w:rsidRPr="00983A79" w:rsidTr="00983A79">
              <w:trPr>
                <w:trHeight w:val="205"/>
              </w:trPr>
              <w:tc>
                <w:tcPr>
                  <w:tcW w:w="1577" w:type="dxa"/>
                  <w:vAlign w:val="center"/>
                </w:tcPr>
                <w:p w:rsidR="00983A79" w:rsidRPr="00983A79" w:rsidRDefault="00983A79" w:rsidP="00983A79">
                  <w:pPr>
                    <w:autoSpaceDE w:val="0"/>
                    <w:autoSpaceDN w:val="0"/>
                    <w:adjustRightInd w:val="0"/>
                    <w:spacing w:after="0" w:line="240" w:lineRule="auto"/>
                    <w:ind w:right="301" w:hanging="74"/>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KOMPONEN FAKTOR</w:t>
                  </w:r>
                </w:p>
              </w:tc>
            </w:tr>
          </w:tbl>
          <w:p w:rsidR="00983A79" w:rsidRPr="00983A79" w:rsidRDefault="00983A79" w:rsidP="00983A79">
            <w:pPr>
              <w:spacing w:before="240"/>
              <w:contextualSpacing/>
              <w:jc w:val="center"/>
              <w:rPr>
                <w:rFonts w:ascii="Times New Roman" w:hAnsi="Times New Roman" w:cs="Times New Roman"/>
                <w:bCs/>
                <w:iCs/>
                <w:sz w:val="20"/>
                <w:szCs w:val="20"/>
              </w:rPr>
            </w:pPr>
          </w:p>
        </w:tc>
        <w:tc>
          <w:tcPr>
            <w:tcW w:w="709" w:type="dxa"/>
            <w:vMerge w:val="restart"/>
            <w:vAlign w:val="center"/>
          </w:tcPr>
          <w:p w:rsidR="00983A79" w:rsidRPr="00983A79" w:rsidRDefault="00983A79" w:rsidP="00983A79">
            <w:pPr>
              <w:autoSpaceDE w:val="0"/>
              <w:autoSpaceDN w:val="0"/>
              <w:adjustRightInd w:val="0"/>
              <w:ind w:right="-108" w:hanging="108"/>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RASIO</w:t>
            </w:r>
          </w:p>
        </w:tc>
        <w:tc>
          <w:tcPr>
            <w:tcW w:w="850" w:type="dxa"/>
            <w:vMerge w:val="restart"/>
            <w:vAlign w:val="center"/>
          </w:tcPr>
          <w:p w:rsidR="00983A79" w:rsidRPr="00983A79" w:rsidRDefault="00983A79" w:rsidP="00983A79">
            <w:pPr>
              <w:autoSpaceDE w:val="0"/>
              <w:autoSpaceDN w:val="0"/>
              <w:adjustRightInd w:val="0"/>
              <w:jc w:val="center"/>
              <w:rPr>
                <w:rFonts w:ascii="Times New Roman" w:hAnsi="Times New Roman" w:cs="Times New Roman"/>
                <w:color w:val="000000"/>
                <w:sz w:val="20"/>
                <w:szCs w:val="20"/>
              </w:rPr>
            </w:pPr>
            <w:r w:rsidRPr="00983A79">
              <w:rPr>
                <w:rFonts w:ascii="Times New Roman" w:hAnsi="Times New Roman" w:cs="Times New Roman"/>
                <w:color w:val="000000"/>
                <w:sz w:val="20"/>
                <w:szCs w:val="20"/>
              </w:rPr>
              <w:t>RASIO (%)</w:t>
            </w:r>
          </w:p>
        </w:tc>
        <w:tc>
          <w:tcPr>
            <w:tcW w:w="1559" w:type="dxa"/>
            <w:gridSpan w:val="5"/>
            <w:vAlign w:val="center"/>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KRITERIA</w:t>
            </w:r>
          </w:p>
        </w:tc>
        <w:tc>
          <w:tcPr>
            <w:tcW w:w="1134" w:type="dxa"/>
            <w:vMerge w:val="restart"/>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t>K</w:t>
            </w:r>
            <w:r w:rsidRPr="00983A79">
              <w:rPr>
                <w:rFonts w:ascii="Times New Roman" w:hAnsi="Times New Roman" w:cs="Times New Roman"/>
                <w:bCs/>
                <w:iCs/>
                <w:sz w:val="20"/>
                <w:szCs w:val="20"/>
                <w:lang w:val="id-ID"/>
              </w:rPr>
              <w:t>ET</w:t>
            </w:r>
          </w:p>
        </w:tc>
        <w:tc>
          <w:tcPr>
            <w:tcW w:w="1134" w:type="dxa"/>
            <w:vMerge w:val="restart"/>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PK</w:t>
            </w:r>
          </w:p>
        </w:tc>
      </w:tr>
      <w:tr w:rsidR="00983A79" w:rsidRPr="00983A79" w:rsidTr="007C3DEB">
        <w:tc>
          <w:tcPr>
            <w:tcW w:w="1418" w:type="dxa"/>
            <w:vMerge/>
            <w:vAlign w:val="center"/>
          </w:tcPr>
          <w:p w:rsidR="00983A79" w:rsidRPr="00983A79" w:rsidRDefault="00983A79" w:rsidP="00983A79">
            <w:pPr>
              <w:autoSpaceDE w:val="0"/>
              <w:autoSpaceDN w:val="0"/>
              <w:adjustRightInd w:val="0"/>
              <w:ind w:right="301" w:hanging="74"/>
              <w:jc w:val="center"/>
              <w:rPr>
                <w:rFonts w:ascii="Times New Roman" w:hAnsi="Times New Roman" w:cs="Times New Roman"/>
                <w:color w:val="000000"/>
                <w:sz w:val="20"/>
                <w:szCs w:val="20"/>
              </w:rPr>
            </w:pPr>
          </w:p>
        </w:tc>
        <w:tc>
          <w:tcPr>
            <w:tcW w:w="709" w:type="dxa"/>
            <w:vMerge/>
            <w:vAlign w:val="center"/>
          </w:tcPr>
          <w:p w:rsidR="00983A79" w:rsidRPr="00983A79" w:rsidRDefault="00983A79" w:rsidP="00983A79">
            <w:pPr>
              <w:autoSpaceDE w:val="0"/>
              <w:autoSpaceDN w:val="0"/>
              <w:adjustRightInd w:val="0"/>
              <w:ind w:right="-108" w:hanging="108"/>
              <w:jc w:val="center"/>
              <w:rPr>
                <w:rFonts w:ascii="Times New Roman" w:hAnsi="Times New Roman" w:cs="Times New Roman"/>
                <w:color w:val="000000"/>
                <w:sz w:val="20"/>
                <w:szCs w:val="20"/>
              </w:rPr>
            </w:pPr>
          </w:p>
        </w:tc>
        <w:tc>
          <w:tcPr>
            <w:tcW w:w="850" w:type="dxa"/>
            <w:vMerge/>
            <w:vAlign w:val="center"/>
          </w:tcPr>
          <w:p w:rsidR="00983A79" w:rsidRPr="00983A79" w:rsidRDefault="00983A79" w:rsidP="00983A79">
            <w:pPr>
              <w:autoSpaceDE w:val="0"/>
              <w:autoSpaceDN w:val="0"/>
              <w:adjustRightInd w:val="0"/>
              <w:jc w:val="center"/>
              <w:rPr>
                <w:rFonts w:ascii="Times New Roman" w:hAnsi="Times New Roman" w:cs="Times New Roman"/>
                <w:color w:val="000000"/>
                <w:sz w:val="20"/>
                <w:szCs w:val="20"/>
              </w:rPr>
            </w:pPr>
          </w:p>
        </w:tc>
        <w:tc>
          <w:tcPr>
            <w:tcW w:w="425"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1</w:t>
            </w:r>
          </w:p>
        </w:tc>
        <w:tc>
          <w:tcPr>
            <w:tcW w:w="284"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2</w:t>
            </w:r>
          </w:p>
        </w:tc>
        <w:tc>
          <w:tcPr>
            <w:tcW w:w="283"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w:t>
            </w:r>
          </w:p>
        </w:tc>
        <w:tc>
          <w:tcPr>
            <w:tcW w:w="284"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4</w:t>
            </w:r>
          </w:p>
        </w:tc>
        <w:tc>
          <w:tcPr>
            <w:tcW w:w="283"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5</w:t>
            </w:r>
          </w:p>
        </w:tc>
        <w:tc>
          <w:tcPr>
            <w:tcW w:w="1134" w:type="dxa"/>
            <w:vMerge/>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p>
        </w:tc>
        <w:tc>
          <w:tcPr>
            <w:tcW w:w="1134" w:type="dxa"/>
            <w:vMerge/>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p>
        </w:tc>
      </w:tr>
      <w:tr w:rsidR="00983A79" w:rsidRPr="00983A79" w:rsidTr="007C3DEB">
        <w:tc>
          <w:tcPr>
            <w:tcW w:w="1418" w:type="dxa"/>
            <w:vMerge w:val="restart"/>
            <w:vAlign w:val="center"/>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RISK PROFIL</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NPL</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1.35 %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134"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1134" w:type="dxa"/>
            <w:vMerge w:val="restart"/>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r>
      <w:tr w:rsidR="00983A79" w:rsidRPr="00983A79" w:rsidTr="007C3DEB">
        <w:tc>
          <w:tcPr>
            <w:tcW w:w="1418" w:type="dxa"/>
            <w:vMerge/>
          </w:tcPr>
          <w:p w:rsidR="00983A79" w:rsidRPr="00983A79" w:rsidRDefault="00983A79" w:rsidP="00983A79">
            <w:pPr>
              <w:spacing w:before="240"/>
              <w:contextualSpacing/>
              <w:jc w:val="both"/>
              <w:rPr>
                <w:rFonts w:ascii="Times New Roman" w:hAnsi="Times New Roman" w:cs="Times New Roman"/>
                <w:bCs/>
                <w:i/>
                <w:iCs/>
                <w:sz w:val="20"/>
                <w:szCs w:val="20"/>
              </w:rPr>
            </w:pP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LDR</w:t>
            </w:r>
          </w:p>
        </w:tc>
        <w:tc>
          <w:tcPr>
            <w:tcW w:w="850"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76.09 %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134"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1134"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7C3DEB">
        <w:trPr>
          <w:trHeight w:val="328"/>
        </w:trPr>
        <w:tc>
          <w:tcPr>
            <w:tcW w:w="1418" w:type="dxa"/>
          </w:tcPr>
          <w:p w:rsidR="00983A79" w:rsidRPr="00983A79" w:rsidRDefault="00983A79" w:rsidP="00983A79">
            <w:pPr>
              <w:spacing w:before="240"/>
              <w:contextualSpacing/>
              <w:jc w:val="both"/>
              <w:rPr>
                <w:rFonts w:ascii="Times New Roman" w:hAnsi="Times New Roman" w:cs="Times New Roman"/>
                <w:bCs/>
                <w:i/>
                <w:iCs/>
                <w:sz w:val="20"/>
                <w:szCs w:val="20"/>
              </w:rPr>
            </w:pPr>
            <w:r w:rsidRPr="00983A79">
              <w:rPr>
                <w:rFonts w:ascii="Times New Roman" w:hAnsi="Times New Roman" w:cs="Times New Roman"/>
                <w:bCs/>
                <w:i/>
                <w:iCs/>
                <w:sz w:val="20"/>
                <w:szCs w:val="20"/>
              </w:rPr>
              <w:t>GCG</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134"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BAIK</w:t>
            </w:r>
          </w:p>
        </w:tc>
        <w:tc>
          <w:tcPr>
            <w:tcW w:w="1134"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7C3DEB">
        <w:tc>
          <w:tcPr>
            <w:tcW w:w="1418" w:type="dxa"/>
            <w:vMerge w:val="restart"/>
            <w:vAlign w:val="center"/>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EARNING</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ROA</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4.06 %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134"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1134"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7C3DEB">
        <w:tc>
          <w:tcPr>
            <w:tcW w:w="1418" w:type="dxa"/>
            <w:vMerge/>
          </w:tcPr>
          <w:p w:rsidR="00983A79" w:rsidRPr="00983A79" w:rsidRDefault="00983A79" w:rsidP="00983A79">
            <w:pPr>
              <w:spacing w:before="240"/>
              <w:contextualSpacing/>
              <w:jc w:val="both"/>
              <w:rPr>
                <w:rFonts w:ascii="Times New Roman" w:hAnsi="Times New Roman" w:cs="Times New Roman"/>
                <w:bCs/>
                <w:i/>
                <w:iCs/>
                <w:sz w:val="20"/>
                <w:szCs w:val="20"/>
              </w:rPr>
            </w:pP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NIM</w:t>
            </w:r>
          </w:p>
        </w:tc>
        <w:tc>
          <w:tcPr>
            <w:tcW w:w="850" w:type="dxa"/>
            <w:vAlign w:val="bottom"/>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sz w:val="20"/>
                <w:szCs w:val="20"/>
              </w:rPr>
              <w:t>7.08 %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134"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1134"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7C3DEB">
        <w:tc>
          <w:tcPr>
            <w:tcW w:w="1418" w:type="dxa"/>
          </w:tcPr>
          <w:p w:rsidR="00983A79" w:rsidRPr="00983A79" w:rsidRDefault="00983A79" w:rsidP="00983A79">
            <w:pPr>
              <w:spacing w:before="240"/>
              <w:contextualSpacing/>
              <w:rPr>
                <w:rFonts w:ascii="Times New Roman" w:hAnsi="Times New Roman" w:cs="Times New Roman"/>
                <w:bCs/>
                <w:i/>
                <w:iCs/>
                <w:sz w:val="20"/>
                <w:szCs w:val="20"/>
              </w:rPr>
            </w:pPr>
            <w:r w:rsidRPr="00983A79">
              <w:rPr>
                <w:rFonts w:ascii="Times New Roman" w:hAnsi="Times New Roman" w:cs="Times New Roman"/>
                <w:bCs/>
                <w:i/>
                <w:iCs/>
                <w:sz w:val="20"/>
                <w:szCs w:val="20"/>
              </w:rPr>
              <w:t>CAPITAL</w:t>
            </w:r>
          </w:p>
        </w:tc>
        <w:tc>
          <w:tcPr>
            <w:tcW w:w="709" w:type="dxa"/>
            <w:vAlign w:val="bottom"/>
          </w:tcPr>
          <w:p w:rsidR="00983A79" w:rsidRPr="00983A79" w:rsidRDefault="00983A79" w:rsidP="00983A79">
            <w:pPr>
              <w:spacing w:before="240"/>
              <w:contextualSpacing/>
              <w:rPr>
                <w:rFonts w:ascii="Times New Roman" w:hAnsi="Times New Roman" w:cs="Times New Roman"/>
                <w:bCs/>
                <w:iCs/>
                <w:sz w:val="20"/>
                <w:szCs w:val="20"/>
              </w:rPr>
            </w:pPr>
            <w:r w:rsidRPr="00983A79">
              <w:rPr>
                <w:rFonts w:ascii="Times New Roman" w:hAnsi="Times New Roman" w:cs="Times New Roman"/>
                <w:bCs/>
                <w:iCs/>
                <w:sz w:val="20"/>
                <w:szCs w:val="20"/>
              </w:rPr>
              <w:t>CAR</w:t>
            </w:r>
          </w:p>
        </w:tc>
        <w:tc>
          <w:tcPr>
            <w:tcW w:w="850" w:type="dxa"/>
            <w:vAlign w:val="bottom"/>
          </w:tcPr>
          <w:p w:rsidR="00983A79" w:rsidRPr="00983A79" w:rsidRDefault="00983A79" w:rsidP="00983A79">
            <w:pPr>
              <w:spacing w:before="240"/>
              <w:ind w:right="-108" w:hanging="108"/>
              <w:contextualSpacing/>
              <w:jc w:val="center"/>
              <w:rPr>
                <w:rFonts w:ascii="Times New Roman" w:hAnsi="Times New Roman" w:cs="Times New Roman"/>
                <w:bCs/>
                <w:iCs/>
                <w:sz w:val="20"/>
                <w:szCs w:val="20"/>
              </w:rPr>
            </w:pPr>
            <w:r w:rsidRPr="00983A79">
              <w:rPr>
                <w:rFonts w:ascii="Times New Roman" w:hAnsi="Times New Roman" w:cs="Times New Roman"/>
                <w:sz w:val="20"/>
                <w:szCs w:val="20"/>
              </w:rPr>
              <w:t>22.21 %</w:t>
            </w:r>
          </w:p>
        </w:tc>
        <w:tc>
          <w:tcPr>
            <w:tcW w:w="425" w:type="dxa"/>
            <w:vAlign w:val="bottom"/>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rPr>
              <w:sym w:font="Symbol" w:char="F0D6"/>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1134" w:type="dxa"/>
            <w:vAlign w:val="center"/>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SANGAT SEHAT</w:t>
            </w:r>
          </w:p>
        </w:tc>
        <w:tc>
          <w:tcPr>
            <w:tcW w:w="1134" w:type="dxa"/>
            <w:vMerge/>
            <w:vAlign w:val="center"/>
          </w:tcPr>
          <w:p w:rsidR="00983A79" w:rsidRPr="00983A79" w:rsidRDefault="00983A79" w:rsidP="00983A79">
            <w:pPr>
              <w:spacing w:before="240"/>
              <w:contextualSpacing/>
              <w:jc w:val="center"/>
              <w:rPr>
                <w:rFonts w:ascii="Times New Roman" w:hAnsi="Times New Roman" w:cs="Times New Roman"/>
                <w:bCs/>
                <w:iCs/>
                <w:sz w:val="20"/>
                <w:szCs w:val="20"/>
              </w:rPr>
            </w:pPr>
          </w:p>
        </w:tc>
      </w:tr>
      <w:tr w:rsidR="00983A79" w:rsidRPr="00983A79" w:rsidTr="007C3DEB">
        <w:trPr>
          <w:trHeight w:val="573"/>
        </w:trPr>
        <w:tc>
          <w:tcPr>
            <w:tcW w:w="2977" w:type="dxa"/>
            <w:gridSpan w:val="3"/>
          </w:tcPr>
          <w:p w:rsidR="00983A79" w:rsidRPr="00983A79" w:rsidRDefault="00983A79" w:rsidP="00983A79">
            <w:pPr>
              <w:spacing w:before="240"/>
              <w:contextualSpacing/>
              <w:jc w:val="center"/>
              <w:rPr>
                <w:rFonts w:ascii="Times New Roman" w:hAnsi="Times New Roman" w:cs="Times New Roman"/>
                <w:bCs/>
                <w:iCs/>
                <w:sz w:val="20"/>
                <w:szCs w:val="20"/>
              </w:rPr>
            </w:pPr>
            <w:r w:rsidRPr="00983A79">
              <w:rPr>
                <w:rFonts w:ascii="Times New Roman" w:hAnsi="Times New Roman" w:cs="Times New Roman"/>
                <w:bCs/>
                <w:iCs/>
                <w:sz w:val="20"/>
                <w:szCs w:val="20"/>
              </w:rPr>
              <w:t>PERINGKAT KOMPOSIT</w:t>
            </w:r>
          </w:p>
        </w:tc>
        <w:tc>
          <w:tcPr>
            <w:tcW w:w="425" w:type="dxa"/>
            <w:vAlign w:val="center"/>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30</w:t>
            </w: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4"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83" w:type="dxa"/>
          </w:tcPr>
          <w:p w:rsidR="00983A79" w:rsidRPr="00983A79" w:rsidRDefault="00983A79" w:rsidP="00983A79">
            <w:pPr>
              <w:spacing w:before="240"/>
              <w:contextualSpacing/>
              <w:jc w:val="center"/>
              <w:rPr>
                <w:rFonts w:ascii="Times New Roman" w:hAnsi="Times New Roman" w:cs="Times New Roman"/>
                <w:bCs/>
                <w:iCs/>
                <w:sz w:val="20"/>
                <w:szCs w:val="20"/>
              </w:rPr>
            </w:pPr>
          </w:p>
        </w:tc>
        <w:tc>
          <w:tcPr>
            <w:tcW w:w="2268" w:type="dxa"/>
            <w:gridSpan w:val="2"/>
            <w:vAlign w:val="center"/>
          </w:tcPr>
          <w:p w:rsidR="00983A79" w:rsidRPr="00983A79" w:rsidRDefault="00983A79" w:rsidP="00983A79">
            <w:pPr>
              <w:spacing w:before="240"/>
              <w:contextualSpacing/>
              <w:jc w:val="center"/>
              <w:rPr>
                <w:rFonts w:ascii="Times New Roman" w:hAnsi="Times New Roman" w:cs="Times New Roman"/>
                <w:bCs/>
                <w:iCs/>
                <w:sz w:val="20"/>
                <w:szCs w:val="20"/>
                <w:lang w:val="id-ID"/>
              </w:rPr>
            </w:pPr>
            <w:r w:rsidRPr="00983A79">
              <w:rPr>
                <w:rFonts w:ascii="Times New Roman" w:hAnsi="Times New Roman" w:cs="Times New Roman"/>
                <w:bCs/>
                <w:iCs/>
                <w:sz w:val="20"/>
                <w:szCs w:val="20"/>
                <w:lang w:val="id-ID"/>
              </w:rPr>
              <w:t>(30/30)x100% = 100%</w:t>
            </w:r>
          </w:p>
        </w:tc>
      </w:tr>
    </w:tbl>
    <w:p w:rsidR="00983A79" w:rsidRPr="00983A79" w:rsidRDefault="00983A79" w:rsidP="007C3DEB">
      <w:pPr>
        <w:spacing w:before="240" w:after="0" w:line="240" w:lineRule="auto"/>
        <w:ind w:left="851"/>
        <w:contextualSpacing/>
        <w:jc w:val="both"/>
        <w:rPr>
          <w:rFonts w:ascii="Times New Roman" w:hAnsi="Times New Roman" w:cs="Times New Roman"/>
          <w:bCs/>
          <w:iCs/>
          <w:sz w:val="24"/>
          <w:szCs w:val="24"/>
        </w:rPr>
      </w:pPr>
      <w:r w:rsidRPr="00983A79">
        <w:rPr>
          <w:rFonts w:ascii="Times New Roman" w:hAnsi="Times New Roman" w:cs="Times New Roman"/>
          <w:bCs/>
          <w:iCs/>
          <w:sz w:val="24"/>
          <w:szCs w:val="24"/>
        </w:rPr>
        <w:t>Sumber: Data Sekunder yang diolah oleh peneliti, 2017</w:t>
      </w:r>
    </w:p>
    <w:p w:rsidR="00983A79" w:rsidRPr="00983A79" w:rsidRDefault="00983A79" w:rsidP="007C3DEB">
      <w:pPr>
        <w:spacing w:before="240" w:after="0" w:line="240" w:lineRule="auto"/>
        <w:ind w:left="284" w:firstLine="709"/>
        <w:contextualSpacing/>
        <w:jc w:val="both"/>
        <w:rPr>
          <w:rFonts w:ascii="Times New Roman" w:hAnsi="Times New Roman" w:cs="Times New Roman"/>
          <w:bCs/>
          <w:iCs/>
          <w:sz w:val="24"/>
          <w:szCs w:val="24"/>
        </w:rPr>
      </w:pPr>
      <w:r w:rsidRPr="00983A79">
        <w:rPr>
          <w:rFonts w:ascii="Times New Roman" w:hAnsi="Times New Roman" w:cs="Times New Roman"/>
          <w:bCs/>
          <w:iCs/>
          <w:sz w:val="24"/>
          <w:szCs w:val="24"/>
        </w:rPr>
        <w:t>Berdasarkan Penilaian tingkat kesehatan Bank Danamon periode 2016 pada tabel diatas, memperoleh peringkat komposit 1 yang artinya sangat sehat sesuai dengan Surat Edaran Bank Indonesia.</w:t>
      </w:r>
    </w:p>
    <w:p w:rsidR="00983A79" w:rsidRPr="00983A79" w:rsidRDefault="00983A79" w:rsidP="007C3DEB">
      <w:pPr>
        <w:spacing w:before="240" w:after="0" w:line="240" w:lineRule="auto"/>
        <w:ind w:left="284" w:firstLine="709"/>
        <w:contextualSpacing/>
        <w:jc w:val="both"/>
        <w:rPr>
          <w:rFonts w:ascii="Times New Roman" w:hAnsi="Times New Roman" w:cs="Times New Roman"/>
          <w:bCs/>
          <w:iCs/>
          <w:sz w:val="24"/>
          <w:szCs w:val="24"/>
        </w:rPr>
      </w:pPr>
      <w:r w:rsidRPr="00983A79">
        <w:rPr>
          <w:rFonts w:ascii="Times New Roman" w:hAnsi="Times New Roman" w:cs="Times New Roman"/>
          <w:bCs/>
          <w:i/>
          <w:iCs/>
          <w:sz w:val="24"/>
          <w:szCs w:val="24"/>
        </w:rPr>
        <w:lastRenderedPageBreak/>
        <w:t>Risk Profile</w:t>
      </w:r>
      <w:r w:rsidRPr="00983A79">
        <w:rPr>
          <w:rFonts w:ascii="Times New Roman" w:hAnsi="Times New Roman" w:cs="Times New Roman"/>
          <w:bCs/>
          <w:iCs/>
          <w:sz w:val="24"/>
          <w:szCs w:val="24"/>
        </w:rPr>
        <w:t xml:space="preserve"> memperoleh predikat sangat sehat, tercermin dari perhitungan risiko kredit dengan rasio NPL yang menghasilkan rasio NPL sebesar 1,35% dengan peringkat 1 dan perhitungan risiko likuiditas dengan rasio LDR yang menghasilkan rasio LDR sebesar 76,09% dengan peringkat 1. </w:t>
      </w:r>
      <w:proofErr w:type="gramStart"/>
      <w:r w:rsidRPr="00983A79">
        <w:rPr>
          <w:rFonts w:ascii="Times New Roman" w:hAnsi="Times New Roman" w:cs="Times New Roman"/>
          <w:bCs/>
          <w:iCs/>
          <w:sz w:val="24"/>
          <w:szCs w:val="24"/>
        </w:rPr>
        <w:t xml:space="preserve">Faktor </w:t>
      </w:r>
      <w:r w:rsidRPr="00983A79">
        <w:rPr>
          <w:rFonts w:ascii="Times New Roman" w:hAnsi="Times New Roman" w:cs="Times New Roman"/>
          <w:bCs/>
          <w:i/>
          <w:iCs/>
          <w:sz w:val="24"/>
          <w:szCs w:val="24"/>
        </w:rPr>
        <w:t>Good Corporate Governance</w:t>
      </w:r>
      <w:r w:rsidRPr="00983A79">
        <w:rPr>
          <w:rFonts w:ascii="Times New Roman" w:hAnsi="Times New Roman" w:cs="Times New Roman"/>
          <w:bCs/>
          <w:iCs/>
          <w:sz w:val="24"/>
          <w:szCs w:val="24"/>
        </w:rPr>
        <w:t xml:space="preserve"> memperoleh predikat sangat baik atau kategori sangat sehat dengan peringkat 1 berdasarkan </w:t>
      </w:r>
      <w:r w:rsidRPr="00983A79">
        <w:rPr>
          <w:rFonts w:ascii="Times New Roman" w:hAnsi="Times New Roman" w:cs="Times New Roman"/>
          <w:bCs/>
          <w:i/>
          <w:iCs/>
          <w:sz w:val="24"/>
          <w:szCs w:val="24"/>
        </w:rPr>
        <w:t>self assessment</w:t>
      </w:r>
      <w:r w:rsidRPr="00983A79">
        <w:rPr>
          <w:rFonts w:ascii="Times New Roman" w:hAnsi="Times New Roman" w:cs="Times New Roman"/>
          <w:bCs/>
          <w:iCs/>
          <w:sz w:val="24"/>
          <w:szCs w:val="24"/>
        </w:rPr>
        <w:t xml:space="preserve"> Bank Central Asia yang diperoleh dari laporan tahunan yang dipublikasikan.</w:t>
      </w:r>
      <w:proofErr w:type="gramEnd"/>
      <w:r w:rsidRPr="00983A79">
        <w:rPr>
          <w:rFonts w:ascii="Times New Roman" w:hAnsi="Times New Roman" w:cs="Times New Roman"/>
          <w:bCs/>
          <w:iCs/>
          <w:sz w:val="24"/>
          <w:szCs w:val="24"/>
        </w:rPr>
        <w:t xml:space="preserve"> </w:t>
      </w:r>
      <w:r w:rsidRPr="00983A79">
        <w:rPr>
          <w:rFonts w:ascii="Times New Roman" w:hAnsi="Times New Roman" w:cs="Times New Roman"/>
          <w:bCs/>
          <w:i/>
          <w:iCs/>
          <w:sz w:val="24"/>
          <w:szCs w:val="24"/>
        </w:rPr>
        <w:t xml:space="preserve">Earning </w:t>
      </w:r>
      <w:r w:rsidRPr="00983A79">
        <w:rPr>
          <w:rFonts w:ascii="Times New Roman" w:hAnsi="Times New Roman" w:cs="Times New Roman"/>
          <w:bCs/>
          <w:iCs/>
          <w:sz w:val="24"/>
          <w:szCs w:val="24"/>
        </w:rPr>
        <w:t xml:space="preserve">memperoleh predikat sangat sehat tercermin dari perhitungan ROA yang menghasilkan rasio ROA sebesar 4,06% dengan peringkat 1 dan perhitungan NIM yang menghasilkan rasio NIM sebesar 7,08% dengan peringkat 1. </w:t>
      </w:r>
      <w:r w:rsidRPr="00983A79">
        <w:rPr>
          <w:rFonts w:ascii="Times New Roman" w:hAnsi="Times New Roman" w:cs="Times New Roman"/>
          <w:bCs/>
          <w:i/>
          <w:iCs/>
          <w:sz w:val="24"/>
          <w:szCs w:val="24"/>
        </w:rPr>
        <w:t>Capital</w:t>
      </w:r>
      <w:r w:rsidRPr="00983A79">
        <w:rPr>
          <w:rFonts w:ascii="Times New Roman" w:hAnsi="Times New Roman" w:cs="Times New Roman"/>
          <w:bCs/>
          <w:iCs/>
          <w:sz w:val="24"/>
          <w:szCs w:val="24"/>
        </w:rPr>
        <w:t xml:space="preserve"> atau permodalan memperoleh predikat sangat sehat yang dicerminkan poleh perhitungan CAR yang menghasilkan rasio CAR sebesar 22</w:t>
      </w:r>
      <w:proofErr w:type="gramStart"/>
      <w:r w:rsidRPr="00983A79">
        <w:rPr>
          <w:rFonts w:ascii="Times New Roman" w:hAnsi="Times New Roman" w:cs="Times New Roman"/>
          <w:bCs/>
          <w:iCs/>
          <w:sz w:val="24"/>
          <w:szCs w:val="24"/>
        </w:rPr>
        <w:t>,21</w:t>
      </w:r>
      <w:proofErr w:type="gramEnd"/>
      <w:r w:rsidRPr="00983A79">
        <w:rPr>
          <w:rFonts w:ascii="Times New Roman" w:hAnsi="Times New Roman" w:cs="Times New Roman"/>
          <w:bCs/>
          <w:iCs/>
          <w:sz w:val="24"/>
          <w:szCs w:val="24"/>
        </w:rPr>
        <w:t>% dengan peringkat 1.</w:t>
      </w:r>
    </w:p>
    <w:p w:rsidR="00983A79" w:rsidRDefault="00983A79" w:rsidP="007C3DEB">
      <w:pPr>
        <w:spacing w:before="240" w:after="0" w:line="240" w:lineRule="auto"/>
        <w:ind w:left="284" w:firstLine="709"/>
        <w:contextualSpacing/>
        <w:jc w:val="both"/>
        <w:rPr>
          <w:rFonts w:ascii="Times New Roman" w:hAnsi="Times New Roman" w:cs="Times New Roman"/>
          <w:bCs/>
          <w:iCs/>
          <w:sz w:val="24"/>
          <w:szCs w:val="24"/>
          <w:lang w:val="id-ID"/>
        </w:rPr>
      </w:pPr>
      <w:proofErr w:type="gramStart"/>
      <w:r w:rsidRPr="00983A79">
        <w:rPr>
          <w:rFonts w:ascii="Times New Roman" w:hAnsi="Times New Roman" w:cs="Times New Roman"/>
          <w:bCs/>
          <w:iCs/>
          <w:sz w:val="24"/>
          <w:szCs w:val="24"/>
        </w:rPr>
        <w:t>Secara keseluruhan Bank Central Asia adalah bank swasta yang berada pada kondisi sangat sehat, terbukti dari rasio yang terus meningkat setiap tahunnya.</w:t>
      </w:r>
      <w:proofErr w:type="gramEnd"/>
      <w:r w:rsidRPr="00983A79">
        <w:rPr>
          <w:rFonts w:ascii="Times New Roman" w:hAnsi="Times New Roman" w:cs="Times New Roman"/>
          <w:bCs/>
          <w:iCs/>
          <w:sz w:val="24"/>
          <w:szCs w:val="24"/>
        </w:rPr>
        <w:t xml:space="preserve"> Hal ini menggambarkan bahwa Bank Central Asia mampu menghadapi pengaruh negatif yang signifikan dari perubahan kondisi bisnis dari faktor eksternal lainnya yang tercermin dari peringkat faktor penilaian meliputi </w:t>
      </w:r>
      <w:r w:rsidRPr="00983A79">
        <w:rPr>
          <w:rFonts w:ascii="Times New Roman" w:hAnsi="Times New Roman" w:cs="Times New Roman"/>
          <w:bCs/>
          <w:i/>
          <w:iCs/>
          <w:sz w:val="24"/>
          <w:szCs w:val="24"/>
        </w:rPr>
        <w:t>Risk Profile</w:t>
      </w:r>
      <w:r w:rsidRPr="00983A79">
        <w:rPr>
          <w:rFonts w:ascii="Times New Roman" w:hAnsi="Times New Roman" w:cs="Times New Roman"/>
          <w:bCs/>
          <w:iCs/>
          <w:sz w:val="24"/>
          <w:szCs w:val="24"/>
        </w:rPr>
        <w:t xml:space="preserve"> (Profil Risiko), penerapan </w:t>
      </w:r>
      <w:r w:rsidRPr="00983A79">
        <w:rPr>
          <w:rFonts w:ascii="Times New Roman" w:hAnsi="Times New Roman" w:cs="Times New Roman"/>
          <w:bCs/>
          <w:i/>
          <w:iCs/>
          <w:sz w:val="24"/>
          <w:szCs w:val="24"/>
        </w:rPr>
        <w:t>Good Corporate Governance</w:t>
      </w:r>
      <w:r w:rsidRPr="00983A79">
        <w:rPr>
          <w:rFonts w:ascii="Times New Roman" w:hAnsi="Times New Roman" w:cs="Times New Roman"/>
          <w:bCs/>
          <w:iCs/>
          <w:sz w:val="24"/>
          <w:szCs w:val="24"/>
        </w:rPr>
        <w:t xml:space="preserve"> (GCG), </w:t>
      </w:r>
      <w:r w:rsidRPr="00983A79">
        <w:rPr>
          <w:rFonts w:ascii="Times New Roman" w:hAnsi="Times New Roman" w:cs="Times New Roman"/>
          <w:bCs/>
          <w:i/>
          <w:iCs/>
          <w:sz w:val="24"/>
          <w:szCs w:val="24"/>
        </w:rPr>
        <w:t>Earning</w:t>
      </w:r>
      <w:r w:rsidRPr="00983A79">
        <w:rPr>
          <w:rFonts w:ascii="Times New Roman" w:hAnsi="Times New Roman" w:cs="Times New Roman"/>
          <w:bCs/>
          <w:iCs/>
          <w:sz w:val="24"/>
          <w:szCs w:val="24"/>
        </w:rPr>
        <w:t xml:space="preserve"> (Rentabilitas) dan </w:t>
      </w:r>
      <w:r w:rsidRPr="00983A79">
        <w:rPr>
          <w:rFonts w:ascii="Times New Roman" w:hAnsi="Times New Roman" w:cs="Times New Roman"/>
          <w:bCs/>
          <w:i/>
          <w:iCs/>
          <w:sz w:val="24"/>
          <w:szCs w:val="24"/>
        </w:rPr>
        <w:t>Capital</w:t>
      </w:r>
      <w:r w:rsidRPr="00983A79">
        <w:rPr>
          <w:rFonts w:ascii="Times New Roman" w:hAnsi="Times New Roman" w:cs="Times New Roman"/>
          <w:bCs/>
          <w:iCs/>
          <w:sz w:val="24"/>
          <w:szCs w:val="24"/>
        </w:rPr>
        <w:t xml:space="preserve"> (Permodalan) yang secara umum baik.</w:t>
      </w:r>
    </w:p>
    <w:p w:rsidR="007C3DEB" w:rsidRPr="007C3DEB" w:rsidRDefault="007C3DEB" w:rsidP="007C3DEB">
      <w:pPr>
        <w:spacing w:before="240" w:after="0" w:line="240" w:lineRule="auto"/>
        <w:ind w:left="284" w:firstLine="709"/>
        <w:contextualSpacing/>
        <w:jc w:val="both"/>
        <w:rPr>
          <w:rFonts w:ascii="Times New Roman" w:hAnsi="Times New Roman" w:cs="Times New Roman"/>
          <w:bCs/>
          <w:iCs/>
          <w:sz w:val="24"/>
          <w:szCs w:val="24"/>
          <w:lang w:val="id-ID"/>
        </w:rPr>
      </w:pPr>
    </w:p>
    <w:p w:rsidR="00983A79" w:rsidRPr="004E1F96" w:rsidRDefault="004E1F96" w:rsidP="004E1F96">
      <w:pPr>
        <w:spacing w:after="0" w:line="240" w:lineRule="auto"/>
        <w:rPr>
          <w:rFonts w:ascii="Times New Roman" w:hAnsi="Times New Roman" w:cs="Times New Roman"/>
          <w:b/>
          <w:sz w:val="24"/>
          <w:szCs w:val="24"/>
          <w:lang w:val="id-ID"/>
        </w:rPr>
      </w:pPr>
      <w:r>
        <w:rPr>
          <w:rFonts w:ascii="Times New Roman" w:hAnsi="Times New Roman" w:cs="Times New Roman"/>
          <w:b/>
          <w:bCs/>
          <w:iCs/>
          <w:sz w:val="24"/>
          <w:szCs w:val="24"/>
        </w:rPr>
        <w:t>SIMPULAN DAN SARA</w:t>
      </w:r>
      <w:r>
        <w:rPr>
          <w:rFonts w:ascii="Times New Roman" w:hAnsi="Times New Roman" w:cs="Times New Roman"/>
          <w:b/>
          <w:bCs/>
          <w:iCs/>
          <w:sz w:val="24"/>
          <w:szCs w:val="24"/>
          <w:lang w:val="id-ID"/>
        </w:rPr>
        <w:t>N</w:t>
      </w:r>
    </w:p>
    <w:p w:rsidR="00983A79" w:rsidRPr="00983A79" w:rsidRDefault="00983A79" w:rsidP="004E1F96">
      <w:pPr>
        <w:spacing w:after="0" w:line="240" w:lineRule="auto"/>
        <w:ind w:firstLine="709"/>
        <w:jc w:val="both"/>
        <w:rPr>
          <w:rFonts w:ascii="Times New Roman" w:hAnsi="Times New Roman" w:cs="Times New Roman"/>
          <w:sz w:val="24"/>
          <w:szCs w:val="24"/>
        </w:rPr>
      </w:pPr>
      <w:r w:rsidRPr="00983A79">
        <w:rPr>
          <w:rFonts w:ascii="Times New Roman" w:hAnsi="Times New Roman" w:cs="Times New Roman"/>
          <w:sz w:val="24"/>
          <w:szCs w:val="24"/>
        </w:rPr>
        <w:t>Berdasarkan hasil pembahasan yang telah dipaparkan maka dapat diambil kesimpulan sebagai berikut:</w:t>
      </w:r>
    </w:p>
    <w:p w:rsidR="00983A79" w:rsidRPr="00983A79" w:rsidRDefault="00983A79" w:rsidP="004E1F96">
      <w:pPr>
        <w:numPr>
          <w:ilvl w:val="0"/>
          <w:numId w:val="31"/>
        </w:numPr>
        <w:spacing w:after="0" w:line="240" w:lineRule="auto"/>
        <w:ind w:left="284" w:hanging="284"/>
        <w:contextualSpacing/>
        <w:jc w:val="both"/>
        <w:rPr>
          <w:rFonts w:ascii="Times New Roman" w:hAnsi="Times New Roman" w:cs="Times New Roman"/>
          <w:sz w:val="24"/>
          <w:szCs w:val="24"/>
        </w:rPr>
      </w:pPr>
      <w:r w:rsidRPr="00983A79">
        <w:rPr>
          <w:rFonts w:ascii="Times New Roman" w:hAnsi="Times New Roman" w:cs="Times New Roman"/>
          <w:sz w:val="24"/>
          <w:szCs w:val="24"/>
        </w:rPr>
        <w:t xml:space="preserve">Penilaian Tingkat Kesehatan Bank pada PT Bank Central Asia </w:t>
      </w:r>
      <w:proofErr w:type="gramStart"/>
      <w:r w:rsidRPr="00983A79">
        <w:rPr>
          <w:rFonts w:ascii="Times New Roman" w:hAnsi="Times New Roman" w:cs="Times New Roman"/>
          <w:sz w:val="24"/>
          <w:szCs w:val="24"/>
        </w:rPr>
        <w:t>Tbk  periode</w:t>
      </w:r>
      <w:proofErr w:type="gramEnd"/>
      <w:r w:rsidRPr="00983A79">
        <w:rPr>
          <w:rFonts w:ascii="Times New Roman" w:hAnsi="Times New Roman" w:cs="Times New Roman"/>
          <w:sz w:val="24"/>
          <w:szCs w:val="24"/>
        </w:rPr>
        <w:t xml:space="preserve"> 2014-2016 menunjukkan bahwa berdasarkan dari aspek </w:t>
      </w:r>
      <w:r w:rsidRPr="00983A79">
        <w:rPr>
          <w:rFonts w:ascii="Times New Roman" w:hAnsi="Times New Roman" w:cs="Times New Roman"/>
          <w:i/>
          <w:sz w:val="24"/>
          <w:szCs w:val="24"/>
        </w:rPr>
        <w:t xml:space="preserve">Risk Profile, Good Corporate Governance, Earning dan Capital </w:t>
      </w:r>
      <w:r w:rsidRPr="00983A79">
        <w:rPr>
          <w:rFonts w:ascii="Times New Roman" w:hAnsi="Times New Roman" w:cs="Times New Roman"/>
          <w:sz w:val="24"/>
          <w:szCs w:val="24"/>
        </w:rPr>
        <w:t>kinerja keuangan PT Bank Central Asia Tbk termasuk dalam kategori sangat sehat. Hal ini menunjukkan bahwa kemampuan PT Bank Central Asia Tbk dalam pengelolaan permodalan, aset, manajemen, laba dan kemampuan mengembalikan hutang-hutang jangka pendek termasuk dalam kategori yang baik.</w:t>
      </w:r>
    </w:p>
    <w:p w:rsidR="00983A79" w:rsidRPr="004E1F96" w:rsidRDefault="00983A79" w:rsidP="004E1F96">
      <w:pPr>
        <w:numPr>
          <w:ilvl w:val="0"/>
          <w:numId w:val="31"/>
        </w:numPr>
        <w:spacing w:after="0" w:line="240" w:lineRule="auto"/>
        <w:ind w:left="284" w:hanging="284"/>
        <w:contextualSpacing/>
        <w:jc w:val="both"/>
        <w:rPr>
          <w:rFonts w:ascii="Times New Roman" w:hAnsi="Times New Roman" w:cs="Times New Roman"/>
          <w:sz w:val="24"/>
          <w:szCs w:val="24"/>
        </w:rPr>
      </w:pPr>
      <w:r w:rsidRPr="00983A79">
        <w:rPr>
          <w:rFonts w:ascii="Times New Roman" w:hAnsi="Times New Roman" w:cs="Times New Roman"/>
          <w:sz w:val="24"/>
          <w:szCs w:val="24"/>
        </w:rPr>
        <w:t>Hasil penilaian tingkat kesehatan PT Bank Central Asia dilihat dari aspek RGEC (Risk profile, Good Corporate Governance, Earnings, dan Capital) selama tahun 2014-2016 menempati Peringkat Komposit 1 (PK-1), sehingga Bank Central Asia selama periode tersebut dinilai sangat sehat.</w:t>
      </w:r>
    </w:p>
    <w:p w:rsidR="00983A79" w:rsidRPr="00983A79" w:rsidRDefault="00983A79" w:rsidP="004E1F96">
      <w:pPr>
        <w:spacing w:after="0" w:line="240" w:lineRule="auto"/>
        <w:ind w:firstLine="709"/>
        <w:contextualSpacing/>
        <w:rPr>
          <w:rFonts w:ascii="Times New Roman" w:hAnsi="Times New Roman" w:cs="Times New Roman"/>
          <w:b/>
          <w:sz w:val="24"/>
          <w:szCs w:val="24"/>
        </w:rPr>
      </w:pPr>
      <w:r w:rsidRPr="00983A79">
        <w:rPr>
          <w:rFonts w:ascii="Times New Roman" w:hAnsi="Times New Roman" w:cs="Times New Roman"/>
          <w:sz w:val="24"/>
          <w:szCs w:val="24"/>
        </w:rPr>
        <w:t>Dari hasil kesimpulan dalam penelitian ini, penulis memberikan saran sebagai berikut:</w:t>
      </w:r>
    </w:p>
    <w:p w:rsidR="00983A79" w:rsidRPr="00983A79" w:rsidRDefault="00983A79" w:rsidP="004E1F96">
      <w:pPr>
        <w:numPr>
          <w:ilvl w:val="0"/>
          <w:numId w:val="32"/>
        </w:numPr>
        <w:spacing w:after="0" w:line="240" w:lineRule="auto"/>
        <w:ind w:left="284" w:hanging="284"/>
        <w:contextualSpacing/>
        <w:jc w:val="both"/>
        <w:rPr>
          <w:rFonts w:ascii="Times New Roman" w:hAnsi="Times New Roman" w:cs="Times New Roman"/>
          <w:sz w:val="24"/>
          <w:szCs w:val="24"/>
        </w:rPr>
      </w:pPr>
      <w:r w:rsidRPr="00983A79">
        <w:rPr>
          <w:rFonts w:ascii="Times New Roman" w:hAnsi="Times New Roman" w:cs="Times New Roman"/>
          <w:sz w:val="24"/>
          <w:szCs w:val="24"/>
        </w:rPr>
        <w:t xml:space="preserve">Tingkat kesehatan suatu bank merupakan hal penting yang dapat membuat para investor memberikan kepercayaan untuk menanamkan dananya ke dalam bank tersebut. Dalam rangka meningkatkan tingkat kesehatannya, disarankan PT Bank Central Asia, Tbk terus memperkuat kegiatan usahanya agar jumlah aset yang dimiliki semakin meningkat, jumlah penyaluran </w:t>
      </w:r>
      <w:proofErr w:type="gramStart"/>
      <w:r w:rsidRPr="00983A79">
        <w:rPr>
          <w:rFonts w:ascii="Times New Roman" w:hAnsi="Times New Roman" w:cs="Times New Roman"/>
          <w:sz w:val="24"/>
          <w:szCs w:val="24"/>
        </w:rPr>
        <w:t>dana</w:t>
      </w:r>
      <w:proofErr w:type="gramEnd"/>
      <w:r w:rsidRPr="00983A79">
        <w:rPr>
          <w:rFonts w:ascii="Times New Roman" w:hAnsi="Times New Roman" w:cs="Times New Roman"/>
          <w:sz w:val="24"/>
          <w:szCs w:val="24"/>
        </w:rPr>
        <w:t xml:space="preserve"> baik dalam bentuk kredit maupun penempatan di bank lain semakin meningkat, serta pendapatan operasional dan laba yang diperoleh untuk tahun-tahun berikutnya semakin meningkat.</w:t>
      </w:r>
    </w:p>
    <w:p w:rsidR="00983A79" w:rsidRPr="00983A79" w:rsidRDefault="00983A79" w:rsidP="004E1F96">
      <w:pPr>
        <w:numPr>
          <w:ilvl w:val="0"/>
          <w:numId w:val="32"/>
        </w:numPr>
        <w:spacing w:after="0" w:line="240" w:lineRule="auto"/>
        <w:ind w:left="284" w:hanging="284"/>
        <w:contextualSpacing/>
        <w:jc w:val="both"/>
        <w:rPr>
          <w:rFonts w:ascii="Times New Roman" w:hAnsi="Times New Roman" w:cs="Times New Roman"/>
          <w:sz w:val="24"/>
          <w:szCs w:val="24"/>
        </w:rPr>
      </w:pPr>
      <w:r w:rsidRPr="00983A79">
        <w:rPr>
          <w:rFonts w:ascii="Times New Roman" w:hAnsi="Times New Roman" w:cs="Times New Roman"/>
          <w:sz w:val="24"/>
          <w:szCs w:val="24"/>
        </w:rPr>
        <w:lastRenderedPageBreak/>
        <w:t>Berdasarkan analisis rasio-rasio pengukuran yang telah dilakukan kepada PT Bank Central Asia</w:t>
      </w:r>
      <w:proofErr w:type="gramStart"/>
      <w:r w:rsidRPr="00983A79">
        <w:rPr>
          <w:rFonts w:ascii="Times New Roman" w:hAnsi="Times New Roman" w:cs="Times New Roman"/>
          <w:sz w:val="24"/>
          <w:szCs w:val="24"/>
        </w:rPr>
        <w:t>,Tbk</w:t>
      </w:r>
      <w:proofErr w:type="gramEnd"/>
      <w:r w:rsidRPr="00983A79">
        <w:rPr>
          <w:rFonts w:ascii="Times New Roman" w:hAnsi="Times New Roman" w:cs="Times New Roman"/>
          <w:sz w:val="24"/>
          <w:szCs w:val="24"/>
        </w:rPr>
        <w:t xml:space="preserve"> pada tahun 2014-2016, semua rasio mengalami kenaikan dan dalam kondisi sangat sehat. Rasio-rasio ini perlu dipertahankan agar Bank Central Asia terus mengalami peningkatan dan memiliki konsistensi untuk tahun-tahun berikutnya.</w:t>
      </w:r>
    </w:p>
    <w:p w:rsidR="00983A79" w:rsidRPr="00727B8E" w:rsidRDefault="00983A79" w:rsidP="004E1F96">
      <w:pPr>
        <w:numPr>
          <w:ilvl w:val="0"/>
          <w:numId w:val="32"/>
        </w:numPr>
        <w:spacing w:after="0" w:line="240" w:lineRule="auto"/>
        <w:ind w:left="284" w:hanging="284"/>
        <w:contextualSpacing/>
        <w:jc w:val="both"/>
        <w:rPr>
          <w:rFonts w:ascii="Times New Roman" w:hAnsi="Times New Roman" w:cs="Times New Roman"/>
          <w:sz w:val="24"/>
          <w:szCs w:val="24"/>
        </w:rPr>
      </w:pPr>
      <w:r w:rsidRPr="00983A79">
        <w:rPr>
          <w:rFonts w:ascii="Times New Roman" w:hAnsi="Times New Roman" w:cs="Times New Roman"/>
          <w:sz w:val="24"/>
          <w:szCs w:val="24"/>
        </w:rPr>
        <w:t>Bagi penelitian selanjutnya diharapkan memperluas hasil penelitian dengan menambahkan periode pengamatan serta menggunakan referensi Surat Edaran Bank Indonesia terbaru.</w:t>
      </w:r>
    </w:p>
    <w:p w:rsidR="00727B8E" w:rsidRDefault="00727B8E" w:rsidP="00727B8E">
      <w:pPr>
        <w:spacing w:after="0" w:line="240" w:lineRule="auto"/>
        <w:ind w:left="284"/>
        <w:contextualSpacing/>
        <w:jc w:val="both"/>
        <w:rPr>
          <w:rFonts w:ascii="Times New Roman" w:hAnsi="Times New Roman" w:cs="Times New Roman"/>
          <w:sz w:val="24"/>
          <w:szCs w:val="24"/>
          <w:lang w:val="id-ID"/>
        </w:rPr>
      </w:pPr>
    </w:p>
    <w:p w:rsidR="00727B8E" w:rsidRPr="0082268A" w:rsidRDefault="00727B8E" w:rsidP="0082268A">
      <w:pPr>
        <w:spacing w:after="0" w:line="240" w:lineRule="auto"/>
        <w:contextualSpacing/>
        <w:jc w:val="both"/>
        <w:rPr>
          <w:rFonts w:ascii="Times New Roman" w:hAnsi="Times New Roman" w:cs="Times New Roman"/>
          <w:b/>
          <w:sz w:val="24"/>
          <w:szCs w:val="24"/>
          <w:lang w:val="id-ID"/>
        </w:rPr>
      </w:pPr>
      <w:r w:rsidRPr="0082268A">
        <w:rPr>
          <w:rFonts w:ascii="Times New Roman" w:hAnsi="Times New Roman" w:cs="Times New Roman"/>
          <w:b/>
          <w:sz w:val="24"/>
          <w:szCs w:val="24"/>
          <w:lang w:val="id-ID"/>
        </w:rPr>
        <w:t>DAFTAR PUSTAKA</w:t>
      </w:r>
    </w:p>
    <w:p w:rsidR="00727B8E" w:rsidRDefault="00727B8E" w:rsidP="00727B8E">
      <w:pPr>
        <w:spacing w:after="0" w:line="240" w:lineRule="auto"/>
        <w:ind w:left="284"/>
        <w:contextualSpacing/>
        <w:jc w:val="both"/>
        <w:rPr>
          <w:rFonts w:ascii="Times New Roman" w:hAnsi="Times New Roman" w:cs="Times New Roman"/>
          <w:sz w:val="24"/>
          <w:szCs w:val="24"/>
          <w:lang w:val="id-ID"/>
        </w:rPr>
      </w:pPr>
    </w:p>
    <w:p w:rsidR="00727B8E" w:rsidRPr="00311799" w:rsidRDefault="00727B8E" w:rsidP="00727B8E">
      <w:pPr>
        <w:autoSpaceDE w:val="0"/>
        <w:autoSpaceDN w:val="0"/>
        <w:adjustRightInd w:val="0"/>
        <w:spacing w:after="0" w:line="240" w:lineRule="auto"/>
        <w:ind w:left="851" w:hanging="851"/>
        <w:jc w:val="both"/>
        <w:rPr>
          <w:rFonts w:ascii="Times New Roman" w:hAnsi="Times New Roman" w:cs="Times New Roman"/>
          <w:color w:val="000000"/>
          <w:sz w:val="24"/>
          <w:szCs w:val="24"/>
        </w:rPr>
      </w:pPr>
      <w:proofErr w:type="gramStart"/>
      <w:r w:rsidRPr="00411F40">
        <w:rPr>
          <w:rFonts w:ascii="Times New Roman" w:hAnsi="Times New Roman" w:cs="Times New Roman"/>
          <w:color w:val="000000"/>
          <w:sz w:val="24"/>
          <w:szCs w:val="24"/>
        </w:rPr>
        <w:t>Bank Indonesia.</w:t>
      </w:r>
      <w:proofErr w:type="gramEnd"/>
      <w:r w:rsidRPr="00411F40">
        <w:rPr>
          <w:rFonts w:ascii="Times New Roman" w:hAnsi="Times New Roman" w:cs="Times New Roman"/>
          <w:color w:val="000000"/>
          <w:sz w:val="24"/>
          <w:szCs w:val="24"/>
        </w:rPr>
        <w:t xml:space="preserve"> 2011. </w:t>
      </w:r>
      <w:r w:rsidRPr="00411F40">
        <w:rPr>
          <w:rFonts w:ascii="Times New Roman" w:hAnsi="Times New Roman" w:cs="Times New Roman"/>
          <w:i/>
          <w:iCs/>
          <w:color w:val="000000"/>
          <w:sz w:val="24"/>
          <w:szCs w:val="24"/>
        </w:rPr>
        <w:t xml:space="preserve">Peraturan Bank Indonesia Nomor 13/1/PBI/2011 </w:t>
      </w:r>
      <w:proofErr w:type="gramStart"/>
      <w:r w:rsidRPr="00411F40">
        <w:rPr>
          <w:rFonts w:ascii="Times New Roman" w:hAnsi="Times New Roman" w:cs="Times New Roman"/>
          <w:i/>
          <w:iCs/>
          <w:color w:val="000000"/>
          <w:sz w:val="24"/>
          <w:szCs w:val="24"/>
        </w:rPr>
        <w:t xml:space="preserve">Tentang </w:t>
      </w:r>
      <w:r>
        <w:rPr>
          <w:rFonts w:ascii="Times New Roman" w:hAnsi="Times New Roman" w:cs="Times New Roman"/>
          <w:color w:val="000000"/>
          <w:sz w:val="24"/>
          <w:szCs w:val="24"/>
        </w:rPr>
        <w:t xml:space="preserve"> </w:t>
      </w:r>
      <w:r w:rsidRPr="00411F40">
        <w:rPr>
          <w:rFonts w:ascii="Times New Roman" w:hAnsi="Times New Roman" w:cs="Times New Roman"/>
          <w:i/>
          <w:iCs/>
          <w:color w:val="000000"/>
          <w:sz w:val="24"/>
          <w:szCs w:val="24"/>
        </w:rPr>
        <w:t>Penilaian</w:t>
      </w:r>
      <w:proofErr w:type="gramEnd"/>
      <w:r w:rsidRPr="00411F40">
        <w:rPr>
          <w:rFonts w:ascii="Times New Roman" w:hAnsi="Times New Roman" w:cs="Times New Roman"/>
          <w:i/>
          <w:iCs/>
          <w:color w:val="000000"/>
          <w:sz w:val="24"/>
          <w:szCs w:val="24"/>
        </w:rPr>
        <w:t xml:space="preserve"> Tingkat Kesehatan Bank Umum</w:t>
      </w:r>
      <w:r w:rsidRPr="00411F40">
        <w:rPr>
          <w:rFonts w:ascii="Times New Roman" w:hAnsi="Times New Roman" w:cs="Times New Roman"/>
          <w:color w:val="000000"/>
          <w:sz w:val="24"/>
          <w:szCs w:val="24"/>
        </w:rPr>
        <w:t xml:space="preserve">. </w:t>
      </w:r>
      <w:proofErr w:type="gramStart"/>
      <w:r w:rsidRPr="00411F40">
        <w:rPr>
          <w:rFonts w:ascii="Times New Roman" w:hAnsi="Times New Roman" w:cs="Times New Roman"/>
          <w:color w:val="000000"/>
          <w:sz w:val="24"/>
          <w:szCs w:val="24"/>
        </w:rPr>
        <w:t>www.bi.go.id. 5 Januari.</w:t>
      </w:r>
      <w:proofErr w:type="gramEnd"/>
      <w:r w:rsidRPr="00411F40">
        <w:rPr>
          <w:rFonts w:ascii="Times New Roman" w:hAnsi="Times New Roman" w:cs="Times New Roman"/>
          <w:color w:val="000000"/>
          <w:sz w:val="24"/>
          <w:szCs w:val="24"/>
        </w:rPr>
        <w:t xml:space="preserve"> </w:t>
      </w:r>
    </w:p>
    <w:p w:rsidR="00727B8E" w:rsidRPr="00411F40" w:rsidRDefault="00727B8E" w:rsidP="00727B8E">
      <w:pPr>
        <w:autoSpaceDE w:val="0"/>
        <w:autoSpaceDN w:val="0"/>
        <w:adjustRightInd w:val="0"/>
        <w:spacing w:after="0" w:line="240" w:lineRule="auto"/>
        <w:ind w:left="851" w:hanging="851"/>
        <w:jc w:val="both"/>
        <w:rPr>
          <w:rFonts w:ascii="Times New Roman" w:hAnsi="Times New Roman" w:cs="Times New Roman"/>
          <w:color w:val="000000"/>
          <w:sz w:val="24"/>
          <w:szCs w:val="24"/>
        </w:rPr>
      </w:pPr>
    </w:p>
    <w:p w:rsidR="00727B8E" w:rsidRPr="00C16DD9" w:rsidRDefault="00727B8E" w:rsidP="00727B8E">
      <w:pPr>
        <w:autoSpaceDE w:val="0"/>
        <w:autoSpaceDN w:val="0"/>
        <w:adjustRightInd w:val="0"/>
        <w:spacing w:after="0" w:line="240" w:lineRule="auto"/>
        <w:ind w:left="851" w:hanging="851"/>
        <w:jc w:val="both"/>
        <w:rPr>
          <w:rFonts w:ascii="Times New Roman" w:hAnsi="Times New Roman" w:cs="Times New Roman"/>
          <w:color w:val="000000"/>
          <w:sz w:val="24"/>
          <w:szCs w:val="24"/>
        </w:rPr>
      </w:pPr>
      <w:proofErr w:type="gramStart"/>
      <w:r w:rsidRPr="00411F40">
        <w:rPr>
          <w:rFonts w:ascii="Times New Roman" w:hAnsi="Times New Roman" w:cs="Times New Roman"/>
          <w:color w:val="000000"/>
          <w:sz w:val="24"/>
          <w:szCs w:val="24"/>
        </w:rPr>
        <w:t>Bank Indonesia.</w:t>
      </w:r>
      <w:proofErr w:type="gramEnd"/>
      <w:r w:rsidRPr="00411F40">
        <w:rPr>
          <w:rFonts w:ascii="Times New Roman" w:hAnsi="Times New Roman" w:cs="Times New Roman"/>
          <w:color w:val="000000"/>
          <w:sz w:val="24"/>
          <w:szCs w:val="24"/>
        </w:rPr>
        <w:t xml:space="preserve"> 2011. </w:t>
      </w:r>
      <w:r w:rsidRPr="00411F40">
        <w:rPr>
          <w:rFonts w:ascii="Times New Roman" w:hAnsi="Times New Roman" w:cs="Times New Roman"/>
          <w:i/>
          <w:iCs/>
          <w:color w:val="000000"/>
          <w:sz w:val="24"/>
          <w:szCs w:val="24"/>
        </w:rPr>
        <w:t>Surat Edaran Bank Indonesia Nomor 13/24/DP</w:t>
      </w:r>
      <w:r>
        <w:rPr>
          <w:rFonts w:ascii="Times New Roman" w:hAnsi="Times New Roman" w:cs="Times New Roman"/>
          <w:i/>
          <w:iCs/>
          <w:color w:val="000000"/>
          <w:sz w:val="24"/>
          <w:szCs w:val="24"/>
        </w:rPr>
        <w:t xml:space="preserve">NP Perihal </w:t>
      </w:r>
      <w:r w:rsidRPr="00311799">
        <w:rPr>
          <w:rFonts w:ascii="Times New Roman" w:hAnsi="Times New Roman" w:cs="Times New Roman"/>
          <w:i/>
          <w:iCs/>
          <w:color w:val="000000"/>
          <w:sz w:val="24"/>
          <w:szCs w:val="24"/>
        </w:rPr>
        <w:t>Penilaian Tingkat Kesehatan Bank Umum</w:t>
      </w:r>
      <w:r w:rsidRPr="00311799">
        <w:rPr>
          <w:rFonts w:ascii="Times New Roman" w:hAnsi="Times New Roman" w:cs="Times New Roman"/>
          <w:color w:val="000000"/>
          <w:sz w:val="24"/>
          <w:szCs w:val="24"/>
        </w:rPr>
        <w:t xml:space="preserve">. </w:t>
      </w:r>
      <w:proofErr w:type="gramStart"/>
      <w:r w:rsidRPr="00311799">
        <w:rPr>
          <w:rFonts w:ascii="Times New Roman" w:hAnsi="Times New Roman" w:cs="Times New Roman"/>
          <w:color w:val="000000"/>
          <w:sz w:val="24"/>
          <w:szCs w:val="24"/>
        </w:rPr>
        <w:t>www.bi.go.id. 25 Oktober.</w:t>
      </w:r>
      <w:proofErr w:type="gramEnd"/>
    </w:p>
    <w:p w:rsidR="00727B8E" w:rsidRPr="00727B8E" w:rsidRDefault="00727B8E" w:rsidP="0082268A">
      <w:pPr>
        <w:autoSpaceDE w:val="0"/>
        <w:autoSpaceDN w:val="0"/>
        <w:adjustRightInd w:val="0"/>
        <w:spacing w:after="0" w:line="240" w:lineRule="auto"/>
        <w:jc w:val="both"/>
        <w:rPr>
          <w:rFonts w:ascii="Times New Roman" w:hAnsi="Times New Roman" w:cs="Times New Roman"/>
          <w:color w:val="000000"/>
          <w:sz w:val="24"/>
          <w:szCs w:val="24"/>
          <w:lang w:val="id-ID"/>
        </w:rPr>
      </w:pPr>
    </w:p>
    <w:p w:rsidR="00727B8E" w:rsidRDefault="00727B8E" w:rsidP="00727B8E">
      <w:pPr>
        <w:ind w:left="851" w:hanging="851"/>
        <w:jc w:val="both"/>
        <w:rPr>
          <w:rFonts w:ascii="Times New Roman" w:hAnsi="Times New Roman" w:cs="Times New Roman"/>
          <w:sz w:val="24"/>
          <w:szCs w:val="24"/>
          <w:lang w:val="id-ID"/>
        </w:rPr>
      </w:pPr>
      <w:r w:rsidRPr="00311799">
        <w:rPr>
          <w:rFonts w:ascii="Times New Roman" w:hAnsi="Times New Roman" w:cs="Times New Roman"/>
          <w:i/>
          <w:iCs/>
          <w:sz w:val="24"/>
          <w:szCs w:val="24"/>
        </w:rPr>
        <w:t>Nur Artyka</w:t>
      </w:r>
      <w:r w:rsidRPr="00311799">
        <w:rPr>
          <w:rFonts w:ascii="Times New Roman" w:hAnsi="Times New Roman" w:cs="Times New Roman"/>
          <w:sz w:val="24"/>
          <w:szCs w:val="24"/>
        </w:rPr>
        <w:t xml:space="preserve">. 2015. </w:t>
      </w:r>
      <w:r w:rsidRPr="00311799">
        <w:rPr>
          <w:rFonts w:ascii="Times New Roman" w:hAnsi="Times New Roman" w:cs="Times New Roman"/>
          <w:i/>
          <w:iCs/>
          <w:sz w:val="24"/>
          <w:szCs w:val="24"/>
        </w:rPr>
        <w:t xml:space="preserve">Penilaian Tingkat Kesehatan Bank dengan RGEC Pada PT. Bank Rakyat Indonesia (Persero) TBK Periode 2011-2013. </w:t>
      </w:r>
      <w:r w:rsidRPr="00311799">
        <w:rPr>
          <w:rFonts w:ascii="Times New Roman" w:hAnsi="Times New Roman" w:cs="Times New Roman"/>
          <w:sz w:val="24"/>
          <w:szCs w:val="24"/>
        </w:rPr>
        <w:t>Fakultas Ekonomi Universiatas Negeri Yogyakarta</w:t>
      </w:r>
    </w:p>
    <w:p w:rsidR="0082268A" w:rsidRPr="0082268A" w:rsidRDefault="0082268A" w:rsidP="0082268A">
      <w:pPr>
        <w:ind w:left="851" w:hanging="851"/>
        <w:jc w:val="both"/>
        <w:rPr>
          <w:rFonts w:ascii="Times New Roman" w:hAnsi="Times New Roman" w:cs="Times New Roman"/>
          <w:sz w:val="24"/>
          <w:szCs w:val="24"/>
          <w:lang w:val="id-ID"/>
        </w:rPr>
      </w:pPr>
      <w:proofErr w:type="gramStart"/>
      <w:r w:rsidRPr="00311799">
        <w:rPr>
          <w:rFonts w:ascii="Times New Roman" w:hAnsi="Times New Roman" w:cs="Times New Roman"/>
          <w:sz w:val="24"/>
          <w:szCs w:val="24"/>
        </w:rPr>
        <w:t>Rina Trisnawati dan Ardian Eka Puspita.</w:t>
      </w:r>
      <w:proofErr w:type="gramEnd"/>
      <w:r w:rsidRPr="00311799">
        <w:rPr>
          <w:rFonts w:ascii="Times New Roman" w:hAnsi="Times New Roman" w:cs="Times New Roman"/>
          <w:sz w:val="24"/>
          <w:szCs w:val="24"/>
        </w:rPr>
        <w:t xml:space="preserve"> 2014. </w:t>
      </w:r>
      <w:r w:rsidRPr="00C628D6">
        <w:rPr>
          <w:rFonts w:ascii="Times New Roman" w:hAnsi="Times New Roman" w:cs="Times New Roman"/>
          <w:i/>
          <w:sz w:val="24"/>
          <w:szCs w:val="24"/>
        </w:rPr>
        <w:t>Analisis Tingkat Kesehatan Bank Dengan Metode RGEC Pada Bank BUMN Yang Terdaftar Di Bursa Efek Indonesia Tahun 2011-2012</w:t>
      </w:r>
      <w:r w:rsidRPr="00311799">
        <w:rPr>
          <w:rFonts w:ascii="Times New Roman" w:hAnsi="Times New Roman" w:cs="Times New Roman"/>
          <w:sz w:val="24"/>
          <w:szCs w:val="24"/>
        </w:rPr>
        <w:t xml:space="preserve">. </w:t>
      </w:r>
      <w:proofErr w:type="gramStart"/>
      <w:r w:rsidRPr="00311799">
        <w:rPr>
          <w:rFonts w:ascii="Times New Roman" w:hAnsi="Times New Roman" w:cs="Times New Roman"/>
          <w:sz w:val="24"/>
          <w:szCs w:val="24"/>
        </w:rPr>
        <w:t>Fakultas Ekonomi dan Bisnis Universitas Muhammadiyah Surakarta.</w:t>
      </w:r>
      <w:proofErr w:type="gramEnd"/>
    </w:p>
    <w:p w:rsidR="0082268A" w:rsidRDefault="0082268A" w:rsidP="0082268A">
      <w:pPr>
        <w:autoSpaceDE w:val="0"/>
        <w:autoSpaceDN w:val="0"/>
        <w:adjustRightInd w:val="0"/>
        <w:spacing w:after="0" w:line="240" w:lineRule="auto"/>
        <w:ind w:left="851" w:hanging="851"/>
        <w:jc w:val="both"/>
        <w:rPr>
          <w:rFonts w:ascii="Times New Roman" w:hAnsi="Times New Roman" w:cs="Times New Roman"/>
          <w:color w:val="000000"/>
          <w:sz w:val="24"/>
          <w:szCs w:val="24"/>
          <w:lang w:val="id-ID"/>
        </w:rPr>
      </w:pPr>
      <w:r w:rsidRPr="00727B8E">
        <w:rPr>
          <w:rFonts w:ascii="Times New Roman" w:hAnsi="Times New Roman" w:cs="Times New Roman"/>
          <w:color w:val="000000"/>
          <w:sz w:val="24"/>
          <w:szCs w:val="24"/>
          <w:lang w:val="id-ID"/>
        </w:rPr>
        <w:t xml:space="preserve">Triandaru, Sigit dan Budisantoso Totok. </w:t>
      </w:r>
      <w:r w:rsidRPr="00727B8E">
        <w:rPr>
          <w:rFonts w:ascii="Times New Roman" w:hAnsi="Times New Roman" w:cs="Times New Roman"/>
          <w:i/>
          <w:iCs/>
          <w:color w:val="000000"/>
          <w:sz w:val="24"/>
          <w:szCs w:val="24"/>
          <w:lang w:val="id-ID"/>
        </w:rPr>
        <w:t>Bank dan Lembaga Keuangan Lain</w:t>
      </w:r>
      <w:r w:rsidRPr="00727B8E">
        <w:rPr>
          <w:rFonts w:ascii="Times New Roman" w:hAnsi="Times New Roman" w:cs="Times New Roman"/>
          <w:color w:val="000000"/>
          <w:sz w:val="24"/>
          <w:szCs w:val="24"/>
          <w:lang w:val="id-ID"/>
        </w:rPr>
        <w:t>. Edisi ke-2. Salemba Empat. Yogyakarta. 2006</w:t>
      </w:r>
    </w:p>
    <w:p w:rsidR="0082268A" w:rsidRPr="0082268A" w:rsidRDefault="0082268A" w:rsidP="0082268A">
      <w:pPr>
        <w:autoSpaceDE w:val="0"/>
        <w:autoSpaceDN w:val="0"/>
        <w:adjustRightInd w:val="0"/>
        <w:spacing w:after="0" w:line="240" w:lineRule="auto"/>
        <w:ind w:left="851" w:hanging="851"/>
        <w:jc w:val="both"/>
        <w:rPr>
          <w:rFonts w:ascii="Times New Roman" w:hAnsi="Times New Roman" w:cs="Times New Roman"/>
          <w:color w:val="000000"/>
          <w:sz w:val="24"/>
          <w:szCs w:val="24"/>
          <w:lang w:val="id-ID"/>
        </w:rPr>
      </w:pPr>
    </w:p>
    <w:p w:rsidR="00727B8E" w:rsidRDefault="00727B8E" w:rsidP="00727B8E">
      <w:pPr>
        <w:ind w:left="851" w:hanging="851"/>
        <w:jc w:val="both"/>
        <w:rPr>
          <w:rFonts w:ascii="Times New Roman" w:hAnsi="Times New Roman" w:cs="Times New Roman"/>
          <w:sz w:val="24"/>
          <w:szCs w:val="24"/>
        </w:rPr>
      </w:pPr>
      <w:r w:rsidRPr="00311799">
        <w:rPr>
          <w:rFonts w:ascii="Times New Roman" w:hAnsi="Times New Roman" w:cs="Times New Roman"/>
          <w:sz w:val="24"/>
          <w:szCs w:val="24"/>
        </w:rPr>
        <w:t xml:space="preserve">Tuti Alawiyah. 2016. </w:t>
      </w:r>
      <w:r w:rsidRPr="00E97B7F">
        <w:rPr>
          <w:rFonts w:ascii="Times New Roman" w:hAnsi="Times New Roman" w:cs="Times New Roman"/>
          <w:i/>
          <w:sz w:val="24"/>
          <w:szCs w:val="24"/>
        </w:rPr>
        <w:t>Analisis PenilaianTingkat Kesehatan Bank Menggunakan Metode RGEC Pada Bank Umum Yang Terdaftar Di Bursa Efek Indonesia Tahun 2012-2014</w:t>
      </w:r>
      <w:r w:rsidRPr="00311799">
        <w:rPr>
          <w:rFonts w:ascii="Times New Roman" w:hAnsi="Times New Roman" w:cs="Times New Roman"/>
          <w:sz w:val="24"/>
          <w:szCs w:val="24"/>
        </w:rPr>
        <w:t xml:space="preserve">. </w:t>
      </w:r>
      <w:proofErr w:type="gramStart"/>
      <w:r w:rsidRPr="00311799">
        <w:rPr>
          <w:rFonts w:ascii="Times New Roman" w:hAnsi="Times New Roman" w:cs="Times New Roman"/>
          <w:sz w:val="24"/>
          <w:szCs w:val="24"/>
        </w:rPr>
        <w:t>Fakultas Ekonomi Universiatas Negeri Yogyakarta.</w:t>
      </w:r>
      <w:proofErr w:type="gramEnd"/>
    </w:p>
    <w:p w:rsidR="00727B8E" w:rsidRPr="00727B8E" w:rsidRDefault="00727B8E" w:rsidP="00727B8E">
      <w:pPr>
        <w:jc w:val="both"/>
        <w:rPr>
          <w:rFonts w:ascii="Times New Roman" w:hAnsi="Times New Roman" w:cs="Times New Roman"/>
          <w:sz w:val="24"/>
          <w:szCs w:val="24"/>
          <w:lang w:val="id-ID"/>
        </w:rPr>
      </w:pPr>
      <w:r w:rsidRPr="00727B8E">
        <w:rPr>
          <w:rFonts w:ascii="Times New Roman" w:hAnsi="Times New Roman" w:cs="Times New Roman"/>
          <w:sz w:val="24"/>
          <w:szCs w:val="24"/>
          <w:lang w:val="id-ID"/>
        </w:rPr>
        <w:t xml:space="preserve">Undang-undang. (1998). Undang-undang No. 10 Tahun 1998, tentang </w:t>
      </w:r>
      <w:r w:rsidRPr="00727B8E">
        <w:rPr>
          <w:rFonts w:ascii="Times New Roman" w:hAnsi="Times New Roman" w:cs="Times New Roman"/>
          <w:i/>
          <w:iCs/>
          <w:sz w:val="24"/>
          <w:szCs w:val="24"/>
          <w:lang w:val="id-ID"/>
        </w:rPr>
        <w:t>Perbankan</w:t>
      </w:r>
      <w:r w:rsidRPr="00727B8E">
        <w:rPr>
          <w:rFonts w:ascii="Times New Roman" w:hAnsi="Times New Roman" w:cs="Times New Roman"/>
          <w:sz w:val="24"/>
          <w:szCs w:val="24"/>
          <w:lang w:val="id-ID"/>
        </w:rPr>
        <w:t>.</w:t>
      </w:r>
    </w:p>
    <w:p w:rsidR="00727B8E" w:rsidRPr="00727B8E" w:rsidRDefault="00727B8E" w:rsidP="00727B8E">
      <w:pPr>
        <w:autoSpaceDE w:val="0"/>
        <w:autoSpaceDN w:val="0"/>
        <w:adjustRightInd w:val="0"/>
        <w:spacing w:after="0" w:line="240" w:lineRule="auto"/>
        <w:jc w:val="both"/>
        <w:rPr>
          <w:rFonts w:ascii="Times New Roman" w:hAnsi="Times New Roman" w:cs="Times New Roman"/>
          <w:color w:val="000000"/>
          <w:sz w:val="24"/>
          <w:szCs w:val="24"/>
          <w:lang w:val="id-ID"/>
        </w:rPr>
      </w:pPr>
    </w:p>
    <w:p w:rsidR="00727B8E" w:rsidRPr="00727B8E" w:rsidRDefault="00727B8E" w:rsidP="00727B8E">
      <w:pPr>
        <w:autoSpaceDE w:val="0"/>
        <w:autoSpaceDN w:val="0"/>
        <w:adjustRightInd w:val="0"/>
        <w:spacing w:after="0" w:line="240" w:lineRule="auto"/>
        <w:jc w:val="both"/>
        <w:rPr>
          <w:rFonts w:ascii="Times New Roman" w:hAnsi="Times New Roman" w:cs="Times New Roman"/>
          <w:color w:val="000000"/>
          <w:sz w:val="24"/>
          <w:szCs w:val="24"/>
          <w:lang w:val="id-ID"/>
        </w:rPr>
      </w:pPr>
    </w:p>
    <w:p w:rsidR="00727B8E" w:rsidRPr="00727B8E" w:rsidRDefault="00727B8E" w:rsidP="00727B8E">
      <w:pPr>
        <w:ind w:left="851" w:hanging="851"/>
        <w:jc w:val="both"/>
        <w:rPr>
          <w:rFonts w:ascii="Times New Roman" w:hAnsi="Times New Roman" w:cs="Times New Roman"/>
          <w:sz w:val="24"/>
          <w:szCs w:val="24"/>
          <w:lang w:val="id-ID"/>
        </w:rPr>
      </w:pPr>
    </w:p>
    <w:p w:rsidR="00727B8E" w:rsidRPr="00727B8E" w:rsidRDefault="00727B8E" w:rsidP="00727B8E">
      <w:pPr>
        <w:spacing w:after="0" w:line="240" w:lineRule="auto"/>
        <w:ind w:left="284"/>
        <w:contextualSpacing/>
        <w:jc w:val="both"/>
        <w:rPr>
          <w:rFonts w:ascii="Times New Roman" w:hAnsi="Times New Roman" w:cs="Times New Roman"/>
          <w:sz w:val="24"/>
          <w:szCs w:val="24"/>
          <w:lang w:val="id-ID"/>
        </w:rPr>
      </w:pPr>
    </w:p>
    <w:p w:rsidR="00BD29CC" w:rsidRPr="0082268A" w:rsidRDefault="00BD29CC" w:rsidP="0082268A">
      <w:pPr>
        <w:spacing w:after="0" w:line="240" w:lineRule="auto"/>
        <w:rPr>
          <w:rFonts w:ascii="Times New Roman" w:hAnsi="Times New Roman" w:cs="Times New Roman"/>
          <w:sz w:val="24"/>
          <w:szCs w:val="24"/>
          <w:lang w:val="id-ID"/>
        </w:rPr>
      </w:pPr>
    </w:p>
    <w:sectPr w:rsidR="00BD29CC" w:rsidRPr="0082268A" w:rsidSect="005A487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C76"/>
    <w:multiLevelType w:val="hybridMultilevel"/>
    <w:tmpl w:val="ED206E4E"/>
    <w:lvl w:ilvl="0" w:tplc="D902E37E">
      <w:start w:val="1"/>
      <w:numFmt w:val="lowerLetter"/>
      <w:lvlText w:val="%1."/>
      <w:lvlJc w:val="left"/>
      <w:pPr>
        <w:ind w:left="1300" w:hanging="360"/>
      </w:pPr>
      <w:rPr>
        <w:rFonts w:hint="default"/>
      </w:rPr>
    </w:lvl>
    <w:lvl w:ilvl="1" w:tplc="04210019" w:tentative="1">
      <w:start w:val="1"/>
      <w:numFmt w:val="lowerLetter"/>
      <w:lvlText w:val="%2."/>
      <w:lvlJc w:val="left"/>
      <w:pPr>
        <w:ind w:left="2020" w:hanging="360"/>
      </w:pPr>
    </w:lvl>
    <w:lvl w:ilvl="2" w:tplc="0421001B" w:tentative="1">
      <w:start w:val="1"/>
      <w:numFmt w:val="lowerRoman"/>
      <w:lvlText w:val="%3."/>
      <w:lvlJc w:val="right"/>
      <w:pPr>
        <w:ind w:left="2740" w:hanging="180"/>
      </w:pPr>
    </w:lvl>
    <w:lvl w:ilvl="3" w:tplc="0421000F" w:tentative="1">
      <w:start w:val="1"/>
      <w:numFmt w:val="decimal"/>
      <w:lvlText w:val="%4."/>
      <w:lvlJc w:val="left"/>
      <w:pPr>
        <w:ind w:left="3460" w:hanging="360"/>
      </w:pPr>
    </w:lvl>
    <w:lvl w:ilvl="4" w:tplc="04210019" w:tentative="1">
      <w:start w:val="1"/>
      <w:numFmt w:val="lowerLetter"/>
      <w:lvlText w:val="%5."/>
      <w:lvlJc w:val="left"/>
      <w:pPr>
        <w:ind w:left="4180" w:hanging="360"/>
      </w:pPr>
    </w:lvl>
    <w:lvl w:ilvl="5" w:tplc="0421001B" w:tentative="1">
      <w:start w:val="1"/>
      <w:numFmt w:val="lowerRoman"/>
      <w:lvlText w:val="%6."/>
      <w:lvlJc w:val="right"/>
      <w:pPr>
        <w:ind w:left="4900" w:hanging="180"/>
      </w:pPr>
    </w:lvl>
    <w:lvl w:ilvl="6" w:tplc="0421000F" w:tentative="1">
      <w:start w:val="1"/>
      <w:numFmt w:val="decimal"/>
      <w:lvlText w:val="%7."/>
      <w:lvlJc w:val="left"/>
      <w:pPr>
        <w:ind w:left="5620" w:hanging="360"/>
      </w:pPr>
    </w:lvl>
    <w:lvl w:ilvl="7" w:tplc="04210019" w:tentative="1">
      <w:start w:val="1"/>
      <w:numFmt w:val="lowerLetter"/>
      <w:lvlText w:val="%8."/>
      <w:lvlJc w:val="left"/>
      <w:pPr>
        <w:ind w:left="6340" w:hanging="360"/>
      </w:pPr>
    </w:lvl>
    <w:lvl w:ilvl="8" w:tplc="0421001B" w:tentative="1">
      <w:start w:val="1"/>
      <w:numFmt w:val="lowerRoman"/>
      <w:lvlText w:val="%9."/>
      <w:lvlJc w:val="right"/>
      <w:pPr>
        <w:ind w:left="7060" w:hanging="180"/>
      </w:pPr>
    </w:lvl>
  </w:abstractNum>
  <w:abstractNum w:abstractNumId="1">
    <w:nsid w:val="0A2D0C59"/>
    <w:multiLevelType w:val="hybridMultilevel"/>
    <w:tmpl w:val="50928056"/>
    <w:lvl w:ilvl="0" w:tplc="58D0BB8E">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EC09F3"/>
    <w:multiLevelType w:val="hybridMultilevel"/>
    <w:tmpl w:val="3CC4BF30"/>
    <w:lvl w:ilvl="0" w:tplc="58D0BB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4A3F3C"/>
    <w:multiLevelType w:val="hybridMultilevel"/>
    <w:tmpl w:val="5FFA6C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AB08CC"/>
    <w:multiLevelType w:val="hybridMultilevel"/>
    <w:tmpl w:val="7170529A"/>
    <w:lvl w:ilvl="0" w:tplc="13C4B5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327D90"/>
    <w:multiLevelType w:val="hybridMultilevel"/>
    <w:tmpl w:val="F14EE5E0"/>
    <w:lvl w:ilvl="0" w:tplc="3506A59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37D2744"/>
    <w:multiLevelType w:val="hybridMultilevel"/>
    <w:tmpl w:val="79645D52"/>
    <w:lvl w:ilvl="0" w:tplc="888029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4B7293A"/>
    <w:multiLevelType w:val="hybridMultilevel"/>
    <w:tmpl w:val="ACA01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09456D"/>
    <w:multiLevelType w:val="hybridMultilevel"/>
    <w:tmpl w:val="5914B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E46920"/>
    <w:multiLevelType w:val="hybridMultilevel"/>
    <w:tmpl w:val="344221BA"/>
    <w:lvl w:ilvl="0" w:tplc="B8C2621C">
      <w:start w:val="4"/>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7D7C6E"/>
    <w:multiLevelType w:val="hybridMultilevel"/>
    <w:tmpl w:val="EF02ADC2"/>
    <w:lvl w:ilvl="0" w:tplc="04210019">
      <w:start w:val="1"/>
      <w:numFmt w:val="lowerLetter"/>
      <w:lvlText w:val="%1."/>
      <w:lvlJc w:val="left"/>
      <w:pPr>
        <w:ind w:left="1545" w:hanging="694"/>
      </w:pPr>
      <w:rPr>
        <w:rFonts w:hint="default"/>
        <w:w w:val="100"/>
        <w:sz w:val="22"/>
        <w:szCs w:val="22"/>
      </w:rPr>
    </w:lvl>
    <w:lvl w:ilvl="1" w:tplc="1E064DBA">
      <w:start w:val="2"/>
      <w:numFmt w:val="lowerLetter"/>
      <w:lvlText w:val="%2)"/>
      <w:lvlJc w:val="left"/>
      <w:pPr>
        <w:ind w:left="1440" w:hanging="360"/>
      </w:pPr>
      <w:rPr>
        <w:rFonts w:hint="default"/>
        <w:w w:val="100"/>
        <w:sz w:val="22"/>
        <w:szCs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045CCC"/>
    <w:multiLevelType w:val="hybridMultilevel"/>
    <w:tmpl w:val="D946FE46"/>
    <w:lvl w:ilvl="0" w:tplc="018A68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48B72D2"/>
    <w:multiLevelType w:val="multilevel"/>
    <w:tmpl w:val="4A9A7A5A"/>
    <w:lvl w:ilvl="0">
      <w:start w:val="3"/>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7EC0754"/>
    <w:multiLevelType w:val="hybridMultilevel"/>
    <w:tmpl w:val="AFBC730A"/>
    <w:lvl w:ilvl="0" w:tplc="04210011">
      <w:start w:val="1"/>
      <w:numFmt w:val="decimal"/>
      <w:lvlText w:val="%1)"/>
      <w:lvlJc w:val="left"/>
      <w:pPr>
        <w:ind w:left="720" w:hanging="360"/>
      </w:pPr>
      <w:rPr>
        <w:rFonts w:hint="default"/>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523A5E"/>
    <w:multiLevelType w:val="hybridMultilevel"/>
    <w:tmpl w:val="3C981B9C"/>
    <w:lvl w:ilvl="0" w:tplc="B024EE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3C635F4E"/>
    <w:multiLevelType w:val="hybridMultilevel"/>
    <w:tmpl w:val="2BC21EFC"/>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1900516"/>
    <w:multiLevelType w:val="hybridMultilevel"/>
    <w:tmpl w:val="28B28A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6A225D"/>
    <w:multiLevelType w:val="hybridMultilevel"/>
    <w:tmpl w:val="F056B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874ACF"/>
    <w:multiLevelType w:val="hybridMultilevel"/>
    <w:tmpl w:val="5B9A9AFC"/>
    <w:lvl w:ilvl="0" w:tplc="3BF8056E">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0C1AB0"/>
    <w:multiLevelType w:val="hybridMultilevel"/>
    <w:tmpl w:val="95404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E67B43"/>
    <w:multiLevelType w:val="hybridMultilevel"/>
    <w:tmpl w:val="028CF980"/>
    <w:lvl w:ilvl="0" w:tplc="0421001B">
      <w:start w:val="1"/>
      <w:numFmt w:val="lowerRoman"/>
      <w:lvlText w:val="%1."/>
      <w:lvlJc w:val="righ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5AA37666"/>
    <w:multiLevelType w:val="hybridMultilevel"/>
    <w:tmpl w:val="2F1A63AE"/>
    <w:lvl w:ilvl="0" w:tplc="ACD4E23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F2C6E1C"/>
    <w:multiLevelType w:val="hybridMultilevel"/>
    <w:tmpl w:val="C52264CC"/>
    <w:lvl w:ilvl="0" w:tplc="04210019">
      <w:start w:val="1"/>
      <w:numFmt w:val="lowerLetter"/>
      <w:lvlText w:val="%1."/>
      <w:lvlJc w:val="left"/>
      <w:pPr>
        <w:ind w:left="720" w:hanging="720"/>
        <w:jc w:val="left"/>
      </w:pPr>
      <w:rPr>
        <w:rFonts w:hint="default"/>
        <w:w w:val="100"/>
        <w:sz w:val="22"/>
        <w:szCs w:val="22"/>
      </w:rPr>
    </w:lvl>
    <w:lvl w:ilvl="1" w:tplc="FBDCDE0C">
      <w:numFmt w:val="bullet"/>
      <w:lvlText w:val="•"/>
      <w:lvlJc w:val="left"/>
      <w:pPr>
        <w:ind w:left="1572" w:hanging="720"/>
      </w:pPr>
      <w:rPr>
        <w:rFonts w:hint="default"/>
      </w:rPr>
    </w:lvl>
    <w:lvl w:ilvl="2" w:tplc="0CE87644">
      <w:numFmt w:val="bullet"/>
      <w:lvlText w:val="•"/>
      <w:lvlJc w:val="left"/>
      <w:pPr>
        <w:ind w:left="2425" w:hanging="720"/>
      </w:pPr>
      <w:rPr>
        <w:rFonts w:hint="default"/>
      </w:rPr>
    </w:lvl>
    <w:lvl w:ilvl="3" w:tplc="8030337E">
      <w:numFmt w:val="bullet"/>
      <w:lvlText w:val="•"/>
      <w:lvlJc w:val="left"/>
      <w:pPr>
        <w:ind w:left="3277" w:hanging="720"/>
      </w:pPr>
      <w:rPr>
        <w:rFonts w:hint="default"/>
      </w:rPr>
    </w:lvl>
    <w:lvl w:ilvl="4" w:tplc="D78CBC12">
      <w:numFmt w:val="bullet"/>
      <w:lvlText w:val="•"/>
      <w:lvlJc w:val="left"/>
      <w:pPr>
        <w:ind w:left="4130" w:hanging="720"/>
      </w:pPr>
      <w:rPr>
        <w:rFonts w:hint="default"/>
      </w:rPr>
    </w:lvl>
    <w:lvl w:ilvl="5" w:tplc="AF106E4E">
      <w:numFmt w:val="bullet"/>
      <w:lvlText w:val="•"/>
      <w:lvlJc w:val="left"/>
      <w:pPr>
        <w:ind w:left="4983" w:hanging="720"/>
      </w:pPr>
      <w:rPr>
        <w:rFonts w:hint="default"/>
      </w:rPr>
    </w:lvl>
    <w:lvl w:ilvl="6" w:tplc="434059FA">
      <w:numFmt w:val="bullet"/>
      <w:lvlText w:val="•"/>
      <w:lvlJc w:val="left"/>
      <w:pPr>
        <w:ind w:left="5835" w:hanging="720"/>
      </w:pPr>
      <w:rPr>
        <w:rFonts w:hint="default"/>
      </w:rPr>
    </w:lvl>
    <w:lvl w:ilvl="7" w:tplc="2CBEC194">
      <w:numFmt w:val="bullet"/>
      <w:lvlText w:val="•"/>
      <w:lvlJc w:val="left"/>
      <w:pPr>
        <w:ind w:left="6688" w:hanging="720"/>
      </w:pPr>
      <w:rPr>
        <w:rFonts w:hint="default"/>
      </w:rPr>
    </w:lvl>
    <w:lvl w:ilvl="8" w:tplc="C8028146">
      <w:numFmt w:val="bullet"/>
      <w:lvlText w:val="•"/>
      <w:lvlJc w:val="left"/>
      <w:pPr>
        <w:ind w:left="7541" w:hanging="720"/>
      </w:pPr>
      <w:rPr>
        <w:rFonts w:hint="default"/>
      </w:rPr>
    </w:lvl>
  </w:abstractNum>
  <w:abstractNum w:abstractNumId="23">
    <w:nsid w:val="623E30A7"/>
    <w:multiLevelType w:val="hybridMultilevel"/>
    <w:tmpl w:val="55C24F96"/>
    <w:lvl w:ilvl="0" w:tplc="FE30023A">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564965"/>
    <w:multiLevelType w:val="hybridMultilevel"/>
    <w:tmpl w:val="D9D20592"/>
    <w:lvl w:ilvl="0" w:tplc="26D06AE2">
      <w:start w:val="3"/>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DD6511"/>
    <w:multiLevelType w:val="hybridMultilevel"/>
    <w:tmpl w:val="128AA8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55239D"/>
    <w:multiLevelType w:val="hybridMultilevel"/>
    <w:tmpl w:val="8E40A2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AD30C9"/>
    <w:multiLevelType w:val="hybridMultilevel"/>
    <w:tmpl w:val="11D0DD7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9D241A8"/>
    <w:multiLevelType w:val="hybridMultilevel"/>
    <w:tmpl w:val="256CEBE2"/>
    <w:lvl w:ilvl="0" w:tplc="04210015">
      <w:start w:val="1"/>
      <w:numFmt w:val="upperLetter"/>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29">
    <w:nsid w:val="7A281BFB"/>
    <w:multiLevelType w:val="hybridMultilevel"/>
    <w:tmpl w:val="CB4A58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525E5B"/>
    <w:multiLevelType w:val="hybridMultilevel"/>
    <w:tmpl w:val="AAC86E2A"/>
    <w:lvl w:ilvl="0" w:tplc="09B262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FDD1311"/>
    <w:multiLevelType w:val="hybridMultilevel"/>
    <w:tmpl w:val="A8E28796"/>
    <w:lvl w:ilvl="0" w:tplc="351A9D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8"/>
  </w:num>
  <w:num w:numId="2">
    <w:abstractNumId w:val="24"/>
  </w:num>
  <w:num w:numId="3">
    <w:abstractNumId w:val="22"/>
  </w:num>
  <w:num w:numId="4">
    <w:abstractNumId w:val="15"/>
  </w:num>
  <w:num w:numId="5">
    <w:abstractNumId w:val="20"/>
  </w:num>
  <w:num w:numId="6">
    <w:abstractNumId w:val="27"/>
  </w:num>
  <w:num w:numId="7">
    <w:abstractNumId w:val="0"/>
  </w:num>
  <w:num w:numId="8">
    <w:abstractNumId w:val="13"/>
  </w:num>
  <w:num w:numId="9">
    <w:abstractNumId w:val="10"/>
  </w:num>
  <w:num w:numId="10">
    <w:abstractNumId w:val="6"/>
  </w:num>
  <w:num w:numId="11">
    <w:abstractNumId w:val="9"/>
  </w:num>
  <w:num w:numId="12">
    <w:abstractNumId w:val="16"/>
  </w:num>
  <w:num w:numId="13">
    <w:abstractNumId w:val="18"/>
  </w:num>
  <w:num w:numId="14">
    <w:abstractNumId w:val="26"/>
  </w:num>
  <w:num w:numId="15">
    <w:abstractNumId w:val="11"/>
  </w:num>
  <w:num w:numId="16">
    <w:abstractNumId w:val="19"/>
  </w:num>
  <w:num w:numId="17">
    <w:abstractNumId w:val="17"/>
  </w:num>
  <w:num w:numId="18">
    <w:abstractNumId w:val="14"/>
  </w:num>
  <w:num w:numId="19">
    <w:abstractNumId w:val="3"/>
  </w:num>
  <w:num w:numId="20">
    <w:abstractNumId w:val="30"/>
  </w:num>
  <w:num w:numId="21">
    <w:abstractNumId w:val="25"/>
  </w:num>
  <w:num w:numId="22">
    <w:abstractNumId w:val="1"/>
  </w:num>
  <w:num w:numId="23">
    <w:abstractNumId w:val="12"/>
  </w:num>
  <w:num w:numId="24">
    <w:abstractNumId w:val="7"/>
  </w:num>
  <w:num w:numId="25">
    <w:abstractNumId w:val="4"/>
  </w:num>
  <w:num w:numId="26">
    <w:abstractNumId w:val="21"/>
  </w:num>
  <w:num w:numId="27">
    <w:abstractNumId w:val="23"/>
  </w:num>
  <w:num w:numId="28">
    <w:abstractNumId w:val="2"/>
  </w:num>
  <w:num w:numId="29">
    <w:abstractNumId w:val="29"/>
  </w:num>
  <w:num w:numId="30">
    <w:abstractNumId w:val="28"/>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D0"/>
    <w:rsid w:val="00026B46"/>
    <w:rsid w:val="002E2AC8"/>
    <w:rsid w:val="0042209B"/>
    <w:rsid w:val="00437BCC"/>
    <w:rsid w:val="00467CAB"/>
    <w:rsid w:val="004E1F96"/>
    <w:rsid w:val="00531DC3"/>
    <w:rsid w:val="005863D9"/>
    <w:rsid w:val="005A4876"/>
    <w:rsid w:val="005F1FD5"/>
    <w:rsid w:val="00672A9C"/>
    <w:rsid w:val="00727B8E"/>
    <w:rsid w:val="007800C6"/>
    <w:rsid w:val="00793AD0"/>
    <w:rsid w:val="007C3DEB"/>
    <w:rsid w:val="00813DCB"/>
    <w:rsid w:val="0082268A"/>
    <w:rsid w:val="00983A79"/>
    <w:rsid w:val="00AA57D4"/>
    <w:rsid w:val="00AF5F70"/>
    <w:rsid w:val="00B062A8"/>
    <w:rsid w:val="00BD29CC"/>
    <w:rsid w:val="00D24B5D"/>
    <w:rsid w:val="00DA033E"/>
    <w:rsid w:val="00FD11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link w:val="ISIChar"/>
    <w:qFormat/>
    <w:rsid w:val="00793AD0"/>
    <w:pPr>
      <w:spacing w:line="480" w:lineRule="auto"/>
      <w:jc w:val="both"/>
    </w:pPr>
    <w:rPr>
      <w:rFonts w:ascii="Times New Roman" w:hAnsi="Times New Roman"/>
      <w:sz w:val="24"/>
    </w:rPr>
  </w:style>
  <w:style w:type="character" w:customStyle="1" w:styleId="ISIChar">
    <w:name w:val="ISI Char"/>
    <w:basedOn w:val="DefaultParagraphFont"/>
    <w:link w:val="ISI"/>
    <w:rsid w:val="00793AD0"/>
    <w:rPr>
      <w:rFonts w:ascii="Times New Roman" w:hAnsi="Times New Roman"/>
      <w:sz w:val="24"/>
      <w:lang w:val="en-US"/>
    </w:rPr>
  </w:style>
  <w:style w:type="paragraph" w:styleId="ListParagraph">
    <w:name w:val="List Paragraph"/>
    <w:basedOn w:val="Normal"/>
    <w:uiPriority w:val="34"/>
    <w:qFormat/>
    <w:rsid w:val="00437BCC"/>
    <w:pPr>
      <w:ind w:left="720"/>
      <w:contextualSpacing/>
    </w:pPr>
  </w:style>
  <w:style w:type="paragraph" w:customStyle="1" w:styleId="Default">
    <w:name w:val="Default"/>
    <w:rsid w:val="00672A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C6"/>
    <w:rPr>
      <w:rFonts w:ascii="Tahoma" w:hAnsi="Tahoma" w:cs="Tahoma"/>
      <w:sz w:val="16"/>
      <w:szCs w:val="16"/>
      <w:lang w:val="en-US"/>
    </w:rPr>
  </w:style>
  <w:style w:type="table" w:styleId="TableGrid">
    <w:name w:val="Table Grid"/>
    <w:basedOn w:val="TableNormal"/>
    <w:uiPriority w:val="59"/>
    <w:rsid w:val="00BD29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link w:val="ISIChar"/>
    <w:qFormat/>
    <w:rsid w:val="00793AD0"/>
    <w:pPr>
      <w:spacing w:line="480" w:lineRule="auto"/>
      <w:jc w:val="both"/>
    </w:pPr>
    <w:rPr>
      <w:rFonts w:ascii="Times New Roman" w:hAnsi="Times New Roman"/>
      <w:sz w:val="24"/>
    </w:rPr>
  </w:style>
  <w:style w:type="character" w:customStyle="1" w:styleId="ISIChar">
    <w:name w:val="ISI Char"/>
    <w:basedOn w:val="DefaultParagraphFont"/>
    <w:link w:val="ISI"/>
    <w:rsid w:val="00793AD0"/>
    <w:rPr>
      <w:rFonts w:ascii="Times New Roman" w:hAnsi="Times New Roman"/>
      <w:sz w:val="24"/>
      <w:lang w:val="en-US"/>
    </w:rPr>
  </w:style>
  <w:style w:type="paragraph" w:styleId="ListParagraph">
    <w:name w:val="List Paragraph"/>
    <w:basedOn w:val="Normal"/>
    <w:uiPriority w:val="34"/>
    <w:qFormat/>
    <w:rsid w:val="00437BCC"/>
    <w:pPr>
      <w:ind w:left="720"/>
      <w:contextualSpacing/>
    </w:pPr>
  </w:style>
  <w:style w:type="paragraph" w:customStyle="1" w:styleId="Default">
    <w:name w:val="Default"/>
    <w:rsid w:val="00672A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C6"/>
    <w:rPr>
      <w:rFonts w:ascii="Tahoma" w:hAnsi="Tahoma" w:cs="Tahoma"/>
      <w:sz w:val="16"/>
      <w:szCs w:val="16"/>
      <w:lang w:val="en-US"/>
    </w:rPr>
  </w:style>
  <w:style w:type="table" w:styleId="TableGrid">
    <w:name w:val="Table Grid"/>
    <w:basedOn w:val="TableNormal"/>
    <w:uiPriority w:val="59"/>
    <w:rsid w:val="00BD29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15</Pages>
  <Words>5181</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2017-07-08T06:41:00Z</dcterms:created>
  <dcterms:modified xsi:type="dcterms:W3CDTF">2017-07-09T03:51:00Z</dcterms:modified>
</cp:coreProperties>
</file>