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D9" w:rsidRPr="002F28D9" w:rsidRDefault="002F28D9" w:rsidP="002F28D9">
      <w:pPr>
        <w:spacing w:line="480" w:lineRule="auto"/>
        <w:jc w:val="center"/>
        <w:rPr>
          <w:b/>
          <w:sz w:val="28"/>
          <w:szCs w:val="28"/>
        </w:rPr>
      </w:pPr>
      <w:r w:rsidRPr="002F28D9">
        <w:rPr>
          <w:b/>
          <w:sz w:val="28"/>
          <w:szCs w:val="28"/>
        </w:rPr>
        <w:t xml:space="preserve">ANALISIS KINERJA KEUANGAN PERUSAHAAN DENGAN MENGGUNAKAN METODE </w:t>
      </w:r>
      <w:r w:rsidRPr="002F28D9">
        <w:rPr>
          <w:b/>
          <w:i/>
          <w:sz w:val="28"/>
          <w:szCs w:val="28"/>
        </w:rPr>
        <w:t xml:space="preserve">ECONOMIC VALUE ADDED </w:t>
      </w:r>
      <w:r w:rsidRPr="002F28D9">
        <w:rPr>
          <w:b/>
          <w:sz w:val="28"/>
          <w:szCs w:val="28"/>
        </w:rPr>
        <w:t>(EVA)</w:t>
      </w:r>
    </w:p>
    <w:p w:rsidR="002F28D9" w:rsidRPr="002F28D9" w:rsidRDefault="002F28D9" w:rsidP="002F28D9">
      <w:pPr>
        <w:spacing w:line="480" w:lineRule="auto"/>
        <w:jc w:val="center"/>
      </w:pPr>
      <w:r w:rsidRPr="002F28D9">
        <w:t>(Studi Kasus PT Betonjaya Manunggal, Tbk yang Terdaftar di Bursa Efek Indonesia tahun 2014-2018)</w:t>
      </w:r>
    </w:p>
    <w:p w:rsidR="00CE315B" w:rsidRPr="00CE315B" w:rsidRDefault="00CE315B" w:rsidP="002B38E0">
      <w:pPr>
        <w:pStyle w:val="Default"/>
        <w:tabs>
          <w:tab w:val="left" w:pos="1515"/>
          <w:tab w:val="center" w:pos="4680"/>
        </w:tabs>
        <w:rPr>
          <w:rFonts w:ascii="Arial Narrow" w:hAnsi="Arial Narrow"/>
          <w:sz w:val="22"/>
          <w:szCs w:val="22"/>
        </w:rPr>
      </w:pPr>
      <w:r w:rsidRPr="00CE315B">
        <w:rPr>
          <w:rFonts w:ascii="Arial Narrow" w:hAnsi="Arial Narrow"/>
          <w:sz w:val="22"/>
          <w:szCs w:val="22"/>
        </w:rPr>
        <w:tab/>
      </w:r>
    </w:p>
    <w:p w:rsidR="00CE315B" w:rsidRDefault="00CE315B" w:rsidP="00CE315B">
      <w:pPr>
        <w:pStyle w:val="Default"/>
        <w:jc w:val="center"/>
      </w:pPr>
    </w:p>
    <w:p w:rsidR="00D06795" w:rsidRDefault="00D06795"/>
    <w:p w:rsidR="00CE315B" w:rsidRDefault="002F28D9" w:rsidP="00CE315B">
      <w:pPr>
        <w:pStyle w:val="Heading2"/>
        <w:spacing w:line="237" w:lineRule="exact"/>
        <w:ind w:left="862" w:right="840"/>
        <w:jc w:val="center"/>
      </w:pPr>
      <w:r>
        <w:t>Nika Nurjanah</w:t>
      </w:r>
      <w:r w:rsidR="00CE315B">
        <w:t xml:space="preserve">, </w:t>
      </w:r>
    </w:p>
    <w:p w:rsidR="00CE315B" w:rsidRDefault="00FD3267" w:rsidP="00CE315B">
      <w:pPr>
        <w:spacing w:line="253" w:lineRule="exact"/>
        <w:ind w:left="861" w:right="840"/>
        <w:jc w:val="center"/>
        <w:rPr>
          <w:b/>
        </w:rPr>
      </w:pPr>
      <w:r>
        <w:rPr>
          <w:b/>
        </w:rPr>
        <w:t>UMB Yogyakarta</w:t>
      </w:r>
      <w:r w:rsidR="00CE315B">
        <w:rPr>
          <w:b/>
        </w:rPr>
        <w:t xml:space="preserve">; </w:t>
      </w:r>
      <w:r>
        <w:rPr>
          <w:b/>
        </w:rPr>
        <w:t>Jl. Ringroad, Condong Catur, Yogyakarta, (0274</w:t>
      </w:r>
      <w:r w:rsidR="00CE315B">
        <w:rPr>
          <w:b/>
        </w:rPr>
        <w:t xml:space="preserve">) </w:t>
      </w:r>
      <w:r>
        <w:rPr>
          <w:b/>
        </w:rPr>
        <w:t>6498211</w:t>
      </w:r>
    </w:p>
    <w:p w:rsidR="00CE315B" w:rsidRDefault="00CE315B" w:rsidP="00CE315B">
      <w:pPr>
        <w:spacing w:line="268" w:lineRule="exact"/>
        <w:ind w:left="862" w:right="840"/>
        <w:jc w:val="center"/>
        <w:rPr>
          <w:b/>
          <w:lang w:val="id-ID"/>
        </w:rPr>
      </w:pPr>
      <w:r>
        <w:rPr>
          <w:b/>
        </w:rPr>
        <w:t xml:space="preserve">Jurusan </w:t>
      </w:r>
      <w:r w:rsidR="00FD3267">
        <w:rPr>
          <w:b/>
        </w:rPr>
        <w:t>Akuntansi</w:t>
      </w:r>
      <w:r>
        <w:rPr>
          <w:b/>
        </w:rPr>
        <w:t xml:space="preserve">, </w:t>
      </w:r>
      <w:r w:rsidR="00FD3267">
        <w:rPr>
          <w:b/>
        </w:rPr>
        <w:t>Universitas Mercu Buana</w:t>
      </w:r>
      <w:r>
        <w:rPr>
          <w:b/>
        </w:rPr>
        <w:t xml:space="preserve">, </w:t>
      </w:r>
      <w:r w:rsidR="00FD3267">
        <w:rPr>
          <w:b/>
        </w:rPr>
        <w:t>Yogyakarta</w:t>
      </w:r>
    </w:p>
    <w:p w:rsidR="002B38E0" w:rsidRPr="002B38E0" w:rsidRDefault="002B38E0" w:rsidP="00CE315B">
      <w:pPr>
        <w:spacing w:line="268" w:lineRule="exact"/>
        <w:ind w:left="862" w:right="840"/>
        <w:jc w:val="center"/>
        <w:rPr>
          <w:b/>
          <w:lang w:val="id-ID"/>
        </w:rPr>
      </w:pPr>
      <w:r>
        <w:rPr>
          <w:b/>
        </w:rPr>
        <w:t>Email :</w:t>
      </w:r>
      <w:r w:rsidR="009B1BC4">
        <w:rPr>
          <w:lang w:val="id-ID"/>
        </w:rPr>
        <w:t xml:space="preserve">  </w:t>
      </w:r>
      <w:hyperlink r:id="rId9" w:history="1">
        <w:r w:rsidR="002F28D9" w:rsidRPr="00792FF0">
          <w:rPr>
            <w:rStyle w:val="Hyperlink"/>
          </w:rPr>
          <w:t>nurjanahnika12@gmail.com</w:t>
        </w:r>
      </w:hyperlink>
      <w:r>
        <w:rPr>
          <w:lang w:val="id-ID"/>
        </w:rPr>
        <w:t xml:space="preserve"> </w:t>
      </w:r>
    </w:p>
    <w:p w:rsidR="00CE315B" w:rsidRDefault="00CE315B" w:rsidP="00CE315B">
      <w:pPr>
        <w:pStyle w:val="BodyText"/>
        <w:rPr>
          <w:b/>
          <w:sz w:val="20"/>
        </w:rPr>
      </w:pPr>
    </w:p>
    <w:p w:rsidR="00FB442E" w:rsidRDefault="00FB442E" w:rsidP="002F28D9">
      <w:pPr>
        <w:pStyle w:val="BodyText"/>
        <w:spacing w:line="480" w:lineRule="auto"/>
        <w:rPr>
          <w:b/>
          <w:sz w:val="20"/>
        </w:rPr>
      </w:pPr>
    </w:p>
    <w:p w:rsidR="00CE315B" w:rsidRPr="001C2742" w:rsidRDefault="00CE315B" w:rsidP="008B78B2">
      <w:pPr>
        <w:spacing w:line="360" w:lineRule="auto"/>
        <w:jc w:val="both"/>
        <w:rPr>
          <w:rFonts w:ascii="Arial Narrow" w:hAnsi="Arial Narrow"/>
        </w:rPr>
      </w:pPr>
      <w:r w:rsidRPr="001C2742">
        <w:rPr>
          <w:rFonts w:ascii="Arial Narrow" w:hAnsi="Arial Narrow"/>
        </w:rPr>
        <w:t>Abstrak</w:t>
      </w:r>
    </w:p>
    <w:p w:rsidR="002F28D9" w:rsidRPr="001C2742" w:rsidRDefault="002F28D9" w:rsidP="008B78B2">
      <w:pPr>
        <w:spacing w:line="360" w:lineRule="auto"/>
        <w:jc w:val="both"/>
        <w:rPr>
          <w:rFonts w:ascii="Arial Narrow" w:hAnsi="Arial Narrow"/>
        </w:rPr>
      </w:pPr>
      <w:r w:rsidRPr="001C2742">
        <w:rPr>
          <w:rFonts w:ascii="Arial Narrow" w:hAnsi="Arial Narrow"/>
        </w:rPr>
        <w:t xml:space="preserve">Penelitian ini bertujuan untuk menganalisis kinerja keuangan perusahaan sektor pertambangan yang terdaftar di Bursa Efek Indonesia (BEI) selama tahun penelitian 2014 sampai dengan tahun 2018. Data penelitian ini diperoleh dari observasi dan dokumentasi dengan menggunakan metode </w:t>
      </w:r>
      <w:r w:rsidRPr="008B78B2">
        <w:rPr>
          <w:rFonts w:ascii="Arial Narrow" w:hAnsi="Arial Narrow"/>
          <w:i/>
        </w:rPr>
        <w:t>Economic Value Added</w:t>
      </w:r>
      <w:r w:rsidRPr="001C2742">
        <w:rPr>
          <w:rFonts w:ascii="Arial Narrow" w:hAnsi="Arial Narrow"/>
        </w:rPr>
        <w:t xml:space="preserve"> (EVA). </w:t>
      </w:r>
    </w:p>
    <w:p w:rsidR="002F28D9" w:rsidRPr="001C2742" w:rsidRDefault="002F28D9" w:rsidP="008B78B2">
      <w:pPr>
        <w:spacing w:line="360" w:lineRule="auto"/>
        <w:jc w:val="both"/>
        <w:rPr>
          <w:rFonts w:ascii="Arial Narrow" w:hAnsi="Arial Narrow"/>
        </w:rPr>
      </w:pPr>
    </w:p>
    <w:p w:rsidR="002F28D9" w:rsidRPr="001C2742" w:rsidRDefault="002F28D9" w:rsidP="008B78B2">
      <w:pPr>
        <w:spacing w:line="360" w:lineRule="auto"/>
        <w:jc w:val="both"/>
        <w:rPr>
          <w:rFonts w:ascii="Arial Narrow" w:hAnsi="Arial Narrow"/>
        </w:rPr>
      </w:pPr>
      <w:r w:rsidRPr="001C2742">
        <w:rPr>
          <w:rFonts w:ascii="Arial Narrow" w:hAnsi="Arial Narrow"/>
        </w:rPr>
        <w:t xml:space="preserve">Kata kunci : </w:t>
      </w:r>
      <w:r w:rsidRPr="008B78B2">
        <w:rPr>
          <w:rFonts w:ascii="Arial Narrow" w:hAnsi="Arial Narrow"/>
          <w:i/>
        </w:rPr>
        <w:t>Net Operating After Tax</w:t>
      </w:r>
      <w:r w:rsidRPr="001C2742">
        <w:rPr>
          <w:rFonts w:ascii="Arial Narrow" w:hAnsi="Arial Narrow"/>
        </w:rPr>
        <w:t xml:space="preserve"> (NOPAT), </w:t>
      </w:r>
      <w:r w:rsidRPr="008B78B2">
        <w:rPr>
          <w:rFonts w:ascii="Arial Narrow" w:hAnsi="Arial Narrow"/>
          <w:i/>
        </w:rPr>
        <w:t>Invested Capital, Weighted Average Cost of Capital</w:t>
      </w:r>
      <w:r w:rsidRPr="001C2742">
        <w:rPr>
          <w:rFonts w:ascii="Arial Narrow" w:hAnsi="Arial Narrow"/>
        </w:rPr>
        <w:t xml:space="preserve"> (WACC), </w:t>
      </w:r>
      <w:r w:rsidRPr="008B78B2">
        <w:rPr>
          <w:rFonts w:ascii="Arial Narrow" w:hAnsi="Arial Narrow"/>
          <w:i/>
        </w:rPr>
        <w:t>Capital Charges, dan Economic Value Added</w:t>
      </w:r>
      <w:r w:rsidRPr="001C2742">
        <w:rPr>
          <w:rFonts w:ascii="Arial Narrow" w:hAnsi="Arial Narrow"/>
        </w:rPr>
        <w:t xml:space="preserve"> (EVA).</w:t>
      </w:r>
    </w:p>
    <w:p w:rsidR="002F28D9" w:rsidRPr="001C2742" w:rsidRDefault="002F28D9" w:rsidP="008B78B2">
      <w:pPr>
        <w:spacing w:line="360" w:lineRule="auto"/>
        <w:jc w:val="both"/>
        <w:rPr>
          <w:rFonts w:ascii="Arial Narrow" w:hAnsi="Arial Narrow"/>
        </w:rPr>
      </w:pPr>
    </w:p>
    <w:p w:rsidR="002F28D9" w:rsidRPr="008B78B2" w:rsidRDefault="002F28D9" w:rsidP="008B78B2">
      <w:pPr>
        <w:spacing w:line="360" w:lineRule="auto"/>
        <w:jc w:val="both"/>
        <w:rPr>
          <w:rFonts w:ascii="Arial Narrow" w:hAnsi="Arial Narrow"/>
          <w:i/>
        </w:rPr>
      </w:pPr>
      <w:r w:rsidRPr="001C2742">
        <w:rPr>
          <w:rFonts w:ascii="Arial Narrow" w:hAnsi="Arial Narrow"/>
        </w:rPr>
        <w:t>Abstrac</w:t>
      </w:r>
      <w:r w:rsidRPr="001C2742">
        <w:rPr>
          <w:rFonts w:ascii="Arial Narrow" w:hAnsi="Arial Narrow"/>
        </w:rPr>
        <w:br/>
      </w:r>
      <w:r w:rsidRPr="008B78B2">
        <w:rPr>
          <w:rFonts w:ascii="Arial Narrow" w:hAnsi="Arial Narrow"/>
          <w:i/>
        </w:rPr>
        <w:t>This study aims to analyze the financial performance of mining sector companies listed on the Indonesia Stock Exchange (IDX) during the 2014 research year until 2018. The research data was obtained from observations and documentation using the Economic Value Added (EVA) method.</w:t>
      </w:r>
    </w:p>
    <w:p w:rsidR="002F28D9" w:rsidRPr="008B78B2" w:rsidRDefault="002F28D9" w:rsidP="008B78B2">
      <w:pPr>
        <w:spacing w:line="360" w:lineRule="auto"/>
        <w:jc w:val="both"/>
        <w:rPr>
          <w:rFonts w:ascii="Arial Narrow" w:hAnsi="Arial Narrow"/>
          <w:i/>
        </w:rPr>
      </w:pPr>
    </w:p>
    <w:p w:rsidR="00FB442E" w:rsidRPr="008B78B2" w:rsidRDefault="002F28D9" w:rsidP="008B78B2">
      <w:pPr>
        <w:spacing w:line="360" w:lineRule="auto"/>
        <w:jc w:val="both"/>
        <w:rPr>
          <w:rFonts w:ascii="Arial Narrow" w:hAnsi="Arial Narrow"/>
          <w:i/>
        </w:rPr>
      </w:pPr>
      <w:r w:rsidRPr="008B78B2">
        <w:rPr>
          <w:rFonts w:ascii="Arial Narrow" w:hAnsi="Arial Narrow"/>
          <w:i/>
        </w:rPr>
        <w:t>Keywords : Net Operating After Tax (NOPAT), Invested Capital, Weighted Average Cost of Capital (WACC), Capital Charges, dan Economic Value Added (EVA).</w:t>
      </w:r>
    </w:p>
    <w:p w:rsidR="00FB442E" w:rsidRPr="00094F11" w:rsidRDefault="002B38E0" w:rsidP="008B78B2">
      <w:pPr>
        <w:widowControl/>
        <w:autoSpaceDE/>
        <w:autoSpaceDN/>
        <w:spacing w:after="200" w:line="360" w:lineRule="auto"/>
        <w:jc w:val="both"/>
        <w:rPr>
          <w:rFonts w:ascii="Arial Narrow" w:hAnsi="Arial Narrow"/>
          <w:b/>
        </w:rPr>
      </w:pPr>
      <w:r w:rsidRPr="001C2742">
        <w:rPr>
          <w:rFonts w:ascii="Arial Narrow" w:hAnsi="Arial Narrow"/>
        </w:rPr>
        <w:br w:type="page"/>
      </w:r>
      <w:r w:rsidR="001C2742" w:rsidRPr="00094F11">
        <w:rPr>
          <w:rFonts w:ascii="Arial Narrow" w:hAnsi="Arial Narrow"/>
          <w:b/>
        </w:rPr>
        <w:lastRenderedPageBreak/>
        <w:t>P</w:t>
      </w:r>
      <w:r w:rsidR="00FB442E" w:rsidRPr="00094F11">
        <w:rPr>
          <w:rFonts w:ascii="Arial Narrow" w:hAnsi="Arial Narrow"/>
          <w:b/>
        </w:rPr>
        <w:t>ENDAHULUAN</w:t>
      </w:r>
    </w:p>
    <w:p w:rsidR="00FB442E" w:rsidRPr="001C2742" w:rsidRDefault="00FB442E" w:rsidP="00A25574">
      <w:pPr>
        <w:spacing w:line="360" w:lineRule="auto"/>
        <w:rPr>
          <w:rFonts w:ascii="Arial Narrow" w:hAnsi="Arial Narrow"/>
        </w:rPr>
      </w:pPr>
    </w:p>
    <w:p w:rsidR="001C2742" w:rsidRPr="001C2742" w:rsidRDefault="001C2742" w:rsidP="00A25574">
      <w:pPr>
        <w:pStyle w:val="ListParagraph"/>
        <w:spacing w:line="360" w:lineRule="auto"/>
        <w:ind w:left="0" w:firstLine="567"/>
        <w:jc w:val="both"/>
        <w:rPr>
          <w:rFonts w:ascii="Arial Narrow" w:eastAsia="Times New Roman" w:hAnsi="Arial Narrow" w:cs="Times New Roman"/>
        </w:rPr>
      </w:pPr>
      <w:r w:rsidRPr="001C2742">
        <w:rPr>
          <w:rFonts w:ascii="Arial Narrow" w:eastAsia="Times New Roman" w:hAnsi="Arial Narrow" w:cs="Times New Roman"/>
        </w:rPr>
        <w:t>Pada saat ini pertumbuhan industri di Indonesia beberapa tahun terakhir ini kenaikan yang cukup pesat. Banyak industri yang baru dengan menciptakan berbagai inovasi. Berbagai sektor industri pertumbuhannya terbilang baik seperti industri perdagangan ritel. Akan tetapi berbeda dengan industri ritel, industri pertambangan perkembangannya kurang begitu baik. Akan tetapi pertambangan Indonesia beberapa tahun yang lalu sedang mengalami revitalisasi. Krisis ekonomi yang dialami pada tahun 1998 dan beberapa krisis ekonomi yang menyusul setelahnya, banyak perusahaan pertambangan di Indonesia yang menghentikan eksplorasinya dan bahkan menghentikan operasionalnya di Indonesia. (Mediacenter.feb on 15 Juli 2019)</w:t>
      </w:r>
    </w:p>
    <w:p w:rsidR="001C2742" w:rsidRPr="001C2742" w:rsidRDefault="001C2742" w:rsidP="00A25574">
      <w:pPr>
        <w:pStyle w:val="ListParagraph"/>
        <w:spacing w:line="360" w:lineRule="auto"/>
        <w:ind w:left="0" w:firstLine="567"/>
        <w:jc w:val="both"/>
        <w:rPr>
          <w:rFonts w:ascii="Arial Narrow" w:eastAsia="Times New Roman" w:hAnsi="Arial Narrow" w:cs="Times New Roman"/>
        </w:rPr>
      </w:pPr>
      <w:r w:rsidRPr="001C2742">
        <w:rPr>
          <w:rFonts w:ascii="Arial Narrow" w:eastAsia="Times New Roman" w:hAnsi="Arial Narrow" w:cs="Times New Roman"/>
        </w:rPr>
        <w:t xml:space="preserve">Dari beberapa data di atas, terdapat berbagai macam metode perhitungan untuk mengevaluasi kinerja perusahaan. Salah satu metode yang dapat digunakan adalah metode Economic Value Added (EVA). </w:t>
      </w:r>
    </w:p>
    <w:p w:rsidR="001C2742" w:rsidRPr="001C2742" w:rsidRDefault="001C2742" w:rsidP="00A25574">
      <w:pPr>
        <w:pStyle w:val="ListParagraph"/>
        <w:spacing w:line="360" w:lineRule="auto"/>
        <w:ind w:left="0" w:firstLine="567"/>
        <w:jc w:val="both"/>
        <w:rPr>
          <w:rFonts w:ascii="Arial Narrow" w:eastAsia="Times New Roman" w:hAnsi="Arial Narrow" w:cs="Times New Roman"/>
        </w:rPr>
      </w:pPr>
      <w:r w:rsidRPr="001C2742">
        <w:rPr>
          <w:rFonts w:ascii="Arial Narrow" w:eastAsia="Times New Roman" w:hAnsi="Arial Narrow" w:cs="Times New Roman"/>
        </w:rPr>
        <w:t xml:space="preserve">Menurut Young &amp; O’Byrne (2011:39), EVA sama dengan selisih antara laba operasi perusahaan setelah pajak (NOPAT) dengan biaya modal. Biaya modal sama dengan modal yang diinvestasikan perusahaan (juga disebut modal atau modal yang dipakai) dikalikan biaya modal rata-rata tertimbang. EVA yang bernilai positif berarti perusahaan dianggap telah mampu menciptakan nilai bagi pemegang saham karena mampu menghasilkan laba operasi di atas biaya modal. Secara umum EVA digunakan untuk menilai kinerja operasional, karena secara fair juga mempertimbangkan required rate of return yang dituntut oleh para investor dan kreditor. Berkaitan dengan EVA sebagai alat ukur kinerja yang juga mempertimbangkan harapan para investor terhadap investasi yang dilakukan, maka EVA mengidentifikasi seberapa jauh perusahaan telah menciptakan nilai bagi pemilik perusahaan. </w:t>
      </w:r>
    </w:p>
    <w:p w:rsidR="001C2742" w:rsidRPr="001C2742" w:rsidRDefault="001C2742" w:rsidP="00A25574">
      <w:pPr>
        <w:pStyle w:val="ListParagraph"/>
        <w:spacing w:line="360" w:lineRule="auto"/>
        <w:ind w:left="0" w:firstLine="567"/>
        <w:jc w:val="both"/>
        <w:rPr>
          <w:rFonts w:ascii="Arial Narrow" w:eastAsia="Times New Roman" w:hAnsi="Arial Narrow" w:cs="Times New Roman"/>
        </w:rPr>
      </w:pPr>
      <w:r w:rsidRPr="001C2742">
        <w:rPr>
          <w:rFonts w:ascii="Arial Narrow" w:eastAsia="Times New Roman" w:hAnsi="Arial Narrow" w:cs="Times New Roman"/>
        </w:rPr>
        <w:t>Berdasarkan uraian tersebut di atas, penulis bermaksud mengetahui lebih lanjut mengenai penilaian kinerja keuangan PT Betonjaya Manunggal, Tbk yang terdaftar di Bursa Efek Indonesia. Penilaian kinerja keuangan dalam penelitian ini menggunakan metode Economic Value Added (EVA). Maka penulis mengangkat judul “Analisis Kinerja Keuangan Perusahaan dengan menggunakan Metode Economic Value Added (EVA) (Studi Kasus PT Betonjaya Manunggal, Tbk yang Terdaftar di Bursa Efek Indonesia tahun 2014-2018).”</w:t>
      </w:r>
    </w:p>
    <w:p w:rsidR="001C2742" w:rsidRPr="00A25574" w:rsidRDefault="00FB442E" w:rsidP="00911C92">
      <w:pPr>
        <w:widowControl/>
        <w:autoSpaceDE/>
        <w:autoSpaceDN/>
        <w:spacing w:after="200" w:line="360" w:lineRule="auto"/>
        <w:rPr>
          <w:rFonts w:ascii="Arial Narrow" w:eastAsia="Calibri" w:hAnsi="Arial Narrow"/>
          <w:b/>
          <w:bCs/>
        </w:rPr>
      </w:pPr>
      <w:r w:rsidRPr="0029545E">
        <w:rPr>
          <w:rFonts w:ascii="Arial Narrow" w:eastAsia="Calibri" w:hAnsi="Arial Narrow"/>
          <w:b/>
          <w:bCs/>
          <w:lang w:val="id-ID"/>
        </w:rPr>
        <w:t>TINJAUAN PUSTAKA</w:t>
      </w:r>
      <w:r w:rsidR="00CD23D8">
        <w:rPr>
          <w:rFonts w:ascii="Arial Narrow" w:eastAsia="Calibri" w:hAnsi="Arial Narrow"/>
          <w:b/>
          <w:bCs/>
        </w:rPr>
        <w:t xml:space="preserve"> DAN</w:t>
      </w:r>
      <w:r w:rsidR="001C2742">
        <w:rPr>
          <w:rFonts w:ascii="Arial Narrow" w:eastAsia="Calibri" w:hAnsi="Arial Narrow"/>
          <w:b/>
          <w:bCs/>
        </w:rPr>
        <w:t xml:space="preserve"> </w:t>
      </w:r>
      <w:r w:rsidRPr="00FB442E">
        <w:rPr>
          <w:rFonts w:ascii="Arial Narrow" w:eastAsia="Calibri" w:hAnsi="Arial Narrow"/>
          <w:b/>
          <w:bCs/>
        </w:rPr>
        <w:t>PENGEMBANGAN HIPOTESIS</w:t>
      </w:r>
    </w:p>
    <w:p w:rsidR="0095049C" w:rsidRPr="00A25574" w:rsidRDefault="0095049C" w:rsidP="00A25574">
      <w:pPr>
        <w:spacing w:after="160" w:line="360" w:lineRule="auto"/>
        <w:rPr>
          <w:rFonts w:ascii="Arial Narrow" w:hAnsi="Arial Narrow"/>
          <w:b/>
        </w:rPr>
      </w:pPr>
      <w:r w:rsidRPr="00A25574">
        <w:rPr>
          <w:rFonts w:ascii="Arial Narrow" w:hAnsi="Arial Narrow"/>
          <w:b/>
        </w:rPr>
        <w:t>Laporan Keuangan</w:t>
      </w:r>
    </w:p>
    <w:p w:rsidR="0095049C" w:rsidRDefault="0095049C" w:rsidP="00A25574">
      <w:pPr>
        <w:spacing w:line="360" w:lineRule="auto"/>
        <w:ind w:firstLine="540"/>
        <w:jc w:val="both"/>
        <w:rPr>
          <w:rFonts w:ascii="Arial Narrow" w:hAnsi="Arial Narrow"/>
        </w:rPr>
      </w:pPr>
      <w:r w:rsidRPr="0095049C">
        <w:rPr>
          <w:rFonts w:ascii="Arial Narrow" w:hAnsi="Arial Narrow"/>
        </w:rPr>
        <w:t xml:space="preserve">Menurut PSAK No. 1 Tahun 2015, pengertian laporan keuangan adalah penyajian terstruktur dari posisi keuangan dan kinerja keuangan suatu entitas. Laporan ini menampilkan sejarah entitas yang dikuantifikasi dalam nilai moneter. Laporan keuangan merupakan bagian dari proses pelaporan keuangan. Laporan keuangan yang lengkap biasanya meliputi neraca, laporan laba rugi, laporan perubahan posisi keuangan (yang dapat disajikan dalam berbagai cara misalnya, sebagai laporan arus kas, atau laporan arus dana), catatan dan laporan lain serta materi penjelasan yang merupakan bagian integral dari laporan keuangan. Di samping itu, juga termasuk informasi </w:t>
      </w:r>
      <w:r w:rsidRPr="0095049C">
        <w:rPr>
          <w:rFonts w:ascii="Arial Narrow" w:hAnsi="Arial Narrow"/>
        </w:rPr>
        <w:lastRenderedPageBreak/>
        <w:t>tambahan yang berkaitan dengan laporan tersebut, misalnya, informasi keuangan segmen industry dan geografis serta pengungkapan pengaruh perubahan harga.</w:t>
      </w:r>
    </w:p>
    <w:p w:rsidR="0095049C" w:rsidRPr="0095049C" w:rsidRDefault="0095049C" w:rsidP="00A25574">
      <w:pPr>
        <w:spacing w:line="360" w:lineRule="auto"/>
        <w:ind w:firstLine="540"/>
        <w:jc w:val="both"/>
        <w:rPr>
          <w:rFonts w:ascii="Arial Narrow" w:hAnsi="Arial Narrow"/>
        </w:rPr>
      </w:pPr>
      <w:r w:rsidRPr="0095049C">
        <w:rPr>
          <w:rFonts w:ascii="Arial Narrow" w:hAnsi="Arial Narrow"/>
        </w:rPr>
        <w:t>Pengertian lain laporan keuangan adalah hasil akhir dari proses akuntansi yang meliputi dua laporan utama yakni neraca dan laporan laba rugi. Laporan keuangan disusun dengan maksud untuk menyediakan informasi keuangan suatu perusahaan kepada pihak-pihak yang berkepentingan sebagai bahan pertimbangan di dalam mengambil keputusan. (Sutrisno, 2012:9)</w:t>
      </w:r>
    </w:p>
    <w:p w:rsidR="001C2742" w:rsidRPr="0095049C" w:rsidRDefault="001C2742" w:rsidP="00A25574">
      <w:pPr>
        <w:spacing w:line="360" w:lineRule="auto"/>
        <w:rPr>
          <w:rFonts w:ascii="Arial Narrow" w:eastAsia="Calibri" w:hAnsi="Arial Narrow"/>
          <w:b/>
          <w:bCs/>
        </w:rPr>
      </w:pPr>
    </w:p>
    <w:p w:rsidR="0095049C" w:rsidRPr="0095049C" w:rsidRDefault="0095049C" w:rsidP="00A25574">
      <w:pPr>
        <w:spacing w:after="160" w:line="360" w:lineRule="auto"/>
        <w:rPr>
          <w:rFonts w:ascii="Arial Narrow" w:hAnsi="Arial Narrow"/>
          <w:b/>
        </w:rPr>
      </w:pPr>
      <w:r w:rsidRPr="0095049C">
        <w:rPr>
          <w:rFonts w:ascii="Arial Narrow" w:hAnsi="Arial Narrow"/>
          <w:b/>
        </w:rPr>
        <w:t>Kinerja Keuangan</w:t>
      </w:r>
    </w:p>
    <w:p w:rsidR="0095049C" w:rsidRDefault="0095049C" w:rsidP="00A25574">
      <w:pPr>
        <w:pStyle w:val="ListParagraph"/>
        <w:spacing w:line="360" w:lineRule="auto"/>
        <w:ind w:left="0" w:firstLine="567"/>
        <w:jc w:val="both"/>
        <w:rPr>
          <w:rFonts w:ascii="Arial Narrow" w:hAnsi="Arial Narrow" w:cs="Times New Roman"/>
        </w:rPr>
      </w:pPr>
      <w:r w:rsidRPr="0095049C">
        <w:rPr>
          <w:rFonts w:ascii="Arial Narrow" w:hAnsi="Arial Narrow" w:cs="Times New Roman"/>
        </w:rPr>
        <w:t>Kinerja keuangan adalah gambaran dari pencapaian keberhasilan perusahaan dapat diartikan sebagai hasil yang telah dicapai atas berbagai aktivitas yang telah dilakukan. Dapat dijelaskan bahwa kinerja keuangan adalah suatu analisis yang dilakukan untuk melihat sejauh mana suatu perusahaan telah melaksanakan dengan menggunakan aturan-aturan pelaksanaan keuangan secara baik dan benar. Kinerja perusahaan merupakan suatu gambaran tentang kondisi keuangan suatu perusahaan yang dianalisis dengan alat-alat analisis keuangan sehingga dapat diketahui mengenai baik buruknya keadaan keuangan suatu perusahaan yang mencerminkan prestasi kerja dalam periode tertentu. Hal ini sangat penting agar sumber daya digunakan secara optimal dalam menghadapi perubahan lingkungan. (Fahmi, 2012:2)</w:t>
      </w:r>
    </w:p>
    <w:p w:rsidR="0095049C" w:rsidRDefault="0095049C" w:rsidP="00A25574">
      <w:pPr>
        <w:pStyle w:val="ListParagraph"/>
        <w:spacing w:line="360" w:lineRule="auto"/>
        <w:ind w:left="0" w:firstLine="567"/>
        <w:jc w:val="both"/>
        <w:rPr>
          <w:rFonts w:ascii="Arial Narrow" w:hAnsi="Arial Narrow" w:cs="Times New Roman"/>
        </w:rPr>
      </w:pPr>
      <w:r w:rsidRPr="0095049C">
        <w:rPr>
          <w:rFonts w:ascii="Arial Narrow" w:hAnsi="Arial Narrow" w:cs="Times New Roman"/>
        </w:rPr>
        <w:t>Menurut Sugiono (2009:69), penilaian kinerja perusahaan mengukur aspek keuangan dan non keuangan. Pengukuran tersebut didesain untuk menilai seberap baik aktivitas yang berhasil dicapai dan dipusatkan pada tiga dimensi utama yaitu efisiensi, kualitas dan waktu.</w:t>
      </w:r>
    </w:p>
    <w:p w:rsidR="0095049C" w:rsidRPr="0095049C" w:rsidRDefault="0095049C" w:rsidP="00A25574">
      <w:pPr>
        <w:pStyle w:val="ListParagraph"/>
        <w:spacing w:line="360" w:lineRule="auto"/>
        <w:ind w:left="0" w:firstLine="567"/>
        <w:jc w:val="both"/>
        <w:rPr>
          <w:rFonts w:ascii="Arial Narrow" w:hAnsi="Arial Narrow" w:cs="Times New Roman"/>
        </w:rPr>
      </w:pPr>
      <w:r w:rsidRPr="0095049C">
        <w:rPr>
          <w:rFonts w:ascii="Arial Narrow" w:hAnsi="Arial Narrow" w:cs="Times New Roman"/>
        </w:rPr>
        <w:t>Menurut Brigham &amp; Houston (2010), Alat ukur yang digunakan untuk mengukur kinerja keuangan</w:t>
      </w:r>
      <w:r w:rsidRPr="0095049C">
        <w:rPr>
          <w:rFonts w:ascii="Arial Narrow" w:hAnsi="Arial Narrow" w:cs="Times New Roman"/>
          <w:color w:val="000000" w:themeColor="text1"/>
        </w:rPr>
        <w:t xml:space="preserve">, yaitu : </w:t>
      </w:r>
    </w:p>
    <w:p w:rsidR="0095049C" w:rsidRPr="0095049C" w:rsidRDefault="0095049C" w:rsidP="00A25574">
      <w:pPr>
        <w:pStyle w:val="ListParagraph"/>
        <w:numPr>
          <w:ilvl w:val="0"/>
          <w:numId w:val="14"/>
        </w:numPr>
        <w:spacing w:after="160" w:line="360" w:lineRule="auto"/>
        <w:ind w:left="567"/>
        <w:jc w:val="both"/>
        <w:rPr>
          <w:rFonts w:ascii="Arial Narrow" w:hAnsi="Arial Narrow" w:cs="Times New Roman"/>
        </w:rPr>
      </w:pPr>
      <w:r w:rsidRPr="0095049C">
        <w:rPr>
          <w:rFonts w:ascii="Arial Narrow" w:hAnsi="Arial Narrow" w:cs="Times New Roman"/>
        </w:rPr>
        <w:t xml:space="preserve">EVA atau </w:t>
      </w:r>
      <w:r w:rsidRPr="0095049C">
        <w:rPr>
          <w:rFonts w:ascii="Arial Narrow" w:hAnsi="Arial Narrow" w:cs="Times New Roman"/>
          <w:i/>
        </w:rPr>
        <w:t>Economic Value Added</w:t>
      </w:r>
      <w:r w:rsidRPr="0095049C">
        <w:rPr>
          <w:rFonts w:ascii="Arial Narrow" w:hAnsi="Arial Narrow" w:cs="Times New Roman"/>
        </w:rPr>
        <w:t xml:space="preserve"> adalah merupakan ukuran kinerja yang menggabungkan perolehan nilai dengan biaya untuk memperoleh nilai tambah tersebut. EVA mencoba mengukur nilai tambah yang dihasilkan suatu perusahaan dengan cara mengurangi beban biaya modal (</w:t>
      </w:r>
      <w:r w:rsidRPr="0095049C">
        <w:rPr>
          <w:rFonts w:ascii="Arial Narrow" w:hAnsi="Arial Narrow" w:cs="Times New Roman"/>
          <w:i/>
        </w:rPr>
        <w:t>cost of capital</w:t>
      </w:r>
      <w:r w:rsidRPr="0095049C">
        <w:rPr>
          <w:rFonts w:ascii="Arial Narrow" w:hAnsi="Arial Narrow" w:cs="Times New Roman"/>
        </w:rPr>
        <w:t>) yang timbul sebagai akibat investasi yang dilakukan.</w:t>
      </w:r>
    </w:p>
    <w:p w:rsidR="0095049C" w:rsidRPr="0095049C" w:rsidRDefault="0095049C" w:rsidP="00A25574">
      <w:pPr>
        <w:pStyle w:val="ListParagraph"/>
        <w:numPr>
          <w:ilvl w:val="0"/>
          <w:numId w:val="14"/>
        </w:numPr>
        <w:spacing w:after="160" w:line="360" w:lineRule="auto"/>
        <w:ind w:left="567"/>
        <w:jc w:val="both"/>
        <w:rPr>
          <w:rFonts w:ascii="Arial Narrow" w:hAnsi="Arial Narrow" w:cs="Times New Roman"/>
        </w:rPr>
      </w:pPr>
      <w:r w:rsidRPr="0095049C">
        <w:rPr>
          <w:rFonts w:ascii="Arial Narrow" w:hAnsi="Arial Narrow" w:cs="Times New Roman"/>
        </w:rPr>
        <w:t xml:space="preserve">MVA atau </w:t>
      </w:r>
      <w:r w:rsidRPr="0095049C">
        <w:rPr>
          <w:rFonts w:ascii="Arial Narrow" w:hAnsi="Arial Narrow" w:cs="Times New Roman"/>
          <w:i/>
        </w:rPr>
        <w:t>Market Value Added</w:t>
      </w:r>
      <w:r w:rsidRPr="0095049C">
        <w:rPr>
          <w:rFonts w:ascii="Arial Narrow" w:hAnsi="Arial Narrow" w:cs="Times New Roman"/>
        </w:rPr>
        <w:t xml:space="preserve"> adalah Tujuan utama dari keputusan-keputusan keuangan adalah untuk memaksimumkan kemakmuran pemilik perusahaan. Bagi perusahaan yang terdaftar di bursa, harga saham bisa dipergunakan sebagai acuan. Kemakmuran pemegang saham dapat dimaksimumkan dengan memaksimumkan perbedaan antara nilai pasar ekuitas dengan ekuitas (modal sendiri) yang diserahkan ke perusahaan oleh para pemegang saham (pemilik perusahaan) perbedaan ini disebut sebagai </w:t>
      </w:r>
      <w:r w:rsidRPr="0095049C">
        <w:rPr>
          <w:rFonts w:ascii="Arial Narrow" w:hAnsi="Arial Narrow" w:cs="Times New Roman"/>
          <w:i/>
        </w:rPr>
        <w:t>Market Value Added</w:t>
      </w:r>
      <w:r w:rsidRPr="0095049C">
        <w:rPr>
          <w:rFonts w:ascii="Arial Narrow" w:hAnsi="Arial Narrow" w:cs="Times New Roman"/>
        </w:rPr>
        <w:t xml:space="preserve"> (MVA). </w:t>
      </w:r>
    </w:p>
    <w:p w:rsidR="0095049C" w:rsidRPr="0095049C" w:rsidRDefault="0095049C" w:rsidP="00A25574">
      <w:pPr>
        <w:spacing w:after="160" w:line="360" w:lineRule="auto"/>
        <w:rPr>
          <w:rFonts w:ascii="Arial Narrow" w:hAnsi="Arial Narrow"/>
          <w:b/>
        </w:rPr>
      </w:pPr>
      <w:r w:rsidRPr="0095049C">
        <w:rPr>
          <w:rFonts w:ascii="Arial Narrow" w:hAnsi="Arial Narrow"/>
          <w:b/>
        </w:rPr>
        <w:t xml:space="preserve">Metode </w:t>
      </w:r>
      <w:r w:rsidRPr="0095049C">
        <w:rPr>
          <w:rFonts w:ascii="Arial Narrow" w:hAnsi="Arial Narrow"/>
          <w:b/>
          <w:i/>
        </w:rPr>
        <w:t xml:space="preserve">Economic Value Added  </w:t>
      </w:r>
      <w:r w:rsidRPr="0095049C">
        <w:rPr>
          <w:rFonts w:ascii="Arial Narrow" w:hAnsi="Arial Narrow"/>
          <w:b/>
        </w:rPr>
        <w:t>(EVA)</w:t>
      </w:r>
    </w:p>
    <w:p w:rsidR="0095049C" w:rsidRDefault="0095049C" w:rsidP="00A25574">
      <w:pPr>
        <w:pStyle w:val="ListParagraph"/>
        <w:spacing w:line="360" w:lineRule="auto"/>
        <w:ind w:left="0" w:firstLine="567"/>
        <w:jc w:val="both"/>
        <w:rPr>
          <w:rFonts w:ascii="Arial Narrow" w:hAnsi="Arial Narrow" w:cs="Times New Roman"/>
        </w:rPr>
      </w:pPr>
      <w:r w:rsidRPr="0095049C">
        <w:rPr>
          <w:rFonts w:ascii="Arial Narrow" w:hAnsi="Arial Narrow" w:cs="Times New Roman"/>
        </w:rPr>
        <w:t xml:space="preserve">Salah satu metode penilaian kinerja perusahaan adalah </w:t>
      </w:r>
      <w:r w:rsidRPr="0095049C">
        <w:rPr>
          <w:rFonts w:ascii="Arial Narrow" w:hAnsi="Arial Narrow" w:cs="Times New Roman"/>
          <w:i/>
        </w:rPr>
        <w:t xml:space="preserve">Economic Value Added </w:t>
      </w:r>
      <w:r w:rsidRPr="0095049C">
        <w:rPr>
          <w:rFonts w:ascii="Arial Narrow" w:hAnsi="Arial Narrow" w:cs="Times New Roman"/>
        </w:rPr>
        <w:t xml:space="preserve">(EVA). EVA merupakan indikator tentang adanya penambahan nilai dari satu investasi. EVA yang positif menunjukkan bahwa manajemen </w:t>
      </w:r>
      <w:r w:rsidRPr="0095049C">
        <w:rPr>
          <w:rFonts w:ascii="Arial Narrow" w:hAnsi="Arial Narrow" w:cs="Times New Roman"/>
        </w:rPr>
        <w:lastRenderedPageBreak/>
        <w:t>perusahaan berhasil meningkatkan nilai perusahaan bagi pemilik perusahaan sesuai dengan tujuan manajemen keuangan</w:t>
      </w:r>
      <w:r>
        <w:rPr>
          <w:rFonts w:ascii="Arial Narrow" w:hAnsi="Arial Narrow" w:cs="Times New Roman"/>
        </w:rPr>
        <w:t xml:space="preserve"> memaksimumkan nilai perusahaan.</w:t>
      </w:r>
    </w:p>
    <w:p w:rsidR="0095049C" w:rsidRDefault="0095049C" w:rsidP="00A25574">
      <w:pPr>
        <w:pStyle w:val="ListParagraph"/>
        <w:spacing w:line="360" w:lineRule="auto"/>
        <w:ind w:left="0" w:firstLine="567"/>
        <w:jc w:val="both"/>
        <w:rPr>
          <w:rFonts w:ascii="Arial Narrow" w:hAnsi="Arial Narrow" w:cs="Times New Roman"/>
        </w:rPr>
      </w:pPr>
      <w:r w:rsidRPr="0095049C">
        <w:rPr>
          <w:rFonts w:ascii="Arial Narrow" w:hAnsi="Arial Narrow" w:cs="Times New Roman"/>
        </w:rPr>
        <w:t xml:space="preserve">Istilah EVA dipopulerkan oleh </w:t>
      </w:r>
      <w:r w:rsidRPr="0095049C">
        <w:rPr>
          <w:rFonts w:ascii="Arial Narrow" w:hAnsi="Arial Narrow" w:cs="Times New Roman"/>
          <w:i/>
        </w:rPr>
        <w:t>Stern Steward Management Service,</w:t>
      </w:r>
      <w:r w:rsidRPr="0095049C">
        <w:rPr>
          <w:rFonts w:ascii="Arial Narrow" w:hAnsi="Arial Narrow" w:cs="Times New Roman"/>
        </w:rPr>
        <w:t xml:space="preserve">yaitu perusahaan konsultan di Amerika Serikat sekitar tahun 90-an. Stern Steward menghitung EVA dengan cara mengurangi laba operasi setelah </w:t>
      </w:r>
      <w:r>
        <w:rPr>
          <w:rFonts w:ascii="Arial Narrow" w:hAnsi="Arial Narrow" w:cs="Times New Roman"/>
        </w:rPr>
        <w:t>pajak dengan total biaya modal.</w:t>
      </w:r>
    </w:p>
    <w:p w:rsidR="0095049C" w:rsidRDefault="0095049C" w:rsidP="00A25574">
      <w:pPr>
        <w:pStyle w:val="ListParagraph"/>
        <w:spacing w:line="360" w:lineRule="auto"/>
        <w:ind w:left="0" w:firstLine="567"/>
        <w:jc w:val="both"/>
        <w:rPr>
          <w:rFonts w:ascii="Arial Narrow" w:hAnsi="Arial Narrow" w:cs="Times New Roman"/>
        </w:rPr>
      </w:pPr>
      <w:r w:rsidRPr="0095049C">
        <w:rPr>
          <w:rFonts w:ascii="Arial Narrow" w:hAnsi="Arial Narrow" w:cs="Times New Roman"/>
        </w:rPr>
        <w:t>Menurut Brigham dan Houston (2013),</w:t>
      </w:r>
      <w:r w:rsidRPr="0095049C">
        <w:rPr>
          <w:rFonts w:ascii="Arial Narrow" w:hAnsi="Arial Narrow" w:cs="Times New Roman"/>
          <w:b/>
          <w:i/>
        </w:rPr>
        <w:t xml:space="preserve"> </w:t>
      </w:r>
      <w:r w:rsidRPr="0095049C">
        <w:rPr>
          <w:rFonts w:ascii="Arial Narrow" w:hAnsi="Arial Narrow" w:cs="Times New Roman"/>
        </w:rPr>
        <w:t xml:space="preserve">mengemukakan definisi EVA didasarkan pada gagasan keuntungan ekonomis (juga dikenal sebagai penghasilan sisa / </w:t>
      </w:r>
      <w:r w:rsidRPr="0095049C">
        <w:rPr>
          <w:rFonts w:ascii="Arial Narrow" w:hAnsi="Arial Narrow" w:cs="Times New Roman"/>
          <w:i/>
        </w:rPr>
        <w:t>residual income</w:t>
      </w:r>
      <w:r w:rsidRPr="0095049C">
        <w:rPr>
          <w:rFonts w:ascii="Arial Narrow" w:hAnsi="Arial Narrow" w:cs="Times New Roman"/>
        </w:rPr>
        <w:t>) yang menyatakan bahwa kekayaan hanya diciptakan ketika sebuah perusahaan meliputi biaya operasi dan biaya modal, dalam arti sempit, EVA benar-benar hanya merupakan alternatif untuk meninjau kinerja perusahaan.</w:t>
      </w:r>
      <w:r w:rsidRPr="0095049C">
        <w:rPr>
          <w:rFonts w:ascii="Arial Narrow" w:hAnsi="Arial Narrow" w:cs="Times New Roman"/>
          <w:i/>
        </w:rPr>
        <w:t xml:space="preserve"> </w:t>
      </w:r>
    </w:p>
    <w:p w:rsidR="0095049C" w:rsidRPr="0095049C" w:rsidRDefault="0095049C" w:rsidP="00A25574">
      <w:pPr>
        <w:pStyle w:val="ListParagraph"/>
        <w:spacing w:line="360" w:lineRule="auto"/>
        <w:ind w:left="0" w:firstLine="567"/>
        <w:jc w:val="both"/>
        <w:rPr>
          <w:rFonts w:ascii="Arial Narrow" w:hAnsi="Arial Narrow" w:cs="Times New Roman"/>
        </w:rPr>
      </w:pPr>
      <w:r w:rsidRPr="0095049C">
        <w:rPr>
          <w:rFonts w:ascii="Arial Narrow" w:hAnsi="Arial Narrow" w:cs="Times New Roman"/>
        </w:rPr>
        <w:t>Menurut Brigham &amp; Houston (2010:51), “Economic Value Added (EVA) adalah ukuran nilai tambah ekonomis yang dihasilkan perusahaan sebagai akibat dari aktivitas atau strategi manajemen”</w:t>
      </w:r>
    </w:p>
    <w:p w:rsidR="0095049C" w:rsidRPr="0095049C" w:rsidRDefault="0095049C" w:rsidP="00A25574">
      <w:pPr>
        <w:pStyle w:val="ListParagraph"/>
        <w:spacing w:line="360" w:lineRule="auto"/>
        <w:ind w:left="0" w:firstLine="425"/>
        <w:jc w:val="both"/>
        <w:rPr>
          <w:rFonts w:ascii="Arial Narrow" w:hAnsi="Arial Narrow" w:cs="Times New Roman"/>
        </w:rPr>
      </w:pPr>
      <w:r w:rsidRPr="0095049C">
        <w:rPr>
          <w:rFonts w:ascii="Arial Narrow" w:hAnsi="Arial Narrow" w:cs="Times New Roman"/>
        </w:rPr>
        <w:t xml:space="preserve">Perhitungan </w:t>
      </w:r>
      <w:r w:rsidRPr="0095049C">
        <w:rPr>
          <w:rFonts w:ascii="Arial Narrow" w:hAnsi="Arial Narrow" w:cs="Times New Roman"/>
          <w:i/>
        </w:rPr>
        <w:t xml:space="preserve">Economic Value Added  </w:t>
      </w:r>
      <w:r w:rsidRPr="0095049C">
        <w:rPr>
          <w:rFonts w:ascii="Arial Narrow" w:hAnsi="Arial Narrow" w:cs="Times New Roman"/>
        </w:rPr>
        <w:t>(EVA) dapat dilakukan dengan langkah-langkah, sebagai berikut :</w:t>
      </w:r>
    </w:p>
    <w:p w:rsidR="0095049C" w:rsidRPr="0095049C" w:rsidRDefault="0095049C" w:rsidP="00A25574">
      <w:pPr>
        <w:pStyle w:val="ListParagraph"/>
        <w:numPr>
          <w:ilvl w:val="0"/>
          <w:numId w:val="18"/>
        </w:numPr>
        <w:spacing w:after="160" w:line="360" w:lineRule="auto"/>
        <w:ind w:left="426"/>
        <w:jc w:val="both"/>
        <w:rPr>
          <w:rFonts w:ascii="Arial Narrow" w:hAnsi="Arial Narrow" w:cs="Times New Roman"/>
          <w:color w:val="000000" w:themeColor="text1"/>
        </w:rPr>
      </w:pPr>
      <w:r w:rsidRPr="0095049C">
        <w:rPr>
          <w:rFonts w:ascii="Arial Narrow" w:hAnsi="Arial Narrow" w:cs="Times New Roman"/>
          <w:color w:val="000000" w:themeColor="text1"/>
          <w:shd w:val="clear" w:color="auto" w:fill="FFFFFF"/>
        </w:rPr>
        <w:t>Menghitung NOPAT (</w:t>
      </w:r>
      <w:r w:rsidRPr="0095049C">
        <w:rPr>
          <w:rFonts w:ascii="Arial Narrow" w:hAnsi="Arial Narrow" w:cs="Times New Roman"/>
          <w:i/>
          <w:iCs/>
          <w:color w:val="000000" w:themeColor="text1"/>
          <w:shd w:val="clear" w:color="auto" w:fill="FFFFFF"/>
        </w:rPr>
        <w:t>Net Operating After Tax</w:t>
      </w:r>
      <w:r w:rsidRPr="0095049C">
        <w:rPr>
          <w:rFonts w:ascii="Arial Narrow" w:hAnsi="Arial Narrow" w:cs="Times New Roman"/>
          <w:color w:val="000000" w:themeColor="text1"/>
          <w:shd w:val="clear" w:color="auto" w:fill="FFFFFF"/>
        </w:rPr>
        <w:t>)</w:t>
      </w:r>
    </w:p>
    <w:p w:rsidR="0095049C" w:rsidRPr="0095049C" w:rsidRDefault="0095049C" w:rsidP="00A25574">
      <w:pPr>
        <w:pStyle w:val="ListParagraph"/>
        <w:numPr>
          <w:ilvl w:val="0"/>
          <w:numId w:val="18"/>
        </w:numPr>
        <w:spacing w:after="160" w:line="360" w:lineRule="auto"/>
        <w:ind w:left="426"/>
        <w:jc w:val="both"/>
        <w:rPr>
          <w:rFonts w:ascii="Arial Narrow" w:hAnsi="Arial Narrow" w:cs="Times New Roman"/>
          <w:color w:val="000000" w:themeColor="text1"/>
        </w:rPr>
      </w:pPr>
      <w:r w:rsidRPr="0095049C">
        <w:rPr>
          <w:rFonts w:ascii="Arial Narrow" w:hAnsi="Arial Narrow" w:cs="Times New Roman"/>
          <w:color w:val="000000" w:themeColor="text1"/>
          <w:shd w:val="clear" w:color="auto" w:fill="FFFFFF"/>
        </w:rPr>
        <w:t xml:space="preserve">Menghitung </w:t>
      </w:r>
      <w:r w:rsidRPr="0095049C">
        <w:rPr>
          <w:rFonts w:ascii="Arial Narrow" w:hAnsi="Arial Narrow" w:cs="Times New Roman"/>
          <w:i/>
          <w:color w:val="000000" w:themeColor="text1"/>
          <w:shd w:val="clear" w:color="auto" w:fill="FFFFFF"/>
        </w:rPr>
        <w:t>Invested Capital</w:t>
      </w:r>
    </w:p>
    <w:p w:rsidR="0095049C" w:rsidRPr="0095049C" w:rsidRDefault="0095049C" w:rsidP="00A25574">
      <w:pPr>
        <w:pStyle w:val="ListParagraph"/>
        <w:numPr>
          <w:ilvl w:val="0"/>
          <w:numId w:val="18"/>
        </w:numPr>
        <w:spacing w:after="160" w:line="360" w:lineRule="auto"/>
        <w:ind w:left="426"/>
        <w:jc w:val="both"/>
        <w:rPr>
          <w:rFonts w:ascii="Arial Narrow" w:hAnsi="Arial Narrow" w:cs="Times New Roman"/>
          <w:color w:val="000000" w:themeColor="text1"/>
        </w:rPr>
      </w:pPr>
      <w:r w:rsidRPr="0095049C">
        <w:rPr>
          <w:rFonts w:ascii="Arial Narrow" w:hAnsi="Arial Narrow" w:cs="Times New Roman"/>
          <w:color w:val="000000" w:themeColor="text1"/>
          <w:shd w:val="clear" w:color="auto" w:fill="FFFFFF"/>
        </w:rPr>
        <w:t>Menghitung WACC (</w:t>
      </w:r>
      <w:r w:rsidRPr="0095049C">
        <w:rPr>
          <w:rFonts w:ascii="Arial Narrow" w:hAnsi="Arial Narrow" w:cs="Times New Roman"/>
          <w:i/>
          <w:iCs/>
          <w:color w:val="000000" w:themeColor="text1"/>
          <w:shd w:val="clear" w:color="auto" w:fill="FFFFFF"/>
        </w:rPr>
        <w:t>Weighted Average Cost Of Capital</w:t>
      </w:r>
      <w:r w:rsidRPr="0095049C">
        <w:rPr>
          <w:rFonts w:ascii="Arial Narrow" w:hAnsi="Arial Narrow" w:cs="Times New Roman"/>
          <w:color w:val="000000" w:themeColor="text1"/>
          <w:shd w:val="clear" w:color="auto" w:fill="FFFFFF"/>
        </w:rPr>
        <w:t>)</w:t>
      </w:r>
    </w:p>
    <w:p w:rsidR="0095049C" w:rsidRPr="0095049C" w:rsidRDefault="0095049C" w:rsidP="00A25574">
      <w:pPr>
        <w:pStyle w:val="ListParagraph"/>
        <w:numPr>
          <w:ilvl w:val="0"/>
          <w:numId w:val="18"/>
        </w:numPr>
        <w:spacing w:after="160" w:line="360" w:lineRule="auto"/>
        <w:ind w:left="426"/>
        <w:jc w:val="both"/>
        <w:rPr>
          <w:rFonts w:ascii="Arial Narrow" w:hAnsi="Arial Narrow" w:cs="Times New Roman"/>
          <w:color w:val="000000" w:themeColor="text1"/>
        </w:rPr>
      </w:pPr>
      <w:r w:rsidRPr="0095049C">
        <w:rPr>
          <w:rFonts w:ascii="Arial Narrow" w:hAnsi="Arial Narrow" w:cs="Times New Roman"/>
          <w:color w:val="000000" w:themeColor="text1"/>
          <w:shd w:val="clear" w:color="auto" w:fill="FFFFFF"/>
        </w:rPr>
        <w:t xml:space="preserve">Menghitung </w:t>
      </w:r>
      <w:r w:rsidRPr="0095049C">
        <w:rPr>
          <w:rFonts w:ascii="Arial Narrow" w:hAnsi="Arial Narrow" w:cs="Times New Roman"/>
          <w:i/>
          <w:color w:val="000000" w:themeColor="text1"/>
          <w:shd w:val="clear" w:color="auto" w:fill="FFFFFF"/>
        </w:rPr>
        <w:t xml:space="preserve">Capital Charges </w:t>
      </w:r>
      <w:r w:rsidRPr="0095049C">
        <w:rPr>
          <w:rFonts w:ascii="Arial Narrow" w:hAnsi="Arial Narrow" w:cs="Times New Roman"/>
          <w:color w:val="000000" w:themeColor="text1"/>
          <w:shd w:val="clear" w:color="auto" w:fill="FFFFFF"/>
        </w:rPr>
        <w:t>(Biaya Modal)</w:t>
      </w:r>
    </w:p>
    <w:p w:rsidR="0095049C" w:rsidRPr="0095049C" w:rsidRDefault="0095049C" w:rsidP="00A25574">
      <w:pPr>
        <w:pStyle w:val="ListParagraph"/>
        <w:numPr>
          <w:ilvl w:val="0"/>
          <w:numId w:val="18"/>
        </w:numPr>
        <w:spacing w:after="160" w:line="360" w:lineRule="auto"/>
        <w:ind w:left="426"/>
        <w:jc w:val="both"/>
        <w:rPr>
          <w:rFonts w:ascii="Arial Narrow" w:hAnsi="Arial Narrow" w:cs="Times New Roman"/>
          <w:color w:val="000000" w:themeColor="text1"/>
        </w:rPr>
      </w:pPr>
      <w:r w:rsidRPr="0095049C">
        <w:rPr>
          <w:rFonts w:ascii="Arial Narrow" w:hAnsi="Arial Narrow" w:cs="Times New Roman"/>
          <w:color w:val="000000" w:themeColor="text1"/>
          <w:shd w:val="clear" w:color="auto" w:fill="FFFFFF"/>
        </w:rPr>
        <w:t xml:space="preserve">Menghitung </w:t>
      </w:r>
      <w:r w:rsidRPr="0095049C">
        <w:rPr>
          <w:rFonts w:ascii="Arial Narrow" w:hAnsi="Arial Narrow" w:cs="Times New Roman"/>
          <w:i/>
          <w:color w:val="000000" w:themeColor="text1"/>
          <w:shd w:val="clear" w:color="auto" w:fill="FFFFFF"/>
        </w:rPr>
        <w:t>Economic Value Added</w:t>
      </w:r>
      <w:r w:rsidRPr="0095049C">
        <w:rPr>
          <w:rFonts w:ascii="Arial Narrow" w:hAnsi="Arial Narrow" w:cs="Times New Roman"/>
          <w:color w:val="000000" w:themeColor="text1"/>
          <w:shd w:val="clear" w:color="auto" w:fill="FFFFFF"/>
        </w:rPr>
        <w:t xml:space="preserve"> (EVA)</w:t>
      </w:r>
    </w:p>
    <w:p w:rsidR="0095049C" w:rsidRPr="0095049C" w:rsidRDefault="0095049C" w:rsidP="00A25574">
      <w:pPr>
        <w:pStyle w:val="ListParagraph"/>
        <w:numPr>
          <w:ilvl w:val="1"/>
          <w:numId w:val="17"/>
        </w:numPr>
        <w:spacing w:after="160" w:line="360" w:lineRule="auto"/>
        <w:ind w:left="426"/>
        <w:jc w:val="both"/>
        <w:rPr>
          <w:rFonts w:ascii="Arial Narrow" w:hAnsi="Arial Narrow" w:cs="Times New Roman"/>
          <w:b/>
        </w:rPr>
      </w:pPr>
      <w:r w:rsidRPr="0095049C">
        <w:rPr>
          <w:rFonts w:ascii="Arial Narrow" w:hAnsi="Arial Narrow" w:cs="Times New Roman"/>
          <w:b/>
          <w:i/>
        </w:rPr>
        <w:t xml:space="preserve">Net Operating Profit After Tax </w:t>
      </w:r>
      <w:r w:rsidRPr="0095049C">
        <w:rPr>
          <w:rFonts w:ascii="Arial Narrow" w:hAnsi="Arial Narrow" w:cs="Times New Roman"/>
          <w:b/>
        </w:rPr>
        <w:t>(NOPAT)</w:t>
      </w:r>
    </w:p>
    <w:p w:rsidR="0095049C" w:rsidRPr="0095049C" w:rsidRDefault="0095049C" w:rsidP="00A25574">
      <w:pPr>
        <w:pStyle w:val="ListParagraph"/>
        <w:spacing w:line="360" w:lineRule="auto"/>
        <w:ind w:left="426" w:firstLine="556"/>
        <w:jc w:val="both"/>
        <w:rPr>
          <w:rFonts w:ascii="Arial Narrow" w:hAnsi="Arial Narrow" w:cs="Times New Roman"/>
        </w:rPr>
      </w:pPr>
      <w:r w:rsidRPr="0095049C">
        <w:rPr>
          <w:rFonts w:ascii="Arial Narrow" w:hAnsi="Arial Narrow" w:cs="Times New Roman"/>
        </w:rPr>
        <w:t>NOPAT merupakan laba bersih yang telah disesuaikan, sehingga laba tersebut tidak diperhitungkan biaya bunga lagi. Menurut Brigham dan Houston (2013:111) NOPAT dapat dirumuskan sebagai berikut :</w:t>
      </w:r>
    </w:p>
    <w:p w:rsidR="0095049C" w:rsidRPr="0095049C" w:rsidRDefault="0095049C" w:rsidP="00A25574">
      <w:pPr>
        <w:pStyle w:val="ListParagraph"/>
        <w:spacing w:line="360" w:lineRule="auto"/>
        <w:ind w:left="0"/>
        <w:jc w:val="center"/>
        <w:rPr>
          <w:rFonts w:ascii="Arial Narrow" w:hAnsi="Arial Narrow" w:cs="Times New Roman"/>
          <w:b/>
        </w:rPr>
      </w:pPr>
      <w:r w:rsidRPr="0095049C">
        <w:rPr>
          <w:rFonts w:ascii="Arial Narrow" w:hAnsi="Arial Narrow" w:cs="Times New Roman"/>
          <w:b/>
        </w:rPr>
        <w:t xml:space="preserve">    NOPAT = Laba/Rugi setelah bunga – Pajak</w:t>
      </w:r>
    </w:p>
    <w:p w:rsidR="0095049C" w:rsidRPr="0095049C" w:rsidRDefault="0095049C" w:rsidP="00A25574">
      <w:pPr>
        <w:pStyle w:val="ListParagraph"/>
        <w:numPr>
          <w:ilvl w:val="1"/>
          <w:numId w:val="17"/>
        </w:numPr>
        <w:spacing w:after="160" w:line="360" w:lineRule="auto"/>
        <w:ind w:left="426"/>
        <w:jc w:val="both"/>
        <w:rPr>
          <w:rFonts w:ascii="Arial Narrow" w:hAnsi="Arial Narrow" w:cs="Times New Roman"/>
          <w:b/>
        </w:rPr>
      </w:pPr>
      <w:r w:rsidRPr="0095049C">
        <w:rPr>
          <w:rFonts w:ascii="Arial Narrow" w:hAnsi="Arial Narrow" w:cs="Times New Roman"/>
          <w:b/>
          <w:i/>
        </w:rPr>
        <w:t>Invested Capital</w:t>
      </w:r>
    </w:p>
    <w:p w:rsidR="0095049C" w:rsidRPr="0095049C" w:rsidRDefault="0095049C" w:rsidP="00A25574">
      <w:pPr>
        <w:pStyle w:val="ListParagraph"/>
        <w:spacing w:line="360" w:lineRule="auto"/>
        <w:ind w:left="426" w:firstLine="556"/>
        <w:jc w:val="both"/>
        <w:rPr>
          <w:rFonts w:ascii="Arial Narrow" w:hAnsi="Arial Narrow" w:cs="Times New Roman"/>
        </w:rPr>
      </w:pPr>
      <w:r w:rsidRPr="0095049C">
        <w:rPr>
          <w:rFonts w:ascii="Arial Narrow" w:hAnsi="Arial Narrow" w:cs="Times New Roman"/>
          <w:i/>
        </w:rPr>
        <w:t xml:space="preserve">Invested Capital </w:t>
      </w:r>
      <w:r w:rsidRPr="0095049C">
        <w:rPr>
          <w:rFonts w:ascii="Arial Narrow" w:hAnsi="Arial Narrow" w:cs="Times New Roman"/>
        </w:rPr>
        <w:t>merupakan jumlah modal yang digunakan perusahaan untuk melakukan investasi, sumber dana berasal dari hutang dan ekuitas.</w:t>
      </w:r>
    </w:p>
    <w:p w:rsidR="0095049C" w:rsidRPr="0095049C" w:rsidRDefault="0095049C" w:rsidP="00A25574">
      <w:pPr>
        <w:pStyle w:val="ListParagraph"/>
        <w:spacing w:line="360" w:lineRule="auto"/>
        <w:ind w:left="426"/>
        <w:jc w:val="center"/>
        <w:rPr>
          <w:rFonts w:ascii="Arial Narrow" w:hAnsi="Arial Narrow" w:cs="Times New Roman"/>
          <w:b/>
        </w:rPr>
      </w:pPr>
      <w:r w:rsidRPr="0095049C">
        <w:rPr>
          <w:rFonts w:ascii="Arial Narrow" w:hAnsi="Arial Narrow" w:cs="Times New Roman"/>
          <w:b/>
          <w:i/>
        </w:rPr>
        <w:t xml:space="preserve">           Invested Capital</w:t>
      </w:r>
      <w:r w:rsidRPr="0095049C">
        <w:rPr>
          <w:rFonts w:ascii="Arial Narrow" w:hAnsi="Arial Narrow" w:cs="Times New Roman"/>
          <w:b/>
        </w:rPr>
        <w:t xml:space="preserve"> = Jumlah hutang dan ekuitas – Hutang Jangka   Pendek</w:t>
      </w:r>
    </w:p>
    <w:p w:rsidR="0095049C" w:rsidRPr="0095049C" w:rsidRDefault="0095049C" w:rsidP="00A25574">
      <w:pPr>
        <w:pStyle w:val="ListParagraph"/>
        <w:numPr>
          <w:ilvl w:val="1"/>
          <w:numId w:val="17"/>
        </w:numPr>
        <w:spacing w:after="160" w:line="360" w:lineRule="auto"/>
        <w:ind w:left="426"/>
        <w:jc w:val="both"/>
        <w:rPr>
          <w:rFonts w:ascii="Arial Narrow" w:hAnsi="Arial Narrow" w:cs="Times New Roman"/>
          <w:b/>
        </w:rPr>
      </w:pPr>
      <w:r w:rsidRPr="0095049C">
        <w:rPr>
          <w:rFonts w:ascii="Arial Narrow" w:hAnsi="Arial Narrow" w:cs="Times New Roman"/>
          <w:b/>
          <w:i/>
        </w:rPr>
        <w:t xml:space="preserve">Weighted Average Cost of Capital </w:t>
      </w:r>
      <w:r w:rsidRPr="0095049C">
        <w:rPr>
          <w:rFonts w:ascii="Arial Narrow" w:hAnsi="Arial Narrow" w:cs="Times New Roman"/>
          <w:b/>
        </w:rPr>
        <w:t>(WACC)</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Perhitungan WACC yaitu :</w:t>
      </w:r>
    </w:p>
    <w:p w:rsidR="0095049C" w:rsidRPr="0095049C" w:rsidRDefault="0095049C" w:rsidP="00A25574">
      <w:pPr>
        <w:pStyle w:val="ListParagraph"/>
        <w:spacing w:line="360" w:lineRule="auto"/>
        <w:ind w:left="426"/>
        <w:jc w:val="center"/>
        <w:rPr>
          <w:rFonts w:ascii="Arial Narrow" w:hAnsi="Arial Narrow" w:cs="Times New Roman"/>
          <w:b/>
        </w:rPr>
      </w:pPr>
      <w:r w:rsidRPr="0095049C">
        <w:rPr>
          <w:rFonts w:ascii="Arial Narrow" w:hAnsi="Arial Narrow" w:cs="Times New Roman"/>
          <w:b/>
        </w:rPr>
        <w:t>WACC = (Wd x Kd) + (We x Ke)</w:t>
      </w:r>
    </w:p>
    <w:p w:rsidR="0095049C" w:rsidRPr="0095049C" w:rsidRDefault="0095049C" w:rsidP="00A25574">
      <w:pPr>
        <w:pStyle w:val="ListParagraph"/>
        <w:spacing w:line="360" w:lineRule="auto"/>
        <w:ind w:left="426"/>
        <w:jc w:val="center"/>
        <w:rPr>
          <w:rFonts w:ascii="Arial Narrow" w:hAnsi="Arial Narrow" w:cs="Times New Roman"/>
          <w:b/>
        </w:rPr>
      </w:pP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Keterangan :</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Wd</w:t>
      </w:r>
      <w:r w:rsidRPr="0095049C">
        <w:rPr>
          <w:rFonts w:ascii="Arial Narrow" w:hAnsi="Arial Narrow" w:cs="Times New Roman"/>
        </w:rPr>
        <w:tab/>
        <w:t>= Bobot hutang jangka panjang dalam struktur modal</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Kd</w:t>
      </w:r>
      <w:r w:rsidRPr="0095049C">
        <w:rPr>
          <w:rFonts w:ascii="Arial Narrow" w:hAnsi="Arial Narrow" w:cs="Times New Roman"/>
        </w:rPr>
        <w:tab/>
        <w:t>= Biaya hutang setelah pajak</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We</w:t>
      </w:r>
      <w:r w:rsidRPr="0095049C">
        <w:rPr>
          <w:rFonts w:ascii="Arial Narrow" w:hAnsi="Arial Narrow" w:cs="Times New Roman"/>
        </w:rPr>
        <w:tab/>
        <w:t>= Bobot ekuitas dalam struktur modal</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Ke</w:t>
      </w:r>
      <w:r w:rsidRPr="0095049C">
        <w:rPr>
          <w:rFonts w:ascii="Arial Narrow" w:hAnsi="Arial Narrow" w:cs="Times New Roman"/>
        </w:rPr>
        <w:tab/>
        <w:t>= Biaya modal ekuitas</w:t>
      </w:r>
    </w:p>
    <w:p w:rsidR="0095049C" w:rsidRPr="0095049C" w:rsidRDefault="0095049C" w:rsidP="00A25574">
      <w:pPr>
        <w:pStyle w:val="ListParagraph"/>
        <w:spacing w:line="360" w:lineRule="auto"/>
        <w:ind w:left="426"/>
        <w:jc w:val="center"/>
        <w:rPr>
          <w:rFonts w:ascii="Arial Narrow" w:hAnsi="Arial Narrow" w:cs="Times New Roman"/>
        </w:rPr>
      </w:pPr>
      <w:r w:rsidRPr="0095049C">
        <w:rPr>
          <w:rFonts w:ascii="Arial Narrow" w:hAnsi="Arial Narrow" w:cs="Times New Roman"/>
        </w:rPr>
        <w:lastRenderedPageBreak/>
        <w:t>Atau</w:t>
      </w:r>
    </w:p>
    <w:p w:rsidR="0095049C" w:rsidRPr="0095049C" w:rsidRDefault="0095049C" w:rsidP="00A25574">
      <w:pPr>
        <w:pStyle w:val="ListParagraph"/>
        <w:spacing w:line="360" w:lineRule="auto"/>
        <w:ind w:left="426"/>
        <w:jc w:val="center"/>
        <w:rPr>
          <w:rFonts w:ascii="Arial Narrow" w:hAnsi="Arial Narrow" w:cs="Times New Roman"/>
          <w:b/>
        </w:rPr>
      </w:pPr>
      <w:r w:rsidRPr="0095049C">
        <w:rPr>
          <w:rFonts w:ascii="Arial Narrow" w:hAnsi="Arial Narrow" w:cs="Times New Roman"/>
          <w:b/>
        </w:rPr>
        <w:t>WACC = [(D x rd) (1-tax) + (E x re)]</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Keterangan :</w:t>
      </w:r>
    </w:p>
    <w:p w:rsidR="0095049C" w:rsidRPr="0095049C" w:rsidRDefault="00911C92" w:rsidP="00A25574">
      <w:pPr>
        <w:pStyle w:val="ListParagraph"/>
        <w:spacing w:line="360" w:lineRule="auto"/>
        <w:ind w:left="426"/>
        <w:jc w:val="both"/>
        <w:rPr>
          <w:rFonts w:ascii="Arial Narrow" w:hAnsi="Arial Narrow" w:cs="Times New Roman"/>
        </w:rPr>
      </w:pPr>
      <w:r>
        <w:rPr>
          <w:rFonts w:ascii="Arial Narrow" w:hAnsi="Arial Narrow" w:cs="Times New Roman"/>
        </w:rPr>
        <w:t>D</w:t>
      </w:r>
      <w:r>
        <w:rPr>
          <w:rFonts w:ascii="Arial Narrow" w:hAnsi="Arial Narrow" w:cs="Times New Roman"/>
        </w:rPr>
        <w:tab/>
      </w:r>
      <w:r>
        <w:rPr>
          <w:rFonts w:ascii="Arial Narrow" w:hAnsi="Arial Narrow" w:cs="Times New Roman"/>
        </w:rPr>
        <w:tab/>
      </w:r>
      <w:r w:rsidR="0095049C" w:rsidRPr="0095049C">
        <w:rPr>
          <w:rFonts w:ascii="Arial Narrow" w:hAnsi="Arial Narrow" w:cs="Times New Roman"/>
        </w:rPr>
        <w:t>= Tingkat Modal</w:t>
      </w:r>
    </w:p>
    <w:p w:rsidR="0095049C" w:rsidRPr="0095049C" w:rsidRDefault="00911C92" w:rsidP="00A25574">
      <w:pPr>
        <w:pStyle w:val="ListParagraph"/>
        <w:spacing w:line="360" w:lineRule="auto"/>
        <w:ind w:left="426"/>
        <w:jc w:val="both"/>
        <w:rPr>
          <w:rFonts w:ascii="Arial Narrow" w:hAnsi="Arial Narrow" w:cs="Times New Roman"/>
          <w:i/>
        </w:rPr>
      </w:pPr>
      <w:r>
        <w:rPr>
          <w:rFonts w:ascii="Arial Narrow" w:hAnsi="Arial Narrow" w:cs="Times New Roman"/>
        </w:rPr>
        <w:t>Rd</w:t>
      </w:r>
      <w:r>
        <w:rPr>
          <w:rFonts w:ascii="Arial Narrow" w:hAnsi="Arial Narrow" w:cs="Times New Roman"/>
        </w:rPr>
        <w:tab/>
      </w:r>
      <w:r>
        <w:rPr>
          <w:rFonts w:ascii="Arial Narrow" w:hAnsi="Arial Narrow" w:cs="Times New Roman"/>
        </w:rPr>
        <w:tab/>
      </w:r>
      <w:r w:rsidR="0095049C" w:rsidRPr="0095049C">
        <w:rPr>
          <w:rFonts w:ascii="Arial Narrow" w:hAnsi="Arial Narrow" w:cs="Times New Roman"/>
        </w:rPr>
        <w:t xml:space="preserve">= </w:t>
      </w:r>
      <w:r w:rsidR="0095049C" w:rsidRPr="0095049C">
        <w:rPr>
          <w:rFonts w:ascii="Arial Narrow" w:hAnsi="Arial Narrow" w:cs="Times New Roman"/>
          <w:i/>
        </w:rPr>
        <w:t>Cost of Debt</w:t>
      </w:r>
    </w:p>
    <w:p w:rsidR="0095049C" w:rsidRPr="0095049C" w:rsidRDefault="00911C92" w:rsidP="00A25574">
      <w:pPr>
        <w:pStyle w:val="ListParagraph"/>
        <w:spacing w:line="360" w:lineRule="auto"/>
        <w:ind w:left="426"/>
        <w:jc w:val="both"/>
        <w:rPr>
          <w:rFonts w:ascii="Arial Narrow" w:hAnsi="Arial Narrow" w:cs="Times New Roman"/>
          <w:i/>
        </w:rPr>
      </w:pPr>
      <w:r>
        <w:rPr>
          <w:rFonts w:ascii="Arial Narrow" w:hAnsi="Arial Narrow" w:cs="Times New Roman"/>
        </w:rPr>
        <w:t>Tax</w:t>
      </w:r>
      <w:r>
        <w:rPr>
          <w:rFonts w:ascii="Arial Narrow" w:hAnsi="Arial Narrow" w:cs="Times New Roman"/>
        </w:rPr>
        <w:tab/>
      </w:r>
      <w:r w:rsidR="0095049C" w:rsidRPr="0095049C">
        <w:rPr>
          <w:rFonts w:ascii="Arial Narrow" w:hAnsi="Arial Narrow" w:cs="Times New Roman"/>
        </w:rPr>
        <w:t>= Pajak</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E</w:t>
      </w:r>
      <w:r w:rsidRPr="0095049C">
        <w:rPr>
          <w:rFonts w:ascii="Arial Narrow" w:hAnsi="Arial Narrow" w:cs="Times New Roman"/>
        </w:rPr>
        <w:tab/>
      </w:r>
      <w:r w:rsidR="00911C92">
        <w:rPr>
          <w:rFonts w:ascii="Arial Narrow" w:hAnsi="Arial Narrow" w:cs="Times New Roman"/>
        </w:rPr>
        <w:tab/>
      </w:r>
      <w:r w:rsidRPr="0095049C">
        <w:rPr>
          <w:rFonts w:ascii="Arial Narrow" w:hAnsi="Arial Narrow" w:cs="Times New Roman"/>
        </w:rPr>
        <w:t>= Tingkat Modal / Ekuitas</w:t>
      </w:r>
    </w:p>
    <w:p w:rsidR="0095049C" w:rsidRPr="0095049C" w:rsidRDefault="00911C92" w:rsidP="00A25574">
      <w:pPr>
        <w:pStyle w:val="ListParagraph"/>
        <w:spacing w:line="360" w:lineRule="auto"/>
        <w:ind w:left="426"/>
        <w:jc w:val="both"/>
        <w:rPr>
          <w:rFonts w:ascii="Arial Narrow" w:hAnsi="Arial Narrow" w:cs="Times New Roman"/>
          <w:i/>
        </w:rPr>
      </w:pPr>
      <w:r>
        <w:rPr>
          <w:rFonts w:ascii="Arial Narrow" w:hAnsi="Arial Narrow" w:cs="Times New Roman"/>
        </w:rPr>
        <w:t>Re</w:t>
      </w:r>
      <w:r>
        <w:rPr>
          <w:rFonts w:ascii="Arial Narrow" w:hAnsi="Arial Narrow" w:cs="Times New Roman"/>
        </w:rPr>
        <w:tab/>
      </w:r>
      <w:r>
        <w:rPr>
          <w:rFonts w:ascii="Arial Narrow" w:hAnsi="Arial Narrow" w:cs="Times New Roman"/>
        </w:rPr>
        <w:tab/>
      </w:r>
      <w:r w:rsidR="0095049C" w:rsidRPr="0095049C">
        <w:rPr>
          <w:rFonts w:ascii="Arial Narrow" w:hAnsi="Arial Narrow" w:cs="Times New Roman"/>
        </w:rPr>
        <w:t xml:space="preserve">= </w:t>
      </w:r>
      <w:r w:rsidR="0095049C" w:rsidRPr="0095049C">
        <w:rPr>
          <w:rFonts w:ascii="Arial Narrow" w:hAnsi="Arial Narrow" w:cs="Times New Roman"/>
          <w:i/>
        </w:rPr>
        <w:t>Cost of Equity</w:t>
      </w:r>
    </w:p>
    <w:p w:rsidR="0095049C" w:rsidRPr="0095049C" w:rsidRDefault="0095049C" w:rsidP="00A25574">
      <w:pPr>
        <w:pStyle w:val="ListParagraph"/>
        <w:numPr>
          <w:ilvl w:val="1"/>
          <w:numId w:val="17"/>
        </w:numPr>
        <w:spacing w:after="160" w:line="360" w:lineRule="auto"/>
        <w:ind w:left="426"/>
        <w:jc w:val="both"/>
        <w:rPr>
          <w:rFonts w:ascii="Arial Narrow" w:hAnsi="Arial Narrow" w:cs="Times New Roman"/>
          <w:b/>
        </w:rPr>
      </w:pPr>
      <w:r w:rsidRPr="0095049C">
        <w:rPr>
          <w:rFonts w:ascii="Arial Narrow" w:hAnsi="Arial Narrow" w:cs="Times New Roman"/>
          <w:b/>
          <w:i/>
        </w:rPr>
        <w:t xml:space="preserve">Capital Charges </w:t>
      </w:r>
      <w:r w:rsidRPr="0095049C">
        <w:rPr>
          <w:rFonts w:ascii="Arial Narrow" w:hAnsi="Arial Narrow" w:cs="Times New Roman"/>
          <w:b/>
        </w:rPr>
        <w:t>(Biaya Modal)</w:t>
      </w:r>
    </w:p>
    <w:p w:rsidR="0095049C" w:rsidRPr="0095049C" w:rsidRDefault="0095049C" w:rsidP="00A25574">
      <w:pPr>
        <w:pStyle w:val="ListParagraph"/>
        <w:spacing w:line="360" w:lineRule="auto"/>
        <w:ind w:left="426" w:firstLine="720"/>
        <w:jc w:val="both"/>
        <w:rPr>
          <w:rFonts w:ascii="Arial Narrow" w:hAnsi="Arial Narrow" w:cs="Times New Roman"/>
        </w:rPr>
      </w:pPr>
      <w:r w:rsidRPr="0095049C">
        <w:rPr>
          <w:rFonts w:ascii="Arial Narrow" w:hAnsi="Arial Narrow" w:cs="Times New Roman"/>
        </w:rPr>
        <w:t xml:space="preserve">Biaya modal dapat diartikan dalam dua makna yaitu dari sisi investor dan perusahaan. Dari sisi investor </w:t>
      </w:r>
      <w:r w:rsidRPr="0095049C">
        <w:rPr>
          <w:rFonts w:ascii="Arial Narrow" w:hAnsi="Arial Narrow" w:cs="Times New Roman"/>
          <w:i/>
        </w:rPr>
        <w:t>Capital Charges</w:t>
      </w:r>
      <w:r w:rsidRPr="0095049C">
        <w:rPr>
          <w:rFonts w:ascii="Arial Narrow" w:hAnsi="Arial Narrow" w:cs="Times New Roman"/>
          <w:b/>
          <w:i/>
        </w:rPr>
        <w:t xml:space="preserve"> </w:t>
      </w:r>
      <w:r w:rsidRPr="0095049C">
        <w:rPr>
          <w:rFonts w:ascii="Arial Narrow" w:hAnsi="Arial Narrow" w:cs="Times New Roman"/>
        </w:rPr>
        <w:t xml:space="preserve">adalah tingkat keuntungan yang diharapkan atau tingkat keuntungan yang disyaratkan. Sedangkan dari sudut pandang perusahaan </w:t>
      </w:r>
      <w:r w:rsidRPr="0095049C">
        <w:rPr>
          <w:rFonts w:ascii="Arial Narrow" w:hAnsi="Arial Narrow" w:cs="Times New Roman"/>
          <w:i/>
        </w:rPr>
        <w:t xml:space="preserve">Capital Charges </w:t>
      </w:r>
      <w:r w:rsidRPr="0095049C">
        <w:rPr>
          <w:rFonts w:ascii="Arial Narrow" w:hAnsi="Arial Narrow" w:cs="Times New Roman"/>
        </w:rPr>
        <w:t>adalah biaya yang dikeluarkan oleh perusahaan untuk memperoleh sumber dana yang dibutuhkan.</w:t>
      </w:r>
    </w:p>
    <w:p w:rsidR="0095049C" w:rsidRPr="0095049C" w:rsidRDefault="0095049C" w:rsidP="00A25574">
      <w:pPr>
        <w:pStyle w:val="ListParagraph"/>
        <w:numPr>
          <w:ilvl w:val="1"/>
          <w:numId w:val="17"/>
        </w:numPr>
        <w:spacing w:after="160" w:line="360" w:lineRule="auto"/>
        <w:ind w:left="426"/>
        <w:jc w:val="both"/>
        <w:rPr>
          <w:rFonts w:ascii="Arial Narrow" w:hAnsi="Arial Narrow" w:cs="Times New Roman"/>
          <w:b/>
        </w:rPr>
      </w:pPr>
      <w:r w:rsidRPr="0095049C">
        <w:rPr>
          <w:rFonts w:ascii="Arial Narrow" w:hAnsi="Arial Narrow" w:cs="Times New Roman"/>
          <w:b/>
          <w:i/>
          <w:color w:val="000000" w:themeColor="text1"/>
          <w:shd w:val="clear" w:color="auto" w:fill="FFFFFF"/>
        </w:rPr>
        <w:t>Economic Value Added</w:t>
      </w:r>
      <w:r w:rsidRPr="0095049C">
        <w:rPr>
          <w:rFonts w:ascii="Arial Narrow" w:hAnsi="Arial Narrow" w:cs="Times New Roman"/>
          <w:b/>
          <w:color w:val="000000" w:themeColor="text1"/>
          <w:shd w:val="clear" w:color="auto" w:fill="FFFFFF"/>
        </w:rPr>
        <w:t xml:space="preserve"> (EVA)</w:t>
      </w:r>
    </w:p>
    <w:p w:rsidR="0095049C" w:rsidRPr="0095049C" w:rsidRDefault="0095049C" w:rsidP="00A25574">
      <w:pPr>
        <w:pStyle w:val="ListParagraph"/>
        <w:spacing w:line="360" w:lineRule="auto"/>
        <w:ind w:left="426" w:firstLine="567"/>
        <w:jc w:val="both"/>
        <w:rPr>
          <w:rFonts w:ascii="Arial Narrow" w:hAnsi="Arial Narrow" w:cs="Times New Roman"/>
        </w:rPr>
      </w:pPr>
      <w:r w:rsidRPr="0095049C">
        <w:rPr>
          <w:rFonts w:ascii="Arial Narrow" w:hAnsi="Arial Narrow" w:cs="Times New Roman"/>
          <w:i/>
        </w:rPr>
        <w:t xml:space="preserve">Economic Value Added </w:t>
      </w:r>
      <w:r w:rsidRPr="0095049C">
        <w:rPr>
          <w:rFonts w:ascii="Arial Narrow" w:hAnsi="Arial Narrow" w:cs="Times New Roman"/>
        </w:rPr>
        <w:t>(EVA) dapat ditingkatkan dengan cara sebagai berikut :</w:t>
      </w:r>
    </w:p>
    <w:p w:rsidR="0095049C" w:rsidRPr="0095049C" w:rsidRDefault="0095049C" w:rsidP="00A25574">
      <w:pPr>
        <w:pStyle w:val="ListParagraph"/>
        <w:numPr>
          <w:ilvl w:val="0"/>
          <w:numId w:val="15"/>
        </w:numPr>
        <w:spacing w:after="160" w:line="360" w:lineRule="auto"/>
        <w:ind w:left="426"/>
        <w:jc w:val="both"/>
        <w:rPr>
          <w:rFonts w:ascii="Arial Narrow" w:hAnsi="Arial Narrow" w:cs="Times New Roman"/>
        </w:rPr>
      </w:pPr>
      <w:r w:rsidRPr="0095049C">
        <w:rPr>
          <w:rFonts w:ascii="Arial Narrow" w:hAnsi="Arial Narrow" w:cs="Times New Roman"/>
        </w:rPr>
        <w:t xml:space="preserve">Memperoleh lebih banyak laba tanpa menggunakan lebih banyak modal, caranya adalah memotong biaya-biaya, bekerja dengan biaya produksi dan pemasaran yang lebih rendah agar diperoleh margin laba yang lebih besar. Hal ini dapat juga dicapai dengan meningkatkan perputaran aktiva, baik dengan cara menaikan volume penjualan atau bekerja dengan aktiva yang lebih rendah </w:t>
      </w:r>
      <w:r w:rsidRPr="0095049C">
        <w:rPr>
          <w:rFonts w:ascii="Arial Narrow" w:hAnsi="Arial Narrow" w:cs="Times New Roman"/>
          <w:i/>
        </w:rPr>
        <w:t>(lower assets).</w:t>
      </w:r>
    </w:p>
    <w:p w:rsidR="0095049C" w:rsidRPr="0095049C" w:rsidRDefault="0095049C" w:rsidP="00A25574">
      <w:pPr>
        <w:pStyle w:val="ListParagraph"/>
        <w:numPr>
          <w:ilvl w:val="0"/>
          <w:numId w:val="15"/>
        </w:numPr>
        <w:spacing w:after="160" w:line="360" w:lineRule="auto"/>
        <w:ind w:left="426"/>
        <w:jc w:val="both"/>
        <w:rPr>
          <w:rFonts w:ascii="Arial Narrow" w:hAnsi="Arial Narrow" w:cs="Times New Roman"/>
        </w:rPr>
      </w:pPr>
      <w:r w:rsidRPr="0095049C">
        <w:rPr>
          <w:rFonts w:ascii="Arial Narrow" w:hAnsi="Arial Narrow" w:cs="Times New Roman"/>
        </w:rPr>
        <w:t xml:space="preserve">Memperoleh pengembalian </w:t>
      </w:r>
      <w:r w:rsidRPr="0095049C">
        <w:rPr>
          <w:rFonts w:ascii="Arial Narrow" w:hAnsi="Arial Narrow" w:cs="Times New Roman"/>
          <w:i/>
        </w:rPr>
        <w:t xml:space="preserve">(return) </w:t>
      </w:r>
      <w:r w:rsidRPr="0095049C">
        <w:rPr>
          <w:rFonts w:ascii="Arial Narrow" w:hAnsi="Arial Narrow" w:cs="Times New Roman"/>
        </w:rPr>
        <w:t xml:space="preserve"> yang lebih tinggi daripada biaya modal atas investasi baru. Hal ini sesungguhnya menyangkut pertumbuhan perusahaan.</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Rumus :</w:t>
      </w:r>
    </w:p>
    <w:p w:rsidR="0095049C" w:rsidRPr="0095049C" w:rsidRDefault="0095049C" w:rsidP="00A25574">
      <w:pPr>
        <w:pStyle w:val="ListParagraph"/>
        <w:spacing w:line="360" w:lineRule="auto"/>
        <w:ind w:left="426"/>
        <w:jc w:val="center"/>
        <w:rPr>
          <w:rFonts w:ascii="Arial Narrow" w:hAnsi="Arial Narrow" w:cs="Times New Roman"/>
          <w:b/>
          <w:i/>
        </w:rPr>
      </w:pPr>
      <w:r w:rsidRPr="0095049C">
        <w:rPr>
          <w:rFonts w:ascii="Arial Narrow" w:hAnsi="Arial Narrow" w:cs="Times New Roman"/>
          <w:b/>
        </w:rPr>
        <w:t xml:space="preserve">  EVA = NOPAT – </w:t>
      </w:r>
      <w:r w:rsidRPr="0095049C">
        <w:rPr>
          <w:rFonts w:ascii="Arial Narrow" w:hAnsi="Arial Narrow" w:cs="Times New Roman"/>
          <w:b/>
          <w:i/>
        </w:rPr>
        <w:t>Capital Charges</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 xml:space="preserve">Atau : </w:t>
      </w:r>
    </w:p>
    <w:p w:rsidR="0095049C" w:rsidRPr="0095049C" w:rsidRDefault="0095049C" w:rsidP="00A25574">
      <w:pPr>
        <w:pStyle w:val="ListParagraph"/>
        <w:spacing w:line="360" w:lineRule="auto"/>
        <w:ind w:left="426"/>
        <w:jc w:val="center"/>
        <w:rPr>
          <w:rFonts w:ascii="Arial Narrow" w:hAnsi="Arial Narrow" w:cs="Times New Roman"/>
          <w:b/>
        </w:rPr>
      </w:pPr>
      <w:r w:rsidRPr="0095049C">
        <w:rPr>
          <w:rFonts w:ascii="Arial Narrow" w:hAnsi="Arial Narrow" w:cs="Times New Roman"/>
          <w:b/>
        </w:rPr>
        <w:t xml:space="preserve"> EVA = NOPAT – (WACC x </w:t>
      </w:r>
      <w:r w:rsidRPr="0095049C">
        <w:rPr>
          <w:rFonts w:ascii="Arial Narrow" w:hAnsi="Arial Narrow" w:cs="Times New Roman"/>
          <w:b/>
          <w:i/>
        </w:rPr>
        <w:t>Invested Capital</w:t>
      </w:r>
      <w:r w:rsidRPr="0095049C">
        <w:rPr>
          <w:rFonts w:ascii="Arial Narrow" w:hAnsi="Arial Narrow" w:cs="Times New Roman"/>
          <w:b/>
        </w:rPr>
        <w:t>)</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Keterangan :</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Biaya Modal</w:t>
      </w:r>
      <w:r w:rsidRPr="0095049C">
        <w:rPr>
          <w:rFonts w:ascii="Arial Narrow" w:hAnsi="Arial Narrow" w:cs="Times New Roman"/>
        </w:rPr>
        <w:tab/>
        <w:t>= Modal yang diinvestasikan x WACC</w:t>
      </w:r>
    </w:p>
    <w:p w:rsidR="0095049C" w:rsidRPr="0095049C" w:rsidRDefault="00B046DD" w:rsidP="00A25574">
      <w:pPr>
        <w:pStyle w:val="ListParagraph"/>
        <w:spacing w:line="360" w:lineRule="auto"/>
        <w:ind w:left="426"/>
        <w:jc w:val="both"/>
        <w:rPr>
          <w:rFonts w:ascii="Arial Narrow" w:hAnsi="Arial Narrow" w:cs="Times New Roman"/>
        </w:rPr>
      </w:pPr>
      <w:r>
        <w:rPr>
          <w:rFonts w:ascii="Arial Narrow" w:hAnsi="Arial Narrow" w:cs="Times New Roman"/>
        </w:rPr>
        <w:t>NOPAT</w:t>
      </w:r>
      <w:r>
        <w:rPr>
          <w:rFonts w:ascii="Arial Narrow" w:hAnsi="Arial Narrow" w:cs="Times New Roman"/>
        </w:rPr>
        <w:tab/>
      </w:r>
      <w:r>
        <w:rPr>
          <w:rFonts w:ascii="Arial Narrow" w:hAnsi="Arial Narrow" w:cs="Times New Roman"/>
        </w:rPr>
        <w:tab/>
      </w:r>
      <w:r w:rsidR="0095049C" w:rsidRPr="0095049C">
        <w:rPr>
          <w:rFonts w:ascii="Arial Narrow" w:hAnsi="Arial Narrow" w:cs="Times New Roman"/>
        </w:rPr>
        <w:t>= Laba operasi sesudah pajak</w:t>
      </w:r>
    </w:p>
    <w:p w:rsidR="00B046DD"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WACC</w:t>
      </w:r>
      <w:r w:rsidRPr="0095049C">
        <w:rPr>
          <w:rFonts w:ascii="Arial Narrow" w:hAnsi="Arial Narrow" w:cs="Times New Roman"/>
        </w:rPr>
        <w:tab/>
      </w:r>
      <w:r w:rsidRPr="0095049C">
        <w:rPr>
          <w:rFonts w:ascii="Arial Narrow" w:hAnsi="Arial Narrow" w:cs="Times New Roman"/>
        </w:rPr>
        <w:tab/>
        <w:t>= Biaya modal rata-rata tertimbang</w:t>
      </w:r>
    </w:p>
    <w:p w:rsidR="0095049C" w:rsidRPr="00B046DD" w:rsidRDefault="00B046DD" w:rsidP="00A25574">
      <w:pPr>
        <w:pStyle w:val="ListParagraph"/>
        <w:spacing w:line="360" w:lineRule="auto"/>
        <w:ind w:left="2166" w:hanging="1740"/>
        <w:jc w:val="both"/>
        <w:rPr>
          <w:rFonts w:ascii="Arial Narrow" w:hAnsi="Arial Narrow" w:cs="Times New Roman"/>
        </w:rPr>
      </w:pPr>
      <w:r>
        <w:rPr>
          <w:rFonts w:ascii="Arial Narrow" w:hAnsi="Arial Narrow" w:cs="Times New Roman"/>
          <w:i/>
        </w:rPr>
        <w:t>Invested Capital</w:t>
      </w:r>
      <w:r>
        <w:rPr>
          <w:rFonts w:ascii="Arial Narrow" w:hAnsi="Arial Narrow" w:cs="Times New Roman"/>
          <w:i/>
        </w:rPr>
        <w:tab/>
      </w:r>
      <w:r w:rsidR="0095049C" w:rsidRPr="00B046DD">
        <w:rPr>
          <w:rFonts w:ascii="Arial Narrow" w:hAnsi="Arial Narrow" w:cs="Times New Roman"/>
        </w:rPr>
        <w:t>= Besarnya modal yang diinvestasikan dalam aktivitas operasional dan non operasional perusahaan.</w:t>
      </w:r>
    </w:p>
    <w:p w:rsidR="0095049C" w:rsidRPr="0095049C" w:rsidRDefault="0095049C" w:rsidP="00A25574">
      <w:pPr>
        <w:pStyle w:val="ListParagraph"/>
        <w:spacing w:line="360" w:lineRule="auto"/>
        <w:ind w:left="426"/>
        <w:rPr>
          <w:rFonts w:ascii="Arial Narrow" w:hAnsi="Arial Narrow" w:cs="Times New Roman"/>
          <w:b/>
        </w:rPr>
      </w:pPr>
      <w:r w:rsidRPr="0095049C">
        <w:rPr>
          <w:rFonts w:ascii="Arial Narrow" w:hAnsi="Arial Narrow" w:cs="Times New Roman"/>
          <w:b/>
        </w:rPr>
        <w:t>Indikator EVA :</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Bila EVA &gt; 0, terjadi proses nilai tambah perusahaan, kinerja keuangan perusahaan baik.</w:t>
      </w:r>
    </w:p>
    <w:p w:rsidR="00B046DD"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t>Bila EVA = 0, menunjukkan posisi impas perusahaan.</w:t>
      </w:r>
    </w:p>
    <w:p w:rsidR="0095049C" w:rsidRPr="0095049C" w:rsidRDefault="0095049C" w:rsidP="00A25574">
      <w:pPr>
        <w:pStyle w:val="ListParagraph"/>
        <w:spacing w:line="360" w:lineRule="auto"/>
        <w:ind w:left="426"/>
        <w:jc w:val="both"/>
        <w:rPr>
          <w:rFonts w:ascii="Arial Narrow" w:hAnsi="Arial Narrow" w:cs="Times New Roman"/>
        </w:rPr>
      </w:pPr>
      <w:r w:rsidRPr="0095049C">
        <w:rPr>
          <w:rFonts w:ascii="Arial Narrow" w:hAnsi="Arial Narrow" w:cs="Times New Roman"/>
        </w:rPr>
        <w:lastRenderedPageBreak/>
        <w:t>Bila EVA &lt; 0, berarti total biaya modal perusahaan lebih besar daripada laba operasi setelah pajak yang diperolehnya, sehingga kinerja keuangan perusahaan tersebut tidak baik.</w:t>
      </w:r>
    </w:p>
    <w:p w:rsidR="00963586" w:rsidRPr="00963586" w:rsidRDefault="00963586" w:rsidP="00A25574">
      <w:pPr>
        <w:spacing w:after="160" w:line="360" w:lineRule="auto"/>
        <w:rPr>
          <w:rFonts w:ascii="Arial Narrow" w:hAnsi="Arial Narrow"/>
          <w:b/>
        </w:rPr>
      </w:pPr>
      <w:r w:rsidRPr="00963586">
        <w:rPr>
          <w:rFonts w:ascii="Arial Narrow" w:hAnsi="Arial Narrow"/>
          <w:b/>
        </w:rPr>
        <w:t xml:space="preserve">Metode </w:t>
      </w:r>
      <w:r w:rsidRPr="00963586">
        <w:rPr>
          <w:rFonts w:ascii="Arial Narrow" w:hAnsi="Arial Narrow"/>
          <w:b/>
          <w:i/>
        </w:rPr>
        <w:t>Market Value Added</w:t>
      </w:r>
      <w:r w:rsidRPr="00963586">
        <w:rPr>
          <w:rFonts w:ascii="Arial Narrow" w:hAnsi="Arial Narrow"/>
          <w:b/>
        </w:rPr>
        <w:t xml:space="preserve"> (MVA)</w:t>
      </w:r>
    </w:p>
    <w:p w:rsidR="00963586" w:rsidRDefault="00963586" w:rsidP="00A25574">
      <w:pPr>
        <w:pStyle w:val="ListParagraph"/>
        <w:spacing w:line="360" w:lineRule="auto"/>
        <w:ind w:left="0" w:firstLine="567"/>
        <w:jc w:val="both"/>
        <w:rPr>
          <w:rFonts w:ascii="Arial Narrow" w:hAnsi="Arial Narrow" w:cs="Times New Roman"/>
        </w:rPr>
      </w:pPr>
      <w:r w:rsidRPr="00963586">
        <w:rPr>
          <w:rFonts w:ascii="Arial Narrow" w:hAnsi="Arial Narrow" w:cs="Times New Roman"/>
        </w:rPr>
        <w:t xml:space="preserve">Young dan O’Bryne, terjemahan Lusy Widjaja, (2012:78) menyatakan bahwa </w:t>
      </w:r>
      <w:r w:rsidRPr="00963586">
        <w:rPr>
          <w:rFonts w:ascii="Arial Narrow" w:hAnsi="Arial Narrow" w:cs="Times New Roman"/>
          <w:i/>
        </w:rPr>
        <w:t>Market Value Added</w:t>
      </w:r>
      <w:r w:rsidRPr="00963586">
        <w:rPr>
          <w:rFonts w:ascii="Arial Narrow" w:hAnsi="Arial Narrow" w:cs="Times New Roman"/>
        </w:rPr>
        <w:t xml:space="preserve"> (MVA) adalah perbedaan antara nilai pasar perusahaan (termasuk ekuitas dan utang) dan modal keseluruhan yang diinvestasikan dalam perusahaan.</w:t>
      </w:r>
    </w:p>
    <w:p w:rsidR="00963586" w:rsidRPr="00963586" w:rsidRDefault="00963586" w:rsidP="00A25574">
      <w:pPr>
        <w:pStyle w:val="ListParagraph"/>
        <w:spacing w:line="360" w:lineRule="auto"/>
        <w:ind w:left="0" w:firstLine="567"/>
        <w:jc w:val="both"/>
        <w:rPr>
          <w:rFonts w:ascii="Arial Narrow" w:hAnsi="Arial Narrow" w:cs="Times New Roman"/>
        </w:rPr>
      </w:pPr>
      <w:r w:rsidRPr="00963586">
        <w:rPr>
          <w:rFonts w:ascii="Arial Narrow" w:hAnsi="Arial Narrow" w:cs="Times New Roman"/>
        </w:rPr>
        <w:t>Menurut Kamaludin dan Indriani (2012:60), “</w:t>
      </w:r>
      <w:r w:rsidRPr="00963586">
        <w:rPr>
          <w:rFonts w:ascii="Arial Narrow" w:hAnsi="Arial Narrow" w:cs="Times New Roman"/>
          <w:i/>
        </w:rPr>
        <w:t xml:space="preserve">Market Value Added </w:t>
      </w:r>
      <w:r w:rsidRPr="00963586">
        <w:rPr>
          <w:rFonts w:ascii="Arial Narrow" w:hAnsi="Arial Narrow" w:cs="Times New Roman"/>
        </w:rPr>
        <w:t>adalah pengurangan antara nilai pasar ekuitas dengan modal ekuitas yang dinvestasikan”. Menurut Husnan dan udjiastuti (2012:68), “</w:t>
      </w:r>
      <w:r w:rsidRPr="00963586">
        <w:rPr>
          <w:rFonts w:ascii="Arial Narrow" w:hAnsi="Arial Narrow" w:cs="Times New Roman"/>
          <w:i/>
        </w:rPr>
        <w:t>Market Value Added</w:t>
      </w:r>
      <w:r w:rsidRPr="00963586">
        <w:rPr>
          <w:rFonts w:ascii="Arial Narrow" w:hAnsi="Arial Narrow" w:cs="Times New Roman"/>
        </w:rPr>
        <w:t xml:space="preserve"> merupakan untuk melihat kemakmuran pemegang saham yang dapat dimaksimumkan perbedaan antara nilai pasar ekuitas dengan ekuitas ( modal sendiri ) yang diserahkan ke perusahaan oleh para pemegang saham (pemilik perusahaan)”.</w:t>
      </w:r>
    </w:p>
    <w:p w:rsidR="001D62F6" w:rsidRPr="001D62F6" w:rsidRDefault="00F36712" w:rsidP="001D62F6">
      <w:pPr>
        <w:spacing w:line="480" w:lineRule="auto"/>
        <w:ind w:firstLine="567"/>
        <w:jc w:val="both"/>
        <w:rPr>
          <w:rFonts w:ascii="Arial Narrow" w:hAnsi="Arial Narrow"/>
          <w:b/>
        </w:rPr>
      </w:pPr>
      <w:r w:rsidRPr="00F36712">
        <w:rPr>
          <w:rFonts w:ascii="Arial Narrow" w:hAnsi="Arial Narrow" w:cstheme="minorBidi"/>
          <w:noProof/>
        </w:rPr>
        <w:pict>
          <v:rect id="_x0000_s1026" style="position:absolute;left:0;text-align:left;margin-left:58.25pt;margin-top:24.7pt;width:357.65pt;height:46.5pt;z-index:-251656192" strokeweight="1.5pt">
            <v:textbox style="mso-next-textbox:#_x0000_s1026">
              <w:txbxContent>
                <w:p w:rsidR="00443827" w:rsidRPr="001D62F6" w:rsidRDefault="00443827" w:rsidP="001D62F6">
                  <w:pPr>
                    <w:spacing w:line="480" w:lineRule="auto"/>
                    <w:jc w:val="both"/>
                    <w:rPr>
                      <w:rFonts w:ascii="Arial Narrow" w:hAnsi="Arial Narrow"/>
                      <w:b/>
                    </w:rPr>
                  </w:pPr>
                  <w:r w:rsidRPr="001D62F6">
                    <w:rPr>
                      <w:rFonts w:ascii="Arial Narrow" w:hAnsi="Arial Narrow"/>
                      <w:b/>
                    </w:rPr>
                    <w:t>MVA</w:t>
                  </w:r>
                  <w:r w:rsidRPr="001D62F6">
                    <w:rPr>
                      <w:rFonts w:ascii="Arial Narrow" w:hAnsi="Arial Narrow"/>
                      <w:b/>
                    </w:rPr>
                    <w:tab/>
                    <w:t xml:space="preserve">= Nilai pasar ekuitas – Modal ekuitas yang diivestasikan oleh investor </w:t>
                  </w:r>
                </w:p>
                <w:p w:rsidR="00443827" w:rsidRPr="001D62F6" w:rsidRDefault="00443827" w:rsidP="001D62F6">
                  <w:pPr>
                    <w:spacing w:line="480" w:lineRule="auto"/>
                    <w:ind w:firstLine="709"/>
                    <w:jc w:val="both"/>
                    <w:rPr>
                      <w:rFonts w:ascii="Arial Narrow" w:hAnsi="Arial Narrow"/>
                      <w:b/>
                    </w:rPr>
                  </w:pPr>
                  <w:r w:rsidRPr="001D62F6">
                    <w:rPr>
                      <w:rFonts w:ascii="Arial Narrow" w:hAnsi="Arial Narrow"/>
                      <w:b/>
                    </w:rPr>
                    <w:t>= (Saham yang beredar) (Harga saham) – Total Ekuitas saham biasa</w:t>
                  </w:r>
                </w:p>
                <w:p w:rsidR="00443827" w:rsidRDefault="00443827" w:rsidP="001D62F6"/>
              </w:txbxContent>
            </v:textbox>
          </v:rect>
        </w:pict>
      </w:r>
      <w:r w:rsidR="001D62F6" w:rsidRPr="001D62F6">
        <w:rPr>
          <w:rFonts w:ascii="Arial Narrow" w:hAnsi="Arial Narrow"/>
        </w:rPr>
        <w:t xml:space="preserve">Cara menghitung </w:t>
      </w:r>
      <w:r w:rsidR="001D62F6" w:rsidRPr="001D62F6">
        <w:rPr>
          <w:rFonts w:ascii="Arial Narrow" w:hAnsi="Arial Narrow"/>
          <w:i/>
        </w:rPr>
        <w:t>Market Value Added</w:t>
      </w:r>
      <w:r w:rsidR="001D62F6" w:rsidRPr="001D62F6">
        <w:rPr>
          <w:rFonts w:ascii="Arial Narrow" w:hAnsi="Arial Narrow"/>
        </w:rPr>
        <w:t xml:space="preserve"> (MVA) menurut Kamaludin dan Indriani (2012: 60) adalah:</w:t>
      </w:r>
    </w:p>
    <w:p w:rsidR="001D62F6" w:rsidRPr="001D62F6" w:rsidRDefault="001D62F6" w:rsidP="001D62F6">
      <w:pPr>
        <w:spacing w:line="480" w:lineRule="auto"/>
        <w:jc w:val="both"/>
        <w:rPr>
          <w:rFonts w:ascii="Arial Narrow" w:hAnsi="Arial Narrow"/>
        </w:rPr>
      </w:pPr>
    </w:p>
    <w:p w:rsidR="001D62F6" w:rsidRPr="001D62F6" w:rsidRDefault="001D62F6" w:rsidP="001D62F6">
      <w:pPr>
        <w:pStyle w:val="ListParagraph"/>
        <w:spacing w:line="480" w:lineRule="auto"/>
        <w:ind w:left="540"/>
        <w:jc w:val="both"/>
        <w:rPr>
          <w:rFonts w:ascii="Arial Narrow" w:hAnsi="Arial Narrow" w:cs="Times New Roman"/>
        </w:rPr>
      </w:pPr>
    </w:p>
    <w:p w:rsidR="00911C92" w:rsidRDefault="00F36712" w:rsidP="001D62F6">
      <w:pPr>
        <w:pStyle w:val="ListParagraph"/>
        <w:spacing w:line="480" w:lineRule="auto"/>
        <w:ind w:left="0" w:firstLine="567"/>
        <w:jc w:val="both"/>
        <w:rPr>
          <w:rFonts w:ascii="Arial Narrow" w:hAnsi="Arial Narrow" w:cs="Times New Roman"/>
        </w:rPr>
      </w:pPr>
      <w:r>
        <w:rPr>
          <w:rFonts w:ascii="Arial Narrow" w:hAnsi="Arial Narrow" w:cs="Times New Roman"/>
          <w:noProof/>
        </w:rPr>
        <w:pict>
          <v:rect id="_x0000_s1027" style="position:absolute;left:0;text-align:left;margin-left:36.8pt;margin-top:44.05pt;width:397.35pt;height:22.85pt;z-index:251661312" strokecolor="black [3213]" strokeweight="1.5pt">
            <v:textbox>
              <w:txbxContent>
                <w:p w:rsidR="00443827" w:rsidRDefault="00443827" w:rsidP="001D62F6">
                  <w:pPr>
                    <w:jc w:val="center"/>
                  </w:pPr>
                  <w:r w:rsidRPr="00DB036B">
                    <w:rPr>
                      <w:b/>
                      <w:sz w:val="24"/>
                      <w:szCs w:val="24"/>
                    </w:rPr>
                    <w:t>MVA = (Saham beredar) (Harga saham) – Total Ekuitas saham biasa</w:t>
                  </w:r>
                </w:p>
              </w:txbxContent>
            </v:textbox>
          </v:rect>
        </w:pict>
      </w:r>
      <w:r w:rsidR="001D62F6" w:rsidRPr="001D62F6">
        <w:rPr>
          <w:rFonts w:ascii="Arial Narrow" w:hAnsi="Arial Narrow" w:cs="Times New Roman"/>
        </w:rPr>
        <w:t xml:space="preserve">Sedangkan perhitungan </w:t>
      </w:r>
      <w:r w:rsidR="001D62F6" w:rsidRPr="001D62F6">
        <w:rPr>
          <w:rFonts w:ascii="Arial Narrow" w:hAnsi="Arial Narrow" w:cs="Times New Roman"/>
          <w:i/>
        </w:rPr>
        <w:t>Market Value Added</w:t>
      </w:r>
      <w:r w:rsidR="001D62F6" w:rsidRPr="001D62F6">
        <w:rPr>
          <w:rFonts w:ascii="Arial Narrow" w:hAnsi="Arial Narrow" w:cs="Times New Roman"/>
        </w:rPr>
        <w:t xml:space="preserve"> (MVA) menurut Brigham &amp; Houston ( 2010:50 ), yaitu sebagai berikut </w:t>
      </w:r>
    </w:p>
    <w:p w:rsidR="001D62F6" w:rsidRPr="001D62F6" w:rsidRDefault="001D62F6" w:rsidP="001D62F6">
      <w:pPr>
        <w:pStyle w:val="ListParagraph"/>
        <w:spacing w:line="480" w:lineRule="auto"/>
        <w:ind w:left="0" w:firstLine="567"/>
        <w:jc w:val="both"/>
        <w:rPr>
          <w:rFonts w:ascii="Arial Narrow" w:hAnsi="Arial Narrow" w:cs="Times New Roman"/>
        </w:rPr>
      </w:pPr>
      <w:r w:rsidRPr="001D62F6">
        <w:rPr>
          <w:rFonts w:ascii="Arial Narrow" w:hAnsi="Arial Narrow" w:cs="Times New Roman"/>
        </w:rPr>
        <w:t>:</w:t>
      </w:r>
    </w:p>
    <w:p w:rsidR="000C2F39" w:rsidRPr="00E83FC2" w:rsidRDefault="000C2F39" w:rsidP="00A25574">
      <w:pPr>
        <w:spacing w:line="360" w:lineRule="auto"/>
        <w:jc w:val="both"/>
        <w:rPr>
          <w:rFonts w:ascii="Arial Narrow" w:hAnsi="Arial Narrow"/>
          <w:b/>
        </w:rPr>
      </w:pPr>
      <w:r w:rsidRPr="00E83FC2">
        <w:rPr>
          <w:rFonts w:ascii="Arial Narrow" w:hAnsi="Arial Narrow"/>
          <w:b/>
        </w:rPr>
        <w:t>METODE PENELITIAN</w:t>
      </w:r>
    </w:p>
    <w:p w:rsidR="00E83FC2" w:rsidRDefault="00E83FC2" w:rsidP="00A25574">
      <w:pPr>
        <w:spacing w:after="160" w:line="360" w:lineRule="auto"/>
        <w:rPr>
          <w:rFonts w:ascii="Arial Narrow" w:hAnsi="Arial Narrow"/>
          <w:b/>
        </w:rPr>
      </w:pPr>
      <w:r w:rsidRPr="00E83FC2">
        <w:rPr>
          <w:rFonts w:ascii="Arial Narrow" w:hAnsi="Arial Narrow"/>
          <w:b/>
        </w:rPr>
        <w:t>Rancangan Penelitian</w:t>
      </w:r>
    </w:p>
    <w:p w:rsidR="00E83FC2" w:rsidRPr="00E83FC2" w:rsidRDefault="00E83FC2" w:rsidP="00A25574">
      <w:pPr>
        <w:spacing w:after="160" w:line="360" w:lineRule="auto"/>
        <w:ind w:firstLine="567"/>
        <w:jc w:val="both"/>
        <w:rPr>
          <w:rFonts w:ascii="Arial Narrow" w:hAnsi="Arial Narrow"/>
          <w:b/>
        </w:rPr>
      </w:pPr>
      <w:r w:rsidRPr="00E83FC2">
        <w:rPr>
          <w:rFonts w:ascii="Arial Narrow" w:hAnsi="Arial Narrow"/>
        </w:rPr>
        <w:t xml:space="preserve">Rancangan penelitian ini adalah dengan menggunakan pendekatan kuantitatif. Pendekatan ini penulis berusaha untuk memahami analisis kinerja keuangan dengan menggunakan metode </w:t>
      </w:r>
      <w:r w:rsidRPr="00E83FC2">
        <w:rPr>
          <w:rFonts w:ascii="Arial Narrow" w:hAnsi="Arial Narrow"/>
          <w:i/>
        </w:rPr>
        <w:t xml:space="preserve">Economic Value Added </w:t>
      </w:r>
      <w:r w:rsidRPr="00E83FC2">
        <w:rPr>
          <w:rFonts w:ascii="Arial Narrow" w:hAnsi="Arial Narrow"/>
        </w:rPr>
        <w:t xml:space="preserve">(EVA). Penelitian kasus atau studi kasus </w:t>
      </w:r>
      <w:r w:rsidRPr="00E83FC2">
        <w:rPr>
          <w:rFonts w:ascii="Arial Narrow" w:hAnsi="Arial Narrow"/>
          <w:i/>
        </w:rPr>
        <w:t xml:space="preserve">(case study), </w:t>
      </w:r>
      <w:r w:rsidRPr="00E83FC2">
        <w:rPr>
          <w:rFonts w:ascii="Arial Narrow" w:hAnsi="Arial Narrow"/>
        </w:rPr>
        <w:t>yang merupakan tipe pendekatan dalam penelitian yang penjabarannya kepada satu kasus yang dilakukan secara intensif, mendetail dan komprehensif.</w:t>
      </w:r>
    </w:p>
    <w:p w:rsidR="00E83FC2" w:rsidRPr="00E83FC2" w:rsidRDefault="00E83FC2" w:rsidP="00A25574">
      <w:pPr>
        <w:tabs>
          <w:tab w:val="left" w:pos="851"/>
          <w:tab w:val="left" w:pos="1418"/>
        </w:tabs>
        <w:adjustRightInd w:val="0"/>
        <w:spacing w:before="240" w:line="360" w:lineRule="auto"/>
        <w:ind w:right="49"/>
        <w:jc w:val="both"/>
        <w:rPr>
          <w:rFonts w:ascii="Arial Narrow" w:hAnsi="Arial Narrow"/>
          <w:b/>
        </w:rPr>
      </w:pPr>
      <w:r w:rsidRPr="00E83FC2">
        <w:rPr>
          <w:rFonts w:ascii="Arial Narrow" w:hAnsi="Arial Narrow"/>
          <w:b/>
        </w:rPr>
        <w:t>Jenis dan Sumber Dat</w:t>
      </w:r>
      <w:r w:rsidR="00911C92">
        <w:rPr>
          <w:rFonts w:ascii="Arial Narrow" w:hAnsi="Arial Narrow"/>
          <w:b/>
        </w:rPr>
        <w:t>a</w:t>
      </w:r>
    </w:p>
    <w:p w:rsidR="00E83FC2" w:rsidRPr="00E83FC2" w:rsidRDefault="00E83FC2" w:rsidP="00A25574">
      <w:pPr>
        <w:pStyle w:val="ListParagraph"/>
        <w:tabs>
          <w:tab w:val="left" w:pos="426"/>
        </w:tabs>
        <w:spacing w:line="360" w:lineRule="auto"/>
        <w:ind w:left="0" w:firstLine="567"/>
        <w:jc w:val="both"/>
        <w:rPr>
          <w:rFonts w:ascii="Arial Narrow" w:hAnsi="Arial Narrow" w:cs="Times New Roman"/>
        </w:rPr>
      </w:pPr>
      <w:r w:rsidRPr="00E83FC2">
        <w:rPr>
          <w:rFonts w:ascii="Arial Narrow" w:hAnsi="Arial Narrow" w:cs="Times New Roman"/>
        </w:rPr>
        <w:t xml:space="preserve">Penelitian ini menggunakan jenis data kuantitatif yaitu laporan keuangan perusahaan PT Betonjaya Manunggal, Tbk yang tercatat di Bursa Efek Indonesia berupa neraca dan laporan laba rugi tahun 2014-2018. </w:t>
      </w:r>
    </w:p>
    <w:p w:rsidR="00E83FC2" w:rsidRPr="00E83FC2" w:rsidRDefault="00E83FC2" w:rsidP="00A25574">
      <w:pPr>
        <w:pStyle w:val="ListParagraph"/>
        <w:tabs>
          <w:tab w:val="left" w:pos="567"/>
        </w:tabs>
        <w:spacing w:line="360" w:lineRule="auto"/>
        <w:ind w:left="0" w:firstLine="567"/>
        <w:jc w:val="both"/>
        <w:rPr>
          <w:rFonts w:ascii="Arial Narrow" w:hAnsi="Arial Narrow"/>
        </w:rPr>
      </w:pPr>
      <w:r w:rsidRPr="00E83FC2">
        <w:rPr>
          <w:rFonts w:ascii="Arial Narrow" w:hAnsi="Arial Narrow" w:cs="Times New Roman"/>
        </w:rPr>
        <w:t xml:space="preserve">Sumber data yang digunakan dalam penelitian ini adalah data sekunder yang sudah dibuat oleh perusahaan dan telah diaudit. Data tersebut diperoleh melalui website resmi Bursa Efek Indonesia : </w:t>
      </w:r>
      <w:hyperlink r:id="rId10" w:history="1">
        <w:r w:rsidRPr="00E83FC2">
          <w:rPr>
            <w:rStyle w:val="Hyperlink"/>
            <w:rFonts w:ascii="Arial Narrow" w:hAnsi="Arial Narrow"/>
          </w:rPr>
          <w:t>www.idx.co.id</w:t>
        </w:r>
      </w:hyperlink>
    </w:p>
    <w:p w:rsidR="00521340" w:rsidRPr="00521340" w:rsidRDefault="00E83FC2" w:rsidP="00A25574">
      <w:pPr>
        <w:tabs>
          <w:tab w:val="left" w:pos="709"/>
          <w:tab w:val="left" w:pos="851"/>
          <w:tab w:val="left" w:pos="1276"/>
        </w:tabs>
        <w:adjustRightInd w:val="0"/>
        <w:spacing w:before="240" w:line="360" w:lineRule="auto"/>
        <w:ind w:right="49"/>
        <w:jc w:val="both"/>
        <w:rPr>
          <w:rFonts w:ascii="Arial Narrow" w:hAnsi="Arial Narrow"/>
          <w:b/>
        </w:rPr>
      </w:pPr>
      <w:r w:rsidRPr="00521340">
        <w:rPr>
          <w:rFonts w:ascii="Arial Narrow" w:hAnsi="Arial Narrow"/>
          <w:b/>
        </w:rPr>
        <w:lastRenderedPageBreak/>
        <w:t>Teknik Pengumpulan Data</w:t>
      </w:r>
    </w:p>
    <w:p w:rsidR="00521340" w:rsidRPr="00521340" w:rsidRDefault="00A044C8" w:rsidP="00A25574">
      <w:pPr>
        <w:pStyle w:val="ListParagraph"/>
        <w:spacing w:line="360" w:lineRule="auto"/>
        <w:ind w:left="0" w:firstLine="567"/>
        <w:jc w:val="both"/>
        <w:rPr>
          <w:rFonts w:ascii="Arial Narrow" w:hAnsi="Arial Narrow" w:cs="Times New Roman"/>
        </w:rPr>
      </w:pPr>
      <w:r w:rsidRPr="00521340">
        <w:rPr>
          <w:rFonts w:ascii="Arial Narrow" w:hAnsi="Arial Narrow"/>
          <w:b/>
          <w:lang w:val="id-ID"/>
        </w:rPr>
        <w:tab/>
      </w:r>
      <w:r w:rsidR="00521340" w:rsidRPr="00521340">
        <w:rPr>
          <w:rFonts w:ascii="Arial Narrow" w:hAnsi="Arial Narrow" w:cs="Times New Roman"/>
        </w:rPr>
        <w:t>Teknik pengumpulan data yang diperlukan untuk penelitian pada perusahaan PT Betonjaya Manunggal, Tbk adalah dokumentasi yaitu suatu usaha untuk memperoleh data sekunder melalui pencarian data dan pencatatan bukti-bukti yang sudah didokumentasikan sesuai permasalahan dalam penelitian ini.</w:t>
      </w:r>
    </w:p>
    <w:p w:rsidR="00521340" w:rsidRPr="00521340" w:rsidRDefault="00E83FC2" w:rsidP="00A25574">
      <w:pPr>
        <w:tabs>
          <w:tab w:val="left" w:pos="709"/>
          <w:tab w:val="left" w:pos="851"/>
          <w:tab w:val="left" w:pos="1276"/>
        </w:tabs>
        <w:adjustRightInd w:val="0"/>
        <w:spacing w:before="240" w:line="360" w:lineRule="auto"/>
        <w:ind w:right="49"/>
        <w:jc w:val="both"/>
        <w:rPr>
          <w:rFonts w:ascii="Arial Narrow" w:hAnsi="Arial Narrow"/>
          <w:b/>
        </w:rPr>
      </w:pPr>
      <w:r w:rsidRPr="00521340">
        <w:rPr>
          <w:rFonts w:ascii="Arial Narrow" w:hAnsi="Arial Narrow"/>
          <w:b/>
        </w:rPr>
        <w:t>Populasi dan Sampel</w:t>
      </w:r>
    </w:p>
    <w:p w:rsidR="00EA1F7B" w:rsidRPr="00911C92" w:rsidRDefault="00521340" w:rsidP="00911C92">
      <w:pPr>
        <w:pStyle w:val="ListParagraph"/>
        <w:spacing w:line="360" w:lineRule="auto"/>
        <w:ind w:left="0" w:firstLine="567"/>
        <w:jc w:val="both"/>
        <w:rPr>
          <w:rFonts w:ascii="Arial Narrow" w:hAnsi="Arial Narrow" w:cs="Times New Roman"/>
        </w:rPr>
      </w:pPr>
      <w:r w:rsidRPr="00521340">
        <w:rPr>
          <w:rFonts w:ascii="Arial Narrow" w:hAnsi="Arial Narrow" w:cs="Times New Roman"/>
        </w:rPr>
        <w:t>Populasi dalam penelitian ini adalah PT Betonjaya Manunggal, Tbk yang terdaftar di Bursa Efek Indonesia dan sampel penelitian ini adalah laporan keuangan PT Betonjaya Manunggal, Tbk. Periode laporan yang diteliti adalah tahun 2014-2018 dan laporan keuangan tersebut sudah diaudit oleh auditor independen setiap tahunnya. Sehingga hasil penelitian ini dapat memberikan gambaran yang jelas terkait rasio keuangan dan kinerja keuangan perusahaan.</w:t>
      </w:r>
    </w:p>
    <w:p w:rsidR="002D3174" w:rsidRPr="00911C92" w:rsidRDefault="000C2F39" w:rsidP="00911C92">
      <w:pPr>
        <w:spacing w:line="360" w:lineRule="auto"/>
        <w:rPr>
          <w:rFonts w:ascii="Arial Narrow" w:hAnsi="Arial Narrow"/>
          <w:b/>
        </w:rPr>
      </w:pPr>
      <w:r w:rsidRPr="000C2F39">
        <w:rPr>
          <w:rFonts w:ascii="Arial Narrow" w:hAnsi="Arial Narrow"/>
          <w:b/>
        </w:rPr>
        <w:t>HASIL PENELITIAN DAN PEMBAHASAN</w:t>
      </w:r>
    </w:p>
    <w:p w:rsidR="00443827" w:rsidRDefault="00443827" w:rsidP="00A25574">
      <w:pPr>
        <w:spacing w:after="160" w:line="360" w:lineRule="auto"/>
        <w:rPr>
          <w:rFonts w:ascii="Arial Narrow" w:hAnsi="Arial Narrow"/>
          <w:b/>
        </w:rPr>
      </w:pPr>
      <w:r w:rsidRPr="00443827">
        <w:rPr>
          <w:rFonts w:ascii="Arial Narrow" w:hAnsi="Arial Narrow"/>
          <w:b/>
        </w:rPr>
        <w:t>Gambaran Umum Penelitian</w:t>
      </w:r>
    </w:p>
    <w:p w:rsidR="00443827" w:rsidRPr="00443827" w:rsidRDefault="00443827" w:rsidP="00A25574">
      <w:pPr>
        <w:pStyle w:val="ListParagraph"/>
        <w:spacing w:line="360" w:lineRule="auto"/>
        <w:ind w:left="0" w:firstLine="567"/>
        <w:jc w:val="both"/>
        <w:rPr>
          <w:rFonts w:ascii="Arial Narrow" w:hAnsi="Arial Narrow" w:cs="Times New Roman"/>
        </w:rPr>
      </w:pPr>
      <w:r w:rsidRPr="00443827">
        <w:rPr>
          <w:rFonts w:ascii="Arial Narrow" w:hAnsi="Arial Narrow" w:cs="Times New Roman"/>
        </w:rPr>
        <w:t xml:space="preserve">PT Betonjaya Manunggal, Tbk didirikan pada tanggal 27 Februari 1995 berdasarkan akta No. 116 Notaris Suyati Subadi, SH, di Gresik. Menteri Kehakiman Republik Indonesia telah mengesahkan akta tersebut melalui surat keputusan No. C2-10.173.HT.01.01. th.95 pada tanggal 16 Agustus 1995 dan diumumkan dalam Berita Negara No.18 tanggal 01 Maret 1996. Anggaran dasar telah beberapa kali mengalami perubahan. Perubahan terakhir tercatat di Akta Notaris Dian Silviyana Khusnarini, SH. No. 54 tanggal 26 Juni 2014, tentang perubahan susunan Dewan Komisaris dan Direksi. Akta tersebut telah diberitahukan kepada Menteri Hukum dan Hak Asasi Manusia (HAM) No. AHU-19626.40.22.2014 tanggal 15 Juli 2014. Perusahaan perseroan ini menjadi perusahaan public sejak tahun 2001 dan tercatat di Bursa Efek Indonesia. Ruang lingkup operasional perusahaan sesuai dengan Anggaran Dasar Perseroan meliputi bidang industry besi dan baja. PT Betonjaya Manunggal, Tbk resmi beroperasi secara komersial mulai bulan Mei tahun 1996 dan memproduksi besi beton polos ukuran 6-12 mm dengan kapasitas terpasang sebesar 45.000 ton bahan baku </w:t>
      </w:r>
      <w:r w:rsidRPr="00443827">
        <w:rPr>
          <w:rFonts w:ascii="Arial Narrow" w:hAnsi="Arial Narrow" w:cs="Times New Roman"/>
          <w:i/>
        </w:rPr>
        <w:t xml:space="preserve">(waste plate) </w:t>
      </w:r>
      <w:r w:rsidRPr="00443827">
        <w:rPr>
          <w:rFonts w:ascii="Arial Narrow" w:hAnsi="Arial Narrow" w:cs="Times New Roman"/>
        </w:rPr>
        <w:t xml:space="preserve"> per tahun.</w:t>
      </w:r>
    </w:p>
    <w:p w:rsidR="00443827" w:rsidRPr="00443827" w:rsidRDefault="00443827" w:rsidP="00A25574">
      <w:pPr>
        <w:spacing w:after="160" w:line="360" w:lineRule="auto"/>
        <w:rPr>
          <w:rFonts w:ascii="Arial Narrow" w:hAnsi="Arial Narrow"/>
          <w:b/>
        </w:rPr>
      </w:pPr>
      <w:r w:rsidRPr="00443827">
        <w:rPr>
          <w:rFonts w:ascii="Arial Narrow" w:hAnsi="Arial Narrow"/>
          <w:b/>
        </w:rPr>
        <w:t>Analisis Data</w:t>
      </w:r>
    </w:p>
    <w:p w:rsidR="00443827" w:rsidRPr="00443827" w:rsidRDefault="00443827" w:rsidP="00A25574">
      <w:pPr>
        <w:spacing w:after="160" w:line="360" w:lineRule="auto"/>
        <w:jc w:val="both"/>
        <w:rPr>
          <w:rFonts w:ascii="Arial Narrow" w:hAnsi="Arial Narrow"/>
          <w:b/>
        </w:rPr>
      </w:pPr>
      <w:r w:rsidRPr="00443827">
        <w:rPr>
          <w:rFonts w:ascii="Arial Narrow" w:hAnsi="Arial Narrow"/>
          <w:b/>
        </w:rPr>
        <w:t xml:space="preserve">Menghitung NOPAT </w:t>
      </w:r>
      <w:r w:rsidRPr="00443827">
        <w:rPr>
          <w:rFonts w:ascii="Arial Narrow" w:hAnsi="Arial Narrow"/>
          <w:b/>
          <w:i/>
        </w:rPr>
        <w:t>(Net Operating After Tax)</w:t>
      </w:r>
    </w:p>
    <w:p w:rsidR="00443827" w:rsidRPr="00443827" w:rsidRDefault="00443827" w:rsidP="00A25574">
      <w:pPr>
        <w:pStyle w:val="ListParagraph"/>
        <w:spacing w:line="360" w:lineRule="auto"/>
        <w:ind w:left="0" w:firstLine="425"/>
        <w:jc w:val="both"/>
        <w:rPr>
          <w:rFonts w:ascii="Arial Narrow" w:hAnsi="Arial Narrow" w:cs="Times New Roman"/>
        </w:rPr>
      </w:pPr>
      <w:r w:rsidRPr="00443827">
        <w:rPr>
          <w:rFonts w:ascii="Arial Narrow" w:hAnsi="Arial Narrow" w:cs="Times New Roman"/>
        </w:rPr>
        <w:t>Dalam laporan laba rugi komprehensif PT Betonjaya Manunggal, Tbk untuk tahun yang berakhir 31 Desember 2014, 31 Desember 2015, 31 Desember 2016, 31 Desember 2017 dan 31 Desember 2018, maka diketahui laba rugi usaha, pajak dan NOPAT PT Betonjaya Manunggal, Tbk.</w:t>
      </w:r>
    </w:p>
    <w:p w:rsidR="00443827" w:rsidRPr="00443827" w:rsidRDefault="00443827" w:rsidP="00443827">
      <w:pPr>
        <w:pStyle w:val="ListParagraph"/>
        <w:spacing w:line="240" w:lineRule="auto"/>
        <w:ind w:left="0" w:firstLine="425"/>
        <w:jc w:val="center"/>
        <w:rPr>
          <w:rFonts w:ascii="Arial Narrow" w:hAnsi="Arial Narrow" w:cs="Times New Roman"/>
          <w:i/>
        </w:rPr>
      </w:pPr>
      <w:r w:rsidRPr="00443827">
        <w:rPr>
          <w:rFonts w:ascii="Arial Narrow" w:hAnsi="Arial Narrow" w:cs="Times New Roman"/>
        </w:rPr>
        <w:t xml:space="preserve">Tabel 1. </w:t>
      </w:r>
      <w:r w:rsidRPr="00443827">
        <w:rPr>
          <w:rFonts w:ascii="Arial Narrow" w:hAnsi="Arial Narrow" w:cs="Times New Roman"/>
          <w:i/>
        </w:rPr>
        <w:t>Net Operating After Tax</w:t>
      </w:r>
    </w:p>
    <w:tbl>
      <w:tblPr>
        <w:tblStyle w:val="TableGrid"/>
        <w:tblW w:w="7088" w:type="dxa"/>
        <w:tblInd w:w="1300" w:type="dxa"/>
        <w:tblLook w:val="04A0"/>
      </w:tblPr>
      <w:tblGrid>
        <w:gridCol w:w="993"/>
        <w:gridCol w:w="2212"/>
        <w:gridCol w:w="2091"/>
        <w:gridCol w:w="1792"/>
      </w:tblGrid>
      <w:tr w:rsidR="00443827" w:rsidRPr="00443827" w:rsidTr="00443827">
        <w:trPr>
          <w:trHeight w:val="355"/>
        </w:trPr>
        <w:tc>
          <w:tcPr>
            <w:tcW w:w="993" w:type="dxa"/>
            <w:vAlign w:val="center"/>
          </w:tcPr>
          <w:p w:rsidR="00443827" w:rsidRPr="00443827" w:rsidRDefault="00443827" w:rsidP="00443827">
            <w:pPr>
              <w:jc w:val="center"/>
              <w:rPr>
                <w:rFonts w:ascii="Arial Narrow" w:hAnsi="Arial Narrow"/>
              </w:rPr>
            </w:pPr>
            <w:r w:rsidRPr="00443827">
              <w:rPr>
                <w:rFonts w:ascii="Arial Narrow" w:hAnsi="Arial Narrow"/>
              </w:rPr>
              <w:t>Tahun</w:t>
            </w:r>
          </w:p>
        </w:tc>
        <w:tc>
          <w:tcPr>
            <w:tcW w:w="2212" w:type="dxa"/>
            <w:vAlign w:val="center"/>
          </w:tcPr>
          <w:p w:rsidR="00443827" w:rsidRPr="00443827" w:rsidRDefault="00443827" w:rsidP="00443827">
            <w:pPr>
              <w:jc w:val="center"/>
              <w:rPr>
                <w:rFonts w:ascii="Arial Narrow" w:hAnsi="Arial Narrow"/>
              </w:rPr>
            </w:pPr>
            <w:r w:rsidRPr="00443827">
              <w:rPr>
                <w:rFonts w:ascii="Arial Narrow" w:hAnsi="Arial Narrow"/>
              </w:rPr>
              <w:t>Laba Rugi Usaha</w:t>
            </w:r>
          </w:p>
        </w:tc>
        <w:tc>
          <w:tcPr>
            <w:tcW w:w="2091" w:type="dxa"/>
            <w:vAlign w:val="center"/>
          </w:tcPr>
          <w:p w:rsidR="00443827" w:rsidRPr="00443827" w:rsidRDefault="00443827" w:rsidP="00443827">
            <w:pPr>
              <w:jc w:val="center"/>
              <w:rPr>
                <w:rFonts w:ascii="Arial Narrow" w:hAnsi="Arial Narrow"/>
              </w:rPr>
            </w:pPr>
            <w:r w:rsidRPr="00443827">
              <w:rPr>
                <w:rFonts w:ascii="Arial Narrow" w:hAnsi="Arial Narrow"/>
              </w:rPr>
              <w:t>Pajak</w:t>
            </w:r>
          </w:p>
        </w:tc>
        <w:tc>
          <w:tcPr>
            <w:tcW w:w="1792" w:type="dxa"/>
            <w:vAlign w:val="center"/>
          </w:tcPr>
          <w:p w:rsidR="00443827" w:rsidRPr="00443827" w:rsidRDefault="00443827" w:rsidP="00443827">
            <w:pPr>
              <w:jc w:val="center"/>
              <w:rPr>
                <w:rFonts w:ascii="Arial Narrow" w:hAnsi="Arial Narrow"/>
              </w:rPr>
            </w:pPr>
            <w:r w:rsidRPr="00443827">
              <w:rPr>
                <w:rFonts w:ascii="Arial Narrow" w:hAnsi="Arial Narrow"/>
              </w:rPr>
              <w:t>NOPAT</w:t>
            </w:r>
          </w:p>
        </w:tc>
      </w:tr>
      <w:tr w:rsidR="00443827" w:rsidRPr="00443827" w:rsidTr="00443827">
        <w:trPr>
          <w:trHeight w:val="367"/>
        </w:trPr>
        <w:tc>
          <w:tcPr>
            <w:tcW w:w="993" w:type="dxa"/>
            <w:vAlign w:val="center"/>
          </w:tcPr>
          <w:p w:rsidR="00443827" w:rsidRPr="00443827" w:rsidRDefault="00443827" w:rsidP="00443827">
            <w:pPr>
              <w:jc w:val="center"/>
              <w:rPr>
                <w:rFonts w:ascii="Arial Narrow" w:hAnsi="Arial Narrow"/>
              </w:rPr>
            </w:pPr>
            <w:r w:rsidRPr="00443827">
              <w:rPr>
                <w:rFonts w:ascii="Arial Narrow" w:hAnsi="Arial Narrow"/>
              </w:rPr>
              <w:t>2014</w:t>
            </w:r>
          </w:p>
        </w:tc>
        <w:tc>
          <w:tcPr>
            <w:tcW w:w="2212" w:type="dxa"/>
            <w:vAlign w:val="center"/>
          </w:tcPr>
          <w:p w:rsidR="00443827" w:rsidRPr="00443827" w:rsidRDefault="00443827" w:rsidP="00443827">
            <w:pPr>
              <w:jc w:val="center"/>
              <w:rPr>
                <w:rFonts w:ascii="Arial Narrow" w:hAnsi="Arial Narrow"/>
              </w:rPr>
            </w:pPr>
            <w:r w:rsidRPr="00443827">
              <w:rPr>
                <w:rFonts w:ascii="Arial Narrow" w:hAnsi="Arial Narrow"/>
              </w:rPr>
              <w:t>9.836.319.832</w:t>
            </w:r>
          </w:p>
        </w:tc>
        <w:tc>
          <w:tcPr>
            <w:tcW w:w="2091" w:type="dxa"/>
            <w:vAlign w:val="center"/>
          </w:tcPr>
          <w:p w:rsidR="00443827" w:rsidRPr="00443827" w:rsidRDefault="00443827" w:rsidP="00443827">
            <w:pPr>
              <w:jc w:val="center"/>
              <w:rPr>
                <w:rFonts w:ascii="Arial Narrow" w:hAnsi="Arial Narrow"/>
              </w:rPr>
            </w:pPr>
            <w:r w:rsidRPr="00443827">
              <w:rPr>
                <w:rFonts w:ascii="Arial Narrow" w:hAnsi="Arial Narrow"/>
              </w:rPr>
              <w:t>2.013.514.722</w:t>
            </w:r>
          </w:p>
        </w:tc>
        <w:tc>
          <w:tcPr>
            <w:tcW w:w="1792" w:type="dxa"/>
            <w:vAlign w:val="center"/>
          </w:tcPr>
          <w:p w:rsidR="00443827" w:rsidRPr="00443827" w:rsidRDefault="00443827" w:rsidP="00443827">
            <w:pPr>
              <w:jc w:val="center"/>
              <w:rPr>
                <w:rFonts w:ascii="Arial Narrow" w:hAnsi="Arial Narrow"/>
              </w:rPr>
            </w:pPr>
            <w:r w:rsidRPr="00443827">
              <w:rPr>
                <w:rFonts w:ascii="Arial Narrow" w:hAnsi="Arial Narrow"/>
              </w:rPr>
              <w:t>7.822.805.110</w:t>
            </w:r>
          </w:p>
        </w:tc>
      </w:tr>
      <w:tr w:rsidR="00443827" w:rsidRPr="00443827" w:rsidTr="00443827">
        <w:trPr>
          <w:trHeight w:val="429"/>
        </w:trPr>
        <w:tc>
          <w:tcPr>
            <w:tcW w:w="993" w:type="dxa"/>
            <w:vAlign w:val="center"/>
          </w:tcPr>
          <w:p w:rsidR="00443827" w:rsidRPr="00443827" w:rsidRDefault="00443827" w:rsidP="00443827">
            <w:pPr>
              <w:jc w:val="center"/>
              <w:rPr>
                <w:rFonts w:ascii="Arial Narrow" w:hAnsi="Arial Narrow"/>
              </w:rPr>
            </w:pPr>
            <w:r w:rsidRPr="00443827">
              <w:rPr>
                <w:rFonts w:ascii="Arial Narrow" w:hAnsi="Arial Narrow"/>
              </w:rPr>
              <w:lastRenderedPageBreak/>
              <w:t>2015</w:t>
            </w:r>
          </w:p>
        </w:tc>
        <w:tc>
          <w:tcPr>
            <w:tcW w:w="2212" w:type="dxa"/>
            <w:vAlign w:val="center"/>
          </w:tcPr>
          <w:p w:rsidR="00443827" w:rsidRPr="00443827" w:rsidRDefault="00443827" w:rsidP="00443827">
            <w:pPr>
              <w:jc w:val="center"/>
              <w:rPr>
                <w:rFonts w:ascii="Arial Narrow" w:hAnsi="Arial Narrow"/>
              </w:rPr>
            </w:pPr>
            <w:r w:rsidRPr="00443827">
              <w:rPr>
                <w:rFonts w:ascii="Arial Narrow" w:hAnsi="Arial Narrow"/>
              </w:rPr>
              <w:t>7.481.432.306</w:t>
            </w:r>
          </w:p>
        </w:tc>
        <w:tc>
          <w:tcPr>
            <w:tcW w:w="2091" w:type="dxa"/>
            <w:vAlign w:val="center"/>
          </w:tcPr>
          <w:p w:rsidR="00443827" w:rsidRPr="00443827" w:rsidRDefault="00443827" w:rsidP="00443827">
            <w:pPr>
              <w:jc w:val="center"/>
              <w:rPr>
                <w:rFonts w:ascii="Arial Narrow" w:hAnsi="Arial Narrow"/>
              </w:rPr>
            </w:pPr>
            <w:r w:rsidRPr="00443827">
              <w:rPr>
                <w:rFonts w:ascii="Arial Narrow" w:hAnsi="Arial Narrow"/>
              </w:rPr>
              <w:t>1.658.897.472</w:t>
            </w:r>
          </w:p>
        </w:tc>
        <w:tc>
          <w:tcPr>
            <w:tcW w:w="1792" w:type="dxa"/>
            <w:vAlign w:val="center"/>
          </w:tcPr>
          <w:p w:rsidR="00443827" w:rsidRPr="00443827" w:rsidRDefault="00443827" w:rsidP="00443827">
            <w:pPr>
              <w:jc w:val="center"/>
              <w:rPr>
                <w:rFonts w:ascii="Arial Narrow" w:hAnsi="Arial Narrow"/>
              </w:rPr>
            </w:pPr>
            <w:r w:rsidRPr="00443827">
              <w:rPr>
                <w:rFonts w:ascii="Arial Narrow" w:hAnsi="Arial Narrow"/>
              </w:rPr>
              <w:t>5.822.534.834</w:t>
            </w:r>
          </w:p>
        </w:tc>
      </w:tr>
      <w:tr w:rsidR="00443827" w:rsidRPr="00443827" w:rsidTr="00443827">
        <w:trPr>
          <w:trHeight w:val="407"/>
        </w:trPr>
        <w:tc>
          <w:tcPr>
            <w:tcW w:w="993" w:type="dxa"/>
            <w:vAlign w:val="center"/>
          </w:tcPr>
          <w:p w:rsidR="00443827" w:rsidRPr="00443827" w:rsidRDefault="00443827" w:rsidP="00443827">
            <w:pPr>
              <w:jc w:val="center"/>
              <w:rPr>
                <w:rFonts w:ascii="Arial Narrow" w:hAnsi="Arial Narrow"/>
              </w:rPr>
            </w:pPr>
            <w:r w:rsidRPr="00443827">
              <w:rPr>
                <w:rFonts w:ascii="Arial Narrow" w:hAnsi="Arial Narrow"/>
              </w:rPr>
              <w:t>2016</w:t>
            </w:r>
          </w:p>
        </w:tc>
        <w:tc>
          <w:tcPr>
            <w:tcW w:w="2212" w:type="dxa"/>
            <w:vAlign w:val="center"/>
          </w:tcPr>
          <w:p w:rsidR="00443827" w:rsidRPr="00443827" w:rsidRDefault="00443827" w:rsidP="00443827">
            <w:pPr>
              <w:jc w:val="center"/>
              <w:rPr>
                <w:rFonts w:ascii="Arial Narrow" w:hAnsi="Arial Narrow"/>
              </w:rPr>
            </w:pPr>
            <w:r w:rsidRPr="00443827">
              <w:rPr>
                <w:rFonts w:ascii="Arial Narrow" w:hAnsi="Arial Narrow"/>
              </w:rPr>
              <w:t>-  8.030.089.566</w:t>
            </w:r>
          </w:p>
        </w:tc>
        <w:tc>
          <w:tcPr>
            <w:tcW w:w="2091" w:type="dxa"/>
            <w:vAlign w:val="center"/>
          </w:tcPr>
          <w:p w:rsidR="00443827" w:rsidRPr="00443827" w:rsidRDefault="00443827" w:rsidP="00443827">
            <w:pPr>
              <w:jc w:val="center"/>
              <w:rPr>
                <w:rFonts w:ascii="Arial Narrow" w:hAnsi="Arial Narrow"/>
              </w:rPr>
            </w:pPr>
            <w:r w:rsidRPr="00443827">
              <w:rPr>
                <w:rFonts w:ascii="Arial Narrow" w:hAnsi="Arial Narrow"/>
              </w:rPr>
              <w:t>2.458.922.880</w:t>
            </w:r>
          </w:p>
        </w:tc>
        <w:tc>
          <w:tcPr>
            <w:tcW w:w="1792" w:type="dxa"/>
            <w:vAlign w:val="center"/>
          </w:tcPr>
          <w:p w:rsidR="00443827" w:rsidRPr="00443827" w:rsidRDefault="00443827" w:rsidP="00443827">
            <w:pPr>
              <w:jc w:val="center"/>
              <w:rPr>
                <w:rFonts w:ascii="Arial Narrow" w:hAnsi="Arial Narrow"/>
              </w:rPr>
            </w:pPr>
            <w:r w:rsidRPr="00443827">
              <w:rPr>
                <w:rFonts w:ascii="Arial Narrow" w:hAnsi="Arial Narrow"/>
              </w:rPr>
              <w:t>-5.571.166.686</w:t>
            </w:r>
          </w:p>
        </w:tc>
      </w:tr>
      <w:tr w:rsidR="00443827" w:rsidRPr="00443827" w:rsidTr="00443827">
        <w:trPr>
          <w:trHeight w:val="411"/>
        </w:trPr>
        <w:tc>
          <w:tcPr>
            <w:tcW w:w="993" w:type="dxa"/>
            <w:vAlign w:val="center"/>
          </w:tcPr>
          <w:p w:rsidR="00443827" w:rsidRPr="00443827" w:rsidRDefault="00443827" w:rsidP="00443827">
            <w:pPr>
              <w:jc w:val="center"/>
              <w:rPr>
                <w:rFonts w:ascii="Arial Narrow" w:hAnsi="Arial Narrow"/>
              </w:rPr>
            </w:pPr>
            <w:r w:rsidRPr="00443827">
              <w:rPr>
                <w:rFonts w:ascii="Arial Narrow" w:hAnsi="Arial Narrow"/>
              </w:rPr>
              <w:t>2017</w:t>
            </w:r>
          </w:p>
        </w:tc>
        <w:tc>
          <w:tcPr>
            <w:tcW w:w="2212" w:type="dxa"/>
            <w:vAlign w:val="center"/>
          </w:tcPr>
          <w:p w:rsidR="00443827" w:rsidRPr="00443827" w:rsidRDefault="00443827" w:rsidP="00443827">
            <w:pPr>
              <w:jc w:val="center"/>
              <w:rPr>
                <w:rFonts w:ascii="Arial Narrow" w:hAnsi="Arial Narrow"/>
              </w:rPr>
            </w:pPr>
            <w:r w:rsidRPr="00443827">
              <w:rPr>
                <w:rFonts w:ascii="Arial Narrow" w:hAnsi="Arial Narrow"/>
              </w:rPr>
              <w:t>14.597.332.450</w:t>
            </w:r>
          </w:p>
        </w:tc>
        <w:tc>
          <w:tcPr>
            <w:tcW w:w="2091" w:type="dxa"/>
            <w:vAlign w:val="center"/>
          </w:tcPr>
          <w:p w:rsidR="00443827" w:rsidRPr="00443827" w:rsidRDefault="00443827" w:rsidP="00443827">
            <w:pPr>
              <w:jc w:val="center"/>
              <w:rPr>
                <w:rFonts w:ascii="Arial Narrow" w:hAnsi="Arial Narrow"/>
              </w:rPr>
            </w:pPr>
            <w:r w:rsidRPr="00443827">
              <w:rPr>
                <w:rFonts w:ascii="Arial Narrow" w:hAnsi="Arial Narrow"/>
              </w:rPr>
              <w:t>3.491.830.194</w:t>
            </w:r>
          </w:p>
        </w:tc>
        <w:tc>
          <w:tcPr>
            <w:tcW w:w="1792" w:type="dxa"/>
            <w:vAlign w:val="center"/>
          </w:tcPr>
          <w:p w:rsidR="00443827" w:rsidRPr="00443827" w:rsidRDefault="00443827" w:rsidP="00443827">
            <w:pPr>
              <w:jc w:val="center"/>
              <w:rPr>
                <w:rFonts w:ascii="Arial Narrow" w:hAnsi="Arial Narrow"/>
              </w:rPr>
            </w:pPr>
            <w:r w:rsidRPr="00443827">
              <w:rPr>
                <w:rFonts w:ascii="Arial Narrow" w:hAnsi="Arial Narrow"/>
              </w:rPr>
              <w:t>11.105.502.256</w:t>
            </w:r>
          </w:p>
        </w:tc>
      </w:tr>
      <w:tr w:rsidR="00443827" w:rsidRPr="00443827" w:rsidTr="00443827">
        <w:trPr>
          <w:trHeight w:val="412"/>
        </w:trPr>
        <w:tc>
          <w:tcPr>
            <w:tcW w:w="993" w:type="dxa"/>
            <w:vAlign w:val="center"/>
          </w:tcPr>
          <w:p w:rsidR="00443827" w:rsidRPr="00443827" w:rsidRDefault="00443827" w:rsidP="00443827">
            <w:pPr>
              <w:jc w:val="center"/>
              <w:rPr>
                <w:rFonts w:ascii="Arial Narrow" w:hAnsi="Arial Narrow"/>
              </w:rPr>
            </w:pPr>
            <w:r w:rsidRPr="00443827">
              <w:rPr>
                <w:rFonts w:ascii="Arial Narrow" w:hAnsi="Arial Narrow"/>
              </w:rPr>
              <w:t>2018</w:t>
            </w:r>
          </w:p>
        </w:tc>
        <w:tc>
          <w:tcPr>
            <w:tcW w:w="2212" w:type="dxa"/>
            <w:vAlign w:val="center"/>
          </w:tcPr>
          <w:p w:rsidR="00443827" w:rsidRPr="00443827" w:rsidRDefault="00443827" w:rsidP="00443827">
            <w:pPr>
              <w:jc w:val="center"/>
              <w:rPr>
                <w:rFonts w:ascii="Arial Narrow" w:hAnsi="Arial Narrow"/>
              </w:rPr>
            </w:pPr>
            <w:r w:rsidRPr="00443827">
              <w:rPr>
                <w:rFonts w:ascii="Arial Narrow" w:hAnsi="Arial Narrow"/>
              </w:rPr>
              <w:t>35.096.487.381</w:t>
            </w:r>
          </w:p>
        </w:tc>
        <w:tc>
          <w:tcPr>
            <w:tcW w:w="2091" w:type="dxa"/>
            <w:vAlign w:val="center"/>
          </w:tcPr>
          <w:p w:rsidR="00443827" w:rsidRPr="00443827" w:rsidRDefault="00443827" w:rsidP="00443827">
            <w:pPr>
              <w:jc w:val="center"/>
              <w:rPr>
                <w:rFonts w:ascii="Arial Narrow" w:hAnsi="Arial Narrow"/>
              </w:rPr>
            </w:pPr>
            <w:r w:rsidRPr="00443827">
              <w:rPr>
                <w:rFonts w:ascii="Arial Narrow" w:hAnsi="Arial Narrow"/>
              </w:rPr>
              <w:t>6.580.190.776</w:t>
            </w:r>
          </w:p>
        </w:tc>
        <w:tc>
          <w:tcPr>
            <w:tcW w:w="1792" w:type="dxa"/>
            <w:vAlign w:val="center"/>
          </w:tcPr>
          <w:p w:rsidR="00443827" w:rsidRPr="00443827" w:rsidRDefault="00443827" w:rsidP="00443827">
            <w:pPr>
              <w:jc w:val="center"/>
              <w:rPr>
                <w:rFonts w:ascii="Arial Narrow" w:hAnsi="Arial Narrow"/>
              </w:rPr>
            </w:pPr>
            <w:r w:rsidRPr="00443827">
              <w:rPr>
                <w:rFonts w:ascii="Arial Narrow" w:hAnsi="Arial Narrow"/>
              </w:rPr>
              <w:t>28.516.296.605</w:t>
            </w:r>
          </w:p>
        </w:tc>
      </w:tr>
    </w:tbl>
    <w:p w:rsidR="00443827" w:rsidRPr="00443827" w:rsidRDefault="00443827" w:rsidP="00443827">
      <w:pPr>
        <w:spacing w:line="480" w:lineRule="auto"/>
        <w:ind w:firstLine="720"/>
        <w:rPr>
          <w:rFonts w:ascii="Arial Narrow" w:hAnsi="Arial Narrow"/>
        </w:rPr>
      </w:pPr>
      <w:r>
        <w:rPr>
          <w:rFonts w:ascii="Arial Narrow" w:hAnsi="Arial Narrow"/>
        </w:rPr>
        <w:t xml:space="preserve">         </w:t>
      </w:r>
      <w:r w:rsidRPr="00443827">
        <w:rPr>
          <w:rFonts w:ascii="Arial Narrow" w:hAnsi="Arial Narrow"/>
        </w:rPr>
        <w:t>Sumber : Data olahan</w:t>
      </w:r>
    </w:p>
    <w:p w:rsidR="00443827" w:rsidRPr="00443827" w:rsidRDefault="00443827" w:rsidP="00A25574">
      <w:pPr>
        <w:spacing w:after="160" w:line="360" w:lineRule="auto"/>
        <w:jc w:val="both"/>
        <w:rPr>
          <w:rFonts w:ascii="Arial Narrow" w:hAnsi="Arial Narrow"/>
          <w:b/>
        </w:rPr>
      </w:pPr>
      <w:r w:rsidRPr="00443827">
        <w:rPr>
          <w:rFonts w:ascii="Arial Narrow" w:hAnsi="Arial Narrow"/>
          <w:b/>
        </w:rPr>
        <w:t xml:space="preserve">Menghitung </w:t>
      </w:r>
      <w:r w:rsidRPr="00443827">
        <w:rPr>
          <w:rFonts w:ascii="Arial Narrow" w:hAnsi="Arial Narrow"/>
          <w:b/>
          <w:i/>
        </w:rPr>
        <w:t>Invested Capital</w:t>
      </w:r>
    </w:p>
    <w:p w:rsidR="00443827" w:rsidRPr="00443827" w:rsidRDefault="00443827" w:rsidP="00A25574">
      <w:pPr>
        <w:pStyle w:val="ListParagraph"/>
        <w:spacing w:line="360" w:lineRule="auto"/>
        <w:ind w:left="0" w:firstLine="567"/>
        <w:jc w:val="both"/>
        <w:rPr>
          <w:rFonts w:ascii="Arial Narrow" w:hAnsi="Arial Narrow" w:cs="Times New Roman"/>
        </w:rPr>
      </w:pPr>
      <w:r w:rsidRPr="00443827">
        <w:rPr>
          <w:rFonts w:ascii="Arial Narrow" w:hAnsi="Arial Narrow" w:cs="Times New Roman"/>
        </w:rPr>
        <w:t xml:space="preserve">Setelah mengetahui nilai NOPAT, langkah berikutnya adalah menghitung </w:t>
      </w:r>
      <w:r w:rsidRPr="00443827">
        <w:rPr>
          <w:rFonts w:ascii="Arial Narrow" w:hAnsi="Arial Narrow" w:cs="Times New Roman"/>
          <w:i/>
        </w:rPr>
        <w:t xml:space="preserve">invested capital </w:t>
      </w:r>
      <w:r w:rsidRPr="00443827">
        <w:rPr>
          <w:rFonts w:ascii="Arial Narrow" w:hAnsi="Arial Narrow" w:cs="Times New Roman"/>
        </w:rPr>
        <w:t>dengan cara sebagai berikut :</w:t>
      </w:r>
    </w:p>
    <w:p w:rsidR="00443827" w:rsidRPr="00443827" w:rsidRDefault="00443827" w:rsidP="00A25574">
      <w:pPr>
        <w:spacing w:line="360" w:lineRule="auto"/>
        <w:ind w:firstLine="567"/>
        <w:jc w:val="center"/>
        <w:rPr>
          <w:rFonts w:ascii="Arial Narrow" w:hAnsi="Arial Narrow"/>
          <w:b/>
        </w:rPr>
      </w:pPr>
      <w:r w:rsidRPr="00443827">
        <w:rPr>
          <w:rFonts w:ascii="Arial Narrow" w:hAnsi="Arial Narrow"/>
          <w:b/>
          <w:i/>
        </w:rPr>
        <w:t>Invested Capital</w:t>
      </w:r>
      <w:r w:rsidRPr="00443827">
        <w:rPr>
          <w:rFonts w:ascii="Arial Narrow" w:hAnsi="Arial Narrow"/>
          <w:b/>
        </w:rPr>
        <w:t xml:space="preserve"> = (Total Hutang + Ekuitas) – Hutang Jangka Pendek</w:t>
      </w:r>
    </w:p>
    <w:p w:rsidR="00443827" w:rsidRPr="00443827" w:rsidRDefault="00443827" w:rsidP="00A25574">
      <w:pPr>
        <w:spacing w:line="360" w:lineRule="auto"/>
        <w:ind w:firstLine="567"/>
        <w:jc w:val="both"/>
        <w:rPr>
          <w:rFonts w:ascii="Arial Narrow" w:hAnsi="Arial Narrow"/>
        </w:rPr>
      </w:pPr>
      <w:r w:rsidRPr="00443827">
        <w:rPr>
          <w:rFonts w:ascii="Arial Narrow" w:hAnsi="Arial Narrow"/>
        </w:rPr>
        <w:t xml:space="preserve">Berikut adalah perhitungan </w:t>
      </w:r>
      <w:r w:rsidRPr="00443827">
        <w:rPr>
          <w:rFonts w:ascii="Arial Narrow" w:hAnsi="Arial Narrow"/>
          <w:i/>
        </w:rPr>
        <w:t xml:space="preserve">invested capital </w:t>
      </w:r>
      <w:r w:rsidRPr="00443827">
        <w:rPr>
          <w:rFonts w:ascii="Arial Narrow" w:hAnsi="Arial Narrow"/>
        </w:rPr>
        <w:t>PT Betonjaya Manunggal Tbk, selama tahun 2014 sampai dengan 2018.</w:t>
      </w:r>
    </w:p>
    <w:p w:rsidR="00443827" w:rsidRPr="00443827" w:rsidRDefault="00443827" w:rsidP="00A25574">
      <w:pPr>
        <w:spacing w:line="360" w:lineRule="auto"/>
        <w:ind w:firstLine="567"/>
        <w:jc w:val="center"/>
        <w:rPr>
          <w:rFonts w:ascii="Arial Narrow" w:hAnsi="Arial Narrow"/>
        </w:rPr>
      </w:pPr>
      <w:r w:rsidRPr="00443827">
        <w:rPr>
          <w:rFonts w:ascii="Arial Narrow" w:hAnsi="Arial Narrow"/>
        </w:rPr>
        <w:t xml:space="preserve">Tabel 2. </w:t>
      </w:r>
      <w:r w:rsidRPr="00443827">
        <w:rPr>
          <w:rFonts w:ascii="Arial Narrow" w:hAnsi="Arial Narrow"/>
          <w:i/>
        </w:rPr>
        <w:t>Invested Capital</w:t>
      </w:r>
    </w:p>
    <w:tbl>
      <w:tblPr>
        <w:tblW w:w="7371" w:type="dxa"/>
        <w:tblInd w:w="1101" w:type="dxa"/>
        <w:tblLook w:val="04A0"/>
      </w:tblPr>
      <w:tblGrid>
        <w:gridCol w:w="1134"/>
        <w:gridCol w:w="1984"/>
        <w:gridCol w:w="2185"/>
        <w:gridCol w:w="2068"/>
      </w:tblGrid>
      <w:tr w:rsidR="00443827" w:rsidRPr="00443827" w:rsidTr="00443827">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443827">
            <w:pPr>
              <w:jc w:val="center"/>
              <w:rPr>
                <w:rFonts w:ascii="Arial Narrow" w:hAnsi="Arial Narrow"/>
              </w:rPr>
            </w:pPr>
            <w:r w:rsidRPr="00443827">
              <w:rPr>
                <w:rFonts w:ascii="Arial Narrow" w:hAnsi="Arial Narrow"/>
              </w:rPr>
              <w:t>Tahun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Hutang + Ekuitas</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Hutang Jangka Pendek</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443827" w:rsidRPr="00443827" w:rsidRDefault="00443827" w:rsidP="00443827">
            <w:pPr>
              <w:jc w:val="center"/>
              <w:rPr>
                <w:rFonts w:ascii="Arial Narrow" w:hAnsi="Arial Narrow"/>
                <w:b/>
                <w:bCs/>
                <w:i/>
                <w:iCs/>
              </w:rPr>
            </w:pPr>
            <w:r w:rsidRPr="00443827">
              <w:rPr>
                <w:rFonts w:ascii="Arial Narrow" w:hAnsi="Arial Narrow"/>
                <w:b/>
                <w:bCs/>
                <w:i/>
                <w:iCs/>
              </w:rPr>
              <w:t>Invested Capital</w:t>
            </w:r>
          </w:p>
        </w:tc>
      </w:tr>
      <w:tr w:rsidR="00443827" w:rsidRPr="00443827" w:rsidTr="00443827">
        <w:trPr>
          <w:trHeight w:val="3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443827">
            <w:pPr>
              <w:jc w:val="center"/>
              <w:rPr>
                <w:rFonts w:ascii="Arial Narrow" w:hAnsi="Arial Narrow"/>
              </w:rPr>
            </w:pPr>
            <w:r w:rsidRPr="00443827">
              <w:rPr>
                <w:rFonts w:ascii="Arial Narrow" w:hAnsi="Arial Narrow"/>
              </w:rPr>
              <w:t>2014</w:t>
            </w:r>
          </w:p>
        </w:tc>
        <w:tc>
          <w:tcPr>
            <w:tcW w:w="1984"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174.157.547.015</w:t>
            </w:r>
          </w:p>
        </w:tc>
        <w:tc>
          <w:tcPr>
            <w:tcW w:w="2185"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24.837.582.186</w:t>
            </w:r>
          </w:p>
        </w:tc>
        <w:tc>
          <w:tcPr>
            <w:tcW w:w="2068"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149.319.964.829</w:t>
            </w:r>
          </w:p>
        </w:tc>
      </w:tr>
      <w:tr w:rsidR="00443827" w:rsidRPr="00443827" w:rsidTr="00443827">
        <w:trPr>
          <w:trHeight w:val="41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443827">
            <w:pPr>
              <w:jc w:val="center"/>
              <w:rPr>
                <w:rFonts w:ascii="Arial Narrow" w:hAnsi="Arial Narrow"/>
              </w:rPr>
            </w:pPr>
            <w:r w:rsidRPr="00443827">
              <w:rPr>
                <w:rFonts w:ascii="Arial Narrow" w:hAnsi="Arial Narrow"/>
              </w:rPr>
              <w:t>2015</w:t>
            </w:r>
          </w:p>
        </w:tc>
        <w:tc>
          <w:tcPr>
            <w:tcW w:w="1984"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183.116.245.288</w:t>
            </w:r>
          </w:p>
        </w:tc>
        <w:tc>
          <w:tcPr>
            <w:tcW w:w="2185"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31.337.185.002</w:t>
            </w:r>
          </w:p>
        </w:tc>
        <w:tc>
          <w:tcPr>
            <w:tcW w:w="2068"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151.779.060.286</w:t>
            </w:r>
          </w:p>
        </w:tc>
      </w:tr>
      <w:tr w:rsidR="00443827" w:rsidRPr="00443827" w:rsidTr="00443827">
        <w:trPr>
          <w:trHeight w:val="4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443827">
            <w:pPr>
              <w:jc w:val="center"/>
              <w:rPr>
                <w:rFonts w:ascii="Arial Narrow" w:hAnsi="Arial Narrow"/>
              </w:rPr>
            </w:pPr>
            <w:r w:rsidRPr="00443827">
              <w:rPr>
                <w:rFonts w:ascii="Arial Narrow" w:hAnsi="Arial Narrow"/>
              </w:rPr>
              <w:t>2016</w:t>
            </w:r>
          </w:p>
        </w:tc>
        <w:tc>
          <w:tcPr>
            <w:tcW w:w="1984"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177.290.628.918</w:t>
            </w:r>
          </w:p>
        </w:tc>
        <w:tc>
          <w:tcPr>
            <w:tcW w:w="2185"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30.523.107.064</w:t>
            </w:r>
          </w:p>
        </w:tc>
        <w:tc>
          <w:tcPr>
            <w:tcW w:w="2068"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146.767.521.854</w:t>
            </w:r>
          </w:p>
        </w:tc>
      </w:tr>
      <w:tr w:rsidR="00443827" w:rsidRPr="00443827" w:rsidTr="00443827">
        <w:trPr>
          <w:trHeight w:val="4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443827">
            <w:pPr>
              <w:jc w:val="center"/>
              <w:rPr>
                <w:rFonts w:ascii="Arial Narrow" w:hAnsi="Arial Narrow"/>
              </w:rPr>
            </w:pPr>
            <w:r w:rsidRPr="00443827">
              <w:rPr>
                <w:rFonts w:ascii="Arial Narrow" w:hAnsi="Arial Narrow"/>
              </w:rPr>
              <w:t>2017</w:t>
            </w:r>
          </w:p>
        </w:tc>
        <w:tc>
          <w:tcPr>
            <w:tcW w:w="1984"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183.501.650.442</w:t>
            </w:r>
          </w:p>
        </w:tc>
        <w:tc>
          <w:tcPr>
            <w:tcW w:w="2185"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25.235.541.036</w:t>
            </w:r>
          </w:p>
        </w:tc>
        <w:tc>
          <w:tcPr>
            <w:tcW w:w="2068"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158.266.109.406</w:t>
            </w:r>
          </w:p>
        </w:tc>
      </w:tr>
      <w:tr w:rsidR="00443827" w:rsidRPr="00443827" w:rsidTr="00443827">
        <w:trPr>
          <w:trHeight w:val="40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443827">
            <w:pPr>
              <w:jc w:val="center"/>
              <w:rPr>
                <w:rFonts w:ascii="Arial Narrow" w:hAnsi="Arial Narrow"/>
              </w:rPr>
            </w:pPr>
            <w:r w:rsidRPr="00443827">
              <w:rPr>
                <w:rFonts w:ascii="Arial Narrow" w:hAnsi="Arial Narrow"/>
              </w:rPr>
              <w:t>2018</w:t>
            </w:r>
          </w:p>
        </w:tc>
        <w:tc>
          <w:tcPr>
            <w:tcW w:w="1984"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217.362.960.011</w:t>
            </w:r>
          </w:p>
        </w:tc>
        <w:tc>
          <w:tcPr>
            <w:tcW w:w="2185"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30.419.618.514</w:t>
            </w:r>
          </w:p>
        </w:tc>
        <w:tc>
          <w:tcPr>
            <w:tcW w:w="2068" w:type="dxa"/>
            <w:tcBorders>
              <w:top w:val="nil"/>
              <w:left w:val="nil"/>
              <w:bottom w:val="single" w:sz="4" w:space="0" w:color="auto"/>
              <w:right w:val="single" w:sz="4" w:space="0" w:color="auto"/>
            </w:tcBorders>
            <w:shd w:val="clear" w:color="auto" w:fill="auto"/>
            <w:vAlign w:val="center"/>
            <w:hideMark/>
          </w:tcPr>
          <w:p w:rsidR="00443827" w:rsidRPr="00443827" w:rsidRDefault="00443827" w:rsidP="00443827">
            <w:pPr>
              <w:jc w:val="center"/>
              <w:rPr>
                <w:rFonts w:ascii="Arial Narrow" w:hAnsi="Arial Narrow"/>
              </w:rPr>
            </w:pPr>
            <w:r w:rsidRPr="00443827">
              <w:rPr>
                <w:rFonts w:ascii="Arial Narrow" w:hAnsi="Arial Narrow"/>
              </w:rPr>
              <w:t>186.943.341.497</w:t>
            </w:r>
          </w:p>
        </w:tc>
      </w:tr>
    </w:tbl>
    <w:p w:rsidR="00443827" w:rsidRPr="00443827" w:rsidRDefault="00443827" w:rsidP="00443827">
      <w:pPr>
        <w:spacing w:line="480" w:lineRule="auto"/>
        <w:ind w:firstLine="567"/>
        <w:rPr>
          <w:rFonts w:ascii="Arial Narrow" w:hAnsi="Arial Narrow"/>
        </w:rPr>
      </w:pPr>
      <w:r>
        <w:rPr>
          <w:rFonts w:ascii="Arial Narrow" w:hAnsi="Arial Narrow"/>
        </w:rPr>
        <w:t xml:space="preserve">         </w:t>
      </w:r>
      <w:r w:rsidRPr="00443827">
        <w:rPr>
          <w:rFonts w:ascii="Arial Narrow" w:hAnsi="Arial Narrow"/>
        </w:rPr>
        <w:t>Sumber : Data olahan</w:t>
      </w:r>
    </w:p>
    <w:p w:rsidR="00443827" w:rsidRPr="00443827" w:rsidRDefault="00443827" w:rsidP="00911C92">
      <w:pPr>
        <w:spacing w:after="160" w:line="360" w:lineRule="auto"/>
        <w:jc w:val="both"/>
        <w:rPr>
          <w:rFonts w:ascii="Arial Narrow" w:hAnsi="Arial Narrow"/>
          <w:b/>
        </w:rPr>
      </w:pPr>
      <w:r w:rsidRPr="00443827">
        <w:rPr>
          <w:rFonts w:ascii="Arial Narrow" w:hAnsi="Arial Narrow"/>
          <w:b/>
        </w:rPr>
        <w:t xml:space="preserve">Menghitung WACC </w:t>
      </w:r>
      <w:r w:rsidRPr="00443827">
        <w:rPr>
          <w:rFonts w:ascii="Arial Narrow" w:hAnsi="Arial Narrow"/>
          <w:b/>
          <w:i/>
        </w:rPr>
        <w:t>(Weight Average Cost of Capital)</w:t>
      </w:r>
    </w:p>
    <w:p w:rsidR="00443827" w:rsidRPr="00443827" w:rsidRDefault="00443827" w:rsidP="00EA1F7B">
      <w:pPr>
        <w:pStyle w:val="ListParagraph"/>
        <w:spacing w:after="0" w:line="240" w:lineRule="auto"/>
        <w:ind w:left="0" w:firstLine="567"/>
        <w:jc w:val="both"/>
        <w:rPr>
          <w:rFonts w:ascii="Arial Narrow" w:eastAsia="Times New Roman" w:hAnsi="Arial Narrow" w:cs="Times New Roman"/>
        </w:rPr>
      </w:pPr>
      <w:r w:rsidRPr="00443827">
        <w:rPr>
          <w:rFonts w:ascii="Arial Narrow" w:eastAsia="Times New Roman" w:hAnsi="Arial Narrow" w:cs="Times New Roman"/>
        </w:rPr>
        <w:t xml:space="preserve">Langkah selanjutnya setelah mendapat nilai </w:t>
      </w:r>
      <w:r w:rsidRPr="00443827">
        <w:rPr>
          <w:rFonts w:ascii="Arial Narrow" w:eastAsia="Times New Roman" w:hAnsi="Arial Narrow" w:cs="Times New Roman"/>
          <w:i/>
        </w:rPr>
        <w:t xml:space="preserve">invested capital </w:t>
      </w:r>
      <w:r w:rsidRPr="00443827">
        <w:rPr>
          <w:rFonts w:ascii="Arial Narrow" w:eastAsia="Times New Roman" w:hAnsi="Arial Narrow" w:cs="Times New Roman"/>
        </w:rPr>
        <w:t xml:space="preserve">adalah menghitung WACC </w:t>
      </w:r>
      <w:r w:rsidRPr="00443827">
        <w:rPr>
          <w:rFonts w:ascii="Arial Narrow" w:eastAsia="Times New Roman" w:hAnsi="Arial Narrow" w:cs="Times New Roman"/>
          <w:i/>
        </w:rPr>
        <w:t xml:space="preserve">(weight average cost of capital) </w:t>
      </w:r>
      <w:r w:rsidRPr="00443827">
        <w:rPr>
          <w:rFonts w:ascii="Arial Narrow" w:eastAsia="Times New Roman" w:hAnsi="Arial Narrow" w:cs="Times New Roman"/>
        </w:rPr>
        <w:t>dengan cara sebagai berikut :</w:t>
      </w:r>
    </w:p>
    <w:p w:rsidR="00443827" w:rsidRPr="00443827" w:rsidRDefault="00443827" w:rsidP="00EA1F7B">
      <w:pPr>
        <w:pStyle w:val="ListParagraph"/>
        <w:spacing w:after="0" w:line="240" w:lineRule="auto"/>
        <w:ind w:left="0" w:firstLine="567"/>
        <w:jc w:val="center"/>
        <w:rPr>
          <w:rFonts w:ascii="Arial Narrow" w:hAnsi="Arial Narrow" w:cs="Times New Roman"/>
          <w:b/>
          <w:shd w:val="clear" w:color="auto" w:fill="FFFFFF"/>
        </w:rPr>
      </w:pPr>
      <w:r w:rsidRPr="00443827">
        <w:rPr>
          <w:rFonts w:ascii="Arial Narrow" w:hAnsi="Arial Narrow" w:cs="Times New Roman"/>
          <w:b/>
          <w:shd w:val="clear" w:color="auto" w:fill="FFFFFF"/>
        </w:rPr>
        <w:t>WACC = [(D x rd) (1-tax) + (E x re)]</w:t>
      </w:r>
    </w:p>
    <w:p w:rsidR="00443827" w:rsidRPr="00443827" w:rsidRDefault="00443827" w:rsidP="00EA1F7B">
      <w:pPr>
        <w:ind w:firstLine="567"/>
        <w:jc w:val="center"/>
        <w:rPr>
          <w:rFonts w:ascii="Arial Narrow" w:hAnsi="Arial Narrow"/>
          <w:b/>
        </w:rPr>
      </w:pPr>
      <w:r w:rsidRPr="00443827">
        <w:rPr>
          <w:rFonts w:ascii="Arial Narrow" w:hAnsi="Arial Narrow"/>
        </w:rPr>
        <w:t>Tabel 3. Tingkat Hutang (D)</w:t>
      </w:r>
    </w:p>
    <w:tbl>
      <w:tblPr>
        <w:tblW w:w="7411" w:type="dxa"/>
        <w:tblInd w:w="1060" w:type="dxa"/>
        <w:tblLook w:val="04A0"/>
      </w:tblPr>
      <w:tblGrid>
        <w:gridCol w:w="830"/>
        <w:gridCol w:w="2008"/>
        <w:gridCol w:w="2464"/>
        <w:gridCol w:w="2109"/>
      </w:tblGrid>
      <w:tr w:rsidR="00443827" w:rsidRPr="00443827" w:rsidTr="00443827">
        <w:trPr>
          <w:trHeight w:val="70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Tahun</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Total Hutang</w:t>
            </w:r>
          </w:p>
        </w:tc>
        <w:tc>
          <w:tcPr>
            <w:tcW w:w="2464" w:type="dxa"/>
            <w:tcBorders>
              <w:top w:val="single" w:sz="4" w:space="0" w:color="auto"/>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Total Hutang &amp; Ekuitas</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b/>
                <w:bCs/>
              </w:rPr>
            </w:pPr>
            <w:r w:rsidRPr="00443827">
              <w:rPr>
                <w:rFonts w:ascii="Arial Narrow" w:hAnsi="Arial Narrow"/>
                <w:b/>
                <w:bCs/>
              </w:rPr>
              <w:t>Tingkat Hutang (D)</w:t>
            </w:r>
          </w:p>
        </w:tc>
      </w:tr>
      <w:tr w:rsidR="00443827" w:rsidRPr="00443827" w:rsidTr="00443827">
        <w:trPr>
          <w:trHeight w:val="467"/>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2014</w:t>
            </w:r>
          </w:p>
        </w:tc>
        <w:tc>
          <w:tcPr>
            <w:tcW w:w="2008"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27.517.328.111</w:t>
            </w:r>
          </w:p>
        </w:tc>
        <w:tc>
          <w:tcPr>
            <w:tcW w:w="2464"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174.157.547.015</w:t>
            </w:r>
          </w:p>
        </w:tc>
        <w:tc>
          <w:tcPr>
            <w:tcW w:w="2109"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0,16</w:t>
            </w:r>
          </w:p>
        </w:tc>
      </w:tr>
      <w:tr w:rsidR="00443827" w:rsidRPr="00443827" w:rsidTr="00443827">
        <w:trPr>
          <w:trHeight w:val="403"/>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2015</w:t>
            </w:r>
          </w:p>
        </w:tc>
        <w:tc>
          <w:tcPr>
            <w:tcW w:w="2008"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34.011.648.533</w:t>
            </w:r>
          </w:p>
        </w:tc>
        <w:tc>
          <w:tcPr>
            <w:tcW w:w="2464"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183.116.245.288</w:t>
            </w:r>
          </w:p>
        </w:tc>
        <w:tc>
          <w:tcPr>
            <w:tcW w:w="2109"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0,19</w:t>
            </w:r>
          </w:p>
        </w:tc>
      </w:tr>
      <w:tr w:rsidR="00443827" w:rsidRPr="00443827" w:rsidTr="00443827">
        <w:trPr>
          <w:trHeight w:val="437"/>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2016</w:t>
            </w:r>
          </w:p>
        </w:tc>
        <w:tc>
          <w:tcPr>
            <w:tcW w:w="2008"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33.757.198.849</w:t>
            </w:r>
          </w:p>
        </w:tc>
        <w:tc>
          <w:tcPr>
            <w:tcW w:w="2464"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177.290.628.918</w:t>
            </w:r>
          </w:p>
        </w:tc>
        <w:tc>
          <w:tcPr>
            <w:tcW w:w="2109"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0,19</w:t>
            </w:r>
          </w:p>
        </w:tc>
      </w:tr>
      <w:tr w:rsidR="00443827" w:rsidRPr="00443827" w:rsidTr="00443827">
        <w:trPr>
          <w:trHeight w:val="416"/>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2017</w:t>
            </w:r>
          </w:p>
        </w:tc>
        <w:tc>
          <w:tcPr>
            <w:tcW w:w="2008"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28.862.718.117</w:t>
            </w:r>
          </w:p>
        </w:tc>
        <w:tc>
          <w:tcPr>
            <w:tcW w:w="2464"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183.501.650.442</w:t>
            </w:r>
          </w:p>
        </w:tc>
        <w:tc>
          <w:tcPr>
            <w:tcW w:w="2109"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0,16</w:t>
            </w:r>
          </w:p>
        </w:tc>
      </w:tr>
      <w:tr w:rsidR="00443827" w:rsidRPr="00443827" w:rsidTr="00443827">
        <w:trPr>
          <w:trHeight w:val="407"/>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2018</w:t>
            </w:r>
          </w:p>
        </w:tc>
        <w:tc>
          <w:tcPr>
            <w:tcW w:w="2008"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34.207.731.081</w:t>
            </w:r>
          </w:p>
        </w:tc>
        <w:tc>
          <w:tcPr>
            <w:tcW w:w="2464"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217.362.960.011</w:t>
            </w:r>
          </w:p>
        </w:tc>
        <w:tc>
          <w:tcPr>
            <w:tcW w:w="2109" w:type="dxa"/>
            <w:tcBorders>
              <w:top w:val="nil"/>
              <w:left w:val="nil"/>
              <w:bottom w:val="single" w:sz="4" w:space="0" w:color="auto"/>
              <w:right w:val="single" w:sz="4" w:space="0" w:color="auto"/>
            </w:tcBorders>
            <w:shd w:val="clear" w:color="auto" w:fill="auto"/>
            <w:noWrap/>
            <w:vAlign w:val="center"/>
            <w:hideMark/>
          </w:tcPr>
          <w:p w:rsidR="00443827" w:rsidRPr="00443827" w:rsidRDefault="00443827" w:rsidP="00EA1F7B">
            <w:pPr>
              <w:jc w:val="center"/>
              <w:rPr>
                <w:rFonts w:ascii="Arial Narrow" w:hAnsi="Arial Narrow"/>
              </w:rPr>
            </w:pPr>
            <w:r w:rsidRPr="00443827">
              <w:rPr>
                <w:rFonts w:ascii="Arial Narrow" w:hAnsi="Arial Narrow"/>
              </w:rPr>
              <w:t>0,16</w:t>
            </w:r>
          </w:p>
        </w:tc>
      </w:tr>
    </w:tbl>
    <w:p w:rsidR="00443827" w:rsidRPr="00443827" w:rsidRDefault="00443827" w:rsidP="00EA1F7B">
      <w:pPr>
        <w:ind w:firstLine="567"/>
        <w:rPr>
          <w:rFonts w:ascii="Arial Narrow" w:hAnsi="Arial Narrow"/>
        </w:rPr>
      </w:pPr>
      <w:r>
        <w:rPr>
          <w:rFonts w:ascii="Arial Narrow" w:hAnsi="Arial Narrow"/>
        </w:rPr>
        <w:t xml:space="preserve">        </w:t>
      </w:r>
      <w:r w:rsidRPr="00443827">
        <w:rPr>
          <w:rFonts w:ascii="Arial Narrow" w:hAnsi="Arial Narrow"/>
        </w:rPr>
        <w:t>Sumber : Data olahan</w:t>
      </w:r>
    </w:p>
    <w:p w:rsidR="00443827" w:rsidRPr="00443827" w:rsidRDefault="00443827" w:rsidP="00EA1F7B">
      <w:pPr>
        <w:ind w:firstLine="567"/>
        <w:jc w:val="center"/>
        <w:rPr>
          <w:rFonts w:ascii="Arial Narrow" w:hAnsi="Arial Narrow"/>
        </w:rPr>
      </w:pPr>
      <w:r w:rsidRPr="00443827">
        <w:rPr>
          <w:rFonts w:ascii="Arial Narrow" w:hAnsi="Arial Narrow"/>
        </w:rPr>
        <w:lastRenderedPageBreak/>
        <w:t xml:space="preserve">                    Tabel 4. </w:t>
      </w:r>
      <w:r w:rsidRPr="00443827">
        <w:rPr>
          <w:rFonts w:ascii="Arial Narrow" w:hAnsi="Arial Narrow"/>
          <w:i/>
        </w:rPr>
        <w:t xml:space="preserve">Cost Of Debt </w:t>
      </w:r>
      <w:r w:rsidRPr="00443827">
        <w:rPr>
          <w:rFonts w:ascii="Arial Narrow" w:hAnsi="Arial Narrow"/>
        </w:rPr>
        <w:t>(Rd)</w:t>
      </w:r>
    </w:p>
    <w:p w:rsidR="00443827" w:rsidRPr="00443827" w:rsidRDefault="00443827" w:rsidP="00EA1F7B">
      <w:pPr>
        <w:ind w:firstLine="567"/>
        <w:rPr>
          <w:rFonts w:ascii="Arial Narrow" w:hAnsi="Arial Narrow"/>
        </w:rPr>
      </w:pPr>
    </w:p>
    <w:tbl>
      <w:tblPr>
        <w:tblStyle w:val="TableGrid"/>
        <w:tblW w:w="7371" w:type="dxa"/>
        <w:tblInd w:w="1101" w:type="dxa"/>
        <w:tblLook w:val="04A0"/>
      </w:tblPr>
      <w:tblGrid>
        <w:gridCol w:w="850"/>
        <w:gridCol w:w="1985"/>
        <w:gridCol w:w="2835"/>
        <w:gridCol w:w="1701"/>
      </w:tblGrid>
      <w:tr w:rsidR="00443827" w:rsidRPr="00443827" w:rsidTr="00443827">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Tahun</w:t>
            </w:r>
          </w:p>
        </w:tc>
        <w:tc>
          <w:tcPr>
            <w:tcW w:w="1985" w:type="dxa"/>
            <w:vAlign w:val="center"/>
          </w:tcPr>
          <w:p w:rsidR="00443827" w:rsidRPr="00443827" w:rsidRDefault="00443827" w:rsidP="00EA1F7B">
            <w:pPr>
              <w:jc w:val="center"/>
              <w:rPr>
                <w:rFonts w:ascii="Arial Narrow" w:hAnsi="Arial Narrow"/>
              </w:rPr>
            </w:pPr>
            <w:r w:rsidRPr="00443827">
              <w:rPr>
                <w:rFonts w:ascii="Arial Narrow" w:hAnsi="Arial Narrow"/>
              </w:rPr>
              <w:t>Beban Bunga</w:t>
            </w:r>
          </w:p>
        </w:tc>
        <w:tc>
          <w:tcPr>
            <w:tcW w:w="2835" w:type="dxa"/>
            <w:vAlign w:val="center"/>
          </w:tcPr>
          <w:p w:rsidR="00443827" w:rsidRPr="00443827" w:rsidRDefault="00443827" w:rsidP="00EA1F7B">
            <w:pPr>
              <w:jc w:val="center"/>
              <w:rPr>
                <w:rFonts w:ascii="Arial Narrow" w:hAnsi="Arial Narrow"/>
              </w:rPr>
            </w:pPr>
            <w:r w:rsidRPr="00443827">
              <w:rPr>
                <w:rFonts w:ascii="Arial Narrow" w:hAnsi="Arial Narrow"/>
              </w:rPr>
              <w:t>Total Hutang Jk Panjang</w:t>
            </w:r>
          </w:p>
        </w:tc>
        <w:tc>
          <w:tcPr>
            <w:tcW w:w="1701" w:type="dxa"/>
          </w:tcPr>
          <w:p w:rsidR="00443827" w:rsidRPr="00443827" w:rsidRDefault="00443827" w:rsidP="00EA1F7B">
            <w:pPr>
              <w:jc w:val="center"/>
              <w:rPr>
                <w:rFonts w:ascii="Arial Narrow" w:hAnsi="Arial Narrow"/>
              </w:rPr>
            </w:pPr>
            <w:r w:rsidRPr="00443827">
              <w:rPr>
                <w:rFonts w:ascii="Arial Narrow" w:hAnsi="Arial Narrow"/>
                <w:b/>
                <w:bCs/>
                <w:i/>
              </w:rPr>
              <w:t>Cost Of Debt    (Rd)</w:t>
            </w:r>
          </w:p>
        </w:tc>
      </w:tr>
      <w:tr w:rsidR="00443827" w:rsidRPr="00443827" w:rsidTr="00443827">
        <w:trPr>
          <w:trHeight w:val="403"/>
        </w:trPr>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2014</w:t>
            </w:r>
          </w:p>
        </w:tc>
        <w:tc>
          <w:tcPr>
            <w:tcW w:w="1985" w:type="dxa"/>
            <w:vAlign w:val="center"/>
          </w:tcPr>
          <w:p w:rsidR="00443827" w:rsidRPr="00443827" w:rsidRDefault="00443827" w:rsidP="00EA1F7B">
            <w:pPr>
              <w:jc w:val="center"/>
              <w:rPr>
                <w:rFonts w:ascii="Arial Narrow" w:hAnsi="Arial Narrow"/>
              </w:rPr>
            </w:pPr>
            <w:r w:rsidRPr="00443827">
              <w:rPr>
                <w:rFonts w:ascii="Arial Narrow" w:hAnsi="Arial Narrow"/>
              </w:rPr>
              <w:t>170.564.446</w:t>
            </w:r>
          </w:p>
        </w:tc>
        <w:tc>
          <w:tcPr>
            <w:tcW w:w="2835" w:type="dxa"/>
            <w:vAlign w:val="center"/>
          </w:tcPr>
          <w:p w:rsidR="00443827" w:rsidRPr="00443827" w:rsidRDefault="00443827" w:rsidP="00EA1F7B">
            <w:pPr>
              <w:jc w:val="center"/>
              <w:rPr>
                <w:rFonts w:ascii="Arial Narrow" w:hAnsi="Arial Narrow"/>
              </w:rPr>
            </w:pPr>
            <w:r w:rsidRPr="00443827">
              <w:rPr>
                <w:rFonts w:ascii="Arial Narrow" w:hAnsi="Arial Narrow"/>
              </w:rPr>
              <w:t>2.679.745.925</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0,06</w:t>
            </w:r>
          </w:p>
        </w:tc>
      </w:tr>
      <w:tr w:rsidR="00443827" w:rsidRPr="00443827" w:rsidTr="00443827">
        <w:trPr>
          <w:trHeight w:val="409"/>
        </w:trPr>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2015</w:t>
            </w:r>
          </w:p>
        </w:tc>
        <w:tc>
          <w:tcPr>
            <w:tcW w:w="1985" w:type="dxa"/>
            <w:vAlign w:val="center"/>
          </w:tcPr>
          <w:p w:rsidR="00443827" w:rsidRPr="00443827" w:rsidRDefault="00443827" w:rsidP="00EA1F7B">
            <w:pPr>
              <w:jc w:val="center"/>
              <w:rPr>
                <w:rFonts w:ascii="Arial Narrow" w:hAnsi="Arial Narrow"/>
              </w:rPr>
            </w:pPr>
            <w:r w:rsidRPr="00443827">
              <w:rPr>
                <w:rFonts w:ascii="Arial Narrow" w:hAnsi="Arial Narrow"/>
              </w:rPr>
              <w:t>189.564.446</w:t>
            </w:r>
          </w:p>
        </w:tc>
        <w:tc>
          <w:tcPr>
            <w:tcW w:w="2835" w:type="dxa"/>
            <w:vAlign w:val="center"/>
          </w:tcPr>
          <w:p w:rsidR="00443827" w:rsidRPr="00443827" w:rsidRDefault="00443827" w:rsidP="00EA1F7B">
            <w:pPr>
              <w:jc w:val="center"/>
              <w:rPr>
                <w:rFonts w:ascii="Arial Narrow" w:hAnsi="Arial Narrow"/>
              </w:rPr>
            </w:pPr>
            <w:r w:rsidRPr="00443827">
              <w:rPr>
                <w:rFonts w:ascii="Arial Narrow" w:hAnsi="Arial Narrow"/>
              </w:rPr>
              <w:t>2.674.463.531</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0,07</w:t>
            </w:r>
          </w:p>
        </w:tc>
      </w:tr>
      <w:tr w:rsidR="00443827" w:rsidRPr="00443827" w:rsidTr="00443827">
        <w:trPr>
          <w:trHeight w:val="429"/>
        </w:trPr>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2016</w:t>
            </w:r>
          </w:p>
        </w:tc>
        <w:tc>
          <w:tcPr>
            <w:tcW w:w="1985" w:type="dxa"/>
            <w:vAlign w:val="center"/>
          </w:tcPr>
          <w:p w:rsidR="00443827" w:rsidRPr="00443827" w:rsidRDefault="00443827" w:rsidP="00EA1F7B">
            <w:pPr>
              <w:jc w:val="center"/>
              <w:rPr>
                <w:rFonts w:ascii="Arial Narrow" w:hAnsi="Arial Narrow"/>
              </w:rPr>
            </w:pPr>
            <w:r w:rsidRPr="00443827">
              <w:rPr>
                <w:rFonts w:ascii="Arial Narrow" w:hAnsi="Arial Narrow"/>
              </w:rPr>
              <w:t>238.027.254</w:t>
            </w:r>
          </w:p>
        </w:tc>
        <w:tc>
          <w:tcPr>
            <w:tcW w:w="2835" w:type="dxa"/>
            <w:vAlign w:val="center"/>
          </w:tcPr>
          <w:p w:rsidR="00443827" w:rsidRPr="00443827" w:rsidRDefault="00443827" w:rsidP="00EA1F7B">
            <w:pPr>
              <w:jc w:val="center"/>
              <w:rPr>
                <w:rFonts w:ascii="Arial Narrow" w:hAnsi="Arial Narrow"/>
              </w:rPr>
            </w:pPr>
            <w:r w:rsidRPr="00443827">
              <w:rPr>
                <w:rFonts w:ascii="Arial Narrow" w:hAnsi="Arial Narrow"/>
              </w:rPr>
              <w:t>3.234.091.785</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0,07</w:t>
            </w:r>
          </w:p>
        </w:tc>
      </w:tr>
      <w:tr w:rsidR="00443827" w:rsidRPr="00443827" w:rsidTr="00443827">
        <w:trPr>
          <w:trHeight w:val="407"/>
        </w:trPr>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2017</w:t>
            </w:r>
          </w:p>
        </w:tc>
        <w:tc>
          <w:tcPr>
            <w:tcW w:w="1985" w:type="dxa"/>
            <w:vAlign w:val="center"/>
          </w:tcPr>
          <w:p w:rsidR="00443827" w:rsidRPr="00443827" w:rsidRDefault="00443827" w:rsidP="00EA1F7B">
            <w:pPr>
              <w:jc w:val="center"/>
              <w:rPr>
                <w:rFonts w:ascii="Arial Narrow" w:hAnsi="Arial Narrow"/>
              </w:rPr>
            </w:pPr>
            <w:r w:rsidRPr="00443827">
              <w:rPr>
                <w:rFonts w:ascii="Arial Narrow" w:hAnsi="Arial Narrow"/>
              </w:rPr>
              <w:t>258.727.343</w:t>
            </w:r>
          </w:p>
        </w:tc>
        <w:tc>
          <w:tcPr>
            <w:tcW w:w="2835" w:type="dxa"/>
            <w:vAlign w:val="center"/>
          </w:tcPr>
          <w:p w:rsidR="00443827" w:rsidRPr="00443827" w:rsidRDefault="00443827" w:rsidP="00EA1F7B">
            <w:pPr>
              <w:jc w:val="center"/>
              <w:rPr>
                <w:rFonts w:ascii="Arial Narrow" w:hAnsi="Arial Narrow"/>
              </w:rPr>
            </w:pPr>
            <w:r w:rsidRPr="00443827">
              <w:rPr>
                <w:rFonts w:ascii="Arial Narrow" w:hAnsi="Arial Narrow"/>
              </w:rPr>
              <w:t>3.627.177.081</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0,07</w:t>
            </w:r>
          </w:p>
        </w:tc>
      </w:tr>
      <w:tr w:rsidR="00443827" w:rsidRPr="00443827" w:rsidTr="00443827">
        <w:trPr>
          <w:trHeight w:val="413"/>
        </w:trPr>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2018</w:t>
            </w:r>
          </w:p>
        </w:tc>
        <w:tc>
          <w:tcPr>
            <w:tcW w:w="1985" w:type="dxa"/>
            <w:vAlign w:val="center"/>
          </w:tcPr>
          <w:p w:rsidR="00443827" w:rsidRPr="00443827" w:rsidRDefault="00443827" w:rsidP="00EA1F7B">
            <w:pPr>
              <w:jc w:val="center"/>
              <w:rPr>
                <w:rFonts w:ascii="Arial Narrow" w:hAnsi="Arial Narrow"/>
              </w:rPr>
            </w:pPr>
            <w:r w:rsidRPr="00443827">
              <w:rPr>
                <w:rFonts w:ascii="Arial Narrow" w:hAnsi="Arial Narrow"/>
              </w:rPr>
              <w:t>449.961.637</w:t>
            </w:r>
          </w:p>
        </w:tc>
        <w:tc>
          <w:tcPr>
            <w:tcW w:w="2835" w:type="dxa"/>
            <w:vAlign w:val="center"/>
          </w:tcPr>
          <w:p w:rsidR="00443827" w:rsidRPr="00443827" w:rsidRDefault="00443827" w:rsidP="00EA1F7B">
            <w:pPr>
              <w:jc w:val="center"/>
              <w:rPr>
                <w:rFonts w:ascii="Arial Narrow" w:hAnsi="Arial Narrow"/>
              </w:rPr>
            </w:pPr>
            <w:r w:rsidRPr="00443827">
              <w:rPr>
                <w:rFonts w:ascii="Arial Narrow" w:hAnsi="Arial Narrow"/>
              </w:rPr>
              <w:t>3.788.112.567</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0,12</w:t>
            </w:r>
          </w:p>
        </w:tc>
      </w:tr>
    </w:tbl>
    <w:p w:rsidR="00443827" w:rsidRPr="00443827" w:rsidRDefault="00443827" w:rsidP="00EA1F7B">
      <w:pPr>
        <w:ind w:firstLine="567"/>
        <w:rPr>
          <w:rFonts w:ascii="Arial Narrow" w:hAnsi="Arial Narrow"/>
        </w:rPr>
      </w:pPr>
      <w:r>
        <w:rPr>
          <w:rFonts w:ascii="Arial Narrow" w:hAnsi="Arial Narrow"/>
        </w:rPr>
        <w:t xml:space="preserve">         </w:t>
      </w:r>
      <w:r w:rsidRPr="00443827">
        <w:rPr>
          <w:rFonts w:ascii="Arial Narrow" w:hAnsi="Arial Narrow"/>
        </w:rPr>
        <w:t xml:space="preserve">Sumber : Data olahan                         </w:t>
      </w:r>
    </w:p>
    <w:p w:rsidR="00443827" w:rsidRPr="00443827" w:rsidRDefault="00443827" w:rsidP="00EA1F7B">
      <w:pPr>
        <w:ind w:firstLine="567"/>
        <w:jc w:val="center"/>
        <w:rPr>
          <w:rFonts w:ascii="Arial Narrow" w:hAnsi="Arial Narrow"/>
        </w:rPr>
      </w:pPr>
      <w:r w:rsidRPr="00443827">
        <w:rPr>
          <w:rFonts w:ascii="Arial Narrow" w:hAnsi="Arial Narrow"/>
        </w:rPr>
        <w:t>Tabel 5. Tingkat Modal /Ekuitas (E)</w:t>
      </w:r>
    </w:p>
    <w:p w:rsidR="00443827" w:rsidRPr="00443827" w:rsidRDefault="00443827" w:rsidP="00EA1F7B">
      <w:pPr>
        <w:ind w:firstLine="567"/>
        <w:jc w:val="center"/>
        <w:rPr>
          <w:rFonts w:ascii="Arial Narrow" w:hAnsi="Arial Narrow"/>
        </w:rPr>
      </w:pPr>
    </w:p>
    <w:tbl>
      <w:tblPr>
        <w:tblStyle w:val="TableGrid"/>
        <w:tblW w:w="7371" w:type="dxa"/>
        <w:tblInd w:w="1101" w:type="dxa"/>
        <w:tblLook w:val="04A0"/>
      </w:tblPr>
      <w:tblGrid>
        <w:gridCol w:w="850"/>
        <w:gridCol w:w="2268"/>
        <w:gridCol w:w="2410"/>
        <w:gridCol w:w="1843"/>
      </w:tblGrid>
      <w:tr w:rsidR="00443827" w:rsidRPr="00443827" w:rsidTr="00443827">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Tahun</w:t>
            </w:r>
          </w:p>
        </w:tc>
        <w:tc>
          <w:tcPr>
            <w:tcW w:w="2268" w:type="dxa"/>
            <w:vAlign w:val="center"/>
          </w:tcPr>
          <w:p w:rsidR="00443827" w:rsidRPr="00443827" w:rsidRDefault="00443827" w:rsidP="00EA1F7B">
            <w:pPr>
              <w:jc w:val="center"/>
              <w:rPr>
                <w:rFonts w:ascii="Arial Narrow" w:hAnsi="Arial Narrow"/>
              </w:rPr>
            </w:pPr>
            <w:r w:rsidRPr="00443827">
              <w:rPr>
                <w:rFonts w:ascii="Arial Narrow" w:hAnsi="Arial Narrow"/>
              </w:rPr>
              <w:t>Total Ekuitas</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Total hutang &amp; Ekuitas</w:t>
            </w:r>
          </w:p>
        </w:tc>
        <w:tc>
          <w:tcPr>
            <w:tcW w:w="1843" w:type="dxa"/>
            <w:vAlign w:val="center"/>
          </w:tcPr>
          <w:p w:rsidR="00443827" w:rsidRPr="00443827" w:rsidRDefault="00443827" w:rsidP="00EA1F7B">
            <w:pPr>
              <w:jc w:val="center"/>
              <w:rPr>
                <w:rFonts w:ascii="Arial Narrow" w:hAnsi="Arial Narrow"/>
                <w:b/>
                <w:bCs/>
              </w:rPr>
            </w:pPr>
            <w:r w:rsidRPr="00443827">
              <w:rPr>
                <w:rFonts w:ascii="Arial Narrow" w:hAnsi="Arial Narrow"/>
                <w:b/>
                <w:bCs/>
              </w:rPr>
              <w:t>Tingkat Modal /Ekuitas (E)</w:t>
            </w:r>
          </w:p>
        </w:tc>
      </w:tr>
      <w:tr w:rsidR="00443827" w:rsidRPr="00443827" w:rsidTr="00443827">
        <w:trPr>
          <w:trHeight w:val="485"/>
        </w:trPr>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2014</w:t>
            </w:r>
          </w:p>
        </w:tc>
        <w:tc>
          <w:tcPr>
            <w:tcW w:w="2268" w:type="dxa"/>
            <w:vAlign w:val="center"/>
          </w:tcPr>
          <w:p w:rsidR="00443827" w:rsidRPr="00443827" w:rsidRDefault="00443827" w:rsidP="00EA1F7B">
            <w:pPr>
              <w:jc w:val="center"/>
              <w:rPr>
                <w:rFonts w:ascii="Arial Narrow" w:hAnsi="Arial Narrow"/>
              </w:rPr>
            </w:pPr>
            <w:r w:rsidRPr="00443827">
              <w:rPr>
                <w:rFonts w:ascii="Arial Narrow" w:hAnsi="Arial Narrow"/>
              </w:rPr>
              <w:t>146.640.218.904</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174.157.547.015</w:t>
            </w:r>
          </w:p>
        </w:tc>
        <w:tc>
          <w:tcPr>
            <w:tcW w:w="1843" w:type="dxa"/>
            <w:vAlign w:val="center"/>
          </w:tcPr>
          <w:p w:rsidR="00443827" w:rsidRPr="00443827" w:rsidRDefault="00443827" w:rsidP="00EA1F7B">
            <w:pPr>
              <w:jc w:val="center"/>
              <w:rPr>
                <w:rFonts w:ascii="Arial Narrow" w:hAnsi="Arial Narrow"/>
              </w:rPr>
            </w:pPr>
            <w:r w:rsidRPr="00443827">
              <w:rPr>
                <w:rFonts w:ascii="Arial Narrow" w:hAnsi="Arial Narrow"/>
              </w:rPr>
              <w:t>0,84</w:t>
            </w:r>
          </w:p>
        </w:tc>
      </w:tr>
      <w:tr w:rsidR="00443827" w:rsidRPr="00443827" w:rsidTr="00443827">
        <w:trPr>
          <w:trHeight w:val="403"/>
        </w:trPr>
        <w:tc>
          <w:tcPr>
            <w:tcW w:w="850" w:type="dxa"/>
            <w:vAlign w:val="center"/>
          </w:tcPr>
          <w:p w:rsidR="00443827" w:rsidRPr="00443827" w:rsidRDefault="00443827" w:rsidP="00EA1F7B">
            <w:pPr>
              <w:jc w:val="center"/>
              <w:rPr>
                <w:rFonts w:ascii="Arial Narrow" w:hAnsi="Arial Narrow"/>
              </w:rPr>
            </w:pPr>
            <w:r w:rsidRPr="00443827">
              <w:rPr>
                <w:rFonts w:ascii="Arial Narrow" w:hAnsi="Arial Narrow"/>
              </w:rPr>
              <w:t>2015</w:t>
            </w:r>
          </w:p>
        </w:tc>
        <w:tc>
          <w:tcPr>
            <w:tcW w:w="2268" w:type="dxa"/>
            <w:vAlign w:val="center"/>
          </w:tcPr>
          <w:p w:rsidR="00443827" w:rsidRPr="00443827" w:rsidRDefault="00443827" w:rsidP="00EA1F7B">
            <w:pPr>
              <w:jc w:val="center"/>
              <w:rPr>
                <w:rFonts w:ascii="Arial Narrow" w:hAnsi="Arial Narrow"/>
              </w:rPr>
            </w:pPr>
            <w:r w:rsidRPr="00443827">
              <w:rPr>
                <w:rFonts w:ascii="Arial Narrow" w:hAnsi="Arial Narrow"/>
              </w:rPr>
              <w:t>149.104.596.755</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183.116.245.288</w:t>
            </w:r>
          </w:p>
        </w:tc>
        <w:tc>
          <w:tcPr>
            <w:tcW w:w="1843" w:type="dxa"/>
            <w:vAlign w:val="center"/>
          </w:tcPr>
          <w:p w:rsidR="00443827" w:rsidRPr="00443827" w:rsidRDefault="00443827" w:rsidP="00EA1F7B">
            <w:pPr>
              <w:jc w:val="center"/>
              <w:rPr>
                <w:rFonts w:ascii="Arial Narrow" w:hAnsi="Arial Narrow"/>
              </w:rPr>
            </w:pPr>
            <w:r w:rsidRPr="00443827">
              <w:rPr>
                <w:rFonts w:ascii="Arial Narrow" w:hAnsi="Arial Narrow"/>
              </w:rPr>
              <w:t>0,81</w:t>
            </w:r>
          </w:p>
        </w:tc>
      </w:tr>
      <w:tr w:rsidR="00443827" w:rsidRPr="00443827" w:rsidTr="00443827">
        <w:trPr>
          <w:trHeight w:val="423"/>
        </w:trPr>
        <w:tc>
          <w:tcPr>
            <w:tcW w:w="850"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2016</w:t>
            </w:r>
          </w:p>
        </w:tc>
        <w:tc>
          <w:tcPr>
            <w:tcW w:w="2268"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143.533.430.069</w:t>
            </w:r>
          </w:p>
        </w:tc>
        <w:tc>
          <w:tcPr>
            <w:tcW w:w="2410"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177.290.628.918</w:t>
            </w:r>
          </w:p>
        </w:tc>
        <w:tc>
          <w:tcPr>
            <w:tcW w:w="1843"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0,81</w:t>
            </w:r>
          </w:p>
        </w:tc>
      </w:tr>
      <w:tr w:rsidR="00443827" w:rsidRPr="00443827" w:rsidTr="00443827">
        <w:trPr>
          <w:trHeight w:val="415"/>
        </w:trPr>
        <w:tc>
          <w:tcPr>
            <w:tcW w:w="850"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2017</w:t>
            </w:r>
          </w:p>
        </w:tc>
        <w:tc>
          <w:tcPr>
            <w:tcW w:w="2268"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154.638.932.325</w:t>
            </w:r>
          </w:p>
        </w:tc>
        <w:tc>
          <w:tcPr>
            <w:tcW w:w="2410"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183.501.650.442</w:t>
            </w:r>
          </w:p>
        </w:tc>
        <w:tc>
          <w:tcPr>
            <w:tcW w:w="1843"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0,84</w:t>
            </w:r>
          </w:p>
        </w:tc>
      </w:tr>
      <w:tr w:rsidR="00443827" w:rsidRPr="00443827" w:rsidTr="00443827">
        <w:trPr>
          <w:trHeight w:val="413"/>
        </w:trPr>
        <w:tc>
          <w:tcPr>
            <w:tcW w:w="850"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2018</w:t>
            </w:r>
          </w:p>
        </w:tc>
        <w:tc>
          <w:tcPr>
            <w:tcW w:w="2268"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183.155.228.930</w:t>
            </w:r>
          </w:p>
        </w:tc>
        <w:tc>
          <w:tcPr>
            <w:tcW w:w="2410"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217.362.960.011</w:t>
            </w:r>
          </w:p>
        </w:tc>
        <w:tc>
          <w:tcPr>
            <w:tcW w:w="1843" w:type="dxa"/>
            <w:vAlign w:val="center"/>
          </w:tcPr>
          <w:p w:rsidR="00443827" w:rsidRPr="00443827" w:rsidRDefault="00443827" w:rsidP="00EA1F7B">
            <w:pPr>
              <w:jc w:val="center"/>
              <w:rPr>
                <w:rFonts w:ascii="Arial Narrow" w:hAnsi="Arial Narrow"/>
                <w:color w:val="000000"/>
              </w:rPr>
            </w:pPr>
            <w:r w:rsidRPr="00443827">
              <w:rPr>
                <w:rFonts w:ascii="Arial Narrow" w:hAnsi="Arial Narrow"/>
                <w:color w:val="000000"/>
              </w:rPr>
              <w:t>0,84</w:t>
            </w:r>
          </w:p>
        </w:tc>
      </w:tr>
    </w:tbl>
    <w:p w:rsidR="00443827" w:rsidRPr="00443827" w:rsidRDefault="00443827" w:rsidP="00EA1F7B">
      <w:pPr>
        <w:ind w:firstLine="567"/>
        <w:rPr>
          <w:rFonts w:ascii="Arial Narrow" w:hAnsi="Arial Narrow"/>
          <w:lang w:val="id-ID"/>
        </w:rPr>
      </w:pPr>
      <w:r>
        <w:rPr>
          <w:rFonts w:ascii="Arial Narrow" w:hAnsi="Arial Narrow"/>
        </w:rPr>
        <w:t xml:space="preserve">         </w:t>
      </w:r>
      <w:r w:rsidRPr="00443827">
        <w:rPr>
          <w:rFonts w:ascii="Arial Narrow" w:hAnsi="Arial Narrow"/>
        </w:rPr>
        <w:t xml:space="preserve">Sumber : Data olahan        </w:t>
      </w:r>
    </w:p>
    <w:p w:rsidR="00443827" w:rsidRPr="00443827" w:rsidRDefault="00443827" w:rsidP="00EA1F7B">
      <w:pPr>
        <w:ind w:firstLine="567"/>
        <w:jc w:val="center"/>
        <w:rPr>
          <w:rFonts w:ascii="Arial Narrow" w:hAnsi="Arial Narrow"/>
        </w:rPr>
      </w:pPr>
      <w:r w:rsidRPr="00443827">
        <w:rPr>
          <w:rFonts w:ascii="Arial Narrow" w:hAnsi="Arial Narrow"/>
        </w:rPr>
        <w:t xml:space="preserve">                   Tabel 6. </w:t>
      </w:r>
      <w:r w:rsidRPr="00443827">
        <w:rPr>
          <w:rFonts w:ascii="Arial Narrow" w:hAnsi="Arial Narrow"/>
          <w:i/>
        </w:rPr>
        <w:t xml:space="preserve">Cost of Equity </w:t>
      </w:r>
      <w:r w:rsidRPr="00443827">
        <w:rPr>
          <w:rFonts w:ascii="Arial Narrow" w:hAnsi="Arial Narrow"/>
        </w:rPr>
        <w:t>(Re)</w:t>
      </w:r>
    </w:p>
    <w:p w:rsidR="00443827" w:rsidRPr="00443827" w:rsidRDefault="00443827" w:rsidP="00EA1F7B">
      <w:pPr>
        <w:ind w:firstLine="567"/>
        <w:jc w:val="center"/>
        <w:rPr>
          <w:rFonts w:ascii="Arial Narrow" w:hAnsi="Arial Narrow"/>
        </w:rPr>
      </w:pPr>
      <w:r w:rsidRPr="00443827">
        <w:rPr>
          <w:rFonts w:ascii="Arial Narrow" w:hAnsi="Arial Narrow"/>
        </w:rPr>
        <w:t xml:space="preserve">  </w:t>
      </w:r>
    </w:p>
    <w:tbl>
      <w:tblPr>
        <w:tblStyle w:val="TableGrid"/>
        <w:tblW w:w="7371" w:type="dxa"/>
        <w:tblInd w:w="1101" w:type="dxa"/>
        <w:tblLook w:val="04A0"/>
      </w:tblPr>
      <w:tblGrid>
        <w:gridCol w:w="937"/>
        <w:gridCol w:w="2323"/>
        <w:gridCol w:w="2410"/>
        <w:gridCol w:w="1701"/>
      </w:tblGrid>
      <w:tr w:rsidR="00443827" w:rsidRPr="00443827" w:rsidTr="00443827">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Tahun</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Laba bersih setelah pajak</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Total Ekuitas</w:t>
            </w:r>
          </w:p>
        </w:tc>
        <w:tc>
          <w:tcPr>
            <w:tcW w:w="1701" w:type="dxa"/>
            <w:vAlign w:val="center"/>
          </w:tcPr>
          <w:p w:rsidR="00443827" w:rsidRPr="00443827" w:rsidRDefault="00443827" w:rsidP="00EA1F7B">
            <w:pPr>
              <w:jc w:val="center"/>
              <w:rPr>
                <w:rFonts w:ascii="Arial Narrow" w:hAnsi="Arial Narrow"/>
                <w:b/>
                <w:bCs/>
              </w:rPr>
            </w:pPr>
            <w:r w:rsidRPr="00443827">
              <w:rPr>
                <w:rFonts w:ascii="Arial Narrow" w:hAnsi="Arial Narrow"/>
                <w:b/>
                <w:bCs/>
                <w:i/>
              </w:rPr>
              <w:t>Cost of Equity</w:t>
            </w:r>
            <w:r w:rsidRPr="00443827">
              <w:rPr>
                <w:rFonts w:ascii="Arial Narrow" w:hAnsi="Arial Narrow"/>
                <w:b/>
                <w:bCs/>
              </w:rPr>
              <w:t xml:space="preserve"> (re)</w:t>
            </w:r>
          </w:p>
        </w:tc>
      </w:tr>
      <w:tr w:rsidR="00443827" w:rsidRPr="00443827" w:rsidTr="00443827">
        <w:trPr>
          <w:trHeight w:val="432"/>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2014</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7.822.805.110</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146.640.218.904</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0,05</w:t>
            </w:r>
          </w:p>
        </w:tc>
      </w:tr>
      <w:tr w:rsidR="00443827" w:rsidRPr="00443827" w:rsidTr="00443827">
        <w:trPr>
          <w:trHeight w:val="425"/>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2015</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5.822.534.834</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149.104.596.755</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0,04</w:t>
            </w:r>
          </w:p>
        </w:tc>
      </w:tr>
      <w:tr w:rsidR="00443827" w:rsidRPr="00443827" w:rsidTr="00443827">
        <w:trPr>
          <w:trHeight w:val="430"/>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2016</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-5.571.166.686</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143.533.430.069</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-0,04</w:t>
            </w:r>
          </w:p>
        </w:tc>
      </w:tr>
      <w:tr w:rsidR="00443827" w:rsidRPr="00443827" w:rsidTr="00443827">
        <w:trPr>
          <w:trHeight w:val="407"/>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2017</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11.105.502.256</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154.638.932.325</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0,07</w:t>
            </w:r>
          </w:p>
        </w:tc>
      </w:tr>
      <w:tr w:rsidR="00443827" w:rsidRPr="00443827" w:rsidTr="00443827">
        <w:trPr>
          <w:trHeight w:val="413"/>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2018</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28.516.296.605</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183.155.228.930</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0,16</w:t>
            </w:r>
          </w:p>
        </w:tc>
      </w:tr>
    </w:tbl>
    <w:p w:rsidR="00443827" w:rsidRPr="00443827" w:rsidRDefault="003F7D95" w:rsidP="00EA1F7B">
      <w:pPr>
        <w:ind w:firstLine="567"/>
        <w:rPr>
          <w:rFonts w:ascii="Arial Narrow" w:hAnsi="Arial Narrow"/>
        </w:rPr>
      </w:pPr>
      <w:r>
        <w:rPr>
          <w:rFonts w:ascii="Arial Narrow" w:hAnsi="Arial Narrow"/>
        </w:rPr>
        <w:t xml:space="preserve">         </w:t>
      </w:r>
      <w:r w:rsidR="00443827" w:rsidRPr="00443827">
        <w:rPr>
          <w:rFonts w:ascii="Arial Narrow" w:hAnsi="Arial Narrow"/>
        </w:rPr>
        <w:t>Sumber : Data olahan</w:t>
      </w:r>
    </w:p>
    <w:p w:rsidR="00443827" w:rsidRPr="00443827" w:rsidRDefault="00443827" w:rsidP="00EA1F7B">
      <w:pPr>
        <w:ind w:firstLine="567"/>
        <w:jc w:val="center"/>
        <w:rPr>
          <w:rFonts w:ascii="Arial Narrow" w:hAnsi="Arial Narrow"/>
        </w:rPr>
      </w:pPr>
      <w:r w:rsidRPr="00443827">
        <w:rPr>
          <w:rFonts w:ascii="Arial Narrow" w:hAnsi="Arial Narrow"/>
        </w:rPr>
        <w:t xml:space="preserve">                     Tabel 7. Tingkat Pajak</w:t>
      </w:r>
      <w:r w:rsidRPr="00443827">
        <w:rPr>
          <w:rFonts w:ascii="Arial Narrow" w:hAnsi="Arial Narrow"/>
          <w:i/>
        </w:rPr>
        <w:t xml:space="preserve"> (Tax)</w:t>
      </w:r>
    </w:p>
    <w:p w:rsidR="00443827" w:rsidRPr="00443827" w:rsidRDefault="00443827" w:rsidP="00EA1F7B">
      <w:pPr>
        <w:ind w:firstLine="567"/>
        <w:jc w:val="center"/>
        <w:rPr>
          <w:rFonts w:ascii="Arial Narrow" w:hAnsi="Arial Narrow"/>
        </w:rPr>
      </w:pPr>
    </w:p>
    <w:tbl>
      <w:tblPr>
        <w:tblStyle w:val="TableGrid"/>
        <w:tblW w:w="7371" w:type="dxa"/>
        <w:tblInd w:w="1101" w:type="dxa"/>
        <w:tblLook w:val="04A0"/>
      </w:tblPr>
      <w:tblGrid>
        <w:gridCol w:w="937"/>
        <w:gridCol w:w="2323"/>
        <w:gridCol w:w="2410"/>
        <w:gridCol w:w="1701"/>
      </w:tblGrid>
      <w:tr w:rsidR="00443827" w:rsidRPr="00443827" w:rsidTr="00443827">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Tahun</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Beban pajak</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Laba Bersih sebelum pajak</w:t>
            </w:r>
          </w:p>
        </w:tc>
        <w:tc>
          <w:tcPr>
            <w:tcW w:w="1701" w:type="dxa"/>
            <w:vAlign w:val="center"/>
          </w:tcPr>
          <w:p w:rsidR="00443827" w:rsidRPr="00443827" w:rsidRDefault="00443827" w:rsidP="00EA1F7B">
            <w:pPr>
              <w:jc w:val="center"/>
              <w:rPr>
                <w:rFonts w:ascii="Arial Narrow" w:hAnsi="Arial Narrow"/>
                <w:b/>
                <w:bCs/>
              </w:rPr>
            </w:pPr>
            <w:r w:rsidRPr="00443827">
              <w:rPr>
                <w:rFonts w:ascii="Arial Narrow" w:hAnsi="Arial Narrow"/>
                <w:b/>
                <w:bCs/>
              </w:rPr>
              <w:t>Tingkat Pajak (</w:t>
            </w:r>
            <w:r w:rsidRPr="00443827">
              <w:rPr>
                <w:rFonts w:ascii="Arial Narrow" w:hAnsi="Arial Narrow"/>
                <w:b/>
                <w:bCs/>
                <w:i/>
              </w:rPr>
              <w:t>Tax</w:t>
            </w:r>
            <w:r w:rsidRPr="00443827">
              <w:rPr>
                <w:rFonts w:ascii="Arial Narrow" w:hAnsi="Arial Narrow"/>
                <w:b/>
                <w:bCs/>
              </w:rPr>
              <w:t>)</w:t>
            </w:r>
          </w:p>
        </w:tc>
      </w:tr>
      <w:tr w:rsidR="00443827" w:rsidRPr="00443827" w:rsidTr="00443827">
        <w:trPr>
          <w:trHeight w:val="447"/>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2014</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2.013.514.722</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9.836.319.832</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0,20</w:t>
            </w:r>
          </w:p>
        </w:tc>
      </w:tr>
      <w:tr w:rsidR="00443827" w:rsidRPr="00443827" w:rsidTr="00443827">
        <w:trPr>
          <w:trHeight w:val="411"/>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2015</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1.658.897.472</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7.481.432.306</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0,22</w:t>
            </w:r>
          </w:p>
        </w:tc>
      </w:tr>
      <w:tr w:rsidR="00443827" w:rsidRPr="00443827" w:rsidTr="00443827">
        <w:trPr>
          <w:trHeight w:val="417"/>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2016</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2.458.922.880</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-3.112.243.806</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-0,79</w:t>
            </w:r>
          </w:p>
        </w:tc>
      </w:tr>
      <w:tr w:rsidR="00443827" w:rsidRPr="00443827" w:rsidTr="00443827">
        <w:trPr>
          <w:trHeight w:val="410"/>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lastRenderedPageBreak/>
              <w:t>2017</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3.491.830.194</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14.597.332.450</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0,24</w:t>
            </w:r>
          </w:p>
        </w:tc>
      </w:tr>
      <w:tr w:rsidR="00443827" w:rsidRPr="00443827" w:rsidTr="00443827">
        <w:trPr>
          <w:trHeight w:val="429"/>
        </w:trPr>
        <w:tc>
          <w:tcPr>
            <w:tcW w:w="937" w:type="dxa"/>
            <w:vAlign w:val="center"/>
          </w:tcPr>
          <w:p w:rsidR="00443827" w:rsidRPr="00443827" w:rsidRDefault="00443827" w:rsidP="00EA1F7B">
            <w:pPr>
              <w:jc w:val="center"/>
              <w:rPr>
                <w:rFonts w:ascii="Arial Narrow" w:hAnsi="Arial Narrow"/>
              </w:rPr>
            </w:pPr>
            <w:r w:rsidRPr="00443827">
              <w:rPr>
                <w:rFonts w:ascii="Arial Narrow" w:hAnsi="Arial Narrow"/>
              </w:rPr>
              <w:t>2018</w:t>
            </w:r>
          </w:p>
        </w:tc>
        <w:tc>
          <w:tcPr>
            <w:tcW w:w="2323" w:type="dxa"/>
            <w:vAlign w:val="center"/>
          </w:tcPr>
          <w:p w:rsidR="00443827" w:rsidRPr="00443827" w:rsidRDefault="00443827" w:rsidP="00EA1F7B">
            <w:pPr>
              <w:jc w:val="center"/>
              <w:rPr>
                <w:rFonts w:ascii="Arial Narrow" w:hAnsi="Arial Narrow"/>
              </w:rPr>
            </w:pPr>
            <w:r w:rsidRPr="00443827">
              <w:rPr>
                <w:rFonts w:ascii="Arial Narrow" w:hAnsi="Arial Narrow"/>
              </w:rPr>
              <w:t>6.580.190.776</w:t>
            </w:r>
          </w:p>
        </w:tc>
        <w:tc>
          <w:tcPr>
            <w:tcW w:w="2410" w:type="dxa"/>
            <w:vAlign w:val="center"/>
          </w:tcPr>
          <w:p w:rsidR="00443827" w:rsidRPr="00443827" w:rsidRDefault="00443827" w:rsidP="00EA1F7B">
            <w:pPr>
              <w:jc w:val="center"/>
              <w:rPr>
                <w:rFonts w:ascii="Arial Narrow" w:hAnsi="Arial Narrow"/>
              </w:rPr>
            </w:pPr>
            <w:r w:rsidRPr="00443827">
              <w:rPr>
                <w:rFonts w:ascii="Arial Narrow" w:hAnsi="Arial Narrow"/>
              </w:rPr>
              <w:t>35.096.487.381</w:t>
            </w:r>
          </w:p>
        </w:tc>
        <w:tc>
          <w:tcPr>
            <w:tcW w:w="1701" w:type="dxa"/>
            <w:vAlign w:val="center"/>
          </w:tcPr>
          <w:p w:rsidR="00443827" w:rsidRPr="00443827" w:rsidRDefault="00443827" w:rsidP="00EA1F7B">
            <w:pPr>
              <w:jc w:val="center"/>
              <w:rPr>
                <w:rFonts w:ascii="Arial Narrow" w:hAnsi="Arial Narrow"/>
              </w:rPr>
            </w:pPr>
            <w:r w:rsidRPr="00443827">
              <w:rPr>
                <w:rFonts w:ascii="Arial Narrow" w:hAnsi="Arial Narrow"/>
              </w:rPr>
              <w:t>0,19</w:t>
            </w:r>
          </w:p>
        </w:tc>
      </w:tr>
    </w:tbl>
    <w:p w:rsidR="00443827" w:rsidRPr="00443827" w:rsidRDefault="003F7D95" w:rsidP="00EA1F7B">
      <w:pPr>
        <w:ind w:firstLine="567"/>
        <w:rPr>
          <w:rFonts w:ascii="Arial Narrow" w:hAnsi="Arial Narrow"/>
          <w:b/>
        </w:rPr>
      </w:pPr>
      <w:r>
        <w:rPr>
          <w:rFonts w:ascii="Arial Narrow" w:hAnsi="Arial Narrow"/>
        </w:rPr>
        <w:t xml:space="preserve">         </w:t>
      </w:r>
      <w:r w:rsidR="00443827" w:rsidRPr="00443827">
        <w:rPr>
          <w:rFonts w:ascii="Arial Narrow" w:hAnsi="Arial Narrow"/>
        </w:rPr>
        <w:t>Sumber : Data olahan</w:t>
      </w:r>
    </w:p>
    <w:p w:rsidR="00443827" w:rsidRPr="00443827" w:rsidRDefault="00443827" w:rsidP="00EA1F7B">
      <w:pPr>
        <w:spacing w:line="360" w:lineRule="auto"/>
        <w:ind w:firstLine="567"/>
        <w:jc w:val="both"/>
        <w:rPr>
          <w:rFonts w:ascii="Arial Narrow" w:hAnsi="Arial Narrow"/>
        </w:rPr>
      </w:pPr>
      <w:r w:rsidRPr="00443827">
        <w:rPr>
          <w:rFonts w:ascii="Arial Narrow" w:hAnsi="Arial Narrow"/>
        </w:rPr>
        <w:t xml:space="preserve">Jadi dari data di atas dapat dihasilkan perhitungan WACC </w:t>
      </w:r>
      <w:r w:rsidRPr="00443827">
        <w:rPr>
          <w:rFonts w:ascii="Arial Narrow" w:hAnsi="Arial Narrow"/>
          <w:i/>
        </w:rPr>
        <w:t>(Weight Average Cost of Capital)</w:t>
      </w:r>
      <w:r w:rsidRPr="00443827">
        <w:rPr>
          <w:rFonts w:ascii="Arial Narrow" w:hAnsi="Arial Narrow"/>
        </w:rPr>
        <w:t xml:space="preserve"> dengan rumus WACC = [(D x rd) (1-tax) + (E x re)] sebagai berikut :</w:t>
      </w:r>
    </w:p>
    <w:p w:rsidR="00443827" w:rsidRPr="00443827" w:rsidRDefault="00443827" w:rsidP="00EA1F7B">
      <w:pPr>
        <w:jc w:val="center"/>
        <w:rPr>
          <w:rFonts w:ascii="Arial Narrow" w:hAnsi="Arial Narrow"/>
          <w:i/>
        </w:rPr>
      </w:pPr>
      <w:r w:rsidRPr="00443827">
        <w:rPr>
          <w:rFonts w:ascii="Arial Narrow" w:hAnsi="Arial Narrow"/>
        </w:rPr>
        <w:t xml:space="preserve">Tabel 8. WACC </w:t>
      </w:r>
      <w:r w:rsidRPr="00443827">
        <w:rPr>
          <w:rFonts w:ascii="Arial Narrow" w:hAnsi="Arial Narrow"/>
          <w:i/>
        </w:rPr>
        <w:t>(Weight Average Cost of Capital)</w:t>
      </w:r>
    </w:p>
    <w:p w:rsidR="00443827" w:rsidRPr="00443827" w:rsidRDefault="00443827" w:rsidP="00EA1F7B">
      <w:pPr>
        <w:ind w:firstLine="567"/>
        <w:jc w:val="center"/>
        <w:rPr>
          <w:rFonts w:ascii="Arial Narrow" w:hAnsi="Arial Narrow"/>
          <w:i/>
        </w:rPr>
      </w:pPr>
    </w:p>
    <w:tbl>
      <w:tblPr>
        <w:tblStyle w:val="TableGrid"/>
        <w:tblpPr w:leftFromText="180" w:rightFromText="180" w:vertAnchor="page" w:horzAnchor="margin" w:tblpXSpec="center" w:tblpY="3778"/>
        <w:tblOverlap w:val="never"/>
        <w:tblW w:w="2289" w:type="dxa"/>
        <w:tblLook w:val="04A0"/>
      </w:tblPr>
      <w:tblGrid>
        <w:gridCol w:w="1083"/>
        <w:gridCol w:w="1206"/>
      </w:tblGrid>
      <w:tr w:rsidR="00911C92" w:rsidRPr="00443827" w:rsidTr="00911C92">
        <w:trPr>
          <w:trHeight w:val="442"/>
        </w:trPr>
        <w:tc>
          <w:tcPr>
            <w:tcW w:w="1083" w:type="dxa"/>
            <w:vAlign w:val="center"/>
          </w:tcPr>
          <w:p w:rsidR="00911C92" w:rsidRPr="00443827" w:rsidRDefault="00911C92" w:rsidP="00911C92">
            <w:pPr>
              <w:rPr>
                <w:rFonts w:ascii="Arial Narrow" w:hAnsi="Arial Narrow"/>
              </w:rPr>
            </w:pPr>
            <w:r w:rsidRPr="00443827">
              <w:rPr>
                <w:rFonts w:ascii="Arial Narrow" w:hAnsi="Arial Narrow"/>
              </w:rPr>
              <w:t>Tahun</w:t>
            </w:r>
          </w:p>
        </w:tc>
        <w:tc>
          <w:tcPr>
            <w:tcW w:w="1206" w:type="dxa"/>
            <w:vAlign w:val="center"/>
          </w:tcPr>
          <w:p w:rsidR="00911C92" w:rsidRPr="00443827" w:rsidRDefault="00911C92" w:rsidP="00911C92">
            <w:pPr>
              <w:rPr>
                <w:rFonts w:ascii="Arial Narrow" w:hAnsi="Arial Narrow"/>
              </w:rPr>
            </w:pPr>
            <w:r w:rsidRPr="00443827">
              <w:rPr>
                <w:rFonts w:ascii="Arial Narrow" w:hAnsi="Arial Narrow"/>
              </w:rPr>
              <w:t>WACC</w:t>
            </w:r>
          </w:p>
        </w:tc>
      </w:tr>
      <w:tr w:rsidR="00911C92" w:rsidRPr="00443827" w:rsidTr="00911C92">
        <w:trPr>
          <w:trHeight w:val="420"/>
        </w:trPr>
        <w:tc>
          <w:tcPr>
            <w:tcW w:w="1083" w:type="dxa"/>
            <w:vAlign w:val="center"/>
          </w:tcPr>
          <w:p w:rsidR="00911C92" w:rsidRPr="00443827" w:rsidRDefault="00911C92" w:rsidP="00911C92">
            <w:pPr>
              <w:rPr>
                <w:rFonts w:ascii="Arial Narrow" w:hAnsi="Arial Narrow"/>
              </w:rPr>
            </w:pPr>
            <w:r w:rsidRPr="00443827">
              <w:rPr>
                <w:rFonts w:ascii="Arial Narrow" w:hAnsi="Arial Narrow"/>
              </w:rPr>
              <w:t>2014</w:t>
            </w:r>
          </w:p>
        </w:tc>
        <w:tc>
          <w:tcPr>
            <w:tcW w:w="1206" w:type="dxa"/>
            <w:vAlign w:val="center"/>
          </w:tcPr>
          <w:p w:rsidR="00911C92" w:rsidRPr="00443827" w:rsidRDefault="00911C92" w:rsidP="00911C92">
            <w:pPr>
              <w:rPr>
                <w:rFonts w:ascii="Arial Narrow" w:hAnsi="Arial Narrow"/>
              </w:rPr>
            </w:pPr>
            <w:r w:rsidRPr="00443827">
              <w:rPr>
                <w:rFonts w:ascii="Arial Narrow" w:hAnsi="Arial Narrow"/>
              </w:rPr>
              <w:t>0,05</w:t>
            </w:r>
          </w:p>
        </w:tc>
      </w:tr>
      <w:tr w:rsidR="00911C92" w:rsidRPr="00443827" w:rsidTr="00911C92">
        <w:trPr>
          <w:trHeight w:val="420"/>
        </w:trPr>
        <w:tc>
          <w:tcPr>
            <w:tcW w:w="1083" w:type="dxa"/>
            <w:vAlign w:val="center"/>
          </w:tcPr>
          <w:p w:rsidR="00911C92" w:rsidRPr="00443827" w:rsidRDefault="00911C92" w:rsidP="00911C92">
            <w:pPr>
              <w:rPr>
                <w:rFonts w:ascii="Arial Narrow" w:hAnsi="Arial Narrow"/>
              </w:rPr>
            </w:pPr>
            <w:r w:rsidRPr="00443827">
              <w:rPr>
                <w:rFonts w:ascii="Arial Narrow" w:hAnsi="Arial Narrow"/>
              </w:rPr>
              <w:t>2015</w:t>
            </w:r>
          </w:p>
        </w:tc>
        <w:tc>
          <w:tcPr>
            <w:tcW w:w="1206" w:type="dxa"/>
            <w:vAlign w:val="center"/>
          </w:tcPr>
          <w:p w:rsidR="00911C92" w:rsidRPr="00443827" w:rsidRDefault="00911C92" w:rsidP="00911C92">
            <w:pPr>
              <w:rPr>
                <w:rFonts w:ascii="Arial Narrow" w:hAnsi="Arial Narrow"/>
              </w:rPr>
            </w:pPr>
            <w:r w:rsidRPr="00443827">
              <w:rPr>
                <w:rFonts w:ascii="Arial Narrow" w:hAnsi="Arial Narrow"/>
              </w:rPr>
              <w:t>0,04</w:t>
            </w:r>
          </w:p>
        </w:tc>
      </w:tr>
      <w:tr w:rsidR="00911C92" w:rsidRPr="00443827" w:rsidTr="00911C92">
        <w:trPr>
          <w:trHeight w:val="420"/>
        </w:trPr>
        <w:tc>
          <w:tcPr>
            <w:tcW w:w="1083" w:type="dxa"/>
            <w:vAlign w:val="center"/>
          </w:tcPr>
          <w:p w:rsidR="00911C92" w:rsidRPr="00443827" w:rsidRDefault="00911C92" w:rsidP="00911C92">
            <w:pPr>
              <w:rPr>
                <w:rFonts w:ascii="Arial Narrow" w:hAnsi="Arial Narrow"/>
              </w:rPr>
            </w:pPr>
            <w:r w:rsidRPr="00443827">
              <w:rPr>
                <w:rFonts w:ascii="Arial Narrow" w:hAnsi="Arial Narrow"/>
              </w:rPr>
              <w:t>2016</w:t>
            </w:r>
          </w:p>
        </w:tc>
        <w:tc>
          <w:tcPr>
            <w:tcW w:w="1206" w:type="dxa"/>
            <w:vAlign w:val="center"/>
          </w:tcPr>
          <w:p w:rsidR="00911C92" w:rsidRPr="00443827" w:rsidRDefault="00911C92" w:rsidP="00911C92">
            <w:pPr>
              <w:rPr>
                <w:rFonts w:ascii="Arial Narrow" w:hAnsi="Arial Narrow"/>
              </w:rPr>
            </w:pPr>
            <w:r w:rsidRPr="00443827">
              <w:rPr>
                <w:rFonts w:ascii="Arial Narrow" w:hAnsi="Arial Narrow"/>
              </w:rPr>
              <w:t>-0,01</w:t>
            </w:r>
          </w:p>
        </w:tc>
      </w:tr>
      <w:tr w:rsidR="00911C92" w:rsidRPr="00443827" w:rsidTr="00911C92">
        <w:trPr>
          <w:trHeight w:val="442"/>
        </w:trPr>
        <w:tc>
          <w:tcPr>
            <w:tcW w:w="1083" w:type="dxa"/>
            <w:vAlign w:val="center"/>
          </w:tcPr>
          <w:p w:rsidR="00911C92" w:rsidRPr="00443827" w:rsidRDefault="00911C92" w:rsidP="00911C92">
            <w:pPr>
              <w:rPr>
                <w:rFonts w:ascii="Arial Narrow" w:hAnsi="Arial Narrow"/>
              </w:rPr>
            </w:pPr>
            <w:r w:rsidRPr="00443827">
              <w:rPr>
                <w:rFonts w:ascii="Arial Narrow" w:hAnsi="Arial Narrow"/>
              </w:rPr>
              <w:t>2017</w:t>
            </w:r>
          </w:p>
        </w:tc>
        <w:tc>
          <w:tcPr>
            <w:tcW w:w="1206" w:type="dxa"/>
            <w:vAlign w:val="center"/>
          </w:tcPr>
          <w:p w:rsidR="00911C92" w:rsidRPr="00443827" w:rsidRDefault="00911C92" w:rsidP="00911C92">
            <w:pPr>
              <w:rPr>
                <w:rFonts w:ascii="Arial Narrow" w:hAnsi="Arial Narrow"/>
              </w:rPr>
            </w:pPr>
            <w:r w:rsidRPr="00443827">
              <w:rPr>
                <w:rFonts w:ascii="Arial Narrow" w:hAnsi="Arial Narrow"/>
              </w:rPr>
              <w:t>0,07</w:t>
            </w:r>
          </w:p>
        </w:tc>
      </w:tr>
      <w:tr w:rsidR="00911C92" w:rsidRPr="00443827" w:rsidTr="00911C92">
        <w:trPr>
          <w:trHeight w:val="442"/>
        </w:trPr>
        <w:tc>
          <w:tcPr>
            <w:tcW w:w="1083" w:type="dxa"/>
            <w:vAlign w:val="center"/>
          </w:tcPr>
          <w:p w:rsidR="00911C92" w:rsidRPr="00443827" w:rsidRDefault="00911C92" w:rsidP="00911C92">
            <w:pPr>
              <w:rPr>
                <w:rFonts w:ascii="Arial Narrow" w:hAnsi="Arial Narrow"/>
              </w:rPr>
            </w:pPr>
            <w:r w:rsidRPr="00443827">
              <w:rPr>
                <w:rFonts w:ascii="Arial Narrow" w:hAnsi="Arial Narrow"/>
              </w:rPr>
              <w:t>2018</w:t>
            </w:r>
          </w:p>
        </w:tc>
        <w:tc>
          <w:tcPr>
            <w:tcW w:w="1206" w:type="dxa"/>
            <w:vAlign w:val="center"/>
          </w:tcPr>
          <w:p w:rsidR="00911C92" w:rsidRPr="00443827" w:rsidRDefault="00911C92" w:rsidP="00911C92">
            <w:pPr>
              <w:rPr>
                <w:rFonts w:ascii="Arial Narrow" w:hAnsi="Arial Narrow"/>
              </w:rPr>
            </w:pPr>
            <w:r w:rsidRPr="00443827">
              <w:rPr>
                <w:rFonts w:ascii="Arial Narrow" w:hAnsi="Arial Narrow"/>
              </w:rPr>
              <w:t>0,15</w:t>
            </w:r>
          </w:p>
        </w:tc>
      </w:tr>
    </w:tbl>
    <w:p w:rsidR="00443827" w:rsidRPr="00443827" w:rsidRDefault="00443827" w:rsidP="00EA1F7B">
      <w:pPr>
        <w:ind w:firstLine="567"/>
        <w:jc w:val="center"/>
        <w:rPr>
          <w:rFonts w:ascii="Arial Narrow" w:hAnsi="Arial Narrow"/>
          <w:i/>
        </w:rPr>
      </w:pPr>
    </w:p>
    <w:p w:rsidR="00443827" w:rsidRPr="00443827" w:rsidRDefault="00443827" w:rsidP="00EA1F7B">
      <w:pPr>
        <w:ind w:firstLine="567"/>
        <w:jc w:val="both"/>
        <w:rPr>
          <w:rFonts w:ascii="Arial Narrow" w:hAnsi="Arial Narrow"/>
        </w:rPr>
      </w:pPr>
    </w:p>
    <w:p w:rsidR="003F7D95" w:rsidRDefault="003F7D95" w:rsidP="00EA1F7B">
      <w:pPr>
        <w:rPr>
          <w:rFonts w:ascii="Arial Narrow" w:hAnsi="Arial Narrow"/>
        </w:rPr>
      </w:pPr>
    </w:p>
    <w:p w:rsidR="003F7D95" w:rsidRDefault="003F7D95" w:rsidP="00EA1F7B">
      <w:pPr>
        <w:rPr>
          <w:rFonts w:ascii="Arial Narrow" w:hAnsi="Arial Narrow"/>
        </w:rPr>
      </w:pPr>
    </w:p>
    <w:p w:rsidR="003F7D95" w:rsidRDefault="003F7D95" w:rsidP="00EA1F7B">
      <w:pPr>
        <w:rPr>
          <w:rFonts w:ascii="Arial Narrow" w:hAnsi="Arial Narrow"/>
        </w:rPr>
      </w:pPr>
    </w:p>
    <w:p w:rsidR="003F7D95" w:rsidRDefault="003F7D95" w:rsidP="00EA1F7B">
      <w:pPr>
        <w:rPr>
          <w:rFonts w:ascii="Arial Narrow" w:hAnsi="Arial Narrow"/>
        </w:rPr>
      </w:pPr>
    </w:p>
    <w:p w:rsidR="003F7D95" w:rsidRDefault="003F7D95" w:rsidP="00EA1F7B">
      <w:pPr>
        <w:rPr>
          <w:rFonts w:ascii="Arial Narrow" w:hAnsi="Arial Narrow"/>
        </w:rPr>
      </w:pPr>
    </w:p>
    <w:p w:rsidR="003F7D95" w:rsidRDefault="003F7D95" w:rsidP="00EA1F7B">
      <w:pPr>
        <w:rPr>
          <w:rFonts w:ascii="Arial Narrow" w:hAnsi="Arial Narrow"/>
        </w:rPr>
      </w:pPr>
    </w:p>
    <w:p w:rsidR="00EA1F7B" w:rsidRDefault="00EA1F7B" w:rsidP="00EA1F7B">
      <w:pPr>
        <w:rPr>
          <w:rFonts w:ascii="Arial Narrow" w:hAnsi="Arial Narrow"/>
        </w:rPr>
      </w:pPr>
    </w:p>
    <w:p w:rsidR="00EA1F7B" w:rsidRDefault="00EA1F7B" w:rsidP="00EA1F7B">
      <w:pPr>
        <w:rPr>
          <w:rFonts w:ascii="Arial Narrow" w:hAnsi="Arial Narrow"/>
        </w:rPr>
      </w:pPr>
    </w:p>
    <w:p w:rsidR="003F7D95" w:rsidRDefault="003F7D95" w:rsidP="00EA1F7B">
      <w:pPr>
        <w:rPr>
          <w:rFonts w:ascii="Arial Narrow" w:hAnsi="Arial Narrow"/>
        </w:rPr>
      </w:pPr>
    </w:p>
    <w:p w:rsidR="00443827" w:rsidRPr="00443827" w:rsidRDefault="00443827" w:rsidP="00EA1F7B">
      <w:pPr>
        <w:ind w:left="2880" w:firstLine="720"/>
        <w:rPr>
          <w:rFonts w:ascii="Arial Narrow" w:hAnsi="Arial Narrow"/>
        </w:rPr>
      </w:pPr>
      <w:r w:rsidRPr="00443827">
        <w:rPr>
          <w:rFonts w:ascii="Arial Narrow" w:hAnsi="Arial Narrow"/>
        </w:rPr>
        <w:t>Sumber : Data olahan</w:t>
      </w:r>
    </w:p>
    <w:p w:rsidR="007A765C" w:rsidRPr="007A765C" w:rsidRDefault="007A765C" w:rsidP="00EA1F7B">
      <w:pPr>
        <w:spacing w:after="160"/>
        <w:jc w:val="both"/>
        <w:rPr>
          <w:rFonts w:ascii="Arial Narrow" w:hAnsi="Arial Narrow"/>
          <w:b/>
        </w:rPr>
      </w:pPr>
      <w:r w:rsidRPr="007A765C">
        <w:rPr>
          <w:rFonts w:ascii="Arial Narrow" w:hAnsi="Arial Narrow"/>
          <w:b/>
        </w:rPr>
        <w:t xml:space="preserve">Menghitung </w:t>
      </w:r>
      <w:r w:rsidRPr="007A765C">
        <w:rPr>
          <w:rFonts w:ascii="Arial Narrow" w:hAnsi="Arial Narrow"/>
          <w:b/>
          <w:i/>
        </w:rPr>
        <w:t>Capital Charges</w:t>
      </w:r>
    </w:p>
    <w:p w:rsidR="007A765C" w:rsidRPr="007A765C" w:rsidRDefault="007A765C" w:rsidP="00EA1F7B">
      <w:pPr>
        <w:pStyle w:val="ListParagraph"/>
        <w:spacing w:after="0" w:line="240" w:lineRule="auto"/>
        <w:ind w:left="1494"/>
        <w:jc w:val="both"/>
        <w:rPr>
          <w:rFonts w:ascii="Arial Narrow" w:hAnsi="Arial Narrow" w:cs="Times New Roman"/>
          <w:b/>
        </w:rPr>
      </w:pPr>
      <w:r w:rsidRPr="007A765C">
        <w:rPr>
          <w:rFonts w:ascii="Arial Narrow" w:hAnsi="Arial Narrow" w:cs="Times New Roman"/>
        </w:rPr>
        <w:t xml:space="preserve">                               Tabel 9. </w:t>
      </w:r>
      <w:r w:rsidRPr="007A765C">
        <w:rPr>
          <w:rFonts w:ascii="Arial Narrow" w:hAnsi="Arial Narrow" w:cs="Times New Roman"/>
          <w:i/>
        </w:rPr>
        <w:t>Capital Charges</w:t>
      </w:r>
    </w:p>
    <w:tbl>
      <w:tblPr>
        <w:tblStyle w:val="TableGrid"/>
        <w:tblW w:w="7479" w:type="dxa"/>
        <w:tblInd w:w="993" w:type="dxa"/>
        <w:tblLook w:val="04A0"/>
      </w:tblPr>
      <w:tblGrid>
        <w:gridCol w:w="1100"/>
        <w:gridCol w:w="1559"/>
        <w:gridCol w:w="2410"/>
        <w:gridCol w:w="2410"/>
      </w:tblGrid>
      <w:tr w:rsidR="007A765C" w:rsidRPr="007A765C" w:rsidTr="00BE2349">
        <w:trPr>
          <w:trHeight w:val="456"/>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Tahun</w:t>
            </w:r>
          </w:p>
        </w:tc>
        <w:tc>
          <w:tcPr>
            <w:tcW w:w="1559"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WACC</w:t>
            </w:r>
          </w:p>
        </w:tc>
        <w:tc>
          <w:tcPr>
            <w:tcW w:w="2410" w:type="dxa"/>
            <w:vAlign w:val="center"/>
          </w:tcPr>
          <w:p w:rsidR="007A765C" w:rsidRPr="007A765C" w:rsidRDefault="007A765C" w:rsidP="00EA1F7B">
            <w:pPr>
              <w:jc w:val="center"/>
              <w:rPr>
                <w:rFonts w:ascii="Arial Narrow" w:hAnsi="Arial Narrow"/>
                <w:i/>
                <w:iCs/>
                <w:color w:val="000000"/>
              </w:rPr>
            </w:pPr>
            <w:r w:rsidRPr="007A765C">
              <w:rPr>
                <w:rFonts w:ascii="Arial Narrow" w:hAnsi="Arial Narrow"/>
                <w:i/>
                <w:iCs/>
                <w:color w:val="000000"/>
              </w:rPr>
              <w:t>Invested Capital</w:t>
            </w:r>
          </w:p>
        </w:tc>
        <w:tc>
          <w:tcPr>
            <w:tcW w:w="2410" w:type="dxa"/>
            <w:vAlign w:val="center"/>
          </w:tcPr>
          <w:p w:rsidR="007A765C" w:rsidRPr="007A765C" w:rsidRDefault="007A765C" w:rsidP="00EA1F7B">
            <w:pPr>
              <w:jc w:val="center"/>
              <w:rPr>
                <w:rFonts w:ascii="Arial Narrow" w:hAnsi="Arial Narrow"/>
                <w:b/>
                <w:bCs/>
                <w:i/>
                <w:iCs/>
                <w:color w:val="333333"/>
              </w:rPr>
            </w:pPr>
            <w:r w:rsidRPr="007A765C">
              <w:rPr>
                <w:rFonts w:ascii="Arial Narrow" w:hAnsi="Arial Narrow"/>
                <w:b/>
                <w:bCs/>
                <w:i/>
                <w:iCs/>
                <w:color w:val="333333"/>
              </w:rPr>
              <w:t>Capital Charges</w:t>
            </w:r>
          </w:p>
        </w:tc>
      </w:tr>
      <w:tr w:rsidR="007A765C" w:rsidRPr="007A765C" w:rsidTr="00BE2349">
        <w:trPr>
          <w:trHeight w:val="419"/>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2014</w:t>
            </w:r>
          </w:p>
        </w:tc>
        <w:tc>
          <w:tcPr>
            <w:tcW w:w="1559"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0,05</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149.319.964.829</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7.901.432.316,89</w:t>
            </w:r>
          </w:p>
        </w:tc>
      </w:tr>
      <w:tr w:rsidR="007A765C" w:rsidRPr="007A765C" w:rsidTr="00BE2349">
        <w:trPr>
          <w:trHeight w:val="411"/>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2015</w:t>
            </w:r>
          </w:p>
        </w:tc>
        <w:tc>
          <w:tcPr>
            <w:tcW w:w="1559"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0,04</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151.779.060.286</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6.381.215.278,69</w:t>
            </w:r>
          </w:p>
        </w:tc>
      </w:tr>
      <w:tr w:rsidR="007A765C" w:rsidRPr="007A765C" w:rsidTr="00BE2349">
        <w:trPr>
          <w:trHeight w:val="417"/>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2016</w:t>
            </w:r>
          </w:p>
        </w:tc>
        <w:tc>
          <w:tcPr>
            <w:tcW w:w="1559"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-0,01</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146.767.521.854</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     930.234.082,40</w:t>
            </w:r>
          </w:p>
        </w:tc>
      </w:tr>
      <w:tr w:rsidR="007A765C" w:rsidRPr="007A765C" w:rsidTr="00BE2349">
        <w:trPr>
          <w:trHeight w:val="410"/>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2017</w:t>
            </w:r>
          </w:p>
        </w:tc>
        <w:tc>
          <w:tcPr>
            <w:tcW w:w="1559"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0,07</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158.266.109.406</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10.929.150.525,25</w:t>
            </w:r>
          </w:p>
        </w:tc>
      </w:tr>
      <w:tr w:rsidR="007A765C" w:rsidRPr="007A765C" w:rsidTr="00BE2349">
        <w:trPr>
          <w:trHeight w:val="429"/>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2018</w:t>
            </w:r>
          </w:p>
        </w:tc>
        <w:tc>
          <w:tcPr>
            <w:tcW w:w="1559"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0,15</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186.943.341.497</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27.364.911.586,63</w:t>
            </w:r>
          </w:p>
        </w:tc>
      </w:tr>
    </w:tbl>
    <w:p w:rsidR="007A765C" w:rsidRPr="007A765C" w:rsidRDefault="007A765C" w:rsidP="00EA1F7B">
      <w:pPr>
        <w:ind w:left="720" w:firstLine="720"/>
        <w:jc w:val="both"/>
        <w:rPr>
          <w:rFonts w:ascii="Arial Narrow" w:hAnsi="Arial Narrow"/>
        </w:rPr>
      </w:pPr>
      <w:r w:rsidRPr="007A765C">
        <w:rPr>
          <w:rFonts w:ascii="Arial Narrow" w:hAnsi="Arial Narrow"/>
        </w:rPr>
        <w:t>Sumber : Data olahan</w:t>
      </w:r>
    </w:p>
    <w:p w:rsidR="007A765C" w:rsidRPr="007A765C" w:rsidRDefault="007A765C" w:rsidP="00EA1F7B">
      <w:pPr>
        <w:spacing w:after="160"/>
        <w:jc w:val="both"/>
        <w:rPr>
          <w:rFonts w:ascii="Arial Narrow" w:hAnsi="Arial Narrow"/>
          <w:b/>
        </w:rPr>
      </w:pPr>
      <w:r w:rsidRPr="007A765C">
        <w:rPr>
          <w:rFonts w:ascii="Arial Narrow" w:hAnsi="Arial Narrow"/>
          <w:b/>
        </w:rPr>
        <w:t xml:space="preserve">Menghitung </w:t>
      </w:r>
      <w:r w:rsidRPr="007A765C">
        <w:rPr>
          <w:rFonts w:ascii="Arial Narrow" w:hAnsi="Arial Narrow"/>
          <w:b/>
          <w:i/>
        </w:rPr>
        <w:t>Economic Value Added</w:t>
      </w:r>
    </w:p>
    <w:p w:rsidR="007A765C" w:rsidRPr="00EA1F7B" w:rsidRDefault="007A765C" w:rsidP="00EA1F7B">
      <w:pPr>
        <w:jc w:val="both"/>
        <w:rPr>
          <w:rFonts w:ascii="Arial Narrow" w:hAnsi="Arial Narrow"/>
          <w:b/>
        </w:rPr>
      </w:pPr>
    </w:p>
    <w:p w:rsidR="007A765C" w:rsidRPr="007A765C" w:rsidRDefault="007A765C" w:rsidP="00EA1F7B">
      <w:pPr>
        <w:jc w:val="center"/>
        <w:rPr>
          <w:rFonts w:ascii="Arial Narrow" w:hAnsi="Arial Narrow"/>
        </w:rPr>
      </w:pPr>
      <w:r w:rsidRPr="007A765C">
        <w:rPr>
          <w:rFonts w:ascii="Arial Narrow" w:hAnsi="Arial Narrow"/>
        </w:rPr>
        <w:t xml:space="preserve">Tabel 10. </w:t>
      </w:r>
      <w:r w:rsidRPr="007A765C">
        <w:rPr>
          <w:rFonts w:ascii="Arial Narrow" w:hAnsi="Arial Narrow"/>
          <w:i/>
        </w:rPr>
        <w:t xml:space="preserve">Economic Value Added </w:t>
      </w:r>
      <w:r w:rsidRPr="007A765C">
        <w:rPr>
          <w:rFonts w:ascii="Arial Narrow" w:hAnsi="Arial Narrow"/>
        </w:rPr>
        <w:t>(EVA)</w:t>
      </w:r>
    </w:p>
    <w:tbl>
      <w:tblPr>
        <w:tblStyle w:val="TableGrid"/>
        <w:tblW w:w="7479" w:type="dxa"/>
        <w:tblInd w:w="993" w:type="dxa"/>
        <w:tblLook w:val="04A0"/>
      </w:tblPr>
      <w:tblGrid>
        <w:gridCol w:w="1100"/>
        <w:gridCol w:w="1984"/>
        <w:gridCol w:w="2410"/>
        <w:gridCol w:w="1985"/>
      </w:tblGrid>
      <w:tr w:rsidR="007A765C" w:rsidRPr="007A765C" w:rsidTr="00BE2349">
        <w:trPr>
          <w:trHeight w:val="445"/>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Tahun</w:t>
            </w:r>
          </w:p>
        </w:tc>
        <w:tc>
          <w:tcPr>
            <w:tcW w:w="1984"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NOPAT</w:t>
            </w:r>
          </w:p>
        </w:tc>
        <w:tc>
          <w:tcPr>
            <w:tcW w:w="2410" w:type="dxa"/>
            <w:vAlign w:val="center"/>
          </w:tcPr>
          <w:p w:rsidR="007A765C" w:rsidRPr="007A765C" w:rsidRDefault="007A765C" w:rsidP="00EA1F7B">
            <w:pPr>
              <w:jc w:val="center"/>
              <w:rPr>
                <w:rFonts w:ascii="Arial Narrow" w:hAnsi="Arial Narrow"/>
                <w:i/>
                <w:iCs/>
                <w:color w:val="000000"/>
              </w:rPr>
            </w:pPr>
            <w:r w:rsidRPr="007A765C">
              <w:rPr>
                <w:rFonts w:ascii="Arial Narrow" w:hAnsi="Arial Narrow"/>
                <w:i/>
                <w:iCs/>
                <w:color w:val="000000"/>
              </w:rPr>
              <w:t>Capital Charges</w:t>
            </w:r>
          </w:p>
        </w:tc>
        <w:tc>
          <w:tcPr>
            <w:tcW w:w="1985"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EVA</w:t>
            </w:r>
          </w:p>
        </w:tc>
      </w:tr>
      <w:tr w:rsidR="007A765C" w:rsidRPr="007A765C" w:rsidTr="00BE2349">
        <w:trPr>
          <w:trHeight w:val="449"/>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2014</w:t>
            </w:r>
          </w:p>
        </w:tc>
        <w:tc>
          <w:tcPr>
            <w:tcW w:w="1984"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7.822.805.110</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7.901.432.316,89</w:t>
            </w:r>
          </w:p>
        </w:tc>
        <w:tc>
          <w:tcPr>
            <w:tcW w:w="1985"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-78.627.206,89</w:t>
            </w:r>
          </w:p>
        </w:tc>
      </w:tr>
      <w:tr w:rsidR="007A765C" w:rsidRPr="007A765C" w:rsidTr="00BE2349">
        <w:trPr>
          <w:trHeight w:val="413"/>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2015</w:t>
            </w:r>
          </w:p>
        </w:tc>
        <w:tc>
          <w:tcPr>
            <w:tcW w:w="1984"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5.822.534.834</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6.381.215.278,69</w:t>
            </w:r>
          </w:p>
        </w:tc>
        <w:tc>
          <w:tcPr>
            <w:tcW w:w="1985"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-558.680.444,69</w:t>
            </w:r>
          </w:p>
        </w:tc>
      </w:tr>
      <w:tr w:rsidR="007A765C" w:rsidRPr="007A765C" w:rsidTr="00BE2349">
        <w:trPr>
          <w:trHeight w:val="405"/>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2016</w:t>
            </w:r>
          </w:p>
        </w:tc>
        <w:tc>
          <w:tcPr>
            <w:tcW w:w="1984"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-5.571.166.686</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-930.234.082,40</w:t>
            </w:r>
          </w:p>
        </w:tc>
        <w:tc>
          <w:tcPr>
            <w:tcW w:w="1985"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-4.640.932.603,60</w:t>
            </w:r>
          </w:p>
        </w:tc>
      </w:tr>
      <w:tr w:rsidR="007A765C" w:rsidRPr="007A765C" w:rsidTr="00BE2349">
        <w:trPr>
          <w:trHeight w:val="426"/>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2017</w:t>
            </w:r>
          </w:p>
        </w:tc>
        <w:tc>
          <w:tcPr>
            <w:tcW w:w="1984"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11.105.502.256</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10.929.150.525,25</w:t>
            </w:r>
          </w:p>
        </w:tc>
        <w:tc>
          <w:tcPr>
            <w:tcW w:w="1985"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176.351.730,75</w:t>
            </w:r>
          </w:p>
        </w:tc>
      </w:tr>
      <w:tr w:rsidR="007A765C" w:rsidRPr="007A765C" w:rsidTr="00BE2349">
        <w:trPr>
          <w:trHeight w:val="418"/>
        </w:trPr>
        <w:tc>
          <w:tcPr>
            <w:tcW w:w="110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2018</w:t>
            </w:r>
          </w:p>
        </w:tc>
        <w:tc>
          <w:tcPr>
            <w:tcW w:w="1984"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28.516.296.605</w:t>
            </w:r>
          </w:p>
        </w:tc>
        <w:tc>
          <w:tcPr>
            <w:tcW w:w="2410"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27.364.911.586,63</w:t>
            </w:r>
          </w:p>
        </w:tc>
        <w:tc>
          <w:tcPr>
            <w:tcW w:w="1985" w:type="dxa"/>
            <w:vAlign w:val="center"/>
          </w:tcPr>
          <w:p w:rsidR="007A765C" w:rsidRPr="007A765C" w:rsidRDefault="007A765C" w:rsidP="00EA1F7B">
            <w:pPr>
              <w:jc w:val="center"/>
              <w:rPr>
                <w:rFonts w:ascii="Arial Narrow" w:hAnsi="Arial Narrow"/>
                <w:color w:val="000000"/>
              </w:rPr>
            </w:pPr>
            <w:r w:rsidRPr="007A765C">
              <w:rPr>
                <w:rFonts w:ascii="Arial Narrow" w:hAnsi="Arial Narrow"/>
                <w:color w:val="000000"/>
              </w:rPr>
              <w:t>1.151.385.018,37</w:t>
            </w:r>
          </w:p>
        </w:tc>
      </w:tr>
    </w:tbl>
    <w:p w:rsidR="00EA1F7B" w:rsidRPr="00911C92" w:rsidRDefault="007A765C" w:rsidP="00911C92">
      <w:pPr>
        <w:ind w:left="720" w:firstLine="720"/>
        <w:jc w:val="both"/>
        <w:rPr>
          <w:rFonts w:ascii="Arial Narrow" w:hAnsi="Arial Narrow"/>
        </w:rPr>
      </w:pPr>
      <w:r w:rsidRPr="007A765C">
        <w:rPr>
          <w:rFonts w:ascii="Arial Narrow" w:hAnsi="Arial Narrow"/>
        </w:rPr>
        <w:t xml:space="preserve">     Sumber : Data olahan</w:t>
      </w:r>
    </w:p>
    <w:p w:rsidR="00DC2481" w:rsidRPr="00A25574" w:rsidRDefault="00DC2481" w:rsidP="00A25574">
      <w:pPr>
        <w:pStyle w:val="NoSpacing"/>
        <w:spacing w:line="360" w:lineRule="auto"/>
        <w:rPr>
          <w:rFonts w:ascii="Arial Narrow" w:hAnsi="Arial Narrow"/>
          <w:b/>
        </w:rPr>
      </w:pPr>
      <w:r w:rsidRPr="00A25574">
        <w:rPr>
          <w:rFonts w:ascii="Arial Narrow" w:hAnsi="Arial Narrow"/>
          <w:b/>
        </w:rPr>
        <w:lastRenderedPageBreak/>
        <w:t>SIMPULAN DAN SARAN</w:t>
      </w:r>
    </w:p>
    <w:p w:rsidR="00DC2481" w:rsidRPr="00A25574" w:rsidRDefault="00DC2481" w:rsidP="00A25574">
      <w:pPr>
        <w:pStyle w:val="NoSpacing"/>
        <w:spacing w:line="360" w:lineRule="auto"/>
        <w:rPr>
          <w:rFonts w:ascii="Arial Narrow" w:hAnsi="Arial Narrow"/>
          <w:b/>
        </w:rPr>
      </w:pPr>
      <w:r w:rsidRPr="00A25574">
        <w:rPr>
          <w:rFonts w:ascii="Arial Narrow" w:hAnsi="Arial Narrow"/>
          <w:b/>
        </w:rPr>
        <w:t>Simpulan</w:t>
      </w:r>
    </w:p>
    <w:p w:rsidR="00A25574" w:rsidRPr="00A25574" w:rsidRDefault="00A25574" w:rsidP="00A25574">
      <w:pPr>
        <w:pStyle w:val="ListParagraph"/>
        <w:spacing w:line="360" w:lineRule="auto"/>
        <w:ind w:left="0" w:firstLine="567"/>
        <w:jc w:val="both"/>
        <w:rPr>
          <w:rFonts w:ascii="Arial Narrow" w:hAnsi="Arial Narrow" w:cs="Times New Roman"/>
        </w:rPr>
      </w:pPr>
      <w:r w:rsidRPr="00A25574">
        <w:rPr>
          <w:rFonts w:ascii="Arial Narrow" w:hAnsi="Arial Narrow" w:cs="Times New Roman"/>
        </w:rPr>
        <w:t>Berdasarkan hasil analisis dan pembahasan yang telah dikemukakan pada bab sebelumnya, maka dapat ditarik beberapa simpulan dari keseluruhan hasil analisis yaitu sebagai berikut :</w:t>
      </w:r>
      <w:r w:rsidRPr="00A25574">
        <w:rPr>
          <w:rFonts w:ascii="Arial Narrow" w:hAnsi="Arial Narrow" w:cs="Times New Roman"/>
        </w:rPr>
        <w:tab/>
      </w:r>
    </w:p>
    <w:p w:rsidR="00A25574" w:rsidRPr="00A25574" w:rsidRDefault="00A25574" w:rsidP="00A25574">
      <w:pPr>
        <w:pStyle w:val="ListParagraph"/>
        <w:numPr>
          <w:ilvl w:val="1"/>
          <w:numId w:val="24"/>
        </w:numPr>
        <w:spacing w:after="160" w:line="360" w:lineRule="auto"/>
        <w:ind w:left="426"/>
        <w:jc w:val="both"/>
        <w:rPr>
          <w:rFonts w:ascii="Arial Narrow" w:hAnsi="Arial Narrow" w:cs="Times New Roman"/>
        </w:rPr>
      </w:pPr>
      <w:r w:rsidRPr="00A25574">
        <w:rPr>
          <w:rFonts w:ascii="Arial Narrow" w:hAnsi="Arial Narrow" w:cs="Times New Roman"/>
        </w:rPr>
        <w:t>Pada tahun 2014 diperoleh EVA sebesar Rp -78.627.206,89. Dengan demikian, nilai EVA &lt; 0 yang mengartikan kinerja keuangan PT Betonjaya Manunggal, Tbk pada tahun 2014 tidak memiliki nilai tambah ekonomis.</w:t>
      </w:r>
    </w:p>
    <w:p w:rsidR="00A25574" w:rsidRPr="00A25574" w:rsidRDefault="00A25574" w:rsidP="00A25574">
      <w:pPr>
        <w:pStyle w:val="ListParagraph"/>
        <w:numPr>
          <w:ilvl w:val="1"/>
          <w:numId w:val="24"/>
        </w:numPr>
        <w:spacing w:after="160" w:line="360" w:lineRule="auto"/>
        <w:ind w:left="426"/>
        <w:jc w:val="both"/>
        <w:rPr>
          <w:rFonts w:ascii="Arial Narrow" w:hAnsi="Arial Narrow" w:cs="Times New Roman"/>
        </w:rPr>
      </w:pPr>
      <w:r w:rsidRPr="00A25574">
        <w:rPr>
          <w:rFonts w:ascii="Arial Narrow" w:hAnsi="Arial Narrow" w:cs="Times New Roman"/>
        </w:rPr>
        <w:t>Pada tahun 2015 diperoleh EVA sebesar Rp -558.680.444,69. Dengan demikian, nilai EVA &lt; 0 yang mengartikan kinerja keuangan PT Betonjaya Manunggal, Tbk pada tahun 2015 tidak memiliki nilai tambah ekonomis.</w:t>
      </w:r>
    </w:p>
    <w:p w:rsidR="00A25574" w:rsidRPr="00A25574" w:rsidRDefault="00A25574" w:rsidP="00A25574">
      <w:pPr>
        <w:pStyle w:val="ListParagraph"/>
        <w:numPr>
          <w:ilvl w:val="1"/>
          <w:numId w:val="24"/>
        </w:numPr>
        <w:spacing w:after="160" w:line="360" w:lineRule="auto"/>
        <w:ind w:left="426"/>
        <w:jc w:val="both"/>
        <w:rPr>
          <w:rFonts w:ascii="Arial Narrow" w:hAnsi="Arial Narrow" w:cs="Times New Roman"/>
        </w:rPr>
      </w:pPr>
      <w:r w:rsidRPr="00A25574">
        <w:rPr>
          <w:rFonts w:ascii="Arial Narrow" w:hAnsi="Arial Narrow" w:cs="Times New Roman"/>
        </w:rPr>
        <w:t>Pada tahun 2016 diperoleh EVA sebesar Rp -4.640.932.603,60. Dengan demikian, nilai EVA &lt; 0 yang mengartikan kinerja keuangan PT Betonjaya Manunggal, Tbk pada tahun 2016 tidak memiliki nilai tambah ekonomis.</w:t>
      </w:r>
    </w:p>
    <w:p w:rsidR="00A25574" w:rsidRPr="00A25574" w:rsidRDefault="00A25574" w:rsidP="00A25574">
      <w:pPr>
        <w:pStyle w:val="ListParagraph"/>
        <w:numPr>
          <w:ilvl w:val="1"/>
          <w:numId w:val="24"/>
        </w:numPr>
        <w:spacing w:after="160" w:line="360" w:lineRule="auto"/>
        <w:ind w:left="426"/>
        <w:jc w:val="both"/>
        <w:rPr>
          <w:rFonts w:ascii="Arial Narrow" w:hAnsi="Arial Narrow" w:cs="Times New Roman"/>
        </w:rPr>
      </w:pPr>
      <w:r w:rsidRPr="00A25574">
        <w:rPr>
          <w:rFonts w:ascii="Arial Narrow" w:hAnsi="Arial Narrow" w:cs="Times New Roman"/>
        </w:rPr>
        <w:t>Pada tahun 2017 diperoleh EVA sebesar Rp 176.351.730,75. Dengan demikian, nilai EVA &gt; 0 yang mengartikan kinerja keuangan PT Betonjaya Manunggal, Tbk pada tahun 2017 memiliki nilai tambah ekonomis.</w:t>
      </w:r>
    </w:p>
    <w:p w:rsidR="00A25574" w:rsidRPr="00A25574" w:rsidRDefault="00A25574" w:rsidP="00A25574">
      <w:pPr>
        <w:pStyle w:val="ListParagraph"/>
        <w:numPr>
          <w:ilvl w:val="1"/>
          <w:numId w:val="24"/>
        </w:numPr>
        <w:spacing w:after="160" w:line="360" w:lineRule="auto"/>
        <w:ind w:left="426"/>
        <w:jc w:val="both"/>
        <w:rPr>
          <w:rFonts w:ascii="Arial Narrow" w:hAnsi="Arial Narrow" w:cs="Times New Roman"/>
        </w:rPr>
      </w:pPr>
      <w:r w:rsidRPr="00A25574">
        <w:rPr>
          <w:rFonts w:ascii="Arial Narrow" w:hAnsi="Arial Narrow" w:cs="Times New Roman"/>
        </w:rPr>
        <w:t>Pada tahun 2018 diperoleh EVA sebesar Rp 1.151.385.018,37. Dengan demikian, nilai EVA &gt; 0 yang mengartikan kinerja keuangan PT Betonjaya Manunggal, Tbk pada tahun 2018 memiliki nilai tambah ekonomis.</w:t>
      </w:r>
    </w:p>
    <w:p w:rsidR="008A1958" w:rsidRPr="008A1958" w:rsidRDefault="008A1958" w:rsidP="008A1958">
      <w:pPr>
        <w:tabs>
          <w:tab w:val="left" w:pos="-3828"/>
          <w:tab w:val="left" w:pos="284"/>
        </w:tabs>
        <w:adjustRightInd w:val="0"/>
        <w:spacing w:line="360" w:lineRule="auto"/>
        <w:ind w:right="51"/>
        <w:jc w:val="both"/>
        <w:rPr>
          <w:rFonts w:ascii="Arial Narrow" w:hAnsi="Arial Narrow"/>
        </w:rPr>
      </w:pPr>
      <w:r w:rsidRPr="008A1958">
        <w:rPr>
          <w:rFonts w:ascii="Arial Narrow" w:hAnsi="Arial Narrow"/>
          <w:b/>
        </w:rPr>
        <w:t>Implikasi / Saran</w:t>
      </w:r>
      <w:r w:rsidRPr="008A1958">
        <w:rPr>
          <w:rFonts w:ascii="Arial Narrow" w:hAnsi="Arial Narrow"/>
        </w:rPr>
        <w:t xml:space="preserve"> </w:t>
      </w:r>
    </w:p>
    <w:p w:rsidR="008A1958" w:rsidRPr="008A1958" w:rsidRDefault="008A1958" w:rsidP="008A1958">
      <w:pPr>
        <w:pStyle w:val="ListParagraph"/>
        <w:spacing w:line="360" w:lineRule="auto"/>
        <w:ind w:left="0" w:firstLine="567"/>
        <w:jc w:val="both"/>
        <w:rPr>
          <w:rFonts w:ascii="Arial Narrow" w:hAnsi="Arial Narrow" w:cs="Times New Roman"/>
        </w:rPr>
      </w:pPr>
      <w:r w:rsidRPr="008A1958">
        <w:rPr>
          <w:rFonts w:ascii="Arial Narrow" w:hAnsi="Arial Narrow" w:cs="Times New Roman"/>
        </w:rPr>
        <w:t>Berdasarkan kesimpulan hasil, penulis memberikan saran yang mungkin dapat dipertimbangkan bagi peneliti selanjutnya mengenai penilaian kinerja keuangan perusahaan :</w:t>
      </w:r>
    </w:p>
    <w:p w:rsidR="008A1958" w:rsidRPr="008A1958" w:rsidRDefault="008A1958" w:rsidP="008A1958">
      <w:pPr>
        <w:pStyle w:val="ListParagraph"/>
        <w:numPr>
          <w:ilvl w:val="2"/>
          <w:numId w:val="24"/>
        </w:numPr>
        <w:spacing w:after="160" w:line="360" w:lineRule="auto"/>
        <w:ind w:left="426"/>
        <w:jc w:val="both"/>
        <w:rPr>
          <w:rFonts w:ascii="Arial Narrow" w:hAnsi="Arial Narrow" w:cs="Times New Roman"/>
        </w:rPr>
      </w:pPr>
      <w:r w:rsidRPr="008A1958">
        <w:rPr>
          <w:rFonts w:ascii="Arial Narrow" w:hAnsi="Arial Narrow" w:cs="Times New Roman"/>
        </w:rPr>
        <w:t>Penelitian selanjutnya hendaknya dapat dilakukan dengan menambah rentang waktu penelitian dan dengan rasio keuangan untuk menghasilkan penilaian kinerja keuangan yang lebih detail.</w:t>
      </w:r>
    </w:p>
    <w:p w:rsidR="008A1958" w:rsidRPr="000D3410" w:rsidRDefault="000D3410" w:rsidP="000D3410">
      <w:pPr>
        <w:tabs>
          <w:tab w:val="left" w:pos="-3828"/>
          <w:tab w:val="left" w:pos="0"/>
        </w:tabs>
        <w:adjustRightInd w:val="0"/>
        <w:spacing w:line="360" w:lineRule="auto"/>
        <w:ind w:right="51"/>
        <w:jc w:val="both"/>
        <w:rPr>
          <w:rFonts w:ascii="Arial Narrow" w:hAnsi="Arial Narrow"/>
          <w:b/>
        </w:rPr>
      </w:pPr>
      <w:r w:rsidRPr="000D3410">
        <w:rPr>
          <w:rFonts w:ascii="Arial Narrow" w:hAnsi="Arial Narrow"/>
          <w:b/>
        </w:rPr>
        <w:t>Keterbatasan</w:t>
      </w:r>
    </w:p>
    <w:p w:rsidR="000D3410" w:rsidRPr="000D3410" w:rsidRDefault="000D3410" w:rsidP="000D3410">
      <w:pPr>
        <w:pStyle w:val="ListParagraph"/>
        <w:numPr>
          <w:ilvl w:val="0"/>
          <w:numId w:val="25"/>
        </w:numPr>
        <w:spacing w:after="160" w:line="360" w:lineRule="auto"/>
        <w:ind w:left="426"/>
        <w:jc w:val="both"/>
        <w:rPr>
          <w:rFonts w:ascii="Arial Narrow" w:hAnsi="Arial Narrow" w:cs="Times New Roman"/>
        </w:rPr>
      </w:pPr>
      <w:r w:rsidRPr="000D3410">
        <w:rPr>
          <w:rFonts w:ascii="Arial Narrow" w:hAnsi="Arial Narrow" w:cs="Times New Roman"/>
        </w:rPr>
        <w:t>Hasil dari penelitian ini terbatas dikarenakan hanya pada 5 periode terakhir yaitu dari tahun 2014 sampai 2018. Akan tetapi, penelitian ini dapat memberikan gambaran mengenai kinerja keuangan PT Betonjaya Manunggal, Tbk.</w:t>
      </w:r>
    </w:p>
    <w:p w:rsidR="000D3410" w:rsidRPr="000D3410" w:rsidRDefault="000D3410" w:rsidP="000D3410">
      <w:pPr>
        <w:pStyle w:val="ListParagraph"/>
        <w:numPr>
          <w:ilvl w:val="0"/>
          <w:numId w:val="25"/>
        </w:numPr>
        <w:spacing w:after="160" w:line="360" w:lineRule="auto"/>
        <w:ind w:left="426"/>
        <w:jc w:val="both"/>
        <w:rPr>
          <w:rFonts w:ascii="Arial Narrow" w:hAnsi="Arial Narrow" w:cs="Times New Roman"/>
        </w:rPr>
      </w:pPr>
      <w:r w:rsidRPr="000D3410">
        <w:rPr>
          <w:rFonts w:ascii="Arial Narrow" w:hAnsi="Arial Narrow" w:cs="Times New Roman"/>
        </w:rPr>
        <w:t>Metode EVA hanya mengukur hasil akhir (</w:t>
      </w:r>
      <w:r w:rsidRPr="000D3410">
        <w:rPr>
          <w:rFonts w:ascii="Arial Narrow" w:hAnsi="Arial Narrow" w:cs="Times New Roman"/>
          <w:i/>
        </w:rPr>
        <w:t xml:space="preserve">result), </w:t>
      </w:r>
      <w:r w:rsidRPr="000D3410">
        <w:rPr>
          <w:rFonts w:ascii="Arial Narrow" w:hAnsi="Arial Narrow" w:cs="Times New Roman"/>
        </w:rPr>
        <w:t>konsep ini tidak mengukur aktivitas-aktivitas penentu lainnya seperti loyalitas konsumen. EVA terlalu bertumpu pada keyakinan bahwa investor sangat mengandalkan pendekatan fundamental dalam mengkaji dan pengambilan keputusan untuk membeli atau menjual saham tertentu, padahal faktor-faktor lain terkadang lebih dominan.</w:t>
      </w:r>
    </w:p>
    <w:p w:rsidR="000D3410" w:rsidRDefault="000D3410" w:rsidP="009C4350">
      <w:pPr>
        <w:tabs>
          <w:tab w:val="left" w:pos="-3828"/>
          <w:tab w:val="left" w:pos="284"/>
        </w:tabs>
        <w:adjustRightInd w:val="0"/>
        <w:ind w:left="284" w:right="51"/>
        <w:jc w:val="both"/>
        <w:rPr>
          <w:rFonts w:ascii="Arial Narrow" w:hAnsi="Arial Narrow"/>
          <w:b/>
        </w:rPr>
      </w:pPr>
    </w:p>
    <w:p w:rsidR="000D3410" w:rsidRDefault="000D3410" w:rsidP="009C4350">
      <w:pPr>
        <w:tabs>
          <w:tab w:val="left" w:pos="-3828"/>
          <w:tab w:val="left" w:pos="284"/>
        </w:tabs>
        <w:adjustRightInd w:val="0"/>
        <w:ind w:left="284" w:right="51"/>
        <w:jc w:val="both"/>
        <w:rPr>
          <w:rFonts w:ascii="Arial Narrow" w:hAnsi="Arial Narrow"/>
          <w:b/>
        </w:rPr>
      </w:pPr>
    </w:p>
    <w:p w:rsidR="000D3410" w:rsidRDefault="000D3410" w:rsidP="009C4350">
      <w:pPr>
        <w:tabs>
          <w:tab w:val="left" w:pos="-3828"/>
          <w:tab w:val="left" w:pos="284"/>
        </w:tabs>
        <w:adjustRightInd w:val="0"/>
        <w:ind w:left="284" w:right="51"/>
        <w:jc w:val="both"/>
        <w:rPr>
          <w:rFonts w:ascii="Arial Narrow" w:hAnsi="Arial Narrow"/>
          <w:b/>
        </w:rPr>
      </w:pPr>
    </w:p>
    <w:p w:rsidR="000D3410" w:rsidRDefault="000D3410" w:rsidP="009C4350">
      <w:pPr>
        <w:tabs>
          <w:tab w:val="left" w:pos="-3828"/>
          <w:tab w:val="left" w:pos="284"/>
        </w:tabs>
        <w:adjustRightInd w:val="0"/>
        <w:ind w:left="284" w:right="51"/>
        <w:jc w:val="both"/>
        <w:rPr>
          <w:rFonts w:ascii="Arial Narrow" w:hAnsi="Arial Narrow"/>
          <w:b/>
        </w:rPr>
      </w:pPr>
    </w:p>
    <w:p w:rsidR="00DC2481" w:rsidRPr="00C56A65" w:rsidRDefault="00FD3267" w:rsidP="000D3410">
      <w:pPr>
        <w:tabs>
          <w:tab w:val="left" w:pos="-3828"/>
          <w:tab w:val="left" w:pos="284"/>
        </w:tabs>
        <w:adjustRightInd w:val="0"/>
        <w:ind w:right="51"/>
        <w:jc w:val="both"/>
        <w:rPr>
          <w:rFonts w:ascii="Arial Narrow" w:hAnsi="Arial Narrow"/>
        </w:rPr>
      </w:pPr>
      <w:r w:rsidRPr="00C56A65">
        <w:rPr>
          <w:rFonts w:ascii="Arial Narrow" w:hAnsi="Arial Narrow"/>
          <w:b/>
        </w:rPr>
        <w:lastRenderedPageBreak/>
        <w:t>DAFTAR PUSTAKA</w:t>
      </w:r>
    </w:p>
    <w:p w:rsidR="00FD3267" w:rsidRPr="00C56A65" w:rsidRDefault="00FD3267" w:rsidP="00DC2481">
      <w:pPr>
        <w:tabs>
          <w:tab w:val="left" w:pos="-3828"/>
          <w:tab w:val="left" w:pos="284"/>
        </w:tabs>
        <w:adjustRightInd w:val="0"/>
        <w:ind w:left="284" w:right="51"/>
        <w:rPr>
          <w:rFonts w:ascii="Arial Narrow" w:hAnsi="Arial Narrow"/>
          <w:b/>
        </w:rPr>
      </w:pPr>
    </w:p>
    <w:p w:rsidR="000D3410" w:rsidRPr="00C56A65" w:rsidRDefault="000D3410" w:rsidP="000D3410">
      <w:pPr>
        <w:ind w:left="567" w:hanging="567"/>
        <w:jc w:val="both"/>
        <w:rPr>
          <w:rFonts w:ascii="Arial Narrow" w:hAnsi="Arial Narrow"/>
          <w:i/>
        </w:rPr>
      </w:pPr>
      <w:r w:rsidRPr="00C56A65">
        <w:rPr>
          <w:rFonts w:ascii="Arial Narrow" w:hAnsi="Arial Narrow"/>
          <w:i/>
        </w:rPr>
        <w:t xml:space="preserve">Amalia, Dina. 2018. Memahami Tentang Analisis Laporan Keuangan Bank URL : </w:t>
      </w:r>
      <w:hyperlink r:id="rId11" w:history="1">
        <w:r w:rsidRPr="00C56A65">
          <w:rPr>
            <w:rStyle w:val="Hyperlink"/>
            <w:rFonts w:ascii="Arial Narrow" w:hAnsi="Arial Narrow"/>
            <w:i/>
            <w:color w:val="auto"/>
            <w:u w:val="none"/>
          </w:rPr>
          <w:t>https://www.jurnal.id/id/blog/2018-memahami-tentang-analisis-laporan-keu angan-bank/</w:t>
        </w:r>
      </w:hyperlink>
      <w:r w:rsidRPr="00C56A65">
        <w:rPr>
          <w:rFonts w:ascii="Arial Narrow" w:hAnsi="Arial Narrow"/>
          <w:i/>
        </w:rPr>
        <w:t xml:space="preserve"> diakses pada 31 Juli 2019</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 xml:space="preserve">Andiristan. 2016. Perputaran Kas berpengaruh signifikan secara parsial terhadap Profitabilitas (ROA). </w:t>
      </w:r>
      <w:hyperlink r:id="rId12" w:history="1">
        <w:r w:rsidRPr="00C56A65">
          <w:rPr>
            <w:rStyle w:val="Hyperlink"/>
            <w:rFonts w:ascii="Arial Narrow" w:hAnsi="Arial Narrow"/>
            <w:i/>
            <w:color w:val="auto"/>
            <w:u w:val="none"/>
          </w:rPr>
          <w:t>https://elib.unikom.ac.id/files/disk1/764/ jbptunikompp-gdl-andiristan-38177-5-unikom_a-v.pdf</w:t>
        </w:r>
      </w:hyperlink>
      <w:r w:rsidRPr="00C56A65">
        <w:rPr>
          <w:rFonts w:ascii="Arial Narrow" w:hAnsi="Arial Narrow"/>
          <w:i/>
        </w:rPr>
        <w:t xml:space="preserve">  diakses pada tanggal 02 Juli 2019 </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Astuti, Nina Budi. 2014. Economic Value Added (EVA) sebagai Alat Penilaian Kinerja Pada PT Gudang Garam, Tbk Tahun 2011-2013. Tugas Akhir. Universitas Negeri Yogyakarta. Yogyakarta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Gill, O. James dan Moira, Chatton. 2005. Memahami Laporan Keuangan (Memanfaatkan Informasi Keuangan Untuk Mengendalikan Bisnis Anda), Cetakan Ketiga. PPM. Jakarta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Horne, J.C.V. &amp; Wachowicz, J.M. 2005. Prinsip-Prinsip Manajemen Keuangan. Edisi 12 (diterjemahkan oleh Fitriasari, D &amp; Kwary, D.A). Salemba Empat. Jakarta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Iswandira, Anesti., Immas Nurhayati, dan T. Suharti. 2015. Analisis Economic Value Added (EVA) dan Market Value Added (MVA) Sebagai Alat untuk Mengukur Kinerja Keuangan Perusahaan PT Indofood Sukses Makmur, Tbk.  Jurnal Ilmiah Inovator edisi Maret 2015</w:t>
      </w:r>
    </w:p>
    <w:p w:rsidR="000D3410" w:rsidRPr="00C56A65" w:rsidRDefault="000D3410" w:rsidP="000D3410">
      <w:pPr>
        <w:ind w:left="567" w:hanging="567"/>
        <w:jc w:val="both"/>
        <w:rPr>
          <w:rFonts w:ascii="Arial Narrow" w:hAnsi="Arial Narrow"/>
          <w:i/>
        </w:rPr>
      </w:pPr>
      <w:r w:rsidRPr="00C56A65">
        <w:rPr>
          <w:rFonts w:ascii="Arial Narrow" w:hAnsi="Arial Narrow"/>
          <w:i/>
        </w:rPr>
        <w:t>Manik, O. Antonia. 2018. Pengaruh Economic Value Added (EVA) dan Market Value Added (MVA) terhadap Harga Saham. Skripsi, Universitas Sanata Dharma, Yogyakarta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 xml:space="preserve">Maranda, Servio. 2019. Praktik Perusahaan yang Sehat. URL : </w:t>
      </w:r>
      <w:hyperlink w:history="1">
        <w:r w:rsidR="000D5A73" w:rsidRPr="00C56A65">
          <w:rPr>
            <w:rStyle w:val="Hyperlink"/>
            <w:rFonts w:ascii="Arial Narrow" w:hAnsi="Arial Narrow"/>
            <w:i/>
            <w:color w:val="auto"/>
            <w:u w:val="none"/>
          </w:rPr>
          <w:t>https://bisnis.tempo .co/read/1217277/airlangga-hartarto-minta-perusahaan-timah-babel-berpraktiksehat/full &amp;view =ok</w:t>
        </w:r>
      </w:hyperlink>
      <w:r w:rsidRPr="00C56A65">
        <w:rPr>
          <w:rFonts w:ascii="Arial Narrow" w:hAnsi="Arial Narrow"/>
          <w:i/>
        </w:rPr>
        <w:t xml:space="preserve"> dikutip pada tanggal 02 Juli 2019</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Masruroh, Lailatul. 2018. Analisis Kinerja Keuangan Perusahaan Pertambangan Menggunakan Metode Economic Value Added (EVA) dan Market Value Added (MVA) periode 2012-2017. Skripsi, Universitas Negeri Yogyakarta, Yogyakarta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Mardiani, Mamik. 2012. Penilaian Kinerja Keuangan Perusahaan Menggunakan Analisis Rasio Keuangan dan Konsep EVA (Economic Value Added) (Studi pada PT. HM Sampoerna, Tbk yang Terdaftar di BEI Periode Tahun 2009-2011). Jurnal Ilmu Administrasi. Vol. 1. No. 3. Juni 2012</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Munawir, S. 2010. Analisa Laporan Keuangan. Edisi Keempat. Liberty. Yogyakarta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 xml:space="preserve">Pangestika, Witdya. 2018. 4 Cara Menilai Kinerja Perusahaan dengan Rasio Keuangan. URL : </w:t>
      </w:r>
      <w:hyperlink r:id="rId13" w:history="1">
        <w:r w:rsidRPr="00C56A65">
          <w:rPr>
            <w:rStyle w:val="Hyperlink"/>
            <w:rFonts w:ascii="Arial Narrow" w:hAnsi="Arial Narrow"/>
            <w:i/>
            <w:color w:val="auto"/>
            <w:u w:val="none"/>
          </w:rPr>
          <w:t>https://www.jurnal.id/id/blog/2018-cara-menghitung-rasio-keuangan-untuk-menilai-kinerja-perusahaan/</w:t>
        </w:r>
      </w:hyperlink>
      <w:r w:rsidRPr="00C56A65">
        <w:rPr>
          <w:rFonts w:ascii="Arial Narrow" w:hAnsi="Arial Narrow"/>
          <w:i/>
        </w:rPr>
        <w:t xml:space="preserve"> diakses pada tanggal 04 Juli 2019</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Riyanto, Bambang. 2011. Dasar-Dasar Pembelanjaan Perusahaan. BPFE. Yogyakarta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 xml:space="preserve">Rizwaril, Rudy. 2018. Tujuan Analisis Rasio Keuangan. URL : </w:t>
      </w:r>
      <w:hyperlink w:history="1">
        <w:r w:rsidRPr="00C56A65">
          <w:rPr>
            <w:rStyle w:val="Hyperlink"/>
            <w:rFonts w:ascii="Arial Narrow" w:hAnsi="Arial Narrow"/>
            <w:i/>
            <w:color w:val="auto"/>
            <w:u w:val="none"/>
          </w:rPr>
          <w:t>https://www. coursehero.com/file/p6jugtf8/252-Tujuan-Analisis-Rasio-Keuangan-Tujuan-analisis-menu rut-Tatang-Ary-Gumanti/</w:t>
        </w:r>
      </w:hyperlink>
      <w:r w:rsidRPr="00C56A65">
        <w:rPr>
          <w:rFonts w:ascii="Arial Narrow" w:hAnsi="Arial Narrow"/>
          <w:i/>
        </w:rPr>
        <w:t xml:space="preserve"> diakses pada tanggal 12 Juli 2019</w:t>
      </w:r>
    </w:p>
    <w:p w:rsidR="000D3410" w:rsidRPr="00C56A65" w:rsidRDefault="000D3410" w:rsidP="000D3410">
      <w:pPr>
        <w:ind w:left="567" w:hanging="567"/>
        <w:jc w:val="both"/>
        <w:rPr>
          <w:rFonts w:ascii="Arial Narrow" w:hAnsi="Arial Narrow"/>
          <w:i/>
        </w:rPr>
      </w:pPr>
    </w:p>
    <w:p w:rsidR="000D3410" w:rsidRDefault="000D3410" w:rsidP="000D3410">
      <w:pPr>
        <w:ind w:left="567" w:hanging="567"/>
        <w:jc w:val="both"/>
        <w:rPr>
          <w:rFonts w:ascii="Arial Narrow" w:hAnsi="Arial Narrow"/>
          <w:i/>
        </w:rPr>
      </w:pPr>
      <w:r w:rsidRPr="00C56A65">
        <w:rPr>
          <w:rFonts w:ascii="Arial Narrow" w:hAnsi="Arial Narrow"/>
          <w:i/>
        </w:rPr>
        <w:t xml:space="preserve">Simple, Mr. 2011. Pengertian Economic Value Added (EVA). URL : </w:t>
      </w:r>
      <w:hyperlink w:history="1">
        <w:r w:rsidR="00C56A65" w:rsidRPr="00C56A65">
          <w:rPr>
            <w:rStyle w:val="Hyperlink"/>
            <w:rFonts w:ascii="Arial Narrow" w:hAnsi="Arial Narrow"/>
            <w:i/>
            <w:color w:val="auto"/>
            <w:u w:val="none"/>
          </w:rPr>
          <w:t>http://kumpulanliteratur.blogspot .com/2011/11/pengertian-economic-value-added-eva.html</w:t>
        </w:r>
      </w:hyperlink>
      <w:r w:rsidRPr="00C56A65">
        <w:rPr>
          <w:rFonts w:ascii="Arial Narrow" w:hAnsi="Arial Narrow"/>
          <w:i/>
        </w:rPr>
        <w:t xml:space="preserve"> diakses pada tanggal 22 Mei 2019</w:t>
      </w:r>
    </w:p>
    <w:p w:rsidR="00C56A65" w:rsidRPr="00C56A65" w:rsidRDefault="00C56A65"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Suad, Husnan dan E. Pudjiastuti. 2004. Dasar-dasar Manajemen Keuangan. UPP AMP YKPM. Yogyakarta</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lastRenderedPageBreak/>
        <w:t xml:space="preserve">Suartini, Ni Made. 2013. Analisis Laporan Keuangan. URL :  </w:t>
      </w:r>
      <w:hyperlink w:history="1">
        <w:r w:rsidRPr="00C56A65">
          <w:rPr>
            <w:rStyle w:val="Hyperlink"/>
            <w:rFonts w:ascii="Arial Narrow" w:hAnsi="Arial Narrow"/>
            <w:i/>
            <w:color w:val="auto"/>
            <w:u w:val="none"/>
          </w:rPr>
          <w:t>http://dexsuar. blogspot.com/2013/09/ analisis-laporan-keuangan.html</w:t>
        </w:r>
      </w:hyperlink>
      <w:r w:rsidRPr="00C56A65">
        <w:rPr>
          <w:rFonts w:ascii="Arial Narrow" w:hAnsi="Arial Narrow"/>
          <w:i/>
        </w:rPr>
        <w:t xml:space="preserve"> diakses pada tanggal 02 Juli 2019</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 xml:space="preserve">Utami, Novia Widya. 2018. Mengenai Pengertian dan Fungsi Analisa Rasio Keuangan Perusahaan. URL : </w:t>
      </w:r>
      <w:hyperlink r:id="rId14" w:history="1">
        <w:r w:rsidRPr="00C56A65">
          <w:rPr>
            <w:rStyle w:val="Hyperlink"/>
            <w:rFonts w:ascii="Arial Narrow" w:hAnsi="Arial Narrow"/>
            <w:i/>
            <w:color w:val="auto"/>
            <w:u w:val="none"/>
          </w:rPr>
          <w:t>https://www.jurnal.id/id/blog/2018 mengenal -pengertian-dan-fungsi-analisa-rasio-keuangan-perusahaan/</w:t>
        </w:r>
      </w:hyperlink>
      <w:r w:rsidRPr="00C56A65">
        <w:rPr>
          <w:rFonts w:ascii="Arial Narrow" w:hAnsi="Arial Narrow"/>
          <w:i/>
        </w:rPr>
        <w:t xml:space="preserve"> diakses pada tanggal 12 Juli 2019</w:t>
      </w:r>
    </w:p>
    <w:p w:rsidR="000D3410" w:rsidRPr="00C56A65" w:rsidRDefault="000D3410" w:rsidP="000D3410">
      <w:pPr>
        <w:ind w:left="567" w:hanging="567"/>
        <w:jc w:val="both"/>
        <w:rPr>
          <w:rFonts w:ascii="Arial Narrow" w:hAnsi="Arial Narrow"/>
          <w:i/>
        </w:rPr>
      </w:pPr>
    </w:p>
    <w:p w:rsidR="000D3410" w:rsidRPr="00C56A65" w:rsidRDefault="000D3410" w:rsidP="000D3410">
      <w:pPr>
        <w:ind w:left="567" w:hanging="567"/>
        <w:jc w:val="both"/>
        <w:rPr>
          <w:rFonts w:ascii="Arial Narrow" w:hAnsi="Arial Narrow"/>
          <w:i/>
        </w:rPr>
      </w:pPr>
      <w:r w:rsidRPr="00C56A65">
        <w:rPr>
          <w:rFonts w:ascii="Arial Narrow" w:hAnsi="Arial Narrow"/>
          <w:i/>
        </w:rPr>
        <w:t>Zarkasyi, M. Wahyudin. 2008. Good Corporate Governance, Pada Badan Usaha Manufaktur, Perbankan, dan Jasa Keuangan Lainnya. Cetakan Pertama. Alfabeta. Bandung</w:t>
      </w:r>
    </w:p>
    <w:p w:rsidR="009C4350" w:rsidRPr="009C4350" w:rsidRDefault="009C4350" w:rsidP="009C4350">
      <w:pPr>
        <w:ind w:left="567" w:hanging="567"/>
        <w:jc w:val="both"/>
        <w:rPr>
          <w:rFonts w:ascii="Arial Narrow" w:hAnsi="Arial Narrow"/>
          <w:i/>
          <w:lang w:val="id-ID"/>
        </w:rPr>
      </w:pPr>
    </w:p>
    <w:sectPr w:rsidR="009C4350" w:rsidRPr="009C4350" w:rsidSect="0056794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AEB" w:rsidRDefault="00B86AEB" w:rsidP="00771386">
      <w:r>
        <w:separator/>
      </w:r>
    </w:p>
  </w:endnote>
  <w:endnote w:type="continuationSeparator" w:id="0">
    <w:p w:rsidR="00B86AEB" w:rsidRDefault="00B86AEB" w:rsidP="0077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762700"/>
      <w:docPartObj>
        <w:docPartGallery w:val="Page Numbers (Bottom of Page)"/>
        <w:docPartUnique/>
      </w:docPartObj>
    </w:sdtPr>
    <w:sdtEndPr>
      <w:rPr>
        <w:noProof/>
      </w:rPr>
    </w:sdtEndPr>
    <w:sdtContent>
      <w:p w:rsidR="00443827" w:rsidRDefault="00F36712">
        <w:pPr>
          <w:pStyle w:val="Footer"/>
          <w:jc w:val="center"/>
        </w:pPr>
        <w:fldSimple w:instr=" PAGE   \* MERGEFORMAT ">
          <w:r w:rsidR="004B4AE2">
            <w:rPr>
              <w:noProof/>
            </w:rPr>
            <w:t>2</w:t>
          </w:r>
        </w:fldSimple>
      </w:p>
    </w:sdtContent>
  </w:sdt>
  <w:p w:rsidR="00443827" w:rsidRDefault="00443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AEB" w:rsidRDefault="00B86AEB" w:rsidP="00771386">
      <w:r>
        <w:separator/>
      </w:r>
    </w:p>
  </w:footnote>
  <w:footnote w:type="continuationSeparator" w:id="0">
    <w:p w:rsidR="00B86AEB" w:rsidRDefault="00B86AEB" w:rsidP="00771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27" w:rsidRDefault="00443827">
    <w:pPr>
      <w:pStyle w:val="Header"/>
    </w:pPr>
  </w:p>
  <w:p w:rsidR="00443827" w:rsidRDefault="00443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BE5"/>
    <w:multiLevelType w:val="multilevel"/>
    <w:tmpl w:val="44946A5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71AAE"/>
    <w:multiLevelType w:val="hybridMultilevel"/>
    <w:tmpl w:val="6E8EA762"/>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07D40A30"/>
    <w:multiLevelType w:val="multilevel"/>
    <w:tmpl w:val="35AEC0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F90EAF"/>
    <w:multiLevelType w:val="multilevel"/>
    <w:tmpl w:val="0E66B13A"/>
    <w:lvl w:ilvl="0">
      <w:start w:val="1"/>
      <w:numFmt w:val="decimal"/>
      <w:lvlText w:val="%1."/>
      <w:lvlJc w:val="left"/>
      <w:pPr>
        <w:ind w:left="720" w:hanging="360"/>
      </w:pPr>
      <w:rPr>
        <w:rFonts w:hint="default"/>
      </w:rPr>
    </w:lvl>
    <w:lvl w:ilvl="1">
      <w:start w:val="6"/>
      <w:numFmt w:val="decimal"/>
      <w:isLgl/>
      <w:lvlText w:val="%1.%2"/>
      <w:lvlJc w:val="left"/>
      <w:pPr>
        <w:ind w:left="843" w:hanging="450"/>
      </w:pPr>
      <w:rPr>
        <w:rFonts w:hint="default"/>
        <w:i w:val="0"/>
      </w:rPr>
    </w:lvl>
    <w:lvl w:ilvl="2">
      <w:start w:val="3"/>
      <w:numFmt w:val="decimal"/>
      <w:isLgl/>
      <w:lvlText w:val="%1.%2.%3"/>
      <w:lvlJc w:val="left"/>
      <w:pPr>
        <w:ind w:left="1146" w:hanging="720"/>
      </w:pPr>
      <w:rPr>
        <w:rFonts w:hint="default"/>
        <w:i w:val="0"/>
      </w:rPr>
    </w:lvl>
    <w:lvl w:ilvl="3">
      <w:start w:val="1"/>
      <w:numFmt w:val="decimal"/>
      <w:isLgl/>
      <w:lvlText w:val="%1.%2.%3.%4"/>
      <w:lvlJc w:val="left"/>
      <w:pPr>
        <w:ind w:left="1179" w:hanging="720"/>
      </w:pPr>
      <w:rPr>
        <w:rFonts w:hint="default"/>
        <w:i w:val="0"/>
      </w:rPr>
    </w:lvl>
    <w:lvl w:ilvl="4">
      <w:start w:val="1"/>
      <w:numFmt w:val="decimal"/>
      <w:isLgl/>
      <w:lvlText w:val="%1.%2.%3.%4.%5"/>
      <w:lvlJc w:val="left"/>
      <w:pPr>
        <w:ind w:left="1212" w:hanging="720"/>
      </w:pPr>
      <w:rPr>
        <w:rFonts w:hint="default"/>
        <w:i w:val="0"/>
      </w:rPr>
    </w:lvl>
    <w:lvl w:ilvl="5">
      <w:start w:val="1"/>
      <w:numFmt w:val="decimal"/>
      <w:isLgl/>
      <w:lvlText w:val="%1.%2.%3.%4.%5.%6"/>
      <w:lvlJc w:val="left"/>
      <w:pPr>
        <w:ind w:left="1605" w:hanging="1080"/>
      </w:pPr>
      <w:rPr>
        <w:rFonts w:hint="default"/>
        <w:i w:val="0"/>
      </w:rPr>
    </w:lvl>
    <w:lvl w:ilvl="6">
      <w:start w:val="1"/>
      <w:numFmt w:val="decimal"/>
      <w:isLgl/>
      <w:lvlText w:val="%1.%2.%3.%4.%5.%6.%7"/>
      <w:lvlJc w:val="left"/>
      <w:pPr>
        <w:ind w:left="1638" w:hanging="1080"/>
      </w:pPr>
      <w:rPr>
        <w:rFonts w:hint="default"/>
        <w:i w:val="0"/>
      </w:rPr>
    </w:lvl>
    <w:lvl w:ilvl="7">
      <w:start w:val="1"/>
      <w:numFmt w:val="decimal"/>
      <w:isLgl/>
      <w:lvlText w:val="%1.%2.%3.%4.%5.%6.%7.%8"/>
      <w:lvlJc w:val="left"/>
      <w:pPr>
        <w:ind w:left="2031" w:hanging="1440"/>
      </w:pPr>
      <w:rPr>
        <w:rFonts w:hint="default"/>
        <w:i w:val="0"/>
      </w:rPr>
    </w:lvl>
    <w:lvl w:ilvl="8">
      <w:start w:val="1"/>
      <w:numFmt w:val="decimal"/>
      <w:isLgl/>
      <w:lvlText w:val="%1.%2.%3.%4.%5.%6.%7.%8.%9"/>
      <w:lvlJc w:val="left"/>
      <w:pPr>
        <w:ind w:left="2064" w:hanging="1440"/>
      </w:pPr>
      <w:rPr>
        <w:rFonts w:hint="default"/>
        <w:i w:val="0"/>
      </w:rPr>
    </w:lvl>
  </w:abstractNum>
  <w:abstractNum w:abstractNumId="4">
    <w:nsid w:val="09E679DC"/>
    <w:multiLevelType w:val="hybridMultilevel"/>
    <w:tmpl w:val="B664C77C"/>
    <w:lvl w:ilvl="0" w:tplc="BF2EBED6">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9ED7774"/>
    <w:multiLevelType w:val="hybridMultilevel"/>
    <w:tmpl w:val="6DD0278E"/>
    <w:lvl w:ilvl="0" w:tplc="D5FA5C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F20C9"/>
    <w:multiLevelType w:val="hybridMultilevel"/>
    <w:tmpl w:val="2C308796"/>
    <w:lvl w:ilvl="0" w:tplc="70F038C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145A39D4">
      <w:start w:val="1"/>
      <w:numFmt w:val="decimal"/>
      <w:lvlText w:val="%3."/>
      <w:lvlJc w:val="left"/>
      <w:pPr>
        <w:ind w:left="2577" w:hanging="39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5E81889"/>
    <w:multiLevelType w:val="multilevel"/>
    <w:tmpl w:val="3322E95A"/>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lowerLetter"/>
      <w:lvlText w:val="%5."/>
      <w:lvlJc w:val="left"/>
      <w:pPr>
        <w:ind w:left="2496" w:hanging="1080"/>
      </w:pPr>
      <w:rPr>
        <w:rFonts w:hint="default"/>
        <w:b w:val="0"/>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5EA5F6C"/>
    <w:multiLevelType w:val="hybridMultilevel"/>
    <w:tmpl w:val="90547858"/>
    <w:lvl w:ilvl="0" w:tplc="E42CF8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C113E3"/>
    <w:multiLevelType w:val="hybridMultilevel"/>
    <w:tmpl w:val="43466778"/>
    <w:lvl w:ilvl="0" w:tplc="D9066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662761"/>
    <w:multiLevelType w:val="hybridMultilevel"/>
    <w:tmpl w:val="A8B6F836"/>
    <w:lvl w:ilvl="0" w:tplc="07DCE7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9824532"/>
    <w:multiLevelType w:val="hybridMultilevel"/>
    <w:tmpl w:val="799274C0"/>
    <w:lvl w:ilvl="0" w:tplc="24F8CA3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1FDD206A"/>
    <w:multiLevelType w:val="hybridMultilevel"/>
    <w:tmpl w:val="CEB82528"/>
    <w:lvl w:ilvl="0" w:tplc="48B23286">
      <w:start w:val="1"/>
      <w:numFmt w:val="decimal"/>
      <w:lvlText w:val="%1."/>
      <w:lvlJc w:val="left"/>
      <w:pPr>
        <w:ind w:left="1079" w:hanging="360"/>
      </w:pPr>
      <w:rPr>
        <w:rFonts w:hint="default"/>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13">
    <w:nsid w:val="243121BF"/>
    <w:multiLevelType w:val="hybridMultilevel"/>
    <w:tmpl w:val="80E2CA5C"/>
    <w:lvl w:ilvl="0" w:tplc="9F365C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880905"/>
    <w:multiLevelType w:val="hybridMultilevel"/>
    <w:tmpl w:val="63F2B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051C6"/>
    <w:multiLevelType w:val="multilevel"/>
    <w:tmpl w:val="35AEC0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21762C0"/>
    <w:multiLevelType w:val="multilevel"/>
    <w:tmpl w:val="5C9C4530"/>
    <w:lvl w:ilvl="0">
      <w:start w:val="1"/>
      <w:numFmt w:val="decimal"/>
      <w:lvlText w:val="%1."/>
      <w:lvlJc w:val="left"/>
      <w:pPr>
        <w:ind w:left="1494" w:hanging="360"/>
      </w:pPr>
      <w:rPr>
        <w:rFonts w:hint="default"/>
      </w:rPr>
    </w:lvl>
    <w:lvl w:ilvl="1">
      <w:start w:val="1"/>
      <w:numFmt w:val="decimal"/>
      <w:isLgl/>
      <w:lvlText w:val="4.%2."/>
      <w:lvlJc w:val="left"/>
      <w:pPr>
        <w:ind w:left="1854" w:hanging="720"/>
      </w:pPr>
      <w:rPr>
        <w:rFonts w:hint="default"/>
      </w:rPr>
    </w:lvl>
    <w:lvl w:ilvl="2">
      <w:start w:val="1"/>
      <w:numFmt w:val="decimal"/>
      <w:isLgl/>
      <w:lvlText w:val="4.%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7">
    <w:nsid w:val="46A27F23"/>
    <w:multiLevelType w:val="hybridMultilevel"/>
    <w:tmpl w:val="B3F6919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54780"/>
    <w:multiLevelType w:val="hybridMultilevel"/>
    <w:tmpl w:val="1DF8FA2E"/>
    <w:lvl w:ilvl="0" w:tplc="34A89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113DD7"/>
    <w:multiLevelType w:val="multilevel"/>
    <w:tmpl w:val="5E6E25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75F0058"/>
    <w:multiLevelType w:val="multilevel"/>
    <w:tmpl w:val="35AEC0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454E9F"/>
    <w:multiLevelType w:val="hybridMultilevel"/>
    <w:tmpl w:val="CF68420C"/>
    <w:lvl w:ilvl="0" w:tplc="57E41C7C">
      <w:start w:val="1"/>
      <w:numFmt w:val="decimal"/>
      <w:lvlText w:val="%1."/>
      <w:lvlJc w:val="left"/>
      <w:pPr>
        <w:ind w:left="1080" w:hanging="360"/>
      </w:pPr>
      <w:rPr>
        <w:rFonts w:ascii="Arial Narrow" w:eastAsiaTheme="minorHAnsi" w:hAnsi="Arial Narrow"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1C240F"/>
    <w:multiLevelType w:val="multilevel"/>
    <w:tmpl w:val="35AEC0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E2526B3"/>
    <w:multiLevelType w:val="hybridMultilevel"/>
    <w:tmpl w:val="AC50F610"/>
    <w:lvl w:ilvl="0" w:tplc="88F813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E834AA"/>
    <w:multiLevelType w:val="hybridMultilevel"/>
    <w:tmpl w:val="F0941034"/>
    <w:lvl w:ilvl="0" w:tplc="8DAEB548">
      <w:start w:val="1"/>
      <w:numFmt w:val="decimal"/>
      <w:lvlText w:val="%1."/>
      <w:lvlJc w:val="left"/>
      <w:pPr>
        <w:ind w:left="11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8"/>
  </w:num>
  <w:num w:numId="4">
    <w:abstractNumId w:val="5"/>
  </w:num>
  <w:num w:numId="5">
    <w:abstractNumId w:val="17"/>
  </w:num>
  <w:num w:numId="6">
    <w:abstractNumId w:val="19"/>
  </w:num>
  <w:num w:numId="7">
    <w:abstractNumId w:val="21"/>
  </w:num>
  <w:num w:numId="8">
    <w:abstractNumId w:val="3"/>
  </w:num>
  <w:num w:numId="9">
    <w:abstractNumId w:val="4"/>
  </w:num>
  <w:num w:numId="10">
    <w:abstractNumId w:val="24"/>
  </w:num>
  <w:num w:numId="11">
    <w:abstractNumId w:val="8"/>
  </w:num>
  <w:num w:numId="12">
    <w:abstractNumId w:val="12"/>
  </w:num>
  <w:num w:numId="13">
    <w:abstractNumId w:val="7"/>
  </w:num>
  <w:num w:numId="14">
    <w:abstractNumId w:val="11"/>
  </w:num>
  <w:num w:numId="15">
    <w:abstractNumId w:val="1"/>
  </w:num>
  <w:num w:numId="16">
    <w:abstractNumId w:val="13"/>
  </w:num>
  <w:num w:numId="17">
    <w:abstractNumId w:val="0"/>
  </w:num>
  <w:num w:numId="18">
    <w:abstractNumId w:val="14"/>
  </w:num>
  <w:num w:numId="19">
    <w:abstractNumId w:val="2"/>
  </w:num>
  <w:num w:numId="20">
    <w:abstractNumId w:val="15"/>
  </w:num>
  <w:num w:numId="21">
    <w:abstractNumId w:val="20"/>
  </w:num>
  <w:num w:numId="22">
    <w:abstractNumId w:val="22"/>
  </w:num>
  <w:num w:numId="23">
    <w:abstractNumId w:val="16"/>
  </w:num>
  <w:num w:numId="24">
    <w:abstractNumId w:val="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hdrShapeDefaults>
    <o:shapedefaults v:ext="edit" spidmax="27650">
      <o:colormenu v:ext="edit" strokecolor="none [3213]"/>
    </o:shapedefaults>
  </w:hdrShapeDefaults>
  <w:footnotePr>
    <w:footnote w:id="-1"/>
    <w:footnote w:id="0"/>
  </w:footnotePr>
  <w:endnotePr>
    <w:endnote w:id="-1"/>
    <w:endnote w:id="0"/>
  </w:endnotePr>
  <w:compat/>
  <w:rsids>
    <w:rsidRoot w:val="00CE315B"/>
    <w:rsid w:val="00011CB0"/>
    <w:rsid w:val="000821C0"/>
    <w:rsid w:val="00094F11"/>
    <w:rsid w:val="000B74F6"/>
    <w:rsid w:val="000C2F39"/>
    <w:rsid w:val="000D3410"/>
    <w:rsid w:val="000D5A73"/>
    <w:rsid w:val="000F1877"/>
    <w:rsid w:val="00163C57"/>
    <w:rsid w:val="001C2742"/>
    <w:rsid w:val="001D62F6"/>
    <w:rsid w:val="002129A8"/>
    <w:rsid w:val="00250360"/>
    <w:rsid w:val="00254156"/>
    <w:rsid w:val="002B38E0"/>
    <w:rsid w:val="002D3174"/>
    <w:rsid w:val="002F28D9"/>
    <w:rsid w:val="00302B4C"/>
    <w:rsid w:val="0033320E"/>
    <w:rsid w:val="003936F9"/>
    <w:rsid w:val="003B5238"/>
    <w:rsid w:val="003C28AB"/>
    <w:rsid w:val="003F7D95"/>
    <w:rsid w:val="00443827"/>
    <w:rsid w:val="00493857"/>
    <w:rsid w:val="004B4AE2"/>
    <w:rsid w:val="004D6A31"/>
    <w:rsid w:val="00521340"/>
    <w:rsid w:val="0056794E"/>
    <w:rsid w:val="005E7ABE"/>
    <w:rsid w:val="00693240"/>
    <w:rsid w:val="00771386"/>
    <w:rsid w:val="007A765C"/>
    <w:rsid w:val="007B1DA5"/>
    <w:rsid w:val="00813BBB"/>
    <w:rsid w:val="0081420D"/>
    <w:rsid w:val="008465BE"/>
    <w:rsid w:val="008715F3"/>
    <w:rsid w:val="008A1958"/>
    <w:rsid w:val="008B78B2"/>
    <w:rsid w:val="008F770B"/>
    <w:rsid w:val="009008F0"/>
    <w:rsid w:val="00911C92"/>
    <w:rsid w:val="0095049C"/>
    <w:rsid w:val="0096143A"/>
    <w:rsid w:val="00963586"/>
    <w:rsid w:val="00966915"/>
    <w:rsid w:val="00967DC6"/>
    <w:rsid w:val="009B1BC4"/>
    <w:rsid w:val="009C4350"/>
    <w:rsid w:val="009D3746"/>
    <w:rsid w:val="00A044C8"/>
    <w:rsid w:val="00A0615D"/>
    <w:rsid w:val="00A25574"/>
    <w:rsid w:val="00AB6391"/>
    <w:rsid w:val="00B046DD"/>
    <w:rsid w:val="00B6683E"/>
    <w:rsid w:val="00B856D2"/>
    <w:rsid w:val="00B86AEB"/>
    <w:rsid w:val="00C56A65"/>
    <w:rsid w:val="00CA6E2A"/>
    <w:rsid w:val="00CD23D8"/>
    <w:rsid w:val="00CE315B"/>
    <w:rsid w:val="00D06795"/>
    <w:rsid w:val="00D24261"/>
    <w:rsid w:val="00D2704E"/>
    <w:rsid w:val="00D83865"/>
    <w:rsid w:val="00DB17B6"/>
    <w:rsid w:val="00DC2481"/>
    <w:rsid w:val="00DC26A6"/>
    <w:rsid w:val="00E43B15"/>
    <w:rsid w:val="00E561E2"/>
    <w:rsid w:val="00E83FC2"/>
    <w:rsid w:val="00E900F3"/>
    <w:rsid w:val="00EA1F7B"/>
    <w:rsid w:val="00F36712"/>
    <w:rsid w:val="00FB442E"/>
    <w:rsid w:val="00FD32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15B"/>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CE315B"/>
    <w:pPr>
      <w:ind w:left="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1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CE315B"/>
    <w:rPr>
      <w:rFonts w:ascii="Times New Roman" w:eastAsia="Times New Roman" w:hAnsi="Times New Roman" w:cs="Times New Roman"/>
      <w:b/>
      <w:bCs/>
    </w:rPr>
  </w:style>
  <w:style w:type="paragraph" w:styleId="BodyText">
    <w:name w:val="Body Text"/>
    <w:basedOn w:val="Normal"/>
    <w:link w:val="BodyTextChar"/>
    <w:uiPriority w:val="1"/>
    <w:qFormat/>
    <w:rsid w:val="00CE315B"/>
  </w:style>
  <w:style w:type="character" w:customStyle="1" w:styleId="BodyTextChar">
    <w:name w:val="Body Text Char"/>
    <w:basedOn w:val="DefaultParagraphFont"/>
    <w:link w:val="BodyText"/>
    <w:uiPriority w:val="1"/>
    <w:rsid w:val="00CE315B"/>
    <w:rPr>
      <w:rFonts w:ascii="Times New Roman" w:eastAsia="Times New Roman" w:hAnsi="Times New Roman" w:cs="Times New Roman"/>
    </w:rPr>
  </w:style>
  <w:style w:type="character" w:styleId="Hyperlink">
    <w:name w:val="Hyperlink"/>
    <w:basedOn w:val="DefaultParagraphFont"/>
    <w:uiPriority w:val="99"/>
    <w:unhideWhenUsed/>
    <w:rsid w:val="00CE315B"/>
    <w:rPr>
      <w:color w:val="0000FF" w:themeColor="hyperlink"/>
      <w:u w:val="single"/>
    </w:rPr>
  </w:style>
  <w:style w:type="paragraph" w:styleId="ListParagraph">
    <w:name w:val="List Paragraph"/>
    <w:basedOn w:val="Normal"/>
    <w:uiPriority w:val="34"/>
    <w:qFormat/>
    <w:rsid w:val="00FB442E"/>
    <w:pPr>
      <w:widowControl/>
      <w:autoSpaceDE/>
      <w:autoSpaceDN/>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E7ABE"/>
    <w:rPr>
      <w:rFonts w:ascii="Tahoma" w:hAnsi="Tahoma" w:cs="Tahoma"/>
      <w:sz w:val="16"/>
      <w:szCs w:val="16"/>
    </w:rPr>
  </w:style>
  <w:style w:type="character" w:customStyle="1" w:styleId="BalloonTextChar">
    <w:name w:val="Balloon Text Char"/>
    <w:basedOn w:val="DefaultParagraphFont"/>
    <w:link w:val="BalloonText"/>
    <w:uiPriority w:val="99"/>
    <w:semiHidden/>
    <w:rsid w:val="005E7ABE"/>
    <w:rPr>
      <w:rFonts w:ascii="Tahoma" w:eastAsia="Times New Roman" w:hAnsi="Tahoma" w:cs="Tahoma"/>
      <w:sz w:val="16"/>
      <w:szCs w:val="16"/>
    </w:rPr>
  </w:style>
  <w:style w:type="paragraph" w:styleId="NoSpacing">
    <w:name w:val="No Spacing"/>
    <w:uiPriority w:val="1"/>
    <w:qFormat/>
    <w:rsid w:val="008465BE"/>
    <w:pPr>
      <w:spacing w:after="0" w:line="240" w:lineRule="auto"/>
    </w:pPr>
  </w:style>
  <w:style w:type="paragraph" w:styleId="Header">
    <w:name w:val="header"/>
    <w:basedOn w:val="Normal"/>
    <w:link w:val="HeaderChar"/>
    <w:uiPriority w:val="99"/>
    <w:unhideWhenUsed/>
    <w:rsid w:val="00771386"/>
    <w:pPr>
      <w:tabs>
        <w:tab w:val="center" w:pos="4680"/>
        <w:tab w:val="right" w:pos="9360"/>
      </w:tabs>
    </w:pPr>
  </w:style>
  <w:style w:type="character" w:customStyle="1" w:styleId="HeaderChar">
    <w:name w:val="Header Char"/>
    <w:basedOn w:val="DefaultParagraphFont"/>
    <w:link w:val="Header"/>
    <w:uiPriority w:val="99"/>
    <w:rsid w:val="00771386"/>
    <w:rPr>
      <w:rFonts w:ascii="Times New Roman" w:eastAsia="Times New Roman" w:hAnsi="Times New Roman" w:cs="Times New Roman"/>
    </w:rPr>
  </w:style>
  <w:style w:type="paragraph" w:styleId="Footer">
    <w:name w:val="footer"/>
    <w:basedOn w:val="Normal"/>
    <w:link w:val="FooterChar"/>
    <w:uiPriority w:val="99"/>
    <w:unhideWhenUsed/>
    <w:rsid w:val="00771386"/>
    <w:pPr>
      <w:tabs>
        <w:tab w:val="center" w:pos="4680"/>
        <w:tab w:val="right" w:pos="9360"/>
      </w:tabs>
    </w:pPr>
  </w:style>
  <w:style w:type="character" w:customStyle="1" w:styleId="FooterChar">
    <w:name w:val="Footer Char"/>
    <w:basedOn w:val="DefaultParagraphFont"/>
    <w:link w:val="Footer"/>
    <w:uiPriority w:val="99"/>
    <w:rsid w:val="00771386"/>
    <w:rPr>
      <w:rFonts w:ascii="Times New Roman" w:eastAsia="Times New Roman" w:hAnsi="Times New Roman" w:cs="Times New Roman"/>
    </w:rPr>
  </w:style>
  <w:style w:type="table" w:styleId="TableGrid">
    <w:name w:val="Table Grid"/>
    <w:basedOn w:val="TableNormal"/>
    <w:uiPriority w:val="39"/>
    <w:rsid w:val="004438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15B"/>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CE315B"/>
    <w:pPr>
      <w:ind w:left="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1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1"/>
    <w:rsid w:val="00CE315B"/>
    <w:rPr>
      <w:rFonts w:ascii="Times New Roman" w:eastAsia="Times New Roman" w:hAnsi="Times New Roman" w:cs="Times New Roman"/>
      <w:b/>
      <w:bCs/>
    </w:rPr>
  </w:style>
  <w:style w:type="paragraph" w:styleId="BodyText">
    <w:name w:val="Body Text"/>
    <w:basedOn w:val="Normal"/>
    <w:link w:val="BodyTextChar"/>
    <w:uiPriority w:val="1"/>
    <w:qFormat/>
    <w:rsid w:val="00CE315B"/>
  </w:style>
  <w:style w:type="character" w:customStyle="1" w:styleId="BodyTextChar">
    <w:name w:val="Body Text Char"/>
    <w:basedOn w:val="DefaultParagraphFont"/>
    <w:link w:val="BodyText"/>
    <w:uiPriority w:val="1"/>
    <w:rsid w:val="00CE315B"/>
    <w:rPr>
      <w:rFonts w:ascii="Times New Roman" w:eastAsia="Times New Roman" w:hAnsi="Times New Roman" w:cs="Times New Roman"/>
    </w:rPr>
  </w:style>
  <w:style w:type="character" w:styleId="Hyperlink">
    <w:name w:val="Hyperlink"/>
    <w:basedOn w:val="DefaultParagraphFont"/>
    <w:uiPriority w:val="99"/>
    <w:unhideWhenUsed/>
    <w:rsid w:val="00CE315B"/>
    <w:rPr>
      <w:color w:val="0000FF" w:themeColor="hyperlink"/>
      <w:u w:val="single"/>
    </w:rPr>
  </w:style>
  <w:style w:type="paragraph" w:styleId="ListParagraph">
    <w:name w:val="List Paragraph"/>
    <w:basedOn w:val="Normal"/>
    <w:uiPriority w:val="34"/>
    <w:qFormat/>
    <w:rsid w:val="00FB442E"/>
    <w:pPr>
      <w:widowControl/>
      <w:autoSpaceDE/>
      <w:autoSpaceDN/>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E7ABE"/>
    <w:rPr>
      <w:rFonts w:ascii="Tahoma" w:hAnsi="Tahoma" w:cs="Tahoma"/>
      <w:sz w:val="16"/>
      <w:szCs w:val="16"/>
    </w:rPr>
  </w:style>
  <w:style w:type="character" w:customStyle="1" w:styleId="BalloonTextChar">
    <w:name w:val="Balloon Text Char"/>
    <w:basedOn w:val="DefaultParagraphFont"/>
    <w:link w:val="BalloonText"/>
    <w:uiPriority w:val="99"/>
    <w:semiHidden/>
    <w:rsid w:val="005E7ABE"/>
    <w:rPr>
      <w:rFonts w:ascii="Tahoma" w:eastAsia="Times New Roman" w:hAnsi="Tahoma" w:cs="Tahoma"/>
      <w:sz w:val="16"/>
      <w:szCs w:val="16"/>
    </w:rPr>
  </w:style>
  <w:style w:type="paragraph" w:styleId="NoSpacing">
    <w:name w:val="No Spacing"/>
    <w:uiPriority w:val="1"/>
    <w:qFormat/>
    <w:rsid w:val="008465BE"/>
    <w:pPr>
      <w:spacing w:after="0" w:line="240" w:lineRule="auto"/>
    </w:pPr>
  </w:style>
  <w:style w:type="paragraph" w:styleId="Header">
    <w:name w:val="header"/>
    <w:basedOn w:val="Normal"/>
    <w:link w:val="HeaderChar"/>
    <w:uiPriority w:val="99"/>
    <w:unhideWhenUsed/>
    <w:rsid w:val="00771386"/>
    <w:pPr>
      <w:tabs>
        <w:tab w:val="center" w:pos="4680"/>
        <w:tab w:val="right" w:pos="9360"/>
      </w:tabs>
    </w:pPr>
  </w:style>
  <w:style w:type="character" w:customStyle="1" w:styleId="HeaderChar">
    <w:name w:val="Header Char"/>
    <w:basedOn w:val="DefaultParagraphFont"/>
    <w:link w:val="Header"/>
    <w:uiPriority w:val="99"/>
    <w:rsid w:val="00771386"/>
    <w:rPr>
      <w:rFonts w:ascii="Times New Roman" w:eastAsia="Times New Roman" w:hAnsi="Times New Roman" w:cs="Times New Roman"/>
    </w:rPr>
  </w:style>
  <w:style w:type="paragraph" w:styleId="Footer">
    <w:name w:val="footer"/>
    <w:basedOn w:val="Normal"/>
    <w:link w:val="FooterChar"/>
    <w:uiPriority w:val="99"/>
    <w:unhideWhenUsed/>
    <w:rsid w:val="00771386"/>
    <w:pPr>
      <w:tabs>
        <w:tab w:val="center" w:pos="4680"/>
        <w:tab w:val="right" w:pos="9360"/>
      </w:tabs>
    </w:pPr>
  </w:style>
  <w:style w:type="character" w:customStyle="1" w:styleId="FooterChar">
    <w:name w:val="Footer Char"/>
    <w:basedOn w:val="DefaultParagraphFont"/>
    <w:link w:val="Footer"/>
    <w:uiPriority w:val="99"/>
    <w:rsid w:val="0077138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rnal.id/id/blog/2018-cara-menghitung-rasio-keuangan-untuk-menilai-kinerja-perusahaa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lib.unikom.ac.id/files/disk1/764/%20jbptunikompp-gdl-andiristan-38177-5-unikom_a-v.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rnal.id/id/blog/2018-memahami-tentang-analisis-laporan-keu%20angan-b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dx.co.id" TargetMode="External"/><Relationship Id="rId4" Type="http://schemas.openxmlformats.org/officeDocument/2006/relationships/styles" Target="styles.xml"/><Relationship Id="rId9" Type="http://schemas.openxmlformats.org/officeDocument/2006/relationships/hyperlink" Target="mailto:nurjanahnika12@gmail.com" TargetMode="External"/><Relationship Id="rId14" Type="http://schemas.openxmlformats.org/officeDocument/2006/relationships/hyperlink" Target="https://www.jurnal.id/id/blog/2018%20mengenal%20-pengertian-dan-fungsi-analisa-rasio-keuangan-perusah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5D8CF8-ECB4-461A-A2DC-833E65BB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JURNAL AKUNTANSI &amp; EKONOMI FE.UMB Yogyakarta Vol.</vt:lpstr>
    </vt:vector>
  </TitlesOfParts>
  <Company>home</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AKUNTANSI &amp; EKONOMI FE.UMB Yogyakarta Vol.</dc:title>
  <dc:creator>ismail - [2010]</dc:creator>
  <cp:lastModifiedBy>Windows User</cp:lastModifiedBy>
  <cp:revision>24</cp:revision>
  <cp:lastPrinted>2019-02-07T13:42:00Z</cp:lastPrinted>
  <dcterms:created xsi:type="dcterms:W3CDTF">2019-08-08T08:57:00Z</dcterms:created>
  <dcterms:modified xsi:type="dcterms:W3CDTF">2019-08-12T08:53:00Z</dcterms:modified>
</cp:coreProperties>
</file>