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C5F3" w14:textId="11B8E741" w:rsidR="00446448" w:rsidRPr="00643F8D" w:rsidRDefault="00446448" w:rsidP="007617D7">
      <w:pPr>
        <w:spacing w:after="0" w:line="240" w:lineRule="auto"/>
        <w:ind w:right="-285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446448">
        <w:rPr>
          <w:rFonts w:ascii="Calibri Light" w:hAnsi="Calibri Light" w:cs="Calibri Light"/>
          <w:b/>
          <w:bCs/>
          <w:sz w:val="28"/>
          <w:szCs w:val="28"/>
        </w:rPr>
        <w:t>ANALISIS PENILAIAN TINGKAT KESEHATAN BANK DENGAN MENGGUNAKAN METODE RGEC PADA BANK UMUM BUMN YANG TERDAFTAR DI BURSA EFEK INDONESIA PADA TAHUN 2013 - 2017</w:t>
      </w:r>
    </w:p>
    <w:p w14:paraId="08C6286E" w14:textId="77777777" w:rsidR="00931BBB" w:rsidRPr="00643F8D" w:rsidRDefault="00931BBB" w:rsidP="007617D7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D5F27B" w14:textId="22BB1529" w:rsidR="00153F6D" w:rsidRPr="00A8369D" w:rsidRDefault="00446448" w:rsidP="007617D7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proofErr w:type="spellStart"/>
      <w:r w:rsidRPr="00A8369D">
        <w:rPr>
          <w:rFonts w:ascii="Calibri Light" w:eastAsia="Calibri" w:hAnsi="Calibri Light" w:cs="Calibri Light"/>
        </w:rPr>
        <w:t>Dewi</w:t>
      </w:r>
      <w:proofErr w:type="spellEnd"/>
      <w:r w:rsidRPr="00A8369D">
        <w:rPr>
          <w:rFonts w:ascii="Calibri Light" w:eastAsia="Calibri" w:hAnsi="Calibri Light" w:cs="Calibri Light"/>
        </w:rPr>
        <w:t xml:space="preserve"> </w:t>
      </w:r>
      <w:proofErr w:type="spellStart"/>
      <w:r w:rsidRPr="00A8369D">
        <w:rPr>
          <w:rFonts w:ascii="Calibri Light" w:eastAsia="Calibri" w:hAnsi="Calibri Light" w:cs="Calibri Light"/>
        </w:rPr>
        <w:t>Widiya</w:t>
      </w:r>
      <w:proofErr w:type="spellEnd"/>
      <w:r w:rsidRPr="00A8369D">
        <w:rPr>
          <w:rFonts w:ascii="Calibri Light" w:eastAsia="Calibri" w:hAnsi="Calibri Light" w:cs="Calibri Light"/>
        </w:rPr>
        <w:t xml:space="preserve"> Astuti</w:t>
      </w:r>
      <w:r w:rsidR="00174995" w:rsidRPr="00A8369D">
        <w:rPr>
          <w:rFonts w:ascii="Calibri Light" w:eastAsia="Calibri" w:hAnsi="Calibri Light" w:cs="Calibri Light"/>
          <w:vertAlign w:val="superscript"/>
        </w:rPr>
        <w:t>1</w:t>
      </w:r>
      <w:r w:rsidR="00174995" w:rsidRPr="00A8369D">
        <w:rPr>
          <w:rFonts w:ascii="Calibri Light" w:eastAsia="Calibri" w:hAnsi="Calibri Light" w:cs="Calibri Light"/>
        </w:rPr>
        <w:t xml:space="preserve">, </w:t>
      </w:r>
      <w:proofErr w:type="spellStart"/>
      <w:r w:rsidRPr="00A8369D">
        <w:rPr>
          <w:rFonts w:ascii="Calibri Light" w:eastAsia="Calibri" w:hAnsi="Calibri Light" w:cs="Calibri Light"/>
        </w:rPr>
        <w:t>Nugraeni</w:t>
      </w:r>
      <w:proofErr w:type="spellEnd"/>
      <w:r w:rsidRPr="00A8369D">
        <w:rPr>
          <w:rFonts w:ascii="Calibri Light" w:eastAsia="Calibri" w:hAnsi="Calibri Light" w:cs="Calibri Light"/>
        </w:rPr>
        <w:t xml:space="preserve"> </w:t>
      </w:r>
      <w:r w:rsidR="00174995" w:rsidRPr="00A8369D">
        <w:rPr>
          <w:rFonts w:ascii="Calibri Light" w:eastAsia="Calibri" w:hAnsi="Calibri Light" w:cs="Calibri Light"/>
          <w:vertAlign w:val="superscript"/>
        </w:rPr>
        <w:t>2</w:t>
      </w:r>
    </w:p>
    <w:p w14:paraId="6D0D3B48" w14:textId="2D2F7A60" w:rsidR="00174995" w:rsidRPr="00A8369D" w:rsidRDefault="00174995" w:rsidP="007617D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lang w:val="en-ID"/>
        </w:rPr>
      </w:pPr>
      <w:r w:rsidRPr="00A8369D">
        <w:rPr>
          <w:rFonts w:ascii="Calibri Light" w:hAnsi="Calibri Light" w:cs="Calibri Light"/>
          <w:vertAlign w:val="superscript"/>
          <w:lang w:val="en-ID"/>
        </w:rPr>
        <w:t>1</w:t>
      </w:r>
      <w:r w:rsidR="00446448" w:rsidRPr="00A8369D">
        <w:rPr>
          <w:rFonts w:ascii="Calibri Light" w:hAnsi="Calibri Light" w:cs="Calibri Light"/>
          <w:lang w:val="en-ID"/>
        </w:rPr>
        <w:t xml:space="preserve">Mahasiswa </w:t>
      </w:r>
      <w:proofErr w:type="spellStart"/>
      <w:r w:rsidRPr="00A8369D">
        <w:rPr>
          <w:rFonts w:ascii="Calibri Light" w:hAnsi="Calibri Light" w:cs="Calibri Light"/>
          <w:lang w:val="en-ID"/>
        </w:rPr>
        <w:t>Jurusan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</w:t>
      </w:r>
      <w:proofErr w:type="spellStart"/>
      <w:r w:rsidR="004E07E2">
        <w:rPr>
          <w:rFonts w:ascii="Calibri Light" w:hAnsi="Calibri Light" w:cs="Calibri Light"/>
          <w:lang w:val="en-ID"/>
        </w:rPr>
        <w:t>Akuntansi</w:t>
      </w:r>
      <w:proofErr w:type="spellEnd"/>
    </w:p>
    <w:p w14:paraId="790CFEBD" w14:textId="0A8F8001" w:rsidR="00174995" w:rsidRPr="00A8369D" w:rsidRDefault="00174995" w:rsidP="007617D7">
      <w:pPr>
        <w:spacing w:after="0" w:line="240" w:lineRule="auto"/>
        <w:jc w:val="center"/>
        <w:rPr>
          <w:rFonts w:ascii="Calibri Light" w:hAnsi="Calibri Light" w:cs="Calibri Light"/>
          <w:lang w:val="en-ID"/>
        </w:rPr>
      </w:pPr>
      <w:proofErr w:type="spellStart"/>
      <w:r w:rsidRPr="00A8369D">
        <w:rPr>
          <w:rFonts w:ascii="Calibri Light" w:hAnsi="Calibri Light" w:cs="Calibri Light"/>
          <w:lang w:val="en-ID"/>
        </w:rPr>
        <w:t>Universitas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</w:t>
      </w:r>
      <w:proofErr w:type="spellStart"/>
      <w:r w:rsidRPr="00A8369D">
        <w:rPr>
          <w:rFonts w:ascii="Calibri Light" w:hAnsi="Calibri Light" w:cs="Calibri Light"/>
          <w:lang w:val="en-ID"/>
        </w:rPr>
        <w:t>Mercu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</w:t>
      </w:r>
      <w:proofErr w:type="spellStart"/>
      <w:r w:rsidRPr="00A8369D">
        <w:rPr>
          <w:rFonts w:ascii="Calibri Light" w:hAnsi="Calibri Light" w:cs="Calibri Light"/>
          <w:lang w:val="en-ID"/>
        </w:rPr>
        <w:t>Buana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Yogyakarta</w:t>
      </w:r>
    </w:p>
    <w:p w14:paraId="603AD7CC" w14:textId="20E018F8" w:rsidR="00174995" w:rsidRPr="00A8369D" w:rsidRDefault="00174995" w:rsidP="007617D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lang w:val="en-ID"/>
        </w:rPr>
      </w:pPr>
      <w:r w:rsidRPr="00A8369D">
        <w:rPr>
          <w:rFonts w:ascii="Calibri Light" w:hAnsi="Calibri Light" w:cs="Calibri Light"/>
          <w:lang w:val="en-ID"/>
        </w:rPr>
        <w:t xml:space="preserve">Email: </w:t>
      </w:r>
      <w:r w:rsidR="00A8369D" w:rsidRPr="00A8369D">
        <w:rPr>
          <w:rFonts w:ascii="Calibri Light" w:hAnsi="Calibri Light" w:cs="Calibri Light"/>
          <w:lang w:val="en-ID"/>
        </w:rPr>
        <w:t>dewiwidiyaastuti</w:t>
      </w:r>
      <w:r w:rsidRPr="00A8369D">
        <w:rPr>
          <w:rFonts w:ascii="Calibri Light" w:hAnsi="Calibri Light" w:cs="Calibri Light"/>
          <w:lang w:val="en-ID"/>
        </w:rPr>
        <w:t>@gmail.com</w:t>
      </w:r>
    </w:p>
    <w:p w14:paraId="0ACAED6E" w14:textId="0700CF2E" w:rsidR="00174995" w:rsidRPr="00A8369D" w:rsidRDefault="00174995" w:rsidP="007617D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lang w:val="en-ID"/>
        </w:rPr>
      </w:pPr>
      <w:r w:rsidRPr="00A8369D">
        <w:rPr>
          <w:rFonts w:ascii="Calibri Light" w:hAnsi="Calibri Light" w:cs="Calibri Light"/>
          <w:vertAlign w:val="superscript"/>
          <w:lang w:val="en-ID"/>
        </w:rPr>
        <w:t>2</w:t>
      </w:r>
      <w:r w:rsidR="00446448" w:rsidRPr="00A8369D">
        <w:rPr>
          <w:rFonts w:ascii="Calibri Light" w:hAnsi="Calibri Light" w:cs="Calibri Light"/>
          <w:lang w:val="en-ID"/>
        </w:rPr>
        <w:t xml:space="preserve">Dosen </w:t>
      </w:r>
      <w:proofErr w:type="spellStart"/>
      <w:r w:rsidRPr="00A8369D">
        <w:rPr>
          <w:rFonts w:ascii="Calibri Light" w:hAnsi="Calibri Light" w:cs="Calibri Light"/>
          <w:lang w:val="en-ID"/>
        </w:rPr>
        <w:t>Jurusan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</w:t>
      </w:r>
      <w:proofErr w:type="spellStart"/>
      <w:r w:rsidR="004E07E2">
        <w:rPr>
          <w:rFonts w:ascii="Calibri Light" w:hAnsi="Calibri Light" w:cs="Calibri Light"/>
          <w:lang w:val="en-ID"/>
        </w:rPr>
        <w:t>Akuntansi</w:t>
      </w:r>
      <w:proofErr w:type="spellEnd"/>
    </w:p>
    <w:p w14:paraId="26035B9F" w14:textId="77777777" w:rsidR="00174995" w:rsidRPr="00A8369D" w:rsidRDefault="00174995" w:rsidP="007617D7">
      <w:pPr>
        <w:spacing w:after="0" w:line="240" w:lineRule="auto"/>
        <w:jc w:val="center"/>
        <w:rPr>
          <w:rFonts w:ascii="Calibri Light" w:hAnsi="Calibri Light" w:cs="Calibri Light"/>
          <w:lang w:val="en-ID"/>
        </w:rPr>
      </w:pPr>
      <w:proofErr w:type="spellStart"/>
      <w:r w:rsidRPr="00A8369D">
        <w:rPr>
          <w:rFonts w:ascii="Calibri Light" w:hAnsi="Calibri Light" w:cs="Calibri Light"/>
          <w:lang w:val="en-ID"/>
        </w:rPr>
        <w:t>Universitas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</w:t>
      </w:r>
      <w:proofErr w:type="spellStart"/>
      <w:r w:rsidRPr="00A8369D">
        <w:rPr>
          <w:rFonts w:ascii="Calibri Light" w:hAnsi="Calibri Light" w:cs="Calibri Light"/>
          <w:lang w:val="en-ID"/>
        </w:rPr>
        <w:t>Mercu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</w:t>
      </w:r>
      <w:proofErr w:type="spellStart"/>
      <w:r w:rsidRPr="00A8369D">
        <w:rPr>
          <w:rFonts w:ascii="Calibri Light" w:hAnsi="Calibri Light" w:cs="Calibri Light"/>
          <w:lang w:val="en-ID"/>
        </w:rPr>
        <w:t>Buana</w:t>
      </w:r>
      <w:proofErr w:type="spellEnd"/>
      <w:r w:rsidRPr="00A8369D">
        <w:rPr>
          <w:rFonts w:ascii="Calibri Light" w:hAnsi="Calibri Light" w:cs="Calibri Light"/>
          <w:lang w:val="en-ID"/>
        </w:rPr>
        <w:t xml:space="preserve"> Yogyakarta</w:t>
      </w:r>
    </w:p>
    <w:p w14:paraId="69DEA140" w14:textId="6AF5A196" w:rsidR="00174995" w:rsidRPr="00643F8D" w:rsidRDefault="00174995" w:rsidP="007617D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lang w:val="en-ID"/>
        </w:rPr>
      </w:pPr>
      <w:r w:rsidRPr="00A8369D">
        <w:rPr>
          <w:rFonts w:ascii="Calibri Light" w:hAnsi="Calibri Light" w:cs="Calibri Light"/>
          <w:lang w:val="en-ID"/>
        </w:rPr>
        <w:t xml:space="preserve">Email: </w:t>
      </w:r>
      <w:r w:rsidR="00A8369D" w:rsidRPr="00A8369D">
        <w:rPr>
          <w:rFonts w:ascii="Calibri Light" w:hAnsi="Calibri Light" w:cs="Calibri Light"/>
          <w:lang w:val="en-ID"/>
        </w:rPr>
        <w:t>nda_eni</w:t>
      </w:r>
      <w:r w:rsidRPr="00A8369D">
        <w:rPr>
          <w:rFonts w:ascii="Calibri Light" w:hAnsi="Calibri Light" w:cs="Calibri Light"/>
          <w:lang w:val="en-ID"/>
        </w:rPr>
        <w:t>@</w:t>
      </w:r>
      <w:r w:rsidR="00A8369D" w:rsidRPr="00A8369D">
        <w:rPr>
          <w:rFonts w:ascii="Calibri Light" w:hAnsi="Calibri Light" w:cs="Calibri Light"/>
          <w:lang w:val="en-ID"/>
        </w:rPr>
        <w:t>yahoo.com</w:t>
      </w:r>
    </w:p>
    <w:p w14:paraId="55B6D96F" w14:textId="62C06BC3" w:rsidR="00174995" w:rsidRPr="00643F8D" w:rsidRDefault="00174995" w:rsidP="007617D7">
      <w:pPr>
        <w:spacing w:after="0" w:line="240" w:lineRule="auto"/>
        <w:jc w:val="center"/>
        <w:rPr>
          <w:rFonts w:ascii="Calibri Light" w:eastAsia="Times New Roman" w:hAnsi="Calibri Light" w:cs="Calibri Light"/>
        </w:rPr>
      </w:pPr>
    </w:p>
    <w:p w14:paraId="5D6DBBAE" w14:textId="77777777" w:rsidR="00960C54" w:rsidRPr="00643F8D" w:rsidRDefault="004C61DB" w:rsidP="007617D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</w:rPr>
      </w:pPr>
      <w:proofErr w:type="spellStart"/>
      <w:r w:rsidRPr="00643F8D">
        <w:rPr>
          <w:rFonts w:ascii="Calibri Light" w:hAnsi="Calibri Light" w:cs="Calibri Light"/>
          <w:b/>
          <w:bCs/>
          <w:color w:val="000000"/>
        </w:rPr>
        <w:t>Abstrak</w:t>
      </w:r>
      <w:proofErr w:type="spellEnd"/>
    </w:p>
    <w:p w14:paraId="37E1600D" w14:textId="2FB9F370" w:rsidR="00446448" w:rsidRPr="00446448" w:rsidRDefault="00446448" w:rsidP="007617D7">
      <w:pPr>
        <w:spacing w:after="0" w:line="240" w:lineRule="auto"/>
        <w:ind w:firstLine="720"/>
        <w:jc w:val="both"/>
        <w:rPr>
          <w:rFonts w:ascii="Calibri Light" w:eastAsia="Times New Roman" w:hAnsi="Calibri Light" w:cs="Calibri Light"/>
        </w:rPr>
      </w:pPr>
      <w:proofErr w:type="spellStart"/>
      <w:r w:rsidRPr="00446448">
        <w:rPr>
          <w:rFonts w:ascii="Calibri Light" w:eastAsia="Times New Roman" w:hAnsi="Calibri Light" w:cs="Calibri Light"/>
        </w:rPr>
        <w:t>Penelitian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ini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bertujuan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untuk</w:t>
      </w:r>
      <w:proofErr w:type="spellEnd"/>
      <w:r w:rsidRPr="00446448">
        <w:rPr>
          <w:rFonts w:ascii="Calibri Light" w:eastAsia="Times New Roman" w:hAnsi="Calibri Light" w:cs="Calibri Light"/>
          <w:lang w:val="id-ID"/>
        </w:rPr>
        <w:t xml:space="preserve"> mengetahui</w:t>
      </w:r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Calibri" w:hAnsi="Calibri Light" w:cs="Calibri Light"/>
        </w:rPr>
        <w:t>penilaian</w:t>
      </w:r>
      <w:proofErr w:type="spellEnd"/>
      <w:r w:rsidRPr="00446448">
        <w:rPr>
          <w:rFonts w:ascii="Calibri Light" w:eastAsia="Calibri" w:hAnsi="Calibri Light" w:cs="Calibri Light"/>
        </w:rPr>
        <w:t xml:space="preserve"> </w:t>
      </w:r>
      <w:proofErr w:type="spellStart"/>
      <w:r w:rsidRPr="00446448">
        <w:rPr>
          <w:rFonts w:ascii="Calibri Light" w:eastAsia="Calibri" w:hAnsi="Calibri Light" w:cs="Calibri Light"/>
        </w:rPr>
        <w:t>tingkat</w:t>
      </w:r>
      <w:proofErr w:type="spellEnd"/>
      <w:r w:rsidRPr="00446448">
        <w:rPr>
          <w:rFonts w:ascii="Calibri Light" w:eastAsia="Calibri" w:hAnsi="Calibri Light" w:cs="Calibri Light"/>
        </w:rPr>
        <w:t xml:space="preserve"> </w:t>
      </w:r>
      <w:proofErr w:type="spellStart"/>
      <w:r w:rsidRPr="00446448">
        <w:rPr>
          <w:rFonts w:ascii="Calibri Light" w:eastAsia="Calibri" w:hAnsi="Calibri Light" w:cs="Calibri Light"/>
        </w:rPr>
        <w:t>kesehatan</w:t>
      </w:r>
      <w:proofErr w:type="spellEnd"/>
      <w:r w:rsidRPr="00446448">
        <w:rPr>
          <w:rFonts w:ascii="Calibri Light" w:eastAsia="Calibri" w:hAnsi="Calibri Light" w:cs="Calibri Light"/>
        </w:rPr>
        <w:t xml:space="preserve"> bank </w:t>
      </w:r>
      <w:proofErr w:type="spellStart"/>
      <w:r w:rsidRPr="00446448">
        <w:rPr>
          <w:rFonts w:ascii="Calibri Light" w:eastAsia="Calibri" w:hAnsi="Calibri Light" w:cs="Calibri Light"/>
        </w:rPr>
        <w:t>umum</w:t>
      </w:r>
      <w:proofErr w:type="spellEnd"/>
      <w:r w:rsidRPr="00446448">
        <w:rPr>
          <w:rFonts w:ascii="Calibri Light" w:eastAsia="Calibri" w:hAnsi="Calibri Light" w:cs="Calibri Light"/>
        </w:rPr>
        <w:t xml:space="preserve"> BUMN </w:t>
      </w:r>
      <w:proofErr w:type="spellStart"/>
      <w:r w:rsidRPr="00446448">
        <w:rPr>
          <w:rFonts w:ascii="Calibri Light" w:eastAsia="Calibri" w:hAnsi="Calibri Light" w:cs="Calibri Light"/>
        </w:rPr>
        <w:t>ditinjau</w:t>
      </w:r>
      <w:proofErr w:type="spellEnd"/>
      <w:r w:rsidRPr="00446448">
        <w:rPr>
          <w:rFonts w:ascii="Calibri Light" w:eastAsia="Calibri" w:hAnsi="Calibri Light" w:cs="Calibri Light"/>
        </w:rPr>
        <w:t xml:space="preserve"> </w:t>
      </w:r>
      <w:proofErr w:type="spellStart"/>
      <w:r w:rsidRPr="00446448">
        <w:rPr>
          <w:rFonts w:ascii="Calibri Light" w:eastAsia="Calibri" w:hAnsi="Calibri Light" w:cs="Calibri Light"/>
        </w:rPr>
        <w:t>dari</w:t>
      </w:r>
      <w:proofErr w:type="spellEnd"/>
      <w:r w:rsidRPr="00446448">
        <w:rPr>
          <w:rFonts w:ascii="Calibri Light" w:eastAsia="Calibri" w:hAnsi="Calibri Light" w:cs="Calibri Light"/>
        </w:rPr>
        <w:t xml:space="preserve"> </w:t>
      </w:r>
      <w:proofErr w:type="spellStart"/>
      <w:r w:rsidRPr="00446448">
        <w:rPr>
          <w:rFonts w:ascii="Calibri Light" w:eastAsia="Calibri" w:hAnsi="Calibri Light" w:cs="Calibri Light"/>
        </w:rPr>
        <w:t>aspek</w:t>
      </w:r>
      <w:proofErr w:type="spellEnd"/>
      <w:r w:rsidRPr="00446448">
        <w:rPr>
          <w:rFonts w:ascii="Calibri Light" w:eastAsia="Calibri" w:hAnsi="Calibri Light" w:cs="Calibri Light"/>
        </w:rPr>
        <w:t xml:space="preserve"> RGEC (</w:t>
      </w:r>
      <w:r w:rsidRPr="00446448">
        <w:rPr>
          <w:rFonts w:ascii="Calibri Light" w:eastAsia="Calibri" w:hAnsi="Calibri Light" w:cs="Calibri Light"/>
          <w:i/>
        </w:rPr>
        <w:t xml:space="preserve">Risk Profile, Good </w:t>
      </w:r>
      <w:proofErr w:type="spellStart"/>
      <w:r w:rsidRPr="00446448">
        <w:rPr>
          <w:rFonts w:ascii="Calibri Light" w:eastAsia="Calibri" w:hAnsi="Calibri Light" w:cs="Calibri Light"/>
          <w:i/>
        </w:rPr>
        <w:t>Gorporate</w:t>
      </w:r>
      <w:proofErr w:type="spellEnd"/>
      <w:r w:rsidRPr="00446448">
        <w:rPr>
          <w:rFonts w:ascii="Calibri Light" w:eastAsia="Calibri" w:hAnsi="Calibri Light" w:cs="Calibri Light"/>
          <w:i/>
        </w:rPr>
        <w:t xml:space="preserve"> Governance, Earnings, </w:t>
      </w:r>
      <w:r w:rsidRPr="00446448">
        <w:rPr>
          <w:rFonts w:ascii="Calibri Light" w:eastAsia="Calibri" w:hAnsi="Calibri Light" w:cs="Calibri Light"/>
        </w:rPr>
        <w:t xml:space="preserve">dan </w:t>
      </w:r>
      <w:r w:rsidRPr="00446448">
        <w:rPr>
          <w:rFonts w:ascii="Calibri Light" w:eastAsia="Calibri" w:hAnsi="Calibri Light" w:cs="Calibri Light"/>
          <w:i/>
        </w:rPr>
        <w:t>Capital</w:t>
      </w:r>
      <w:r w:rsidRPr="00446448">
        <w:rPr>
          <w:rFonts w:ascii="Calibri Light" w:eastAsia="Calibri" w:hAnsi="Calibri Light" w:cs="Calibri Light"/>
        </w:rPr>
        <w:t xml:space="preserve">) pada </w:t>
      </w:r>
      <w:proofErr w:type="spellStart"/>
      <w:r w:rsidRPr="00446448">
        <w:rPr>
          <w:rFonts w:ascii="Calibri Light" w:eastAsia="Calibri" w:hAnsi="Calibri Light" w:cs="Calibri Light"/>
        </w:rPr>
        <w:t>tahun</w:t>
      </w:r>
      <w:proofErr w:type="spellEnd"/>
      <w:r w:rsidRPr="00446448">
        <w:rPr>
          <w:rFonts w:ascii="Calibri Light" w:eastAsia="Calibri" w:hAnsi="Calibri Light" w:cs="Calibri Light"/>
        </w:rPr>
        <w:t xml:space="preserve"> 2013-2017.</w:t>
      </w:r>
      <w:r>
        <w:rPr>
          <w:rFonts w:ascii="Calibri Light" w:eastAsia="Calibri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Populasi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dalam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penelitian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ini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adalah</w:t>
      </w:r>
      <w:proofErr w:type="spellEnd"/>
      <w:r w:rsidRPr="00446448">
        <w:rPr>
          <w:rFonts w:ascii="Calibri Light" w:eastAsia="Times New Roman" w:hAnsi="Calibri Light" w:cs="Calibri Light"/>
        </w:rPr>
        <w:t xml:space="preserve"> Bank </w:t>
      </w:r>
      <w:proofErr w:type="spellStart"/>
      <w:r w:rsidRPr="00446448">
        <w:rPr>
          <w:rFonts w:ascii="Calibri Light" w:eastAsia="Times New Roman" w:hAnsi="Calibri Light" w:cs="Calibri Light"/>
        </w:rPr>
        <w:t>Umum</w:t>
      </w:r>
      <w:proofErr w:type="spellEnd"/>
      <w:r w:rsidRPr="00446448">
        <w:rPr>
          <w:rFonts w:ascii="Calibri Light" w:eastAsia="Times New Roman" w:hAnsi="Calibri Light" w:cs="Calibri Light"/>
        </w:rPr>
        <w:t xml:space="preserve"> BUMN yang </w:t>
      </w:r>
      <w:proofErr w:type="spellStart"/>
      <w:r w:rsidRPr="00446448">
        <w:rPr>
          <w:rFonts w:ascii="Calibri Light" w:eastAsia="Times New Roman" w:hAnsi="Calibri Light" w:cs="Calibri Light"/>
        </w:rPr>
        <w:t>terdaftar</w:t>
      </w:r>
      <w:proofErr w:type="spellEnd"/>
      <w:r w:rsidRPr="00446448">
        <w:rPr>
          <w:rFonts w:ascii="Calibri Light" w:eastAsia="Times New Roman" w:hAnsi="Calibri Light" w:cs="Calibri Light"/>
        </w:rPr>
        <w:t xml:space="preserve"> di BEI </w:t>
      </w:r>
      <w:proofErr w:type="spellStart"/>
      <w:r w:rsidRPr="00446448">
        <w:rPr>
          <w:rFonts w:ascii="Calibri Light" w:eastAsia="Times New Roman" w:hAnsi="Calibri Light" w:cs="Calibri Light"/>
        </w:rPr>
        <w:t>periode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2013-2017. Teknik </w:t>
      </w:r>
      <w:proofErr w:type="spellStart"/>
      <w:r w:rsidRPr="00446448">
        <w:rPr>
          <w:rFonts w:ascii="Calibri Light" w:eastAsia="Times New Roman" w:hAnsi="Calibri Light" w:cs="Calibri Light"/>
        </w:rPr>
        <w:t>analisis</w:t>
      </w:r>
      <w:proofErr w:type="spellEnd"/>
      <w:r w:rsidRPr="00446448">
        <w:rPr>
          <w:rFonts w:ascii="Calibri Light" w:eastAsia="Times New Roman" w:hAnsi="Calibri Light" w:cs="Calibri Light"/>
        </w:rPr>
        <w:t xml:space="preserve"> data </w:t>
      </w:r>
      <w:proofErr w:type="spellStart"/>
      <w:r w:rsidRPr="00446448">
        <w:rPr>
          <w:rFonts w:ascii="Calibri Light" w:eastAsia="Times New Roman" w:hAnsi="Calibri Light" w:cs="Calibri Light"/>
        </w:rPr>
        <w:t>menggunakan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teknik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analisis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tingkat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kesehatan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bank </w:t>
      </w:r>
      <w:proofErr w:type="spellStart"/>
      <w:r w:rsidRPr="00446448">
        <w:rPr>
          <w:rFonts w:ascii="Calibri Light" w:eastAsia="Times New Roman" w:hAnsi="Calibri Light" w:cs="Calibri Light"/>
        </w:rPr>
        <w:t>dengan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pendekatan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Risiko</w:t>
      </w:r>
      <w:proofErr w:type="spellEnd"/>
      <w:r w:rsidRPr="00446448">
        <w:rPr>
          <w:rFonts w:ascii="Calibri Light" w:eastAsia="Times New Roman" w:hAnsi="Calibri Light" w:cs="Calibri Light"/>
        </w:rPr>
        <w:t xml:space="preserve"> (</w:t>
      </w:r>
      <w:r w:rsidRPr="00446448">
        <w:rPr>
          <w:rFonts w:ascii="Calibri Light" w:eastAsia="Times New Roman" w:hAnsi="Calibri Light" w:cs="Calibri Light"/>
          <w:i/>
          <w:iCs/>
        </w:rPr>
        <w:t>Risk-based Bank Rating/RBBR</w:t>
      </w:r>
      <w:r w:rsidRPr="00446448">
        <w:rPr>
          <w:rFonts w:ascii="Calibri Light" w:eastAsia="Times New Roman" w:hAnsi="Calibri Light" w:cs="Calibri Light"/>
        </w:rPr>
        <w:t>).</w:t>
      </w:r>
      <w:r>
        <w:rPr>
          <w:rFonts w:ascii="Calibri Light" w:eastAsia="Times New Roman" w:hAnsi="Calibri Light" w:cs="Calibri Light"/>
        </w:rPr>
        <w:t xml:space="preserve"> </w:t>
      </w:r>
      <w:r w:rsidRPr="00446448">
        <w:rPr>
          <w:rFonts w:ascii="Calibri Light" w:eastAsia="Times New Roman" w:hAnsi="Calibri Light" w:cs="Calibri Light"/>
        </w:rPr>
        <w:t xml:space="preserve">Hasil </w:t>
      </w:r>
      <w:proofErr w:type="spellStart"/>
      <w:r w:rsidRPr="00446448">
        <w:rPr>
          <w:rFonts w:ascii="Calibri Light" w:eastAsia="Times New Roman" w:hAnsi="Calibri Light" w:cs="Calibri Light"/>
        </w:rPr>
        <w:t>penelitian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menunjukkan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bahwa</w:t>
      </w:r>
      <w:proofErr w:type="spellEnd"/>
      <w:r w:rsidRPr="00446448">
        <w:rPr>
          <w:rFonts w:ascii="Calibri Light" w:eastAsia="Times New Roman" w:hAnsi="Calibri Light" w:cs="Calibri Light"/>
        </w:rPr>
        <w:t xml:space="preserve">: (1) </w:t>
      </w:r>
      <w:proofErr w:type="spellStart"/>
      <w:r w:rsidRPr="00446448">
        <w:rPr>
          <w:rFonts w:ascii="Calibri Light" w:eastAsia="Times New Roman" w:hAnsi="Calibri Light" w:cs="Calibri Light"/>
        </w:rPr>
        <w:t>hasil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penilaian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Profil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risiko</w:t>
      </w:r>
      <w:proofErr w:type="spellEnd"/>
      <w:r w:rsidRPr="00446448">
        <w:rPr>
          <w:rFonts w:ascii="Calibri Light" w:eastAsia="Times New Roman" w:hAnsi="Calibri Light" w:cs="Calibri Light"/>
        </w:rPr>
        <w:t xml:space="preserve"> (</w:t>
      </w:r>
      <w:r w:rsidRPr="00446448">
        <w:rPr>
          <w:rFonts w:ascii="Calibri Light" w:eastAsia="Times New Roman" w:hAnsi="Calibri Light" w:cs="Calibri Light"/>
          <w:i/>
          <w:iCs/>
        </w:rPr>
        <w:t xml:space="preserve">Risk profile) </w:t>
      </w:r>
      <w:proofErr w:type="spellStart"/>
      <w:r w:rsidRPr="00446448">
        <w:rPr>
          <w:rFonts w:ascii="Calibri Light" w:eastAsia="Times New Roman" w:hAnsi="Calibri Light" w:cs="Calibri Light"/>
        </w:rPr>
        <w:t>dengan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rasio</w:t>
      </w:r>
      <w:proofErr w:type="spellEnd"/>
      <w:r w:rsidRPr="00446448">
        <w:rPr>
          <w:rFonts w:ascii="Calibri Light" w:eastAsia="Times New Roman" w:hAnsi="Calibri Light" w:cs="Calibri Light"/>
        </w:rPr>
        <w:t xml:space="preserve"> NPL </w:t>
      </w:r>
      <w:proofErr w:type="spellStart"/>
      <w:r w:rsidRPr="00446448">
        <w:rPr>
          <w:rFonts w:ascii="Calibri Light" w:eastAsia="Times New Roman" w:hAnsi="Calibri Light" w:cs="Calibri Light"/>
        </w:rPr>
        <w:t>selama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2013-2014 </w:t>
      </w:r>
      <w:proofErr w:type="spellStart"/>
      <w:r w:rsidRPr="00446448">
        <w:rPr>
          <w:rFonts w:ascii="Calibri Light" w:eastAsia="Times New Roman" w:hAnsi="Calibri Light" w:cs="Calibri Light"/>
        </w:rPr>
        <w:t>masuk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kategori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sangat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dan pada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2015-2017 </w:t>
      </w:r>
      <w:proofErr w:type="spellStart"/>
      <w:r w:rsidRPr="00446448">
        <w:rPr>
          <w:rFonts w:ascii="Calibri Light" w:eastAsia="Times New Roman" w:hAnsi="Calibri Light" w:cs="Calibri Light"/>
        </w:rPr>
        <w:t>berada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pada </w:t>
      </w:r>
      <w:proofErr w:type="spellStart"/>
      <w:r w:rsidRPr="00446448">
        <w:rPr>
          <w:rFonts w:ascii="Calibri Light" w:eastAsia="Times New Roman" w:hAnsi="Calibri Light" w:cs="Calibri Light"/>
        </w:rPr>
        <w:t>kondisi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yang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. Nilai LDR bank </w:t>
      </w:r>
      <w:proofErr w:type="spellStart"/>
      <w:r w:rsidRPr="00446448">
        <w:rPr>
          <w:rFonts w:ascii="Calibri Light" w:eastAsia="Times New Roman" w:hAnsi="Calibri Light" w:cs="Calibri Light"/>
        </w:rPr>
        <w:t>umum</w:t>
      </w:r>
      <w:proofErr w:type="spellEnd"/>
      <w:r w:rsidRPr="00446448">
        <w:rPr>
          <w:rFonts w:ascii="Calibri Light" w:eastAsia="Times New Roman" w:hAnsi="Calibri Light" w:cs="Calibri Light"/>
        </w:rPr>
        <w:t xml:space="preserve"> BUMN </w:t>
      </w:r>
      <w:proofErr w:type="spellStart"/>
      <w:r w:rsidRPr="00446448">
        <w:rPr>
          <w:rFonts w:ascii="Calibri Light" w:eastAsia="Times New Roman" w:hAnsi="Calibri Light" w:cs="Calibri Light"/>
        </w:rPr>
        <w:t>selama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2013-2017 </w:t>
      </w:r>
      <w:proofErr w:type="spellStart"/>
      <w:r w:rsidRPr="00446448">
        <w:rPr>
          <w:rFonts w:ascii="Calibri Light" w:eastAsia="Times New Roman" w:hAnsi="Calibri Light" w:cs="Calibri Light"/>
        </w:rPr>
        <w:t>masuk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kategori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cukup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, (2) </w:t>
      </w:r>
      <w:proofErr w:type="spellStart"/>
      <w:r w:rsidRPr="00446448">
        <w:rPr>
          <w:rFonts w:ascii="Calibri Light" w:eastAsia="Times New Roman" w:hAnsi="Calibri Light" w:cs="Calibri Light"/>
        </w:rPr>
        <w:t>hasil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penilaian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r w:rsidRPr="00446448">
        <w:rPr>
          <w:rFonts w:ascii="Calibri Light" w:eastAsia="Times New Roman" w:hAnsi="Calibri Light" w:cs="Calibri Light"/>
          <w:i/>
          <w:iCs/>
        </w:rPr>
        <w:t xml:space="preserve">Good Corporate Governance </w:t>
      </w:r>
      <w:r w:rsidRPr="00446448">
        <w:rPr>
          <w:rFonts w:ascii="Calibri Light" w:eastAsia="Times New Roman" w:hAnsi="Calibri Light" w:cs="Calibri Light"/>
        </w:rPr>
        <w:t xml:space="preserve">(GCG) pada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2013 </w:t>
      </w:r>
      <w:proofErr w:type="spellStart"/>
      <w:r w:rsidRPr="00446448">
        <w:rPr>
          <w:rFonts w:ascii="Calibri Light" w:eastAsia="Times New Roman" w:hAnsi="Calibri Light" w:cs="Calibri Light"/>
        </w:rPr>
        <w:t>dengan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kriteria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cukup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,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2014-2015 </w:t>
      </w:r>
      <w:proofErr w:type="spellStart"/>
      <w:r w:rsidRPr="00446448">
        <w:rPr>
          <w:rFonts w:ascii="Calibri Light" w:eastAsia="Times New Roman" w:hAnsi="Calibri Light" w:cs="Calibri Light"/>
        </w:rPr>
        <w:t>dengan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kriteria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,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2016-2017 </w:t>
      </w:r>
      <w:proofErr w:type="spellStart"/>
      <w:r w:rsidRPr="00446448">
        <w:rPr>
          <w:rFonts w:ascii="Calibri Light" w:eastAsia="Times New Roman" w:hAnsi="Calibri Light" w:cs="Calibri Light"/>
        </w:rPr>
        <w:t>dengan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kriteria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, (3) </w:t>
      </w:r>
      <w:proofErr w:type="spellStart"/>
      <w:r w:rsidRPr="00446448">
        <w:rPr>
          <w:rFonts w:ascii="Calibri Light" w:eastAsia="Times New Roman" w:hAnsi="Calibri Light" w:cs="Calibri Light"/>
        </w:rPr>
        <w:t>hasil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penilaian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Rentabilitas</w:t>
      </w:r>
      <w:proofErr w:type="spellEnd"/>
      <w:r w:rsidRPr="00446448">
        <w:rPr>
          <w:rFonts w:ascii="Calibri Light" w:eastAsia="Times New Roman" w:hAnsi="Calibri Light" w:cs="Calibri Light"/>
        </w:rPr>
        <w:t xml:space="preserve"> (</w:t>
      </w:r>
      <w:r w:rsidRPr="00446448">
        <w:rPr>
          <w:rFonts w:ascii="Calibri Light" w:eastAsia="Times New Roman" w:hAnsi="Calibri Light" w:cs="Calibri Light"/>
          <w:i/>
          <w:iCs/>
        </w:rPr>
        <w:t xml:space="preserve">Earnings) </w:t>
      </w:r>
      <w:proofErr w:type="spellStart"/>
      <w:r w:rsidRPr="00446448">
        <w:rPr>
          <w:rFonts w:ascii="Calibri Light" w:eastAsia="Times New Roman" w:hAnsi="Calibri Light" w:cs="Calibri Light"/>
        </w:rPr>
        <w:t>dengan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rasio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yaitu</w:t>
      </w:r>
      <w:proofErr w:type="spellEnd"/>
      <w:r w:rsidRPr="00446448">
        <w:rPr>
          <w:rFonts w:ascii="Calibri Light" w:eastAsia="Times New Roman" w:hAnsi="Calibri Light" w:cs="Calibri Light"/>
        </w:rPr>
        <w:t xml:space="preserve"> ROA dan NIM </w:t>
      </w:r>
      <w:proofErr w:type="spellStart"/>
      <w:r w:rsidRPr="00446448">
        <w:rPr>
          <w:rFonts w:ascii="Calibri Light" w:eastAsia="Times New Roman" w:hAnsi="Calibri Light" w:cs="Calibri Light"/>
        </w:rPr>
        <w:t>selama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2013-2017 </w:t>
      </w:r>
      <w:proofErr w:type="spellStart"/>
      <w:r w:rsidRPr="00446448">
        <w:rPr>
          <w:rFonts w:ascii="Calibri Light" w:eastAsia="Times New Roman" w:hAnsi="Calibri Light" w:cs="Calibri Light"/>
        </w:rPr>
        <w:t>masuk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dalam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kriteria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sangat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, (4) </w:t>
      </w:r>
      <w:proofErr w:type="spellStart"/>
      <w:r w:rsidRPr="00446448">
        <w:rPr>
          <w:rFonts w:ascii="Calibri Light" w:eastAsia="Times New Roman" w:hAnsi="Calibri Light" w:cs="Calibri Light"/>
        </w:rPr>
        <w:t>hasil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penilain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Permodalan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(</w:t>
      </w:r>
      <w:r w:rsidRPr="00446448">
        <w:rPr>
          <w:rFonts w:ascii="Calibri Light" w:eastAsia="Times New Roman" w:hAnsi="Calibri Light" w:cs="Calibri Light"/>
          <w:i/>
          <w:iCs/>
        </w:rPr>
        <w:t xml:space="preserve">Capital) </w:t>
      </w:r>
      <w:r w:rsidRPr="00446448">
        <w:rPr>
          <w:rFonts w:ascii="Calibri Light" w:eastAsia="Times New Roman" w:hAnsi="Calibri Light" w:cs="Calibri Light"/>
        </w:rPr>
        <w:t xml:space="preserve">bank </w:t>
      </w:r>
      <w:proofErr w:type="spellStart"/>
      <w:r w:rsidRPr="00446448">
        <w:rPr>
          <w:rFonts w:ascii="Calibri Light" w:eastAsia="Times New Roman" w:hAnsi="Calibri Light" w:cs="Calibri Light"/>
        </w:rPr>
        <w:t>umum</w:t>
      </w:r>
      <w:proofErr w:type="spellEnd"/>
      <w:r w:rsidRPr="00446448">
        <w:rPr>
          <w:rFonts w:ascii="Calibri Light" w:eastAsia="Times New Roman" w:hAnsi="Calibri Light" w:cs="Calibri Light"/>
        </w:rPr>
        <w:t xml:space="preserve"> BUMN </w:t>
      </w:r>
      <w:proofErr w:type="spellStart"/>
      <w:r w:rsidRPr="00446448">
        <w:rPr>
          <w:rFonts w:ascii="Calibri Light" w:eastAsia="Times New Roman" w:hAnsi="Calibri Light" w:cs="Calibri Light"/>
        </w:rPr>
        <w:t>selama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2013-2017 </w:t>
      </w:r>
      <w:proofErr w:type="spellStart"/>
      <w:r w:rsidRPr="00446448">
        <w:rPr>
          <w:rFonts w:ascii="Calibri Light" w:eastAsia="Times New Roman" w:hAnsi="Calibri Light" w:cs="Calibri Light"/>
        </w:rPr>
        <w:t>berada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dalam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kondisi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sangat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sehat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, dan (5) </w:t>
      </w:r>
      <w:proofErr w:type="spellStart"/>
      <w:r w:rsidRPr="00446448">
        <w:rPr>
          <w:rFonts w:ascii="Calibri Light" w:eastAsia="Times New Roman" w:hAnsi="Calibri Light" w:cs="Calibri Light"/>
        </w:rPr>
        <w:t>hasil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penilaian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tingkat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kesehatan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bank </w:t>
      </w:r>
      <w:proofErr w:type="spellStart"/>
      <w:r w:rsidRPr="00446448">
        <w:rPr>
          <w:rFonts w:ascii="Calibri Light" w:eastAsia="Times New Roman" w:hAnsi="Calibri Light" w:cs="Calibri Light"/>
        </w:rPr>
        <w:t>umum</w:t>
      </w:r>
      <w:proofErr w:type="spellEnd"/>
      <w:r w:rsidRPr="00446448">
        <w:rPr>
          <w:rFonts w:ascii="Calibri Light" w:eastAsia="Times New Roman" w:hAnsi="Calibri Light" w:cs="Calibri Light"/>
        </w:rPr>
        <w:t xml:space="preserve"> BUMN </w:t>
      </w:r>
      <w:proofErr w:type="spellStart"/>
      <w:r w:rsidRPr="00446448">
        <w:rPr>
          <w:rFonts w:ascii="Calibri Light" w:eastAsia="Times New Roman" w:hAnsi="Calibri Light" w:cs="Calibri Light"/>
        </w:rPr>
        <w:t>dilihat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dari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aspek</w:t>
      </w:r>
      <w:proofErr w:type="spellEnd"/>
      <w:r w:rsidRPr="00446448">
        <w:rPr>
          <w:rFonts w:ascii="Calibri Light" w:eastAsia="Times New Roman" w:hAnsi="Calibri Light" w:cs="Calibri Light"/>
        </w:rPr>
        <w:t xml:space="preserve"> RGEC </w:t>
      </w:r>
      <w:proofErr w:type="spellStart"/>
      <w:r w:rsidRPr="00446448">
        <w:rPr>
          <w:rFonts w:ascii="Calibri Light" w:eastAsia="Times New Roman" w:hAnsi="Calibri Light" w:cs="Calibri Light"/>
        </w:rPr>
        <w:t>selama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tahun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2013-2017 </w:t>
      </w:r>
      <w:proofErr w:type="spellStart"/>
      <w:r w:rsidRPr="00446448">
        <w:rPr>
          <w:rFonts w:ascii="Calibri Light" w:eastAsia="Times New Roman" w:hAnsi="Calibri Light" w:cs="Calibri Light"/>
        </w:rPr>
        <w:t>berdasarkan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aspek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r w:rsidRPr="00446448">
        <w:rPr>
          <w:rFonts w:ascii="Calibri Light" w:eastAsia="Times New Roman" w:hAnsi="Calibri Light" w:cs="Calibri Light"/>
          <w:i/>
          <w:iCs/>
        </w:rPr>
        <w:t xml:space="preserve">risk profile, GCG, earnings, </w:t>
      </w:r>
      <w:r w:rsidRPr="00446448">
        <w:rPr>
          <w:rFonts w:ascii="Calibri Light" w:eastAsia="Times New Roman" w:hAnsi="Calibri Light" w:cs="Calibri Light"/>
        </w:rPr>
        <w:t xml:space="preserve">dan </w:t>
      </w:r>
      <w:r w:rsidRPr="00446448">
        <w:rPr>
          <w:rFonts w:ascii="Calibri Light" w:eastAsia="Times New Roman" w:hAnsi="Calibri Light" w:cs="Calibri Light"/>
          <w:i/>
          <w:iCs/>
        </w:rPr>
        <w:t xml:space="preserve">capital </w:t>
      </w:r>
      <w:proofErr w:type="spellStart"/>
      <w:r w:rsidRPr="00446448">
        <w:rPr>
          <w:rFonts w:ascii="Calibri Light" w:eastAsia="Times New Roman" w:hAnsi="Calibri Light" w:cs="Calibri Light"/>
        </w:rPr>
        <w:t>berada</w:t>
      </w:r>
      <w:proofErr w:type="spellEnd"/>
      <w:r w:rsidRPr="00446448">
        <w:rPr>
          <w:rFonts w:ascii="Calibri Light" w:eastAsia="Times New Roman" w:hAnsi="Calibri Light" w:cs="Calibri Light"/>
        </w:rPr>
        <w:t xml:space="preserve"> pada </w:t>
      </w:r>
      <w:proofErr w:type="spellStart"/>
      <w:r w:rsidRPr="00446448">
        <w:rPr>
          <w:rFonts w:ascii="Calibri Light" w:eastAsia="Times New Roman" w:hAnsi="Calibri Light" w:cs="Calibri Light"/>
        </w:rPr>
        <w:t>Peringkat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</w:t>
      </w:r>
      <w:proofErr w:type="spellStart"/>
      <w:r w:rsidRPr="00446448">
        <w:rPr>
          <w:rFonts w:ascii="Calibri Light" w:eastAsia="Times New Roman" w:hAnsi="Calibri Light" w:cs="Calibri Light"/>
        </w:rPr>
        <w:t>Komposit</w:t>
      </w:r>
      <w:proofErr w:type="spellEnd"/>
      <w:r w:rsidRPr="00446448">
        <w:rPr>
          <w:rFonts w:ascii="Calibri Light" w:eastAsia="Times New Roman" w:hAnsi="Calibri Light" w:cs="Calibri Light"/>
        </w:rPr>
        <w:t xml:space="preserve"> 1 (PK-1).  </w:t>
      </w:r>
    </w:p>
    <w:p w14:paraId="02C7A2B5" w14:textId="77777777" w:rsidR="00446448" w:rsidRPr="00446448" w:rsidRDefault="00446448" w:rsidP="007617D7">
      <w:pPr>
        <w:spacing w:after="0" w:line="240" w:lineRule="auto"/>
        <w:ind w:left="1418" w:hanging="1418"/>
        <w:jc w:val="both"/>
        <w:rPr>
          <w:rFonts w:ascii="Calibri Light" w:eastAsia="Calibri" w:hAnsi="Calibri Light" w:cs="Calibri Light"/>
          <w:b/>
          <w:bCs/>
        </w:rPr>
      </w:pPr>
      <w:r w:rsidRPr="00446448">
        <w:rPr>
          <w:rFonts w:ascii="Calibri Light" w:eastAsia="Times New Roman" w:hAnsi="Calibri Light" w:cs="Calibri Light"/>
          <w:b/>
        </w:rPr>
        <w:t xml:space="preserve">Kata </w:t>
      </w:r>
      <w:proofErr w:type="spellStart"/>
      <w:r w:rsidRPr="00446448">
        <w:rPr>
          <w:rFonts w:ascii="Calibri Light" w:eastAsia="Times New Roman" w:hAnsi="Calibri Light" w:cs="Calibri Light"/>
          <w:b/>
        </w:rPr>
        <w:t>kunci</w:t>
      </w:r>
      <w:proofErr w:type="spellEnd"/>
      <w:r w:rsidRPr="00446448">
        <w:rPr>
          <w:rFonts w:ascii="Calibri Light" w:eastAsia="Times New Roman" w:hAnsi="Calibri Light" w:cs="Calibri Light"/>
          <w:b/>
        </w:rPr>
        <w:t xml:space="preserve">: </w:t>
      </w:r>
      <w:r w:rsidRPr="00446448">
        <w:rPr>
          <w:rFonts w:ascii="Calibri Light" w:eastAsia="Calibri" w:hAnsi="Calibri Light" w:cs="Calibri Light"/>
          <w:b/>
          <w:bCs/>
        </w:rPr>
        <w:t xml:space="preserve">Bank </w:t>
      </w:r>
      <w:proofErr w:type="spellStart"/>
      <w:r w:rsidRPr="00446448">
        <w:rPr>
          <w:rFonts w:ascii="Calibri Light" w:eastAsia="Calibri" w:hAnsi="Calibri Light" w:cs="Calibri Light"/>
          <w:b/>
          <w:bCs/>
        </w:rPr>
        <w:t>Umum</w:t>
      </w:r>
      <w:proofErr w:type="spellEnd"/>
      <w:r w:rsidRPr="00446448">
        <w:rPr>
          <w:rFonts w:ascii="Calibri Light" w:eastAsia="Calibri" w:hAnsi="Calibri Light" w:cs="Calibri Light"/>
          <w:b/>
          <w:bCs/>
        </w:rPr>
        <w:t xml:space="preserve"> BUMN, RGEC (</w:t>
      </w:r>
      <w:r w:rsidRPr="00446448">
        <w:rPr>
          <w:rFonts w:ascii="Calibri Light" w:eastAsia="Calibri" w:hAnsi="Calibri Light" w:cs="Calibri Light"/>
          <w:b/>
          <w:bCs/>
          <w:i/>
        </w:rPr>
        <w:t xml:space="preserve">Risk Profile, Good </w:t>
      </w:r>
      <w:proofErr w:type="spellStart"/>
      <w:r w:rsidRPr="00446448">
        <w:rPr>
          <w:rFonts w:ascii="Calibri Light" w:eastAsia="Calibri" w:hAnsi="Calibri Light" w:cs="Calibri Light"/>
          <w:b/>
          <w:bCs/>
          <w:i/>
        </w:rPr>
        <w:t>Gorporate</w:t>
      </w:r>
      <w:proofErr w:type="spellEnd"/>
      <w:r w:rsidRPr="00446448">
        <w:rPr>
          <w:rFonts w:ascii="Calibri Light" w:eastAsia="Calibri" w:hAnsi="Calibri Light" w:cs="Calibri Light"/>
          <w:b/>
          <w:bCs/>
          <w:i/>
        </w:rPr>
        <w:t xml:space="preserve"> Governance, Earnings, </w:t>
      </w:r>
      <w:r w:rsidRPr="00446448">
        <w:rPr>
          <w:rFonts w:ascii="Calibri Light" w:eastAsia="Calibri" w:hAnsi="Calibri Light" w:cs="Calibri Light"/>
          <w:b/>
          <w:bCs/>
        </w:rPr>
        <w:t xml:space="preserve">dan </w:t>
      </w:r>
      <w:r w:rsidRPr="00446448">
        <w:rPr>
          <w:rFonts w:ascii="Calibri Light" w:eastAsia="Calibri" w:hAnsi="Calibri Light" w:cs="Calibri Light"/>
          <w:b/>
          <w:bCs/>
          <w:i/>
        </w:rPr>
        <w:t>Capital</w:t>
      </w:r>
      <w:r w:rsidRPr="00446448">
        <w:rPr>
          <w:rFonts w:ascii="Calibri Light" w:eastAsia="Calibri" w:hAnsi="Calibri Light" w:cs="Calibri Light"/>
          <w:b/>
          <w:bCs/>
        </w:rPr>
        <w:t>)</w:t>
      </w:r>
    </w:p>
    <w:p w14:paraId="3FB9B399" w14:textId="77777777" w:rsidR="00446448" w:rsidRPr="00446448" w:rsidRDefault="00446448" w:rsidP="007617D7">
      <w:pPr>
        <w:spacing w:after="0" w:line="240" w:lineRule="auto"/>
        <w:ind w:left="1418" w:hanging="1418"/>
        <w:jc w:val="both"/>
        <w:rPr>
          <w:rFonts w:ascii="Calibri Light" w:eastAsia="Times New Roman" w:hAnsi="Calibri Light" w:cs="Calibri Light"/>
          <w:b/>
          <w:bCs/>
          <w:i/>
          <w:iCs/>
          <w:lang w:eastAsia="en-ID"/>
        </w:rPr>
      </w:pPr>
    </w:p>
    <w:p w14:paraId="07EF2FBE" w14:textId="77777777" w:rsidR="00070C1B" w:rsidRDefault="00070C1B" w:rsidP="007617D7">
      <w:pPr>
        <w:spacing w:after="0" w:line="240" w:lineRule="auto"/>
        <w:jc w:val="center"/>
        <w:rPr>
          <w:rStyle w:val="tlid-translation"/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070C1B">
        <w:rPr>
          <w:rStyle w:val="tlid-translation"/>
          <w:rFonts w:ascii="Calibri Light" w:hAnsi="Calibri Light" w:cs="Calibri Light"/>
          <w:b/>
          <w:bCs/>
          <w:i/>
          <w:iCs/>
          <w:sz w:val="28"/>
          <w:szCs w:val="28"/>
        </w:rPr>
        <w:t>ANALYSIS OF BANK HEALTH RATING ASSESSMENT USING RGEC METHOD IN THE GENERAL BANKS OF SOES REGISTERED IN INDONESIA STOCK EXCHANGE</w:t>
      </w:r>
    </w:p>
    <w:p w14:paraId="07CBA5FA" w14:textId="4025DF2A" w:rsidR="00070C1B" w:rsidRPr="00070C1B" w:rsidRDefault="00070C1B" w:rsidP="007617D7">
      <w:pPr>
        <w:spacing w:after="0" w:line="240" w:lineRule="auto"/>
        <w:jc w:val="center"/>
        <w:rPr>
          <w:rStyle w:val="tlid-translation"/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070C1B">
        <w:rPr>
          <w:rStyle w:val="tlid-translation"/>
          <w:rFonts w:ascii="Calibri Light" w:hAnsi="Calibri Light" w:cs="Calibri Light"/>
          <w:b/>
          <w:bCs/>
          <w:i/>
          <w:iCs/>
          <w:sz w:val="28"/>
          <w:szCs w:val="28"/>
        </w:rPr>
        <w:t xml:space="preserve"> IN 2013-2017</w:t>
      </w:r>
    </w:p>
    <w:p w14:paraId="78EAAE59" w14:textId="77777777" w:rsidR="00070C1B" w:rsidRPr="00643F8D" w:rsidRDefault="00070C1B" w:rsidP="007617D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/>
        </w:rPr>
      </w:pPr>
      <w:r w:rsidRPr="00643F8D">
        <w:rPr>
          <w:rFonts w:ascii="Calibri Light" w:hAnsi="Calibri Light" w:cs="Calibri Light"/>
          <w:b/>
          <w:i/>
        </w:rPr>
        <w:t>Abstract</w:t>
      </w:r>
    </w:p>
    <w:p w14:paraId="6FA2FEB9" w14:textId="0BBCD9DF" w:rsidR="00446448" w:rsidRPr="00070C1B" w:rsidRDefault="00446448" w:rsidP="007617D7">
      <w:pPr>
        <w:spacing w:after="0" w:line="240" w:lineRule="auto"/>
        <w:ind w:firstLine="851"/>
        <w:jc w:val="both"/>
        <w:rPr>
          <w:rFonts w:ascii="Calibri Light" w:hAnsi="Calibri Light" w:cs="Calibri Light"/>
          <w:i/>
          <w:iCs/>
        </w:rPr>
      </w:pPr>
      <w:r w:rsidRPr="00070C1B">
        <w:rPr>
          <w:rStyle w:val="tlid-translation"/>
          <w:rFonts w:ascii="Calibri Light" w:hAnsi="Calibri Light" w:cs="Calibri Light"/>
          <w:i/>
          <w:iCs/>
        </w:rPr>
        <w:t>This study aims to find out SOE commercial bank health care rating assessment in terms of RGEC (Risk Profile, Good Corporate Governance) Governance, Earnings, and Capital) in 2013-2017. The population in this study is state-owned commercial banks listed on the Indonesia Stock Exchange in the period 2013-2017. The data analysis technique uses the analysis technique of bank soundness using the Risk-based Bank Rating (RBBR) approach.</w:t>
      </w:r>
      <w:r w:rsidR="00070C1B" w:rsidRPr="00070C1B">
        <w:rPr>
          <w:rStyle w:val="tlid-translation"/>
          <w:rFonts w:ascii="Calibri Light" w:hAnsi="Calibri Light" w:cs="Calibri Light"/>
          <w:i/>
          <w:iCs/>
        </w:rPr>
        <w:t xml:space="preserve"> </w:t>
      </w:r>
      <w:r w:rsidRPr="00070C1B">
        <w:rPr>
          <w:rStyle w:val="tlid-translation"/>
          <w:rFonts w:ascii="Calibri Light" w:hAnsi="Calibri Light" w:cs="Calibri Light"/>
          <w:lang w:val="en"/>
        </w:rPr>
        <w:t>The results showed that: (1) the results of the risk profile assessment with the NPL ratio for 2013-2014 were in the very healthy category and in 2015-2017 were in a healthy condition. The LDR value of state-owned banks in 2013-2017 is quite healthy, (2) the results of the Good Corporate Governance (GCG) assessment in 2013 with quite healthy criteria, 2014-2015 with healthy criteria, 2016-2017 with healthy criteria, (3) the results of the assessment of Profitability (Earnings) with a ratio of ROA and NIM during 2013-2017 included in the very healthy criteria, (4) the results of the assessment of Capital (capital) of state-owned commercial banks during 2013-2017 were in very healthy condition, and (5) the results of the assessment of the soundness of state-owned commercial banks seen from the RGEC aspect during 2013-2017 based on the risk profile, GCG, earnings, and capital aspects are in the Composite Rating 1 (PK-1).</w:t>
      </w:r>
    </w:p>
    <w:p w14:paraId="5B12E688" w14:textId="77777777" w:rsidR="00446448" w:rsidRPr="00070C1B" w:rsidRDefault="00446448" w:rsidP="007617D7">
      <w:pPr>
        <w:spacing w:after="0" w:line="240" w:lineRule="auto"/>
        <w:ind w:left="1276" w:hanging="1276"/>
        <w:jc w:val="both"/>
        <w:rPr>
          <w:rFonts w:ascii="Calibri Light" w:hAnsi="Calibri Light" w:cs="Calibri Light"/>
          <w:b/>
          <w:bCs/>
          <w:i/>
          <w:iCs/>
        </w:rPr>
      </w:pPr>
      <w:r w:rsidRPr="00070C1B">
        <w:rPr>
          <w:rStyle w:val="tlid-translation"/>
          <w:rFonts w:ascii="Calibri Light" w:hAnsi="Calibri Light" w:cs="Calibri Light"/>
          <w:b/>
          <w:bCs/>
          <w:i/>
          <w:iCs/>
        </w:rPr>
        <w:t>Keywords: BUMN Public Bank, RGEC (Risk Profile, Good Corporate Governance, Earnings, and Capital)</w:t>
      </w:r>
    </w:p>
    <w:p w14:paraId="13211FE8" w14:textId="77777777" w:rsidR="004C61DB" w:rsidRDefault="004C61DB" w:rsidP="007617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D"/>
        </w:rPr>
      </w:pPr>
    </w:p>
    <w:p w14:paraId="4A9FC4FA" w14:textId="0B5691B9" w:rsidR="00070C1B" w:rsidRPr="00643F8D" w:rsidRDefault="00070C1B" w:rsidP="007617D7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  <w:sectPr w:rsidR="00070C1B" w:rsidRPr="00643F8D" w:rsidSect="005A25B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C3007CB" w14:textId="650A2D32" w:rsidR="00070C1B" w:rsidRPr="00070C1B" w:rsidRDefault="00F75134" w:rsidP="007617D7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43F8D">
        <w:rPr>
          <w:rFonts w:ascii="Calibri Light" w:hAnsi="Calibri Light" w:cs="Calibri Light"/>
          <w:b/>
          <w:color w:val="000000"/>
          <w:sz w:val="24"/>
          <w:szCs w:val="24"/>
        </w:rPr>
        <w:lastRenderedPageBreak/>
        <w:t>PENDAHULUAN</w:t>
      </w:r>
    </w:p>
    <w:p w14:paraId="51867F4B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Peristiwa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moneter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melanda</w:t>
      </w:r>
      <w:proofErr w:type="spellEnd"/>
      <w:r w:rsidRPr="00070C1B">
        <w:rPr>
          <w:rFonts w:ascii="Calibri Light" w:eastAsia="Calibri" w:hAnsi="Calibri Light" w:cs="Calibri Light"/>
        </w:rPr>
        <w:t xml:space="preserve"> Indonesia pada </w:t>
      </w:r>
      <w:proofErr w:type="spellStart"/>
      <w:r w:rsidRPr="00070C1B">
        <w:rPr>
          <w:rFonts w:ascii="Calibri Light" w:eastAsia="Calibri" w:hAnsi="Calibri Light" w:cs="Calibri Light"/>
        </w:rPr>
        <w:t>pertengahan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tahun</w:t>
      </w:r>
      <w:proofErr w:type="spellEnd"/>
      <w:r w:rsidRPr="00070C1B">
        <w:rPr>
          <w:rFonts w:ascii="Calibri Light" w:eastAsia="Calibri" w:hAnsi="Calibri Light" w:cs="Calibri Light"/>
        </w:rPr>
        <w:t xml:space="preserve"> 1997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dijadikan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sebagian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suatu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pelajaran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industri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diawali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kesulitan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likuiditas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akibat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merosotnya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nilai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tukar</w:t>
      </w:r>
      <w:proofErr w:type="spellEnd"/>
      <w:r w:rsidRPr="00070C1B">
        <w:rPr>
          <w:rFonts w:ascii="Calibri Light" w:eastAsia="Calibri" w:hAnsi="Calibri Light" w:cs="Calibri Light"/>
        </w:rPr>
        <w:t xml:space="preserve"> rupiah </w:t>
      </w:r>
      <w:proofErr w:type="spellStart"/>
      <w:r w:rsidRPr="00070C1B">
        <w:rPr>
          <w:rFonts w:ascii="Calibri Light" w:eastAsia="Calibri" w:hAnsi="Calibri Light" w:cs="Calibri Light"/>
        </w:rPr>
        <w:t>terhadap</w:t>
      </w:r>
      <w:proofErr w:type="spellEnd"/>
      <w:r w:rsidRPr="00070C1B">
        <w:rPr>
          <w:rFonts w:ascii="Calibri Light" w:eastAsia="Calibri" w:hAnsi="Calibri Light" w:cs="Calibri Light"/>
        </w:rPr>
        <w:t xml:space="preserve"> dollar AS.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menyebabkan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pencabutan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usaha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enam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belas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swasta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pengambilan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alihan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kepeguruan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besarnya</w:t>
      </w:r>
      <w:proofErr w:type="spellEnd"/>
      <w:r w:rsidRPr="00070C1B">
        <w:rPr>
          <w:rFonts w:ascii="Calibri Light" w:eastAsia="Calibri" w:hAnsi="Calibri Light" w:cs="Calibri Light"/>
        </w:rPr>
        <w:t xml:space="preserve"> BLBI </w:t>
      </w:r>
      <w:proofErr w:type="spellStart"/>
      <w:r w:rsidRPr="00070C1B">
        <w:rPr>
          <w:rFonts w:ascii="Calibri Light" w:eastAsia="Calibri" w:hAnsi="Calibri Light" w:cs="Calibri Light"/>
        </w:rPr>
        <w:t>sudah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melebihi</w:t>
      </w:r>
      <w:proofErr w:type="spellEnd"/>
      <w:r w:rsidRPr="00070C1B">
        <w:rPr>
          <w:rFonts w:ascii="Calibri Light" w:eastAsia="Calibri" w:hAnsi="Calibri Light" w:cs="Calibri Light"/>
        </w:rPr>
        <w:t xml:space="preserve"> 200% 0leh Menteri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kembali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terjadi</w:t>
      </w:r>
      <w:proofErr w:type="spellEnd"/>
      <w:r w:rsidRPr="00070C1B">
        <w:rPr>
          <w:rFonts w:ascii="Calibri Light" w:eastAsia="Calibri" w:hAnsi="Calibri Light" w:cs="Calibri Light"/>
        </w:rPr>
        <w:t xml:space="preserve"> di Indonesia pada </w:t>
      </w:r>
      <w:proofErr w:type="spellStart"/>
      <w:r w:rsidRPr="00070C1B">
        <w:rPr>
          <w:rFonts w:ascii="Calibri Light" w:eastAsia="Calibri" w:hAnsi="Calibri Light" w:cs="Calibri Light"/>
        </w:rPr>
        <w:t>tahun</w:t>
      </w:r>
      <w:proofErr w:type="spellEnd"/>
      <w:r w:rsidRPr="00070C1B">
        <w:rPr>
          <w:rFonts w:ascii="Calibri Light" w:eastAsia="Calibri" w:hAnsi="Calibri Light" w:cs="Calibri Light"/>
        </w:rPr>
        <w:t xml:space="preserve"> 2008,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berdampak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sistemik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terhadap</w:t>
      </w:r>
      <w:proofErr w:type="spellEnd"/>
      <w:r w:rsidRPr="00070C1B">
        <w:rPr>
          <w:rFonts w:ascii="Calibri Light" w:eastAsia="Calibri" w:hAnsi="Calibri Light" w:cs="Calibri Light"/>
        </w:rPr>
        <w:t xml:space="preserve"> sector bank, </w:t>
      </w:r>
      <w:proofErr w:type="spellStart"/>
      <w:r w:rsidRPr="00070C1B">
        <w:rPr>
          <w:rFonts w:ascii="Calibri Light" w:eastAsia="Calibri" w:hAnsi="Calibri Light" w:cs="Calibri Light"/>
        </w:rPr>
        <w:t>sehingga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bunga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diturunkan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meningkatkan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konsumsi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investasi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Berulangnya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merupakan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institusi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kepercayaan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rentan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terhadap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penarikan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besar-besaran</w:t>
      </w:r>
      <w:proofErr w:type="spellEnd"/>
      <w:r w:rsidRPr="00070C1B">
        <w:rPr>
          <w:rFonts w:ascii="Calibri Light" w:eastAsia="Calibri" w:hAnsi="Calibri Light" w:cs="Calibri Light"/>
        </w:rPr>
        <w:t xml:space="preserve"> oleh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>.</w:t>
      </w:r>
    </w:p>
    <w:p w14:paraId="164687C7" w14:textId="3B0924F4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terjadi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mengganggu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kegiatan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intermediasi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kemudian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menimbulkan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persaingan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semakin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ketat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terutama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hal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menarik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minat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masyarakat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menyimpan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dananya</w:t>
      </w:r>
      <w:proofErr w:type="spellEnd"/>
      <w:r w:rsidRPr="00070C1B">
        <w:rPr>
          <w:rFonts w:ascii="Calibri Light" w:eastAsia="Calibri" w:hAnsi="Calibri Light" w:cs="Calibri Light"/>
        </w:rPr>
        <w:t xml:space="preserve"> di bank.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perkembangannya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persaingan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antar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terlihat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upaya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mereka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mendapatkan</w:t>
      </w:r>
      <w:proofErr w:type="spellEnd"/>
      <w:r w:rsidRPr="00070C1B">
        <w:rPr>
          <w:rFonts w:ascii="Calibri Light" w:eastAsia="Calibri" w:hAnsi="Calibri Light" w:cs="Calibri Light"/>
        </w:rPr>
        <w:t xml:space="preserve"> dana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dana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merupakan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hal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penting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bagi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sumber</w:t>
      </w:r>
      <w:proofErr w:type="spellEnd"/>
      <w:r w:rsidRPr="00070C1B">
        <w:rPr>
          <w:rFonts w:ascii="Calibri Light" w:eastAsia="Calibri" w:hAnsi="Calibri Light" w:cs="Calibri Light"/>
        </w:rPr>
        <w:t xml:space="preserve"> dana yang </w:t>
      </w:r>
      <w:proofErr w:type="spellStart"/>
      <w:r w:rsidRPr="00070C1B">
        <w:rPr>
          <w:rFonts w:ascii="Calibri Light" w:eastAsia="Calibri" w:hAnsi="Calibri Light" w:cs="Calibri Light"/>
        </w:rPr>
        <w:t>digunakan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kegiatan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operasi</w:t>
      </w:r>
      <w:proofErr w:type="spellEnd"/>
      <w:r w:rsidRPr="00070C1B">
        <w:rPr>
          <w:rFonts w:ascii="Calibri Light" w:eastAsia="Calibri" w:hAnsi="Calibri Light" w:cs="Calibri Light"/>
        </w:rPr>
        <w:t xml:space="preserve"> bank. Bank </w:t>
      </w:r>
      <w:proofErr w:type="spellStart"/>
      <w:r w:rsidRPr="00070C1B">
        <w:rPr>
          <w:rFonts w:ascii="Calibri Light" w:eastAsia="Calibri" w:hAnsi="Calibri Light" w:cs="Calibri Light"/>
        </w:rPr>
        <w:t>kii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lebih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fleksibel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layanan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diberikan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sekedar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tempat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penyimpanan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uang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bagi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pihak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kelebihan</w:t>
      </w:r>
      <w:proofErr w:type="spellEnd"/>
      <w:r w:rsidRPr="00070C1B">
        <w:rPr>
          <w:rFonts w:ascii="Calibri Light" w:eastAsia="Calibri" w:hAnsi="Calibri Light" w:cs="Calibri Light"/>
        </w:rPr>
        <w:t xml:space="preserve"> dan (</w:t>
      </w:r>
      <w:r w:rsidRPr="00070C1B">
        <w:rPr>
          <w:rFonts w:ascii="Calibri Light" w:eastAsia="Calibri" w:hAnsi="Calibri Light" w:cs="Calibri Light"/>
          <w:i/>
        </w:rPr>
        <w:t xml:space="preserve">surplus fund) </w:t>
      </w:r>
      <w:r w:rsidRPr="00070C1B">
        <w:rPr>
          <w:rFonts w:ascii="Calibri Light" w:eastAsia="Calibri" w:hAnsi="Calibri Light" w:cs="Calibri Light"/>
        </w:rPr>
        <w:t xml:space="preserve">dan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sumber</w:t>
      </w:r>
      <w:proofErr w:type="spellEnd"/>
      <w:r w:rsidRPr="00070C1B">
        <w:rPr>
          <w:rFonts w:ascii="Calibri Light" w:eastAsia="Calibri" w:hAnsi="Calibri Light" w:cs="Calibri Light"/>
        </w:rPr>
        <w:t xml:space="preserve"> dana </w:t>
      </w:r>
      <w:proofErr w:type="spellStart"/>
      <w:r w:rsidRPr="00070C1B">
        <w:rPr>
          <w:rFonts w:ascii="Calibri Light" w:eastAsia="Calibri" w:hAnsi="Calibri Light" w:cs="Calibri Light"/>
        </w:rPr>
        <w:t>bagi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pihak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memerlukan</w:t>
      </w:r>
      <w:proofErr w:type="spellEnd"/>
      <w:r w:rsidRPr="00070C1B">
        <w:rPr>
          <w:rFonts w:ascii="Calibri Light" w:eastAsia="Calibri" w:hAnsi="Calibri Light" w:cs="Calibri Light"/>
        </w:rPr>
        <w:t xml:space="preserve"> dana (</w:t>
      </w:r>
      <w:r w:rsidRPr="00070C1B">
        <w:rPr>
          <w:rFonts w:ascii="Calibri Light" w:eastAsia="Calibri" w:hAnsi="Calibri Light" w:cs="Calibri Light"/>
          <w:i/>
        </w:rPr>
        <w:t xml:space="preserve">deficit fund). </w:t>
      </w:r>
      <w:proofErr w:type="spellStart"/>
      <w:r w:rsidRPr="00070C1B">
        <w:rPr>
          <w:rFonts w:ascii="Calibri Light" w:eastAsia="Calibri" w:hAnsi="Calibri Light" w:cs="Calibri Light"/>
        </w:rPr>
        <w:t>Produk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jasa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ditawarkan</w:t>
      </w:r>
      <w:proofErr w:type="spellEnd"/>
      <w:r w:rsidRPr="00070C1B">
        <w:rPr>
          <w:rFonts w:ascii="Calibri Light" w:eastAsia="Calibri" w:hAnsi="Calibri Light" w:cs="Calibri Light"/>
        </w:rPr>
        <w:t xml:space="preserve"> juga </w:t>
      </w:r>
      <w:proofErr w:type="spellStart"/>
      <w:r w:rsidRPr="00070C1B">
        <w:rPr>
          <w:rFonts w:ascii="Calibri Light" w:eastAsia="Calibri" w:hAnsi="Calibri Light" w:cs="Calibri Light"/>
        </w:rPr>
        <w:t>semakin</w:t>
      </w:r>
      <w:proofErr w:type="spellEnd"/>
      <w:r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beraneka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memberikan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kemudahan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bertransaksi</w:t>
      </w:r>
      <w:proofErr w:type="spellEnd"/>
      <w:r w:rsidRPr="00070C1B">
        <w:rPr>
          <w:rFonts w:ascii="Calibri Light" w:eastAsia="Calibri" w:hAnsi="Calibri Light" w:cs="Calibri Light"/>
        </w:rPr>
        <w:t xml:space="preserve">. Hal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dilakukan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menarik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sebanyak-banyaknya</w:t>
      </w:r>
      <w:proofErr w:type="spellEnd"/>
      <w:r w:rsidRPr="00070C1B">
        <w:rPr>
          <w:rFonts w:ascii="Calibri Light" w:eastAsia="Calibri" w:hAnsi="Calibri Light" w:cs="Calibri Light"/>
        </w:rPr>
        <w:t>.</w:t>
      </w:r>
    </w:p>
    <w:p w14:paraId="2AD3A17B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r w:rsidRPr="00070C1B">
        <w:rPr>
          <w:rFonts w:ascii="Calibri Light" w:eastAsia="Calibri" w:hAnsi="Calibri Light" w:cs="Calibri Light"/>
        </w:rPr>
        <w:t xml:space="preserve">Dari </w:t>
      </w:r>
      <w:proofErr w:type="spellStart"/>
      <w:r w:rsidRPr="00070C1B">
        <w:rPr>
          <w:rFonts w:ascii="Calibri Light" w:eastAsia="Calibri" w:hAnsi="Calibri Light" w:cs="Calibri Light"/>
        </w:rPr>
        <w:t>banyaknya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jenis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ada</w:t>
      </w:r>
      <w:proofErr w:type="spellEnd"/>
      <w:r w:rsidRPr="00070C1B">
        <w:rPr>
          <w:rFonts w:ascii="Calibri Light" w:eastAsia="Calibri" w:hAnsi="Calibri Light" w:cs="Calibri Light"/>
        </w:rPr>
        <w:t xml:space="preserve"> di Indonesia,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 </w:t>
      </w:r>
      <w:proofErr w:type="spellStart"/>
      <w:r w:rsidRPr="00070C1B">
        <w:rPr>
          <w:rFonts w:ascii="Calibri Light" w:eastAsia="Calibri" w:hAnsi="Calibri Light" w:cs="Calibri Light"/>
        </w:rPr>
        <w:t>lebih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banyak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diminati</w:t>
      </w:r>
      <w:proofErr w:type="spellEnd"/>
      <w:r w:rsidRPr="00070C1B">
        <w:rPr>
          <w:rFonts w:ascii="Calibri Light" w:eastAsia="Calibri" w:hAnsi="Calibri Light" w:cs="Calibri Light"/>
        </w:rPr>
        <w:t xml:space="preserve"> oleh </w:t>
      </w:r>
      <w:proofErr w:type="spellStart"/>
      <w:r w:rsidRPr="00070C1B">
        <w:rPr>
          <w:rFonts w:ascii="Calibri Light" w:eastAsia="Calibri" w:hAnsi="Calibri Light" w:cs="Calibri Light"/>
        </w:rPr>
        <w:t>masyarakat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tempat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menyimpan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mengivestasikan</w:t>
      </w:r>
      <w:proofErr w:type="spellEnd"/>
      <w:r w:rsidRPr="00070C1B">
        <w:rPr>
          <w:rFonts w:ascii="Calibri Light" w:eastAsia="Calibri" w:hAnsi="Calibri Light" w:cs="Calibri Light"/>
        </w:rPr>
        <w:t xml:space="preserve"> dan yang </w:t>
      </w:r>
      <w:proofErr w:type="spellStart"/>
      <w:r w:rsidRPr="00070C1B">
        <w:rPr>
          <w:rFonts w:ascii="Calibri Light" w:eastAsia="Calibri" w:hAnsi="Calibri Light" w:cs="Calibri Light"/>
        </w:rPr>
        <w:t>mereka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miliki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dianggap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lebih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aman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terpercaya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dimiliki</w:t>
      </w:r>
      <w:proofErr w:type="spellEnd"/>
      <w:r w:rsidRPr="00070C1B">
        <w:rPr>
          <w:rFonts w:ascii="Calibri Light" w:eastAsia="Calibri" w:hAnsi="Calibri Light" w:cs="Calibri Light"/>
        </w:rPr>
        <w:t xml:space="preserve"> oleh Negara. </w:t>
      </w:r>
      <w:proofErr w:type="spellStart"/>
      <w:r w:rsidRPr="00070C1B">
        <w:rPr>
          <w:rFonts w:ascii="Calibri Light" w:eastAsia="Calibri" w:hAnsi="Calibri Light" w:cs="Calibri Light"/>
        </w:rPr>
        <w:t>Menurut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Kasmir</w:t>
      </w:r>
      <w:proofErr w:type="spellEnd"/>
      <w:r w:rsidRPr="00070C1B">
        <w:rPr>
          <w:rFonts w:ascii="Calibri Light" w:eastAsia="Calibri" w:hAnsi="Calibri Light" w:cs="Calibri Light"/>
        </w:rPr>
        <w:t xml:space="preserve"> (2012: 21) Bank </w:t>
      </w:r>
      <w:proofErr w:type="spellStart"/>
      <w:r w:rsidRPr="00070C1B">
        <w:rPr>
          <w:rFonts w:ascii="Calibri Light" w:eastAsia="Calibri" w:hAnsi="Calibri Light" w:cs="Calibri Light"/>
        </w:rPr>
        <w:t>Milik</w:t>
      </w:r>
      <w:proofErr w:type="spellEnd"/>
      <w:r w:rsidRPr="00070C1B">
        <w:rPr>
          <w:rFonts w:ascii="Calibri Light" w:eastAsia="Calibri" w:hAnsi="Calibri Light" w:cs="Calibri Light"/>
        </w:rPr>
        <w:t xml:space="preserve"> Negara </w:t>
      </w:r>
      <w:proofErr w:type="spellStart"/>
      <w:r w:rsidRPr="00070C1B">
        <w:rPr>
          <w:rFonts w:ascii="Calibri Light" w:eastAsia="Calibri" w:hAnsi="Calibri Light" w:cs="Calibri Light"/>
        </w:rPr>
        <w:t>adalah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akte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pendirian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maupun</w:t>
      </w:r>
      <w:proofErr w:type="spellEnd"/>
      <w:r w:rsidRPr="00070C1B">
        <w:rPr>
          <w:rFonts w:ascii="Calibri Light" w:eastAsia="Calibri" w:hAnsi="Calibri Light" w:cs="Calibri Light"/>
        </w:rPr>
        <w:t xml:space="preserve"> modal </w:t>
      </w:r>
      <w:proofErr w:type="spellStart"/>
      <w:r w:rsidRPr="00070C1B">
        <w:rPr>
          <w:rFonts w:ascii="Calibri Light" w:eastAsia="Calibri" w:hAnsi="Calibri Light" w:cs="Calibri Light"/>
        </w:rPr>
        <w:t>dimiliki</w:t>
      </w:r>
      <w:proofErr w:type="spellEnd"/>
      <w:r w:rsidRPr="00070C1B">
        <w:rPr>
          <w:rFonts w:ascii="Calibri Light" w:eastAsia="Calibri" w:hAnsi="Calibri Light" w:cs="Calibri Light"/>
        </w:rPr>
        <w:t xml:space="preserve"> oleh </w:t>
      </w:r>
      <w:proofErr w:type="spellStart"/>
      <w:r w:rsidRPr="00070C1B">
        <w:rPr>
          <w:rFonts w:ascii="Calibri Light" w:eastAsia="Calibri" w:hAnsi="Calibri Light" w:cs="Calibri Light"/>
        </w:rPr>
        <w:t>pemerintah</w:t>
      </w:r>
      <w:proofErr w:type="spellEnd"/>
      <w:r w:rsidRPr="00070C1B">
        <w:rPr>
          <w:rFonts w:ascii="Calibri Light" w:eastAsia="Calibri" w:hAnsi="Calibri Light" w:cs="Calibri Light"/>
        </w:rPr>
        <w:t xml:space="preserve"> Indonesia, </w:t>
      </w:r>
      <w:proofErr w:type="spellStart"/>
      <w:r w:rsidRPr="00070C1B">
        <w:rPr>
          <w:rFonts w:ascii="Calibri Light" w:eastAsia="Calibri" w:hAnsi="Calibri Light" w:cs="Calibri Light"/>
        </w:rPr>
        <w:t>sehingga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seluruh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keuntungan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dimiliki</w:t>
      </w:r>
      <w:proofErr w:type="spellEnd"/>
      <w:r w:rsidRPr="00070C1B">
        <w:rPr>
          <w:rFonts w:ascii="Calibri Light" w:eastAsia="Calibri" w:hAnsi="Calibri Light" w:cs="Calibri Light"/>
        </w:rPr>
        <w:t xml:space="preserve"> oleh </w:t>
      </w:r>
      <w:proofErr w:type="spellStart"/>
      <w:r w:rsidRPr="00070C1B">
        <w:rPr>
          <w:rFonts w:ascii="Calibri Light" w:eastAsia="Calibri" w:hAnsi="Calibri Light" w:cs="Calibri Light"/>
        </w:rPr>
        <w:t>pemerintah</w:t>
      </w:r>
      <w:proofErr w:type="spellEnd"/>
      <w:r w:rsidRPr="00070C1B">
        <w:rPr>
          <w:rFonts w:ascii="Calibri Light" w:eastAsia="Calibri" w:hAnsi="Calibri Light" w:cs="Calibri Light"/>
        </w:rPr>
        <w:t xml:space="preserve"> pula. Bank yang </w:t>
      </w:r>
      <w:proofErr w:type="spellStart"/>
      <w:r w:rsidRPr="00070C1B">
        <w:rPr>
          <w:rFonts w:ascii="Calibri Light" w:eastAsia="Calibri" w:hAnsi="Calibri Light" w:cs="Calibri Light"/>
        </w:rPr>
        <w:t>termasuk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kedalam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Milik</w:t>
      </w:r>
      <w:proofErr w:type="spellEnd"/>
      <w:r w:rsidRPr="00070C1B">
        <w:rPr>
          <w:rFonts w:ascii="Calibri Light" w:eastAsia="Calibri" w:hAnsi="Calibri Light" w:cs="Calibri Light"/>
        </w:rPr>
        <w:t xml:space="preserve"> Negara </w:t>
      </w:r>
      <w:proofErr w:type="spellStart"/>
      <w:r w:rsidRPr="00070C1B">
        <w:rPr>
          <w:rFonts w:ascii="Calibri Light" w:eastAsia="Calibri" w:hAnsi="Calibri Light" w:cs="Calibri Light"/>
        </w:rPr>
        <w:t>adalah</w:t>
      </w:r>
      <w:proofErr w:type="spellEnd"/>
      <w:r w:rsidRPr="00070C1B">
        <w:rPr>
          <w:rFonts w:ascii="Calibri Light" w:eastAsia="Calibri" w:hAnsi="Calibri Light" w:cs="Calibri Light"/>
        </w:rPr>
        <w:t xml:space="preserve"> PT. Bank Rakyat Indonesia (</w:t>
      </w:r>
      <w:proofErr w:type="spellStart"/>
      <w:r w:rsidRPr="00070C1B">
        <w:rPr>
          <w:rFonts w:ascii="Calibri Light" w:eastAsia="Calibri" w:hAnsi="Calibri Light" w:cs="Calibri Light"/>
        </w:rPr>
        <w:t>persero</w:t>
      </w:r>
      <w:proofErr w:type="spellEnd"/>
      <w:r w:rsidRPr="00070C1B">
        <w:rPr>
          <w:rFonts w:ascii="Calibri Light" w:eastAsia="Calibri" w:hAnsi="Calibri Light" w:cs="Calibri Light"/>
        </w:rPr>
        <w:t xml:space="preserve">) </w:t>
      </w:r>
      <w:proofErr w:type="spellStart"/>
      <w:r w:rsidRPr="00070C1B">
        <w:rPr>
          <w:rFonts w:ascii="Calibri Light" w:eastAsia="Calibri" w:hAnsi="Calibri Light" w:cs="Calibri Light"/>
        </w:rPr>
        <w:t>Tbk</w:t>
      </w:r>
      <w:proofErr w:type="spellEnd"/>
      <w:r w:rsidRPr="00070C1B">
        <w:rPr>
          <w:rFonts w:ascii="Calibri Light" w:eastAsia="Calibri" w:hAnsi="Calibri Light" w:cs="Calibri Light"/>
        </w:rPr>
        <w:t>., PT. Bank Negara Indonesia (</w:t>
      </w:r>
      <w:proofErr w:type="spellStart"/>
      <w:r w:rsidRPr="00070C1B">
        <w:rPr>
          <w:rFonts w:ascii="Calibri Light" w:eastAsia="Calibri" w:hAnsi="Calibri Light" w:cs="Calibri Light"/>
        </w:rPr>
        <w:t>persero</w:t>
      </w:r>
      <w:proofErr w:type="spellEnd"/>
      <w:r w:rsidRPr="00070C1B">
        <w:rPr>
          <w:rFonts w:ascii="Calibri Light" w:eastAsia="Calibri" w:hAnsi="Calibri Light" w:cs="Calibri Light"/>
        </w:rPr>
        <w:t xml:space="preserve">) </w:t>
      </w:r>
      <w:proofErr w:type="spellStart"/>
      <w:r w:rsidRPr="00070C1B">
        <w:rPr>
          <w:rFonts w:ascii="Calibri Light" w:eastAsia="Calibri" w:hAnsi="Calibri Light" w:cs="Calibri Light"/>
        </w:rPr>
        <w:t>Tbk</w:t>
      </w:r>
      <w:proofErr w:type="spellEnd"/>
      <w:r w:rsidRPr="00070C1B">
        <w:rPr>
          <w:rFonts w:ascii="Calibri Light" w:eastAsia="Calibri" w:hAnsi="Calibri Light" w:cs="Calibri Light"/>
        </w:rPr>
        <w:t xml:space="preserve">., PT. Bank </w:t>
      </w:r>
      <w:proofErr w:type="spellStart"/>
      <w:r w:rsidRPr="00070C1B">
        <w:rPr>
          <w:rFonts w:ascii="Calibri Light" w:eastAsia="Calibri" w:hAnsi="Calibri Light" w:cs="Calibri Light"/>
        </w:rPr>
        <w:t>Mandiri</w:t>
      </w:r>
      <w:proofErr w:type="spellEnd"/>
      <w:r w:rsidRPr="00070C1B">
        <w:rPr>
          <w:rFonts w:ascii="Calibri Light" w:eastAsia="Calibri" w:hAnsi="Calibri Light" w:cs="Calibri Light"/>
        </w:rPr>
        <w:t xml:space="preserve"> (</w:t>
      </w:r>
      <w:proofErr w:type="spellStart"/>
      <w:r w:rsidRPr="00070C1B">
        <w:rPr>
          <w:rFonts w:ascii="Calibri Light" w:eastAsia="Calibri" w:hAnsi="Calibri Light" w:cs="Calibri Light"/>
        </w:rPr>
        <w:t>persero</w:t>
      </w:r>
      <w:proofErr w:type="spellEnd"/>
      <w:r w:rsidRPr="00070C1B">
        <w:rPr>
          <w:rFonts w:ascii="Calibri Light" w:eastAsia="Calibri" w:hAnsi="Calibri Light" w:cs="Calibri Light"/>
        </w:rPr>
        <w:t xml:space="preserve">) </w:t>
      </w:r>
      <w:proofErr w:type="spellStart"/>
      <w:r w:rsidRPr="00070C1B">
        <w:rPr>
          <w:rFonts w:ascii="Calibri Light" w:eastAsia="Calibri" w:hAnsi="Calibri Light" w:cs="Calibri Light"/>
        </w:rPr>
        <w:t>Tbk</w:t>
      </w:r>
      <w:proofErr w:type="spellEnd"/>
      <w:r w:rsidRPr="00070C1B">
        <w:rPr>
          <w:rFonts w:ascii="Calibri Light" w:eastAsia="Calibri" w:hAnsi="Calibri Light" w:cs="Calibri Light"/>
        </w:rPr>
        <w:t>., PT. Bank Tabungan Negara (</w:t>
      </w:r>
      <w:proofErr w:type="spellStart"/>
      <w:r w:rsidRPr="00070C1B">
        <w:rPr>
          <w:rFonts w:ascii="Calibri Light" w:eastAsia="Calibri" w:hAnsi="Calibri Light" w:cs="Calibri Light"/>
        </w:rPr>
        <w:t>persero</w:t>
      </w:r>
      <w:proofErr w:type="spellEnd"/>
      <w:r w:rsidRPr="00070C1B">
        <w:rPr>
          <w:rFonts w:ascii="Calibri Light" w:eastAsia="Calibri" w:hAnsi="Calibri Light" w:cs="Calibri Light"/>
        </w:rPr>
        <w:t xml:space="preserve">) </w:t>
      </w:r>
      <w:proofErr w:type="spellStart"/>
      <w:r w:rsidRPr="00070C1B">
        <w:rPr>
          <w:rFonts w:ascii="Calibri Light" w:eastAsia="Calibri" w:hAnsi="Calibri Light" w:cs="Calibri Light"/>
        </w:rPr>
        <w:t>Tbk</w:t>
      </w:r>
      <w:proofErr w:type="spellEnd"/>
      <w:r w:rsidRPr="00070C1B">
        <w:rPr>
          <w:rFonts w:ascii="Calibri Light" w:eastAsia="Calibri" w:hAnsi="Calibri Light" w:cs="Calibri Light"/>
        </w:rPr>
        <w:t>. (</w:t>
      </w:r>
      <w:hyperlink r:id="rId13" w:history="1">
        <w:r w:rsidRPr="004E07E2">
          <w:rPr>
            <w:rFonts w:ascii="Calibri Light" w:eastAsia="Calibri" w:hAnsi="Calibri Light" w:cs="Calibri Light"/>
          </w:rPr>
          <w:t>www.idx.co.id</w:t>
        </w:r>
      </w:hyperlink>
      <w:r w:rsidRPr="00070C1B">
        <w:rPr>
          <w:rFonts w:ascii="Calibri Light" w:eastAsia="Calibri" w:hAnsi="Calibri Light" w:cs="Calibri Light"/>
        </w:rPr>
        <w:t xml:space="preserve">). </w:t>
      </w:r>
    </w:p>
    <w:p w14:paraId="13E6AA67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rangka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menghadapi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segala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perubahan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tantangan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global,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milik</w:t>
      </w:r>
      <w:proofErr w:type="spellEnd"/>
      <w:r w:rsidRPr="00070C1B">
        <w:rPr>
          <w:rFonts w:ascii="Calibri Light" w:eastAsia="Calibri" w:hAnsi="Calibri Light" w:cs="Calibri Light"/>
        </w:rPr>
        <w:t xml:space="preserve"> Negara </w:t>
      </w:r>
      <w:proofErr w:type="spellStart"/>
      <w:r w:rsidRPr="00070C1B">
        <w:rPr>
          <w:rFonts w:ascii="Calibri Light" w:eastAsia="Calibri" w:hAnsi="Calibri Light" w:cs="Calibri Light"/>
        </w:rPr>
        <w:t>perlu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mempersiapkan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sebaik-baiknya</w:t>
      </w:r>
      <w:proofErr w:type="spellEnd"/>
      <w:r w:rsidRPr="00070C1B">
        <w:rPr>
          <w:rFonts w:ascii="Calibri Light" w:eastAsia="Calibri" w:hAnsi="Calibri Light" w:cs="Calibri Light"/>
        </w:rPr>
        <w:t xml:space="preserve"> agar </w:t>
      </w:r>
      <w:proofErr w:type="spellStart"/>
      <w:r w:rsidRPr="00070C1B">
        <w:rPr>
          <w:rFonts w:ascii="Calibri Light" w:eastAsia="Calibri" w:hAnsi="Calibri Light" w:cs="Calibri Light"/>
        </w:rPr>
        <w:t>mampu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bersaing</w:t>
      </w:r>
      <w:proofErr w:type="spellEnd"/>
      <w:r w:rsidRPr="00070C1B">
        <w:rPr>
          <w:rFonts w:ascii="Calibri Light" w:eastAsia="Calibri" w:hAnsi="Calibri Light" w:cs="Calibri Light"/>
        </w:rPr>
        <w:t xml:space="preserve"> di </w:t>
      </w:r>
      <w:proofErr w:type="spellStart"/>
      <w:r w:rsidRPr="00070C1B">
        <w:rPr>
          <w:rFonts w:ascii="Calibri Light" w:eastAsia="Calibri" w:hAnsi="Calibri Light" w:cs="Calibri Light"/>
        </w:rPr>
        <w:t>industri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. Di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menghadapi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saing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industri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mulai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berlomba-lomba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memperbaiki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mencapai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kinerja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 dan optimal. </w:t>
      </w:r>
      <w:proofErr w:type="spellStart"/>
      <w:r w:rsidRPr="00070C1B">
        <w:rPr>
          <w:rFonts w:ascii="Calibri Light" w:eastAsia="Calibri" w:hAnsi="Calibri Light" w:cs="Calibri Light"/>
        </w:rPr>
        <w:t>Kinerja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perusahaan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berpengaruh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positif</w:t>
      </w:r>
      <w:proofErr w:type="spellEnd"/>
      <w:r w:rsidRPr="00070C1B">
        <w:rPr>
          <w:rFonts w:ascii="Calibri Light" w:eastAsia="Calibri" w:hAnsi="Calibri Light" w:cs="Calibri Light"/>
        </w:rPr>
        <w:t xml:space="preserve"> pada </w:t>
      </w:r>
      <w:proofErr w:type="spellStart"/>
      <w:r w:rsidRPr="00070C1B">
        <w:rPr>
          <w:rFonts w:ascii="Calibri Light" w:eastAsia="Calibri" w:hAnsi="Calibri Light" w:cs="Calibri Light"/>
        </w:rPr>
        <w:t>kepercayaan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masyarakat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terhadap</w:t>
      </w:r>
      <w:proofErr w:type="spellEnd"/>
      <w:r w:rsidRPr="00070C1B">
        <w:rPr>
          <w:rFonts w:ascii="Calibri Light" w:eastAsia="Calibri" w:hAnsi="Calibri Light" w:cs="Calibri Light"/>
        </w:rPr>
        <w:t xml:space="preserve"> bank.</w:t>
      </w:r>
    </w:p>
    <w:p w14:paraId="1323E62C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suatu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penting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bagi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pembentukan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kepercayaan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dunia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Menurut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Mudrajat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Kuncoro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Suhardjo</w:t>
      </w:r>
      <w:proofErr w:type="spellEnd"/>
      <w:r w:rsidRPr="00070C1B">
        <w:rPr>
          <w:rFonts w:ascii="Calibri Light" w:eastAsia="Calibri" w:hAnsi="Calibri Light" w:cs="Calibri Light"/>
        </w:rPr>
        <w:t xml:space="preserve"> (2011: 495) </w:t>
      </w:r>
      <w:proofErr w:type="spellStart"/>
      <w:r w:rsidRPr="00070C1B">
        <w:rPr>
          <w:rFonts w:ascii="Calibri Light" w:eastAsia="Calibri" w:hAnsi="Calibri Light" w:cs="Calibri Light"/>
        </w:rPr>
        <w:t>Kepercayaan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loyali</w:t>
      </w:r>
      <w:bookmarkStart w:id="0" w:name="_GoBack"/>
      <w:bookmarkEnd w:id="0"/>
      <w:r w:rsidRPr="00070C1B">
        <w:rPr>
          <w:rFonts w:ascii="Calibri Light" w:eastAsia="Calibri" w:hAnsi="Calibri Light" w:cs="Calibri Light"/>
        </w:rPr>
        <w:t>tas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terhadap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merupakan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faktor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lastRenderedPageBreak/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membantu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mempermudah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pihak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manajemen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menyusun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strategi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bisnis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Sebaiknya</w:t>
      </w:r>
      <w:proofErr w:type="spellEnd"/>
      <w:r w:rsidRPr="00070C1B">
        <w:rPr>
          <w:rFonts w:ascii="Calibri Light" w:eastAsia="Calibri" w:hAnsi="Calibri Light" w:cs="Calibri Light"/>
        </w:rPr>
        <w:t xml:space="preserve">, para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kurang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kepercayaan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kepada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bersangkutan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maka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loyalitasnya</w:t>
      </w:r>
      <w:proofErr w:type="spellEnd"/>
      <w:r w:rsidRPr="00070C1B">
        <w:rPr>
          <w:rFonts w:ascii="Calibri Light" w:eastAsia="Calibri" w:hAnsi="Calibri Light" w:cs="Calibri Light"/>
        </w:rPr>
        <w:t xml:space="preserve"> pun juga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tipis, </w:t>
      </w:r>
      <w:proofErr w:type="spellStart"/>
      <w:r w:rsidRPr="00070C1B">
        <w:rPr>
          <w:rFonts w:ascii="Calibri Light" w:eastAsia="Calibri" w:hAnsi="Calibri Light" w:cs="Calibri Light"/>
        </w:rPr>
        <w:t>hal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tentu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tidak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menguntungkan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bagi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bersangkutan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para </w:t>
      </w:r>
      <w:proofErr w:type="spellStart"/>
      <w:r w:rsidRPr="00070C1B">
        <w:rPr>
          <w:rFonts w:ascii="Calibri Light" w:eastAsia="Calibri" w:hAnsi="Calibri Light" w:cs="Calibri Light"/>
        </w:rPr>
        <w:t>pemilik</w:t>
      </w:r>
      <w:proofErr w:type="spellEnd"/>
      <w:r w:rsidRPr="00070C1B">
        <w:rPr>
          <w:rFonts w:ascii="Calibri Light" w:eastAsia="Calibri" w:hAnsi="Calibri Light" w:cs="Calibri Light"/>
        </w:rPr>
        <w:t xml:space="preserve"> dana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sewaktu-waktu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menarik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dananya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memindahkannya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</w:t>
      </w:r>
      <w:proofErr w:type="spellEnd"/>
      <w:r w:rsidRPr="00070C1B">
        <w:rPr>
          <w:rFonts w:ascii="Calibri Light" w:eastAsia="Calibri" w:hAnsi="Calibri Light" w:cs="Calibri Light"/>
        </w:rPr>
        <w:t xml:space="preserve"> bank lain. Oleh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itu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dituntut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bisa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mencapai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mempertahankan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kinerja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 dan optimal,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kinerja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meningkatkan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kepercayaan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loyalitas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nasabah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maupn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masyarakat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luas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menggunakan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produk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jasa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aktivitas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>.</w:t>
      </w:r>
    </w:p>
    <w:p w14:paraId="6341D4AA" w14:textId="7B01BDB2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r w:rsidRPr="00070C1B">
        <w:rPr>
          <w:rFonts w:ascii="Calibri Light" w:eastAsia="Calibri" w:hAnsi="Calibri Light" w:cs="Calibri Light"/>
        </w:rPr>
        <w:t xml:space="preserve">Bank Indonesia </w:t>
      </w:r>
      <w:proofErr w:type="spellStart"/>
      <w:r w:rsidRPr="00070C1B">
        <w:rPr>
          <w:rFonts w:ascii="Calibri Light" w:eastAsia="Calibri" w:hAnsi="Calibri Light" w:cs="Calibri Light"/>
        </w:rPr>
        <w:t>telah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menetapkan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aturan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tentang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agar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diharapkan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selalu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kondisi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sehat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sehingga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tidak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merugikan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masyarakat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berkepentingan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diartikan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kemampuan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suatu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melakukan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kegiatan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operasional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normal dan </w:t>
      </w:r>
      <w:proofErr w:type="spellStart"/>
      <w:r w:rsidRPr="00070C1B">
        <w:rPr>
          <w:rFonts w:ascii="Calibri Light" w:eastAsia="Calibri" w:hAnsi="Calibri Light" w:cs="Calibri Light"/>
        </w:rPr>
        <w:t>mampu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memenuhi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semua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kewajibannya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cara-cara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sesuai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peraturan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berlaku</w:t>
      </w:r>
      <w:proofErr w:type="spellEnd"/>
      <w:r w:rsidRPr="00070C1B">
        <w:rPr>
          <w:rFonts w:ascii="Calibri Light" w:eastAsia="Calibri" w:hAnsi="Calibri Light" w:cs="Calibri Light"/>
        </w:rPr>
        <w:t xml:space="preserve"> (</w:t>
      </w:r>
      <w:proofErr w:type="spellStart"/>
      <w:r w:rsidR="00DC2624" w:rsidRPr="00070C1B">
        <w:rPr>
          <w:rFonts w:ascii="Calibri Light" w:eastAsia="Calibri" w:hAnsi="Calibri Light" w:cs="Calibri Light"/>
        </w:rPr>
        <w:t>Sigit</w:t>
      </w:r>
      <w:proofErr w:type="spellEnd"/>
      <w:r w:rsidR="00DC2624"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Triandaru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Totok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Budisantoso</w:t>
      </w:r>
      <w:proofErr w:type="spellEnd"/>
      <w:r w:rsidRPr="00070C1B">
        <w:rPr>
          <w:rFonts w:ascii="Calibri Light" w:eastAsia="Calibri" w:hAnsi="Calibri Light" w:cs="Calibri Light"/>
        </w:rPr>
        <w:t>, 2006: 51).</w:t>
      </w:r>
    </w:p>
    <w:p w14:paraId="6F885DD0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digunakan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mengetahui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apakah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kondisi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sehat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sehat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cukup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sehat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kurang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sehat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tidak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sehat</w:t>
      </w:r>
      <w:proofErr w:type="spellEnd"/>
      <w:r w:rsidRPr="00070C1B">
        <w:rPr>
          <w:rFonts w:ascii="Calibri Light" w:eastAsia="Calibri" w:hAnsi="Calibri Light" w:cs="Calibri Light"/>
        </w:rPr>
        <w:t xml:space="preserve">. Bank yang </w:t>
      </w:r>
      <w:proofErr w:type="spellStart"/>
      <w:r w:rsidRPr="00070C1B">
        <w:rPr>
          <w:rFonts w:ascii="Calibri Light" w:eastAsia="Calibri" w:hAnsi="Calibri Light" w:cs="Calibri Light"/>
        </w:rPr>
        <w:t>sehat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adalah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menjaga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memelihara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keprcayaan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masyarakat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menjalankan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fungsi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intermediasi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membantu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kelacaran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lalu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lintas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pembayaran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serta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digunkan</w:t>
      </w:r>
      <w:proofErr w:type="spellEnd"/>
      <w:r w:rsidRPr="00070C1B">
        <w:rPr>
          <w:rFonts w:ascii="Calibri Light" w:eastAsia="Calibri" w:hAnsi="Calibri Light" w:cs="Calibri Light"/>
        </w:rPr>
        <w:t xml:space="preserve"> oleh </w:t>
      </w:r>
      <w:proofErr w:type="spellStart"/>
      <w:r w:rsidRPr="00070C1B">
        <w:rPr>
          <w:rFonts w:ascii="Calibri Light" w:eastAsia="Calibri" w:hAnsi="Calibri Light" w:cs="Calibri Light"/>
        </w:rPr>
        <w:t>pemerinth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melaksanakan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kebijakannya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terutama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kebijakan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moneter</w:t>
      </w:r>
      <w:proofErr w:type="spellEnd"/>
      <w:r w:rsidRPr="00070C1B">
        <w:rPr>
          <w:rFonts w:ascii="Calibri Light" w:eastAsia="Calibri" w:hAnsi="Calibri Light" w:cs="Calibri Light"/>
        </w:rPr>
        <w:t xml:space="preserve">. Bank yang </w:t>
      </w:r>
      <w:proofErr w:type="spellStart"/>
      <w:r w:rsidRPr="00070C1B">
        <w:rPr>
          <w:rFonts w:ascii="Calibri Light" w:eastAsia="Calibri" w:hAnsi="Calibri Light" w:cs="Calibri Light"/>
        </w:rPr>
        <w:t>tidak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bukan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hanya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mebahayakan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saja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tetapi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pihak</w:t>
      </w:r>
      <w:proofErr w:type="spellEnd"/>
      <w:r w:rsidRPr="00070C1B">
        <w:rPr>
          <w:rFonts w:ascii="Calibri Light" w:eastAsia="Calibri" w:hAnsi="Calibri Light" w:cs="Calibri Light"/>
        </w:rPr>
        <w:t xml:space="preserve"> lain yang </w:t>
      </w:r>
      <w:proofErr w:type="spellStart"/>
      <w:r w:rsidRPr="00070C1B">
        <w:rPr>
          <w:rFonts w:ascii="Calibri Light" w:eastAsia="Calibri" w:hAnsi="Calibri Light" w:cs="Calibri Light"/>
        </w:rPr>
        <w:t>terkait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yaitu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pemilik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pengelola</w:t>
      </w:r>
      <w:proofErr w:type="spellEnd"/>
      <w:r w:rsidRPr="00070C1B">
        <w:rPr>
          <w:rFonts w:ascii="Calibri Light" w:eastAsia="Calibri" w:hAnsi="Calibri Light" w:cs="Calibri Light"/>
        </w:rPr>
        <w:t xml:space="preserve"> bank, </w:t>
      </w:r>
      <w:proofErr w:type="spellStart"/>
      <w:r w:rsidRPr="00070C1B">
        <w:rPr>
          <w:rFonts w:ascii="Calibri Light" w:eastAsia="Calibri" w:hAnsi="Calibri Light" w:cs="Calibri Light"/>
        </w:rPr>
        <w:t>masyarakat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pengguna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jasa</w:t>
      </w:r>
      <w:proofErr w:type="spellEnd"/>
      <w:r w:rsidRPr="00070C1B">
        <w:rPr>
          <w:rFonts w:ascii="Calibri Light" w:eastAsia="Calibri" w:hAnsi="Calibri Light" w:cs="Calibri Light"/>
        </w:rPr>
        <w:t xml:space="preserve"> bank dan </w:t>
      </w:r>
      <w:proofErr w:type="spellStart"/>
      <w:r w:rsidRPr="00070C1B">
        <w:rPr>
          <w:rFonts w:ascii="Calibri Light" w:eastAsia="Calibri" w:hAnsi="Calibri Light" w:cs="Calibri Light"/>
        </w:rPr>
        <w:t>Pemerintah</w:t>
      </w:r>
      <w:proofErr w:type="spellEnd"/>
      <w:r w:rsidRPr="00070C1B">
        <w:rPr>
          <w:rFonts w:ascii="Calibri Light" w:eastAsia="Calibri" w:hAnsi="Calibri Light" w:cs="Calibri Light"/>
        </w:rPr>
        <w:t xml:space="preserve"> (Bank Indonesia) </w:t>
      </w:r>
      <w:proofErr w:type="spellStart"/>
      <w:r w:rsidRPr="00070C1B">
        <w:rPr>
          <w:rFonts w:ascii="Calibri Light" w:eastAsia="Calibri" w:hAnsi="Calibri Light" w:cs="Calibri Light"/>
        </w:rPr>
        <w:t>selaku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pengawas</w:t>
      </w:r>
      <w:proofErr w:type="spellEnd"/>
      <w:r w:rsidRPr="00070C1B">
        <w:rPr>
          <w:rFonts w:ascii="Calibri Light" w:eastAsia="Calibri" w:hAnsi="Calibri Light" w:cs="Calibri Light"/>
        </w:rPr>
        <w:t xml:space="preserve"> dan Pembina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ini</w:t>
      </w:r>
      <w:proofErr w:type="spellEnd"/>
      <w:r w:rsidRPr="00070C1B">
        <w:rPr>
          <w:rFonts w:ascii="Calibri Light" w:eastAsia="Calibri" w:hAnsi="Calibri Light" w:cs="Calibri Light"/>
        </w:rPr>
        <w:t xml:space="preserve"> juga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digunakan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upaya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mengetahui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kondisi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saat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ini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sekaligus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memudahkan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menentukan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kebijakan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masa yang </w:t>
      </w:r>
      <w:proofErr w:type="spellStart"/>
      <w:r w:rsidRPr="00070C1B">
        <w:rPr>
          <w:rFonts w:ascii="Calibri Light" w:eastAsia="Calibri" w:hAnsi="Calibri Light" w:cs="Calibri Light"/>
        </w:rPr>
        <w:t>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datang</w:t>
      </w:r>
      <w:proofErr w:type="spellEnd"/>
      <w:r w:rsidRPr="00070C1B">
        <w:rPr>
          <w:rFonts w:ascii="Calibri Light" w:eastAsia="Calibri" w:hAnsi="Calibri Light" w:cs="Calibri Light"/>
        </w:rPr>
        <w:t>.</w:t>
      </w:r>
    </w:p>
    <w:p w14:paraId="5D83EF85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r w:rsidRPr="00070C1B">
        <w:rPr>
          <w:rFonts w:ascii="Calibri Light" w:eastAsia="Calibri" w:hAnsi="Calibri Light" w:cs="Calibri Light"/>
        </w:rPr>
        <w:t xml:space="preserve">Tingkat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dinilai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beberapa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indikator</w:t>
      </w:r>
      <w:proofErr w:type="spellEnd"/>
      <w:r w:rsidRPr="00070C1B">
        <w:rPr>
          <w:rFonts w:ascii="Calibri Light" w:eastAsia="Calibri" w:hAnsi="Calibri Light" w:cs="Calibri Light"/>
        </w:rPr>
        <w:t xml:space="preserve">. Salah </w:t>
      </w:r>
      <w:proofErr w:type="spellStart"/>
      <w:r w:rsidRPr="00070C1B">
        <w:rPr>
          <w:rFonts w:ascii="Calibri Light" w:eastAsia="Calibri" w:hAnsi="Calibri Light" w:cs="Calibri Light"/>
        </w:rPr>
        <w:t>satu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sumber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utama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indikator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dijadikan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dasar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adalah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bersangkutan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adalah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menunjukkan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kondisi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perusahaan</w:t>
      </w:r>
      <w:proofErr w:type="spellEnd"/>
      <w:r w:rsidRPr="00070C1B">
        <w:rPr>
          <w:rFonts w:ascii="Calibri Light" w:eastAsia="Calibri" w:hAnsi="Calibri Light" w:cs="Calibri Light"/>
        </w:rPr>
        <w:t xml:space="preserve"> pada </w:t>
      </w:r>
      <w:proofErr w:type="spellStart"/>
      <w:r w:rsidRPr="00070C1B">
        <w:rPr>
          <w:rFonts w:ascii="Calibri Light" w:eastAsia="Calibri" w:hAnsi="Calibri Light" w:cs="Calibri Light"/>
        </w:rPr>
        <w:t>saat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suatu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periode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tertentu</w:t>
      </w:r>
      <w:proofErr w:type="spellEnd"/>
      <w:r w:rsidRPr="00070C1B">
        <w:rPr>
          <w:rFonts w:ascii="Calibri Light" w:eastAsia="Calibri" w:hAnsi="Calibri Light" w:cs="Calibri Light"/>
        </w:rPr>
        <w:t xml:space="preserve"> (</w:t>
      </w:r>
      <w:proofErr w:type="spellStart"/>
      <w:r w:rsidRPr="00070C1B">
        <w:rPr>
          <w:rFonts w:ascii="Calibri Light" w:eastAsia="Calibri" w:hAnsi="Calibri Light" w:cs="Calibri Light"/>
        </w:rPr>
        <w:t>Kasmir</w:t>
      </w:r>
      <w:proofErr w:type="spellEnd"/>
      <w:r w:rsidRPr="00070C1B">
        <w:rPr>
          <w:rFonts w:ascii="Calibri Light" w:eastAsia="Calibri" w:hAnsi="Calibri Light" w:cs="Calibri Light"/>
        </w:rPr>
        <w:t xml:space="preserve">, 2012: 7).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dibuat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maksud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memberikan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gambaran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kemajuan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periodik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dilakukan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pihak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manajemen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perusahaan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bersangkutan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kata lain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bertujuan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menyediakan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informasi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menyangkut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posisi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kinerja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serta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perubahan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posisi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suatu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perusahaan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bermanfaat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bagi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sejumlah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besar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pemakainya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pengambilan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keputusan</w:t>
      </w:r>
      <w:proofErr w:type="spellEnd"/>
      <w:r w:rsidRPr="00070C1B">
        <w:rPr>
          <w:rFonts w:ascii="Calibri Light" w:eastAsia="Calibri" w:hAnsi="Calibri Light" w:cs="Calibri Light"/>
        </w:rPr>
        <w:t xml:space="preserve">. Dari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terbaca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bagaimana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kondisi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sesungguhnya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termasuk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kelemahan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kekuatan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dimiliki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Berdasarkan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laporan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dihitung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lastRenderedPageBreak/>
        <w:t>sejumlah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rasio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lazim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dijadikan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dasar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bank. </w:t>
      </w:r>
    </w:p>
    <w:p w14:paraId="29889E01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Sebelumnya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sistem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menggunakan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sistem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yang di </w:t>
      </w:r>
      <w:proofErr w:type="spellStart"/>
      <w:r w:rsidRPr="00070C1B">
        <w:rPr>
          <w:rFonts w:ascii="Calibri Light" w:eastAsia="Calibri" w:hAnsi="Calibri Light" w:cs="Calibri Light"/>
        </w:rPr>
        <w:t>atur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Peraturan</w:t>
      </w:r>
      <w:proofErr w:type="spellEnd"/>
      <w:r w:rsidRPr="00070C1B">
        <w:rPr>
          <w:rFonts w:ascii="Calibri Light" w:eastAsia="Calibri" w:hAnsi="Calibri Light" w:cs="Calibri Light"/>
        </w:rPr>
        <w:t xml:space="preserve"> Bank Indonesia </w:t>
      </w:r>
      <w:proofErr w:type="spellStart"/>
      <w:r w:rsidRPr="00070C1B">
        <w:rPr>
          <w:rFonts w:ascii="Calibri Light" w:eastAsia="Calibri" w:hAnsi="Calibri Light" w:cs="Calibri Light"/>
        </w:rPr>
        <w:t>Nomor</w:t>
      </w:r>
      <w:proofErr w:type="spellEnd"/>
      <w:r w:rsidRPr="00070C1B">
        <w:rPr>
          <w:rFonts w:ascii="Calibri Light" w:eastAsia="Calibri" w:hAnsi="Calibri Light" w:cs="Calibri Light"/>
        </w:rPr>
        <w:t xml:space="preserve"> 6/10/PBI/2004 yang </w:t>
      </w:r>
      <w:proofErr w:type="spellStart"/>
      <w:r w:rsidRPr="00070C1B">
        <w:rPr>
          <w:rFonts w:ascii="Calibri Light" w:eastAsia="Calibri" w:hAnsi="Calibri Light" w:cs="Calibri Light"/>
        </w:rPr>
        <w:t>dikenal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metode</w:t>
      </w:r>
      <w:proofErr w:type="spellEnd"/>
      <w:r w:rsidRPr="00070C1B">
        <w:rPr>
          <w:rFonts w:ascii="Calibri Light" w:eastAsia="Calibri" w:hAnsi="Calibri Light" w:cs="Calibri Light"/>
        </w:rPr>
        <w:t xml:space="preserve"> CAMELS </w:t>
      </w:r>
      <w:proofErr w:type="spellStart"/>
      <w:r w:rsidRPr="00070C1B">
        <w:rPr>
          <w:rFonts w:ascii="Calibri Light" w:eastAsia="Calibri" w:hAnsi="Calibri Light" w:cs="Calibri Light"/>
        </w:rPr>
        <w:t>yaitu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terdiri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r w:rsidRPr="00070C1B">
        <w:rPr>
          <w:rFonts w:ascii="Calibri Light" w:eastAsia="Calibri" w:hAnsi="Calibri Light" w:cs="Calibri Light"/>
          <w:i/>
          <w:iCs/>
        </w:rPr>
        <w:t>Capital, Asset quality, Management, Earnings, Liquidity &amp; Sensitivity to market risk</w:t>
      </w:r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Sedangkan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metode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pendekatan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digunakan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menilai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saat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mengacu</w:t>
      </w:r>
      <w:proofErr w:type="spellEnd"/>
      <w:r w:rsidRPr="00070C1B">
        <w:rPr>
          <w:rFonts w:ascii="Calibri Light" w:eastAsia="Calibri" w:hAnsi="Calibri Light" w:cs="Calibri Light"/>
        </w:rPr>
        <w:t xml:space="preserve"> pada </w:t>
      </w:r>
      <w:proofErr w:type="spellStart"/>
      <w:r w:rsidRPr="00070C1B">
        <w:rPr>
          <w:rFonts w:ascii="Calibri Light" w:eastAsia="Calibri" w:hAnsi="Calibri Light" w:cs="Calibri Light"/>
        </w:rPr>
        <w:t>Peraturan</w:t>
      </w:r>
      <w:proofErr w:type="spellEnd"/>
      <w:r w:rsidRPr="00070C1B">
        <w:rPr>
          <w:rFonts w:ascii="Calibri Light" w:eastAsia="Calibri" w:hAnsi="Calibri Light" w:cs="Calibri Light"/>
        </w:rPr>
        <w:t xml:space="preserve"> Bank Indonesia No.13/1/PBI/2011 </w:t>
      </w:r>
      <w:proofErr w:type="spellStart"/>
      <w:r w:rsidRPr="00070C1B">
        <w:rPr>
          <w:rFonts w:ascii="Calibri Light" w:eastAsia="Calibri" w:hAnsi="Calibri Light" w:cs="Calibri Light"/>
        </w:rPr>
        <w:t>tentang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Tingkat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yaitu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menggunakan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Pendekatan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Risiko</w:t>
      </w:r>
      <w:proofErr w:type="spellEnd"/>
      <w:r w:rsidRPr="00070C1B">
        <w:rPr>
          <w:rFonts w:ascii="Calibri Light" w:eastAsia="Calibri" w:hAnsi="Calibri Light" w:cs="Calibri Light"/>
        </w:rPr>
        <w:t xml:space="preserve"> (</w:t>
      </w:r>
      <w:r w:rsidRPr="00070C1B">
        <w:rPr>
          <w:rFonts w:ascii="Calibri Light" w:eastAsia="Calibri" w:hAnsi="Calibri Light" w:cs="Calibri Light"/>
          <w:i/>
          <w:iCs/>
        </w:rPr>
        <w:t>Risk-based Bank Rating</w:t>
      </w:r>
      <w:r w:rsidRPr="00070C1B">
        <w:rPr>
          <w:rFonts w:ascii="Calibri Light" w:eastAsia="Calibri" w:hAnsi="Calibri Light" w:cs="Calibri Light"/>
        </w:rPr>
        <w:t xml:space="preserve">)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individual </w:t>
      </w:r>
      <w:proofErr w:type="spellStart"/>
      <w:r w:rsidRPr="00070C1B">
        <w:rPr>
          <w:rFonts w:ascii="Calibri Light" w:eastAsia="Calibri" w:hAnsi="Calibri Light" w:cs="Calibri Light"/>
        </w:rPr>
        <w:t>maupun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konsolidasi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cakupan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meliputi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faktor-faktor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berikut</w:t>
      </w:r>
      <w:proofErr w:type="spellEnd"/>
      <w:r w:rsidRPr="00070C1B">
        <w:rPr>
          <w:rFonts w:ascii="Calibri Light" w:eastAsia="Calibri" w:hAnsi="Calibri Light" w:cs="Calibri Light"/>
        </w:rPr>
        <w:t xml:space="preserve">: </w:t>
      </w:r>
      <w:proofErr w:type="spellStart"/>
      <w:r w:rsidRPr="00070C1B">
        <w:rPr>
          <w:rFonts w:ascii="Calibri Light" w:eastAsia="Calibri" w:hAnsi="Calibri Light" w:cs="Calibri Light"/>
        </w:rPr>
        <w:t>Profil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Risiko</w:t>
      </w:r>
      <w:proofErr w:type="spellEnd"/>
      <w:r w:rsidRPr="00070C1B">
        <w:rPr>
          <w:rFonts w:ascii="Calibri Light" w:eastAsia="Calibri" w:hAnsi="Calibri Light" w:cs="Calibri Light"/>
        </w:rPr>
        <w:t xml:space="preserve"> (</w:t>
      </w:r>
      <w:r w:rsidRPr="00070C1B">
        <w:rPr>
          <w:rFonts w:ascii="Calibri Light" w:eastAsia="Calibri" w:hAnsi="Calibri Light" w:cs="Calibri Light"/>
          <w:i/>
          <w:iCs/>
        </w:rPr>
        <w:t>risk profile</w:t>
      </w:r>
      <w:r w:rsidRPr="00070C1B">
        <w:rPr>
          <w:rFonts w:ascii="Calibri Light" w:eastAsia="Calibri" w:hAnsi="Calibri Light" w:cs="Calibri Light"/>
        </w:rPr>
        <w:t xml:space="preserve">), </w:t>
      </w:r>
      <w:r w:rsidRPr="00070C1B">
        <w:rPr>
          <w:rFonts w:ascii="Calibri Light" w:eastAsia="Calibri" w:hAnsi="Calibri Light" w:cs="Calibri Light"/>
          <w:i/>
          <w:iCs/>
        </w:rPr>
        <w:t xml:space="preserve">Good Corporate Governance </w:t>
      </w:r>
      <w:r w:rsidRPr="00070C1B">
        <w:rPr>
          <w:rFonts w:ascii="Calibri Light" w:eastAsia="Calibri" w:hAnsi="Calibri Light" w:cs="Calibri Light"/>
        </w:rPr>
        <w:t xml:space="preserve">(GCG), </w:t>
      </w:r>
      <w:proofErr w:type="spellStart"/>
      <w:r w:rsidRPr="00070C1B">
        <w:rPr>
          <w:rFonts w:ascii="Calibri Light" w:eastAsia="Calibri" w:hAnsi="Calibri Light" w:cs="Calibri Light"/>
        </w:rPr>
        <w:t>Rentabilitas</w:t>
      </w:r>
      <w:proofErr w:type="spellEnd"/>
      <w:r w:rsidRPr="00070C1B">
        <w:rPr>
          <w:rFonts w:ascii="Calibri Light" w:eastAsia="Calibri" w:hAnsi="Calibri Light" w:cs="Calibri Light"/>
        </w:rPr>
        <w:t xml:space="preserve"> (</w:t>
      </w:r>
      <w:r w:rsidRPr="00070C1B">
        <w:rPr>
          <w:rFonts w:ascii="Calibri Light" w:eastAsia="Calibri" w:hAnsi="Calibri Light" w:cs="Calibri Light"/>
          <w:i/>
          <w:iCs/>
        </w:rPr>
        <w:t>earnings</w:t>
      </w:r>
      <w:r w:rsidRPr="00070C1B">
        <w:rPr>
          <w:rFonts w:ascii="Calibri Light" w:eastAsia="Calibri" w:hAnsi="Calibri Light" w:cs="Calibri Light"/>
        </w:rPr>
        <w:t xml:space="preserve">); dan </w:t>
      </w:r>
      <w:proofErr w:type="spellStart"/>
      <w:r w:rsidRPr="00070C1B">
        <w:rPr>
          <w:rFonts w:ascii="Calibri Light" w:eastAsia="Calibri" w:hAnsi="Calibri Light" w:cs="Calibri Light"/>
        </w:rPr>
        <w:t>Permodalan</w:t>
      </w:r>
      <w:proofErr w:type="spellEnd"/>
      <w:r w:rsidRPr="00070C1B">
        <w:rPr>
          <w:rFonts w:ascii="Calibri Light" w:eastAsia="Calibri" w:hAnsi="Calibri Light" w:cs="Calibri Light"/>
        </w:rPr>
        <w:t xml:space="preserve"> (</w:t>
      </w:r>
      <w:r w:rsidRPr="00070C1B">
        <w:rPr>
          <w:rFonts w:ascii="Calibri Light" w:eastAsia="Calibri" w:hAnsi="Calibri Light" w:cs="Calibri Light"/>
          <w:i/>
          <w:iCs/>
        </w:rPr>
        <w:t>capital</w:t>
      </w:r>
      <w:r w:rsidRPr="00070C1B">
        <w:rPr>
          <w:rFonts w:ascii="Calibri Light" w:eastAsia="Calibri" w:hAnsi="Calibri Light" w:cs="Calibri Light"/>
        </w:rPr>
        <w:t xml:space="preserve">)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disingkat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metode</w:t>
      </w:r>
      <w:proofErr w:type="spellEnd"/>
      <w:r w:rsidRPr="00070C1B">
        <w:rPr>
          <w:rFonts w:ascii="Calibri Light" w:eastAsia="Calibri" w:hAnsi="Calibri Light" w:cs="Calibri Light"/>
        </w:rPr>
        <w:t xml:space="preserve"> RGEC.</w:t>
      </w:r>
    </w:p>
    <w:p w14:paraId="79225A49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Perubahan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sistem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penilaian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metode</w:t>
      </w:r>
      <w:proofErr w:type="spellEnd"/>
      <w:r w:rsidRPr="00070C1B">
        <w:rPr>
          <w:rFonts w:ascii="Calibri Light" w:eastAsia="Calibri" w:hAnsi="Calibri Light" w:cs="Calibri Light"/>
        </w:rPr>
        <w:t xml:space="preserve"> CAMELS </w:t>
      </w:r>
      <w:proofErr w:type="spellStart"/>
      <w:r w:rsidRPr="00070C1B">
        <w:rPr>
          <w:rFonts w:ascii="Calibri Light" w:eastAsia="Calibri" w:hAnsi="Calibri Light" w:cs="Calibri Light"/>
        </w:rPr>
        <w:t>menjadi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metode</w:t>
      </w:r>
      <w:proofErr w:type="spellEnd"/>
      <w:r w:rsidRPr="00070C1B">
        <w:rPr>
          <w:rFonts w:ascii="Calibri Light" w:eastAsia="Calibri" w:hAnsi="Calibri Light" w:cs="Calibri Light"/>
        </w:rPr>
        <w:t xml:space="preserve"> RGEC </w:t>
      </w:r>
      <w:proofErr w:type="spellStart"/>
      <w:r w:rsidRPr="00070C1B">
        <w:rPr>
          <w:rFonts w:ascii="Calibri Light" w:eastAsia="Calibri" w:hAnsi="Calibri Light" w:cs="Calibri Light"/>
        </w:rPr>
        <w:t>disebabkan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global yang </w:t>
      </w:r>
      <w:proofErr w:type="spellStart"/>
      <w:r w:rsidRPr="00070C1B">
        <w:rPr>
          <w:rFonts w:ascii="Calibri Light" w:eastAsia="Calibri" w:hAnsi="Calibri Light" w:cs="Calibri Light"/>
        </w:rPr>
        <w:t>terjadi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beberapa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tahun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terakhir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memberi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pelajaran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berharga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bahwa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inovasi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produk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jasa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aktivitas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tidak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diimbangi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penerapan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Manajemen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Risiko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memadai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menimbulka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permasalahan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mendasar</w:t>
      </w:r>
      <w:proofErr w:type="spellEnd"/>
      <w:r w:rsidRPr="00070C1B">
        <w:rPr>
          <w:rFonts w:ascii="Calibri Light" w:eastAsia="Calibri" w:hAnsi="Calibri Light" w:cs="Calibri Light"/>
        </w:rPr>
        <w:t xml:space="preserve"> pada bank </w:t>
      </w:r>
      <w:proofErr w:type="spellStart"/>
      <w:r w:rsidRPr="00070C1B">
        <w:rPr>
          <w:rFonts w:ascii="Calibri Light" w:eastAsia="Calibri" w:hAnsi="Calibri Light" w:cs="Calibri Light"/>
        </w:rPr>
        <w:t>maupun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terhadap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sistem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keseluruhan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Selain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kegagalan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strategi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praktek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curang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manjemen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puncak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berlangsung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tanpa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terdeteksi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menyebabkan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pentingnya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penerapan</w:t>
      </w:r>
      <w:proofErr w:type="spellEnd"/>
      <w:r w:rsidRPr="00070C1B">
        <w:rPr>
          <w:rFonts w:ascii="Calibri Light" w:eastAsia="Calibri" w:hAnsi="Calibri Light" w:cs="Calibri Light"/>
        </w:rPr>
        <w:t xml:space="preserve"> tata </w:t>
      </w:r>
      <w:proofErr w:type="spellStart"/>
      <w:r w:rsidRPr="00070C1B">
        <w:rPr>
          <w:rFonts w:ascii="Calibri Light" w:eastAsia="Calibri" w:hAnsi="Calibri Light" w:cs="Calibri Light"/>
        </w:rPr>
        <w:t>kelola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perusahaan</w:t>
      </w:r>
      <w:proofErr w:type="spellEnd"/>
      <w:r w:rsidRPr="00070C1B">
        <w:rPr>
          <w:rFonts w:ascii="Calibri Light" w:eastAsia="Calibri" w:hAnsi="Calibri Light" w:cs="Calibri Light"/>
        </w:rPr>
        <w:t xml:space="preserve"> yang bail (GCG). </w:t>
      </w:r>
      <w:proofErr w:type="spellStart"/>
      <w:r w:rsidRPr="00070C1B">
        <w:rPr>
          <w:rFonts w:ascii="Calibri Light" w:eastAsia="Calibri" w:hAnsi="Calibri Light" w:cs="Calibri Light"/>
        </w:rPr>
        <w:t>Pengalaman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keuangan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globl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mendorong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perlunya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penigkatan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efektivitas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penerapan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Manajemen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Risiko</w:t>
      </w:r>
      <w:proofErr w:type="spellEnd"/>
      <w:r w:rsidRPr="00070C1B">
        <w:rPr>
          <w:rFonts w:ascii="Calibri Light" w:eastAsia="Calibri" w:hAnsi="Calibri Light" w:cs="Calibri Light"/>
        </w:rPr>
        <w:t xml:space="preserve"> dan GCG. </w:t>
      </w:r>
      <w:proofErr w:type="spellStart"/>
      <w:r w:rsidRPr="00070C1B">
        <w:rPr>
          <w:rFonts w:ascii="Calibri Light" w:eastAsia="Calibri" w:hAnsi="Calibri Light" w:cs="Calibri Light"/>
        </w:rPr>
        <w:t>Tujuannya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adalah</w:t>
      </w:r>
      <w:proofErr w:type="spellEnd"/>
      <w:r w:rsidRPr="00070C1B">
        <w:rPr>
          <w:rFonts w:ascii="Calibri Light" w:eastAsia="Calibri" w:hAnsi="Calibri Light" w:cs="Calibri Light"/>
        </w:rPr>
        <w:t xml:space="preserve"> agar bank </w:t>
      </w:r>
      <w:proofErr w:type="spellStart"/>
      <w:r w:rsidRPr="00070C1B">
        <w:rPr>
          <w:rFonts w:ascii="Calibri Light" w:eastAsia="Calibri" w:hAnsi="Calibri Light" w:cs="Calibri Light"/>
        </w:rPr>
        <w:t>mampu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mengidentifikasi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permasalahan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lebih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dini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melakukan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tindak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lanjut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perbaikan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sesuai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lebih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cepat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serta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menerapkan</w:t>
      </w:r>
      <w:proofErr w:type="spellEnd"/>
      <w:r w:rsidRPr="00070C1B">
        <w:rPr>
          <w:rFonts w:ascii="Calibri Light" w:eastAsia="Calibri" w:hAnsi="Calibri Light" w:cs="Calibri Light"/>
        </w:rPr>
        <w:t xml:space="preserve"> GCG dan </w:t>
      </w:r>
      <w:proofErr w:type="spellStart"/>
      <w:r w:rsidRPr="00070C1B">
        <w:rPr>
          <w:rFonts w:ascii="Calibri Light" w:eastAsia="Calibri" w:hAnsi="Calibri Light" w:cs="Calibri Light"/>
        </w:rPr>
        <w:t>Manajemen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Risiko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lebih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sehingga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lebih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tahan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menghadapi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krisis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Sejalan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perkembangan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 di </w:t>
      </w:r>
      <w:proofErr w:type="spellStart"/>
      <w:r w:rsidRPr="00070C1B">
        <w:rPr>
          <w:rFonts w:ascii="Calibri Light" w:eastAsia="Calibri" w:hAnsi="Calibri Light" w:cs="Calibri Light"/>
        </w:rPr>
        <w:t>atas</w:t>
      </w:r>
      <w:proofErr w:type="spellEnd"/>
      <w:r w:rsidRPr="00070C1B">
        <w:rPr>
          <w:rFonts w:ascii="Calibri Light" w:eastAsia="Calibri" w:hAnsi="Calibri Light" w:cs="Calibri Light"/>
        </w:rPr>
        <w:t xml:space="preserve">, Bank Indonesia </w:t>
      </w:r>
      <w:proofErr w:type="spellStart"/>
      <w:r w:rsidRPr="00070C1B">
        <w:rPr>
          <w:rFonts w:ascii="Calibri Light" w:eastAsia="Calibri" w:hAnsi="Calibri Light" w:cs="Calibri Light"/>
        </w:rPr>
        <w:t>menyempurnakan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metode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penilian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tingkat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</w:p>
    <w:p w14:paraId="35EE9F20" w14:textId="77777777" w:rsidR="00070C1B" w:rsidRPr="00070C1B" w:rsidRDefault="00070C1B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Peneliti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mengambil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objek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penelitian</w:t>
      </w:r>
      <w:proofErr w:type="spellEnd"/>
      <w:r w:rsidRPr="00070C1B">
        <w:rPr>
          <w:rFonts w:ascii="Calibri Light" w:eastAsia="Calibri" w:hAnsi="Calibri Light" w:cs="Calibri Light"/>
        </w:rPr>
        <w:t xml:space="preserve"> pada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BUMN,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alasan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karena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tertarik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melihat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perusahaan</w:t>
      </w:r>
      <w:proofErr w:type="spellEnd"/>
      <w:r w:rsidRPr="00070C1B">
        <w:rPr>
          <w:rFonts w:ascii="Calibri Light" w:eastAsia="Calibri" w:hAnsi="Calibri Light" w:cs="Calibri Light"/>
        </w:rPr>
        <w:t xml:space="preserve"> BUMN </w:t>
      </w:r>
      <w:proofErr w:type="spellStart"/>
      <w:r w:rsidRPr="00070C1B">
        <w:rPr>
          <w:rFonts w:ascii="Calibri Light" w:eastAsia="Calibri" w:hAnsi="Calibri Light" w:cs="Calibri Light"/>
        </w:rPr>
        <w:t>menjadi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pelaku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bisnis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dominan</w:t>
      </w:r>
      <w:proofErr w:type="spellEnd"/>
      <w:r w:rsidRPr="00070C1B">
        <w:rPr>
          <w:rFonts w:ascii="Calibri Light" w:eastAsia="Calibri" w:hAnsi="Calibri Light" w:cs="Calibri Light"/>
        </w:rPr>
        <w:t xml:space="preserve"> di negara </w:t>
      </w:r>
      <w:proofErr w:type="spellStart"/>
      <w:r w:rsidRPr="00070C1B">
        <w:rPr>
          <w:rFonts w:ascii="Calibri Light" w:eastAsia="Calibri" w:hAnsi="Calibri Light" w:cs="Calibri Light"/>
        </w:rPr>
        <w:t>berkembang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termasuk</w:t>
      </w:r>
      <w:proofErr w:type="spellEnd"/>
      <w:r w:rsidRPr="00070C1B">
        <w:rPr>
          <w:rFonts w:ascii="Calibri Light" w:eastAsia="Calibri" w:hAnsi="Calibri Light" w:cs="Calibri Light"/>
        </w:rPr>
        <w:t xml:space="preserve"> di Indonesia. </w:t>
      </w:r>
      <w:proofErr w:type="spellStart"/>
      <w:r w:rsidRPr="00070C1B">
        <w:rPr>
          <w:rFonts w:ascii="Calibri Light" w:eastAsia="Calibri" w:hAnsi="Calibri Light" w:cs="Calibri Light"/>
        </w:rPr>
        <w:t>Terbukti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 </w:t>
      </w:r>
      <w:proofErr w:type="spellStart"/>
      <w:r w:rsidRPr="00070C1B">
        <w:rPr>
          <w:rFonts w:ascii="Calibri Light" w:eastAsia="Calibri" w:hAnsi="Calibri Light" w:cs="Calibri Light"/>
        </w:rPr>
        <w:t>memiliki</w:t>
      </w:r>
      <w:proofErr w:type="spellEnd"/>
      <w:r w:rsidRPr="00070C1B">
        <w:rPr>
          <w:rFonts w:ascii="Calibri Light" w:eastAsia="Calibri" w:hAnsi="Calibri Light" w:cs="Calibri Light"/>
        </w:rPr>
        <w:t xml:space="preserve"> total </w:t>
      </w:r>
      <w:proofErr w:type="spellStart"/>
      <w:r w:rsidRPr="00070C1B">
        <w:rPr>
          <w:rFonts w:ascii="Calibri Light" w:eastAsia="Calibri" w:hAnsi="Calibri Light" w:cs="Calibri Light"/>
        </w:rPr>
        <w:t>aset</w:t>
      </w:r>
      <w:proofErr w:type="spellEnd"/>
      <w:r w:rsidRPr="00070C1B">
        <w:rPr>
          <w:rFonts w:ascii="Calibri Light" w:eastAsia="Calibri" w:hAnsi="Calibri Light" w:cs="Calibri Light"/>
        </w:rPr>
        <w:t xml:space="preserve">, total modal, dan total </w:t>
      </w:r>
      <w:proofErr w:type="spellStart"/>
      <w:r w:rsidRPr="00070C1B">
        <w:rPr>
          <w:rFonts w:ascii="Calibri Light" w:eastAsia="Calibri" w:hAnsi="Calibri Light" w:cs="Calibri Light"/>
        </w:rPr>
        <w:t>kewajiban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jumlah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besar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bahkan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diantaranya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memiliki</w:t>
      </w:r>
      <w:proofErr w:type="spellEnd"/>
      <w:r w:rsidRPr="00070C1B">
        <w:rPr>
          <w:rFonts w:ascii="Calibri Light" w:eastAsia="Calibri" w:hAnsi="Calibri Light" w:cs="Calibri Light"/>
        </w:rPr>
        <w:t xml:space="preserve"> total </w:t>
      </w:r>
      <w:proofErr w:type="spellStart"/>
      <w:r w:rsidRPr="00070C1B">
        <w:rPr>
          <w:rFonts w:ascii="Calibri Light" w:eastAsia="Calibri" w:hAnsi="Calibri Light" w:cs="Calibri Light"/>
        </w:rPr>
        <w:t>aset</w:t>
      </w:r>
      <w:proofErr w:type="spellEnd"/>
      <w:r w:rsidRPr="00070C1B">
        <w:rPr>
          <w:rFonts w:ascii="Calibri Light" w:eastAsia="Calibri" w:hAnsi="Calibri Light" w:cs="Calibri Light"/>
        </w:rPr>
        <w:t xml:space="preserve">, total modal, dan total </w:t>
      </w:r>
      <w:proofErr w:type="spellStart"/>
      <w:r w:rsidRPr="00070C1B">
        <w:rPr>
          <w:rFonts w:ascii="Calibri Light" w:eastAsia="Calibri" w:hAnsi="Calibri Light" w:cs="Calibri Light"/>
        </w:rPr>
        <w:t>kewajiban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terbesar</w:t>
      </w:r>
      <w:proofErr w:type="spellEnd"/>
      <w:r w:rsidRPr="00070C1B">
        <w:rPr>
          <w:rFonts w:ascii="Calibri Light" w:eastAsia="Calibri" w:hAnsi="Calibri Light" w:cs="Calibri Light"/>
        </w:rPr>
        <w:t xml:space="preserve"> di </w:t>
      </w:r>
      <w:proofErr w:type="spellStart"/>
      <w:r w:rsidRPr="00070C1B">
        <w:rPr>
          <w:rFonts w:ascii="Calibri Light" w:eastAsia="Calibri" w:hAnsi="Calibri Light" w:cs="Calibri Light"/>
        </w:rPr>
        <w:t>industri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Indonesia. </w:t>
      </w:r>
      <w:proofErr w:type="spellStart"/>
      <w:r w:rsidRPr="00070C1B">
        <w:rPr>
          <w:rFonts w:ascii="Calibri Light" w:eastAsia="Calibri" w:hAnsi="Calibri Light" w:cs="Calibri Light"/>
        </w:rPr>
        <w:t>Melihat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 yang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besar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dalam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perekonomian</w:t>
      </w:r>
      <w:proofErr w:type="spellEnd"/>
      <w:r w:rsidRPr="00070C1B">
        <w:rPr>
          <w:rFonts w:ascii="Calibri Light" w:eastAsia="Calibri" w:hAnsi="Calibri Light" w:cs="Calibri Light"/>
        </w:rPr>
        <w:t xml:space="preserve"> Indonesia dan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perusahaan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dikelola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langsung</w:t>
      </w:r>
      <w:proofErr w:type="spellEnd"/>
      <w:r w:rsidRPr="00070C1B">
        <w:rPr>
          <w:rFonts w:ascii="Calibri Light" w:eastAsia="Calibri" w:hAnsi="Calibri Light" w:cs="Calibri Light"/>
        </w:rPr>
        <w:t xml:space="preserve"> oleh </w:t>
      </w:r>
      <w:proofErr w:type="spellStart"/>
      <w:r w:rsidRPr="00070C1B">
        <w:rPr>
          <w:rFonts w:ascii="Calibri Light" w:eastAsia="Calibri" w:hAnsi="Calibri Light" w:cs="Calibri Light"/>
        </w:rPr>
        <w:t>pemerintah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diharapkan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 </w:t>
      </w:r>
      <w:proofErr w:type="spellStart"/>
      <w:r w:rsidRPr="00070C1B">
        <w:rPr>
          <w:rFonts w:ascii="Calibri Light" w:eastAsia="Calibri" w:hAnsi="Calibri Light" w:cs="Calibri Light"/>
        </w:rPr>
        <w:t>mampu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meningkatkan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mempertahankan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kinerjanya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maksimal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sehingga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berpengaruh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positif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terhadap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perekonomian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nasional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keseluruhan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Sebagai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mendominasi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perbankan</w:t>
      </w:r>
      <w:proofErr w:type="spellEnd"/>
      <w:r w:rsidRPr="00070C1B">
        <w:rPr>
          <w:rFonts w:ascii="Calibri Light" w:eastAsia="Calibri" w:hAnsi="Calibri Light" w:cs="Calibri Light"/>
        </w:rPr>
        <w:t xml:space="preserve"> di Indonesia dan </w:t>
      </w:r>
      <w:proofErr w:type="spellStart"/>
      <w:r w:rsidRPr="00070C1B">
        <w:rPr>
          <w:rFonts w:ascii="Calibri Light" w:eastAsia="Calibri" w:hAnsi="Calibri Light" w:cs="Calibri Light"/>
        </w:rPr>
        <w:t>menguasai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hajat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hidup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banyak</w:t>
      </w:r>
      <w:proofErr w:type="spellEnd"/>
      <w:r w:rsidRPr="00070C1B">
        <w:rPr>
          <w:rFonts w:ascii="Calibri Light" w:eastAsia="Calibri" w:hAnsi="Calibri Light" w:cs="Calibri Light"/>
        </w:rPr>
        <w:t xml:space="preserve"> orang, </w:t>
      </w:r>
      <w:proofErr w:type="spellStart"/>
      <w:r w:rsidRPr="00070C1B">
        <w:rPr>
          <w:rFonts w:ascii="Calibri Light" w:eastAsia="Calibri" w:hAnsi="Calibri Light" w:cs="Calibri Light"/>
        </w:rPr>
        <w:t>maka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dituntut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terus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menjaga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kesehatannya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  <w:proofErr w:type="spellStart"/>
      <w:r w:rsidRPr="00070C1B">
        <w:rPr>
          <w:rFonts w:ascii="Calibri Light" w:eastAsia="Calibri" w:hAnsi="Calibri Light" w:cs="Calibri Light"/>
        </w:rPr>
        <w:t>Likuidasi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atau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bangkrutnya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suatu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</w:t>
      </w:r>
      <w:proofErr w:type="spellStart"/>
      <w:r w:rsidRPr="00070C1B">
        <w:rPr>
          <w:rFonts w:ascii="Calibri Light" w:eastAsia="Calibri" w:hAnsi="Calibri Light" w:cs="Calibri Light"/>
        </w:rPr>
        <w:t>besar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dapat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menyebabkan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bangkrutnya</w:t>
      </w:r>
      <w:proofErr w:type="spellEnd"/>
      <w:r w:rsidRPr="00070C1B">
        <w:rPr>
          <w:rFonts w:ascii="Calibri Light" w:eastAsia="Calibri" w:hAnsi="Calibri Light" w:cs="Calibri Light"/>
        </w:rPr>
        <w:t xml:space="preserve"> bank yang lain </w:t>
      </w:r>
      <w:proofErr w:type="spellStart"/>
      <w:r w:rsidRPr="00070C1B">
        <w:rPr>
          <w:rFonts w:ascii="Calibri Light" w:eastAsia="Calibri" w:hAnsi="Calibri Light" w:cs="Calibri Light"/>
        </w:rPr>
        <w:t>akibat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penarikan</w:t>
      </w:r>
      <w:proofErr w:type="spellEnd"/>
      <w:r w:rsidRPr="00070C1B">
        <w:rPr>
          <w:rFonts w:ascii="Calibri Light" w:eastAsia="Calibri" w:hAnsi="Calibri Light" w:cs="Calibri Light"/>
        </w:rPr>
        <w:t xml:space="preserve"> dana </w:t>
      </w:r>
      <w:proofErr w:type="spellStart"/>
      <w:r w:rsidRPr="00070C1B">
        <w:rPr>
          <w:rFonts w:ascii="Calibri Light" w:eastAsia="Calibri" w:hAnsi="Calibri Light" w:cs="Calibri Light"/>
        </w:rPr>
        <w:t>secara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tiba-tiba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r w:rsidRPr="00070C1B">
        <w:rPr>
          <w:rFonts w:ascii="Calibri Light" w:eastAsia="Calibri" w:hAnsi="Calibri Light" w:cs="Calibri Light"/>
        </w:rPr>
        <w:lastRenderedPageBreak/>
        <w:t>(</w:t>
      </w:r>
      <w:proofErr w:type="spellStart"/>
      <w:r w:rsidRPr="00070C1B">
        <w:rPr>
          <w:rFonts w:ascii="Calibri Light" w:eastAsia="Calibri" w:hAnsi="Calibri Light" w:cs="Calibri Light"/>
        </w:rPr>
        <w:t>Latumaerissa</w:t>
      </w:r>
      <w:proofErr w:type="spellEnd"/>
      <w:r w:rsidRPr="00070C1B">
        <w:rPr>
          <w:rFonts w:ascii="Calibri Light" w:eastAsia="Calibri" w:hAnsi="Calibri Light" w:cs="Calibri Light"/>
        </w:rPr>
        <w:t xml:space="preserve">, 2012: 144). </w:t>
      </w:r>
      <w:proofErr w:type="spellStart"/>
      <w:r w:rsidRPr="00070C1B">
        <w:rPr>
          <w:rFonts w:ascii="Calibri Light" w:eastAsia="Calibri" w:hAnsi="Calibri Light" w:cs="Calibri Light"/>
        </w:rPr>
        <w:t>Melihat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peran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 yang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strategis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maka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dan </w:t>
      </w:r>
      <w:proofErr w:type="spellStart"/>
      <w:r w:rsidRPr="00070C1B">
        <w:rPr>
          <w:rFonts w:ascii="Calibri Light" w:eastAsia="Calibri" w:hAnsi="Calibri Light" w:cs="Calibri Light"/>
        </w:rPr>
        <w:t>stabilitas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 </w:t>
      </w:r>
      <w:proofErr w:type="spellStart"/>
      <w:r w:rsidRPr="00070C1B">
        <w:rPr>
          <w:rFonts w:ascii="Calibri Light" w:eastAsia="Calibri" w:hAnsi="Calibri Light" w:cs="Calibri Light"/>
        </w:rPr>
        <w:t>menjadi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sesuatu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sangat</w:t>
      </w:r>
      <w:proofErr w:type="spellEnd"/>
      <w:r w:rsidRPr="00070C1B">
        <w:rPr>
          <w:rFonts w:ascii="Calibri Light" w:eastAsia="Calibri" w:hAnsi="Calibri Light" w:cs="Calibri Light"/>
        </w:rPr>
        <w:t xml:space="preserve"> vital. Oleh </w:t>
      </w:r>
      <w:proofErr w:type="spellStart"/>
      <w:r w:rsidRPr="00070C1B">
        <w:rPr>
          <w:rFonts w:ascii="Calibri Light" w:eastAsia="Calibri" w:hAnsi="Calibri Light" w:cs="Calibri Light"/>
        </w:rPr>
        <w:t>sebab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itu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peneliti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merasa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penting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melakukan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analisis</w:t>
      </w:r>
      <w:proofErr w:type="spellEnd"/>
      <w:r w:rsidRPr="00070C1B">
        <w:rPr>
          <w:rFonts w:ascii="Calibri Light" w:eastAsia="Calibri" w:hAnsi="Calibri Light" w:cs="Calibri Light"/>
        </w:rPr>
        <w:t xml:space="preserve"> pada bank </w:t>
      </w:r>
      <w:proofErr w:type="spellStart"/>
      <w:r w:rsidRPr="00070C1B">
        <w:rPr>
          <w:rFonts w:ascii="Calibri Light" w:eastAsia="Calibri" w:hAnsi="Calibri Light" w:cs="Calibri Light"/>
        </w:rPr>
        <w:t>umum</w:t>
      </w:r>
      <w:proofErr w:type="spellEnd"/>
      <w:r w:rsidRPr="00070C1B">
        <w:rPr>
          <w:rFonts w:ascii="Calibri Light" w:eastAsia="Calibri" w:hAnsi="Calibri Light" w:cs="Calibri Light"/>
        </w:rPr>
        <w:t xml:space="preserve"> BUMN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mengetahui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kondisi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kesehatan</w:t>
      </w:r>
      <w:proofErr w:type="spellEnd"/>
      <w:r w:rsidRPr="00070C1B">
        <w:rPr>
          <w:rFonts w:ascii="Calibri Light" w:eastAsia="Calibri" w:hAnsi="Calibri Light" w:cs="Calibri Light"/>
        </w:rPr>
        <w:t xml:space="preserve"> bank </w:t>
      </w:r>
      <w:proofErr w:type="spellStart"/>
      <w:r w:rsidRPr="00070C1B">
        <w:rPr>
          <w:rFonts w:ascii="Calibri Light" w:eastAsia="Calibri" w:hAnsi="Calibri Light" w:cs="Calibri Light"/>
        </w:rPr>
        <w:t>tersebut</w:t>
      </w:r>
      <w:proofErr w:type="spellEnd"/>
      <w:r w:rsidRPr="00070C1B">
        <w:rPr>
          <w:rFonts w:ascii="Calibri Light" w:eastAsia="Calibri" w:hAnsi="Calibri Light" w:cs="Calibri Light"/>
        </w:rPr>
        <w:t xml:space="preserve">. </w:t>
      </w:r>
    </w:p>
    <w:p w14:paraId="1E5B6B2A" w14:textId="77777777" w:rsidR="00070C1B" w:rsidRPr="00DC2624" w:rsidRDefault="00070C1B" w:rsidP="007617D7">
      <w:pPr>
        <w:spacing w:after="0"/>
        <w:ind w:firstLine="567"/>
        <w:contextualSpacing/>
        <w:jc w:val="both"/>
        <w:rPr>
          <w:rFonts w:ascii="Calibri Light" w:hAnsi="Calibri Light" w:cs="Calibri Light"/>
        </w:rPr>
      </w:pPr>
      <w:proofErr w:type="spellStart"/>
      <w:r w:rsidRPr="00070C1B">
        <w:rPr>
          <w:rFonts w:ascii="Calibri Light" w:eastAsia="Calibri" w:hAnsi="Calibri Light" w:cs="Calibri Light"/>
        </w:rPr>
        <w:t>Berdasarkan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latar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belakang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masalah</w:t>
      </w:r>
      <w:proofErr w:type="spellEnd"/>
      <w:r w:rsidRPr="00070C1B">
        <w:rPr>
          <w:rFonts w:ascii="Calibri Light" w:eastAsia="Calibri" w:hAnsi="Calibri Light" w:cs="Calibri Light"/>
        </w:rPr>
        <w:t xml:space="preserve"> yang </w:t>
      </w:r>
      <w:proofErr w:type="spellStart"/>
      <w:r w:rsidRPr="00070C1B">
        <w:rPr>
          <w:rFonts w:ascii="Calibri Light" w:eastAsia="Calibri" w:hAnsi="Calibri Light" w:cs="Calibri Light"/>
        </w:rPr>
        <w:t>dipaparkan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diatas</w:t>
      </w:r>
      <w:proofErr w:type="spellEnd"/>
      <w:r w:rsidRPr="00070C1B">
        <w:rPr>
          <w:rFonts w:ascii="Calibri Light" w:eastAsia="Calibri" w:hAnsi="Calibri Light" w:cs="Calibri Light"/>
        </w:rPr>
        <w:t xml:space="preserve">, </w:t>
      </w:r>
      <w:proofErr w:type="spellStart"/>
      <w:r w:rsidRPr="00070C1B">
        <w:rPr>
          <w:rFonts w:ascii="Calibri Light" w:eastAsia="Calibri" w:hAnsi="Calibri Light" w:cs="Calibri Light"/>
        </w:rPr>
        <w:t>maka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penulis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tertarik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untuk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melakukan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penelitian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dengan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proofErr w:type="spellStart"/>
      <w:r w:rsidRPr="00070C1B">
        <w:rPr>
          <w:rFonts w:ascii="Calibri Light" w:eastAsia="Calibri" w:hAnsi="Calibri Light" w:cs="Calibri Light"/>
        </w:rPr>
        <w:t>judul</w:t>
      </w:r>
      <w:proofErr w:type="spellEnd"/>
      <w:r w:rsidRPr="00070C1B">
        <w:rPr>
          <w:rFonts w:ascii="Calibri Light" w:eastAsia="Calibri" w:hAnsi="Calibri Light" w:cs="Calibri Light"/>
        </w:rPr>
        <w:t xml:space="preserve"> </w:t>
      </w:r>
      <w:r w:rsidRPr="00DC2624">
        <w:rPr>
          <w:rFonts w:ascii="Calibri Light" w:eastAsia="Calibri" w:hAnsi="Calibri Light" w:cs="Calibri Light"/>
        </w:rPr>
        <w:t>‟</w:t>
      </w:r>
      <w:proofErr w:type="spellStart"/>
      <w:r w:rsidRPr="00DC2624">
        <w:rPr>
          <w:rFonts w:ascii="Calibri Light" w:eastAsia="Calibri" w:hAnsi="Calibri Light" w:cs="Calibri Light"/>
        </w:rPr>
        <w:t>Analisis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Penilaian</w:t>
      </w:r>
      <w:proofErr w:type="spellEnd"/>
      <w:r w:rsidRPr="00DC2624">
        <w:rPr>
          <w:rFonts w:ascii="Calibri Light" w:eastAsia="Calibri" w:hAnsi="Calibri Light" w:cs="Calibri Light"/>
        </w:rPr>
        <w:t xml:space="preserve"> Tingkat </w:t>
      </w:r>
      <w:proofErr w:type="spellStart"/>
      <w:r w:rsidRPr="00DC2624">
        <w:rPr>
          <w:rFonts w:ascii="Calibri Light" w:eastAsia="Calibri" w:hAnsi="Calibri Light" w:cs="Calibri Light"/>
        </w:rPr>
        <w:t>Kesehatan</w:t>
      </w:r>
      <w:proofErr w:type="spellEnd"/>
      <w:r w:rsidRPr="00DC2624">
        <w:rPr>
          <w:rFonts w:ascii="Calibri Light" w:eastAsia="Calibri" w:hAnsi="Calibri Light" w:cs="Calibri Light"/>
        </w:rPr>
        <w:t xml:space="preserve"> Bank </w:t>
      </w:r>
      <w:proofErr w:type="spellStart"/>
      <w:r w:rsidRPr="00DC2624">
        <w:rPr>
          <w:rFonts w:ascii="Calibri Light" w:eastAsia="Calibri" w:hAnsi="Calibri Light" w:cs="Calibri Light"/>
        </w:rPr>
        <w:t>dengan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Menggunakan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Metode</w:t>
      </w:r>
      <w:proofErr w:type="spellEnd"/>
      <w:r w:rsidRPr="00DC2624">
        <w:rPr>
          <w:rFonts w:ascii="Calibri Light" w:eastAsia="Calibri" w:hAnsi="Calibri Light" w:cs="Calibri Light"/>
        </w:rPr>
        <w:t xml:space="preserve"> RGEC pada Bank </w:t>
      </w:r>
      <w:proofErr w:type="spellStart"/>
      <w:r w:rsidRPr="00DC2624">
        <w:rPr>
          <w:rFonts w:ascii="Calibri Light" w:eastAsia="Calibri" w:hAnsi="Calibri Light" w:cs="Calibri Light"/>
        </w:rPr>
        <w:t>Umum</w:t>
      </w:r>
      <w:proofErr w:type="spellEnd"/>
      <w:r w:rsidRPr="00DC2624">
        <w:rPr>
          <w:rFonts w:ascii="Calibri Light" w:eastAsia="Calibri" w:hAnsi="Calibri Light" w:cs="Calibri Light"/>
        </w:rPr>
        <w:t xml:space="preserve"> BUMN yang </w:t>
      </w:r>
      <w:proofErr w:type="spellStart"/>
      <w:r w:rsidRPr="00DC2624">
        <w:rPr>
          <w:rFonts w:ascii="Calibri Light" w:eastAsia="Calibri" w:hAnsi="Calibri Light" w:cs="Calibri Light"/>
        </w:rPr>
        <w:t>Terdaftar</w:t>
      </w:r>
      <w:proofErr w:type="spellEnd"/>
      <w:r w:rsidRPr="00DC2624">
        <w:rPr>
          <w:rFonts w:ascii="Calibri Light" w:eastAsia="Calibri" w:hAnsi="Calibri Light" w:cs="Calibri Light"/>
        </w:rPr>
        <w:t xml:space="preserve"> di Bursa </w:t>
      </w:r>
      <w:proofErr w:type="spellStart"/>
      <w:r w:rsidRPr="00DC2624">
        <w:rPr>
          <w:rFonts w:ascii="Calibri Light" w:eastAsia="Calibri" w:hAnsi="Calibri Light" w:cs="Calibri Light"/>
        </w:rPr>
        <w:t>Efek</w:t>
      </w:r>
      <w:proofErr w:type="spellEnd"/>
      <w:r w:rsidRPr="00DC2624">
        <w:rPr>
          <w:rFonts w:ascii="Calibri Light" w:eastAsia="Calibri" w:hAnsi="Calibri Light" w:cs="Calibri Light"/>
        </w:rPr>
        <w:t xml:space="preserve"> Indonesia </w:t>
      </w:r>
      <w:proofErr w:type="spellStart"/>
      <w:r w:rsidRPr="00DC2624">
        <w:rPr>
          <w:rFonts w:ascii="Calibri Light" w:eastAsia="Calibri" w:hAnsi="Calibri Light" w:cs="Calibri Light"/>
        </w:rPr>
        <w:t>Tahun</w:t>
      </w:r>
      <w:proofErr w:type="spellEnd"/>
      <w:r w:rsidRPr="00DC2624">
        <w:rPr>
          <w:rFonts w:ascii="Calibri Light" w:eastAsia="Calibri" w:hAnsi="Calibri Light" w:cs="Calibri Light"/>
        </w:rPr>
        <w:t xml:space="preserve"> 2013-2017”. </w:t>
      </w:r>
    </w:p>
    <w:p w14:paraId="342AEA3F" w14:textId="77777777" w:rsidR="00070C1B" w:rsidRPr="00DC2624" w:rsidRDefault="00070C1B" w:rsidP="007617D7">
      <w:pPr>
        <w:spacing w:after="0"/>
        <w:ind w:firstLine="360"/>
        <w:jc w:val="both"/>
        <w:rPr>
          <w:rFonts w:ascii="Calibri Light" w:eastAsiaTheme="minorEastAsia" w:hAnsi="Calibri Light" w:cs="Calibri Light"/>
        </w:rPr>
      </w:pPr>
    </w:p>
    <w:p w14:paraId="48715843" w14:textId="77777777" w:rsidR="00BC3698" w:rsidRPr="00DC2624" w:rsidRDefault="00BC3698" w:rsidP="007617D7">
      <w:pPr>
        <w:pStyle w:val="ListParagraph"/>
        <w:spacing w:after="0"/>
        <w:ind w:left="0"/>
        <w:jc w:val="center"/>
        <w:rPr>
          <w:rFonts w:ascii="Calibri Light" w:hAnsi="Calibri Light" w:cs="Calibri Light"/>
          <w:b/>
          <w:bCs/>
          <w:lang w:val="id-ID"/>
        </w:rPr>
      </w:pPr>
      <w:r w:rsidRPr="00DC2624">
        <w:rPr>
          <w:rFonts w:ascii="Calibri Light" w:hAnsi="Calibri Light" w:cs="Calibri Light"/>
          <w:b/>
          <w:bCs/>
          <w:lang w:val="id-ID"/>
        </w:rPr>
        <w:t>MET</w:t>
      </w:r>
      <w:r w:rsidR="006E25B3" w:rsidRPr="00DC2624">
        <w:rPr>
          <w:rFonts w:ascii="Calibri Light" w:hAnsi="Calibri Light" w:cs="Calibri Light"/>
          <w:b/>
          <w:bCs/>
          <w:lang w:val="id-ID"/>
        </w:rPr>
        <w:t>ODE</w:t>
      </w:r>
    </w:p>
    <w:p w14:paraId="56F690A5" w14:textId="30FD3003" w:rsidR="00196493" w:rsidRPr="00DC2624" w:rsidRDefault="006C4D50" w:rsidP="007617D7">
      <w:pPr>
        <w:spacing w:after="0"/>
        <w:ind w:firstLine="720"/>
        <w:jc w:val="both"/>
        <w:rPr>
          <w:rFonts w:ascii="Calibri Light" w:eastAsia="Times New Roman" w:hAnsi="Calibri Light" w:cs="Calibri Light"/>
        </w:rPr>
      </w:pPr>
      <w:proofErr w:type="spellStart"/>
      <w:r w:rsidRPr="00DC2624">
        <w:rPr>
          <w:rFonts w:ascii="Calibri Light" w:eastAsia="Times New Roman" w:hAnsi="Calibri Light" w:cs="Calibri Light"/>
        </w:rPr>
        <w:t>Populasi</w:t>
      </w:r>
      <w:proofErr w:type="spellEnd"/>
      <w:r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</w:rPr>
        <w:t>dalam</w:t>
      </w:r>
      <w:proofErr w:type="spellEnd"/>
      <w:r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</w:rPr>
        <w:t>penelitian</w:t>
      </w:r>
      <w:proofErr w:type="spellEnd"/>
      <w:r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</w:rPr>
        <w:t>ini</w:t>
      </w:r>
      <w:proofErr w:type="spellEnd"/>
      <w:r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</w:rPr>
        <w:t>adalah</w:t>
      </w:r>
      <w:proofErr w:type="spellEnd"/>
      <w:r w:rsidRPr="00DC2624">
        <w:rPr>
          <w:rFonts w:ascii="Calibri Light" w:eastAsia="Times New Roman" w:hAnsi="Calibri Light" w:cs="Calibri Light"/>
        </w:rPr>
        <w:t xml:space="preserve"> Bank </w:t>
      </w:r>
      <w:proofErr w:type="spellStart"/>
      <w:r w:rsidRPr="00DC2624">
        <w:rPr>
          <w:rFonts w:ascii="Calibri Light" w:eastAsia="Times New Roman" w:hAnsi="Calibri Light" w:cs="Calibri Light"/>
        </w:rPr>
        <w:t>Umum</w:t>
      </w:r>
      <w:proofErr w:type="spellEnd"/>
      <w:r w:rsidRPr="00DC2624">
        <w:rPr>
          <w:rFonts w:ascii="Calibri Light" w:eastAsia="Times New Roman" w:hAnsi="Calibri Light" w:cs="Calibri Light"/>
        </w:rPr>
        <w:t xml:space="preserve"> BUMN yang </w:t>
      </w:r>
      <w:proofErr w:type="spellStart"/>
      <w:r w:rsidRPr="00DC2624">
        <w:rPr>
          <w:rFonts w:ascii="Calibri Light" w:eastAsia="Times New Roman" w:hAnsi="Calibri Light" w:cs="Calibri Light"/>
        </w:rPr>
        <w:t>terdaftar</w:t>
      </w:r>
      <w:proofErr w:type="spellEnd"/>
      <w:r w:rsidRPr="00DC2624">
        <w:rPr>
          <w:rFonts w:ascii="Calibri Light" w:eastAsia="Times New Roman" w:hAnsi="Calibri Light" w:cs="Calibri Light"/>
        </w:rPr>
        <w:t xml:space="preserve"> di BEI </w:t>
      </w:r>
      <w:proofErr w:type="spellStart"/>
      <w:r w:rsidRPr="00DC2624">
        <w:rPr>
          <w:rFonts w:ascii="Calibri Light" w:eastAsia="Times New Roman" w:hAnsi="Calibri Light" w:cs="Calibri Light"/>
        </w:rPr>
        <w:t>periode</w:t>
      </w:r>
      <w:proofErr w:type="spellEnd"/>
      <w:r w:rsidRPr="00DC2624">
        <w:rPr>
          <w:rFonts w:ascii="Calibri Light" w:eastAsia="Times New Roman" w:hAnsi="Calibri Light" w:cs="Calibri Light"/>
        </w:rPr>
        <w:t xml:space="preserve"> 2013-2017. </w:t>
      </w:r>
      <w:proofErr w:type="spellStart"/>
      <w:r w:rsidRPr="00DC2624">
        <w:rPr>
          <w:rFonts w:ascii="Calibri Light" w:eastAsia="TimesNewRoman" w:hAnsi="Calibri Light" w:cs="Calibri Light"/>
        </w:rPr>
        <w:t>Pengambilan</w:t>
      </w:r>
      <w:proofErr w:type="spellEnd"/>
      <w:r w:rsidRPr="00DC2624">
        <w:rPr>
          <w:rFonts w:ascii="Calibri Light" w:eastAsia="TimesNewRoman" w:hAnsi="Calibri Light" w:cs="Calibri Light"/>
        </w:rPr>
        <w:t xml:space="preserve"> </w:t>
      </w:r>
      <w:proofErr w:type="spellStart"/>
      <w:r w:rsidRPr="00DC2624">
        <w:rPr>
          <w:rFonts w:ascii="Calibri Light" w:eastAsia="TimesNewRoman" w:hAnsi="Calibri Light" w:cs="Calibri Light"/>
        </w:rPr>
        <w:t>sampel</w:t>
      </w:r>
      <w:proofErr w:type="spellEnd"/>
      <w:r w:rsidRPr="00DC2624">
        <w:rPr>
          <w:rFonts w:ascii="Calibri Light" w:eastAsia="TimesNewRoman" w:hAnsi="Calibri Light" w:cs="Calibri Light"/>
        </w:rPr>
        <w:t xml:space="preserve"> </w:t>
      </w:r>
      <w:proofErr w:type="spellStart"/>
      <w:r w:rsidRPr="00DC2624">
        <w:rPr>
          <w:rFonts w:ascii="Calibri Light" w:eastAsia="TimesNewRoman" w:hAnsi="Calibri Light" w:cs="Calibri Light"/>
        </w:rPr>
        <w:t>menggunakan</w:t>
      </w:r>
      <w:proofErr w:type="spellEnd"/>
      <w:r w:rsidRPr="00DC2624">
        <w:rPr>
          <w:rFonts w:ascii="Calibri Light" w:eastAsia="TimesNewRoman" w:hAnsi="Calibri Light" w:cs="Calibri Light"/>
        </w:rPr>
        <w:t xml:space="preserve"> </w:t>
      </w:r>
      <w:proofErr w:type="spellStart"/>
      <w:r w:rsidRPr="00DC2624">
        <w:rPr>
          <w:rFonts w:ascii="Calibri Light" w:eastAsia="TimesNewRoman" w:hAnsi="Calibri Light" w:cs="Calibri Light"/>
        </w:rPr>
        <w:t>teknik</w:t>
      </w:r>
      <w:proofErr w:type="spellEnd"/>
      <w:r w:rsidRPr="00DC2624">
        <w:rPr>
          <w:rFonts w:ascii="Calibri Light" w:eastAsia="TimesNewRoman" w:hAnsi="Calibri Light" w:cs="Calibri Light"/>
        </w:rPr>
        <w:t xml:space="preserve"> </w:t>
      </w:r>
      <w:r w:rsidRPr="00DC2624">
        <w:rPr>
          <w:rFonts w:ascii="Calibri Light" w:eastAsia="TimesNewRoman" w:hAnsi="Calibri Light" w:cs="Calibri Light"/>
          <w:i/>
        </w:rPr>
        <w:t>purposive sampling</w:t>
      </w:r>
      <w:r w:rsidR="00196493" w:rsidRPr="00DC2624">
        <w:rPr>
          <w:rFonts w:ascii="Calibri Light" w:eastAsia="TimesNewRoman" w:hAnsi="Calibri Light" w:cs="Calibri Light"/>
          <w:i/>
        </w:rPr>
        <w:t xml:space="preserve"> </w:t>
      </w:r>
      <w:proofErr w:type="spellStart"/>
      <w:r w:rsidRPr="00DC2624">
        <w:rPr>
          <w:rFonts w:ascii="Calibri Light" w:eastAsia="TimesNewRoman" w:hAnsi="Calibri Light" w:cs="Calibri Light"/>
          <w:iCs/>
        </w:rPr>
        <w:t>diperoleh</w:t>
      </w:r>
      <w:proofErr w:type="spellEnd"/>
      <w:r w:rsidRPr="00DC2624">
        <w:rPr>
          <w:rFonts w:ascii="Calibri Light" w:eastAsia="TimesNewRoman" w:hAnsi="Calibri Light" w:cs="Calibri Light"/>
          <w:iCs/>
        </w:rPr>
        <w:t xml:space="preserve"> </w:t>
      </w:r>
      <w:proofErr w:type="spellStart"/>
      <w:r w:rsidRPr="00DC2624">
        <w:rPr>
          <w:rFonts w:ascii="Calibri Light" w:eastAsia="TimesNewRoman" w:hAnsi="Calibri Light" w:cs="Calibri Light"/>
          <w:iCs/>
        </w:rPr>
        <w:t>sampel</w:t>
      </w:r>
      <w:proofErr w:type="spellEnd"/>
      <w:r w:rsidRPr="00DC2624">
        <w:rPr>
          <w:rFonts w:ascii="Calibri Light" w:eastAsia="TimesNewRoman" w:hAnsi="Calibri Light" w:cs="Calibri Light"/>
          <w:iCs/>
        </w:rPr>
        <w:t xml:space="preserve"> </w:t>
      </w:r>
      <w:proofErr w:type="spellStart"/>
      <w:r w:rsidRPr="00DC2624">
        <w:rPr>
          <w:rFonts w:ascii="Calibri Light" w:eastAsia="TimesNewRoman" w:hAnsi="Calibri Light" w:cs="Calibri Light"/>
          <w:iCs/>
        </w:rPr>
        <w:t>sebanyak</w:t>
      </w:r>
      <w:proofErr w:type="spellEnd"/>
      <w:r w:rsidRPr="00DC2624">
        <w:rPr>
          <w:rFonts w:ascii="Calibri Light" w:eastAsia="TimesNewRoman" w:hAnsi="Calibri Light" w:cs="Calibri Light"/>
          <w:iCs/>
        </w:rPr>
        <w:t xml:space="preserve"> 4 </w:t>
      </w:r>
      <w:proofErr w:type="spellStart"/>
      <w:r w:rsidRPr="00DC2624">
        <w:rPr>
          <w:rFonts w:ascii="Calibri Light" w:eastAsia="TimesNewRoman" w:hAnsi="Calibri Light" w:cs="Calibri Light"/>
          <w:iCs/>
        </w:rPr>
        <w:t>perusahaan</w:t>
      </w:r>
      <w:proofErr w:type="spellEnd"/>
      <w:r w:rsidRPr="00DC2624">
        <w:rPr>
          <w:rFonts w:ascii="Calibri Light" w:eastAsia="TimesNewRoman" w:hAnsi="Calibri Light" w:cs="Calibri Light"/>
          <w:iCs/>
        </w:rPr>
        <w:t xml:space="preserve"> </w:t>
      </w:r>
      <w:proofErr w:type="spellStart"/>
      <w:r w:rsidRPr="00DC2624">
        <w:rPr>
          <w:rFonts w:ascii="Calibri Light" w:eastAsia="TimesNewRoman" w:hAnsi="Calibri Light" w:cs="Calibri Light"/>
          <w:iCs/>
        </w:rPr>
        <w:t>perbankan</w:t>
      </w:r>
      <w:proofErr w:type="spellEnd"/>
      <w:r w:rsidRPr="00DC2624">
        <w:rPr>
          <w:rFonts w:ascii="Calibri Light" w:eastAsia="Times New Roman" w:hAnsi="Calibri Light" w:cs="Calibri Light"/>
          <w:color w:val="000000"/>
        </w:rPr>
        <w:t xml:space="preserve">. </w:t>
      </w:r>
      <w:proofErr w:type="spellStart"/>
      <w:r w:rsidR="00196493" w:rsidRPr="00DC2624">
        <w:rPr>
          <w:rFonts w:ascii="Calibri Light" w:eastAsia="Times New Roman" w:hAnsi="Calibri Light" w:cs="Calibri Light"/>
        </w:rPr>
        <w:t>Kriteria</w:t>
      </w:r>
      <w:proofErr w:type="spellEnd"/>
      <w:r w:rsidR="00196493"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="00196493" w:rsidRPr="00DC2624">
        <w:rPr>
          <w:rFonts w:ascii="Calibri Light" w:eastAsia="Times New Roman" w:hAnsi="Calibri Light" w:cs="Calibri Light"/>
        </w:rPr>
        <w:t>dalam</w:t>
      </w:r>
      <w:proofErr w:type="spellEnd"/>
      <w:r w:rsidR="00196493"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="00196493" w:rsidRPr="00DC2624">
        <w:rPr>
          <w:rFonts w:ascii="Calibri Light" w:eastAsia="Times New Roman" w:hAnsi="Calibri Light" w:cs="Calibri Light"/>
        </w:rPr>
        <w:t>penentuan</w:t>
      </w:r>
      <w:proofErr w:type="spellEnd"/>
      <w:r w:rsidR="00196493"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="00196493" w:rsidRPr="00DC2624">
        <w:rPr>
          <w:rFonts w:ascii="Calibri Light" w:eastAsia="Times New Roman" w:hAnsi="Calibri Light" w:cs="Calibri Light"/>
        </w:rPr>
        <w:t>sampel</w:t>
      </w:r>
      <w:proofErr w:type="spellEnd"/>
      <w:r w:rsidR="00196493"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="00196493" w:rsidRPr="00DC2624">
        <w:rPr>
          <w:rFonts w:ascii="Calibri Light" w:eastAsia="Times New Roman" w:hAnsi="Calibri Light" w:cs="Calibri Light"/>
        </w:rPr>
        <w:t>adalah</w:t>
      </w:r>
      <w:proofErr w:type="spellEnd"/>
      <w:r w:rsidR="00196493"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="00196493" w:rsidRPr="00DC2624">
        <w:rPr>
          <w:rFonts w:ascii="Calibri Light" w:eastAsia="Times New Roman" w:hAnsi="Calibri Light" w:cs="Calibri Light"/>
        </w:rPr>
        <w:t>sebagai</w:t>
      </w:r>
      <w:proofErr w:type="spellEnd"/>
      <w:r w:rsidR="00196493" w:rsidRPr="00DC2624">
        <w:rPr>
          <w:rFonts w:ascii="Calibri Light" w:eastAsia="Times New Roman" w:hAnsi="Calibri Light" w:cs="Calibri Light"/>
        </w:rPr>
        <w:t xml:space="preserve"> </w:t>
      </w:r>
      <w:proofErr w:type="spellStart"/>
      <w:r w:rsidR="00196493" w:rsidRPr="00DC2624">
        <w:rPr>
          <w:rFonts w:ascii="Calibri Light" w:eastAsia="Times New Roman" w:hAnsi="Calibri Light" w:cs="Calibri Light"/>
        </w:rPr>
        <w:t>berikut</w:t>
      </w:r>
      <w:proofErr w:type="spellEnd"/>
      <w:r w:rsidR="00196493" w:rsidRPr="00DC2624">
        <w:rPr>
          <w:rFonts w:ascii="Calibri Light" w:eastAsia="Times New Roman" w:hAnsi="Calibri Light" w:cs="Calibri Light"/>
        </w:rPr>
        <w:t>:</w:t>
      </w:r>
    </w:p>
    <w:p w14:paraId="4C17EF78" w14:textId="77777777" w:rsidR="00196493" w:rsidRPr="00DC2624" w:rsidRDefault="00196493" w:rsidP="001269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 Light" w:eastAsiaTheme="minorEastAsia" w:hAnsi="Calibri Light" w:cs="Calibri Light"/>
        </w:rPr>
      </w:pPr>
      <w:r w:rsidRPr="00DC2624">
        <w:rPr>
          <w:rFonts w:ascii="Calibri Light" w:eastAsiaTheme="minorEastAsia" w:hAnsi="Calibri Light" w:cs="Calibri Light"/>
        </w:rPr>
        <w:t xml:space="preserve">Bank BUMN yang </w:t>
      </w:r>
      <w:proofErr w:type="spellStart"/>
      <w:r w:rsidRPr="00DC2624">
        <w:rPr>
          <w:rFonts w:ascii="Calibri Light" w:eastAsiaTheme="minorEastAsia" w:hAnsi="Calibri Light" w:cs="Calibri Light"/>
        </w:rPr>
        <w:t>terdaftar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di Bursa </w:t>
      </w:r>
      <w:proofErr w:type="spellStart"/>
      <w:r w:rsidRPr="00DC2624">
        <w:rPr>
          <w:rFonts w:ascii="Calibri Light" w:eastAsiaTheme="minorEastAsia" w:hAnsi="Calibri Light" w:cs="Calibri Light"/>
        </w:rPr>
        <w:t>Efek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Indonesia </w:t>
      </w:r>
      <w:proofErr w:type="spellStart"/>
      <w:r w:rsidRPr="00DC2624">
        <w:rPr>
          <w:rFonts w:ascii="Calibri Light" w:eastAsiaTheme="minorEastAsia" w:hAnsi="Calibri Light" w:cs="Calibri Light"/>
        </w:rPr>
        <w:t>tahun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2013-2017.</w:t>
      </w:r>
    </w:p>
    <w:p w14:paraId="4D4AAD27" w14:textId="77777777" w:rsidR="00196493" w:rsidRPr="00DC2624" w:rsidRDefault="00196493" w:rsidP="001269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 Light" w:eastAsiaTheme="minorEastAsia" w:hAnsi="Calibri Light" w:cs="Calibri Light"/>
        </w:rPr>
      </w:pPr>
      <w:r w:rsidRPr="00DC2624">
        <w:rPr>
          <w:rFonts w:ascii="Calibri Light" w:eastAsiaTheme="minorEastAsia" w:hAnsi="Calibri Light" w:cs="Calibri Light"/>
        </w:rPr>
        <w:t xml:space="preserve">Bank BUMN yang </w:t>
      </w:r>
      <w:proofErr w:type="spellStart"/>
      <w:r w:rsidRPr="00DC2624">
        <w:rPr>
          <w:rFonts w:ascii="Calibri Light" w:eastAsiaTheme="minorEastAsia" w:hAnsi="Calibri Light" w:cs="Calibri Light"/>
        </w:rPr>
        <w:t>mempublikasikan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Laporan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Tahunan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secara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berturut-turut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selama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periode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tahun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2013-2017.</w:t>
      </w:r>
    </w:p>
    <w:p w14:paraId="44E193D9" w14:textId="77777777" w:rsidR="00196493" w:rsidRPr="00DC2624" w:rsidRDefault="00196493" w:rsidP="001269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 Light" w:eastAsiaTheme="minorEastAsia" w:hAnsi="Calibri Light" w:cs="Calibri Light"/>
        </w:rPr>
      </w:pPr>
      <w:r w:rsidRPr="00DC2624">
        <w:rPr>
          <w:rFonts w:ascii="Calibri Light" w:eastAsiaTheme="minorEastAsia" w:hAnsi="Calibri Light" w:cs="Calibri Light"/>
        </w:rPr>
        <w:t xml:space="preserve">Bank BUMN yang </w:t>
      </w:r>
      <w:proofErr w:type="spellStart"/>
      <w:r w:rsidRPr="00DC2624">
        <w:rPr>
          <w:rFonts w:ascii="Calibri Light" w:eastAsiaTheme="minorEastAsia" w:hAnsi="Calibri Light" w:cs="Calibri Light"/>
        </w:rPr>
        <w:t>Labanya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Positif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selama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periode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2013-2017.</w:t>
      </w:r>
    </w:p>
    <w:p w14:paraId="1CF1CE24" w14:textId="77777777" w:rsidR="00196493" w:rsidRPr="00DC2624" w:rsidRDefault="00196493" w:rsidP="001269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 Light" w:eastAsiaTheme="minorEastAsia" w:hAnsi="Calibri Light" w:cs="Calibri Light"/>
        </w:rPr>
      </w:pPr>
      <w:r w:rsidRPr="00DC2624">
        <w:rPr>
          <w:rFonts w:ascii="Calibri Light" w:eastAsiaTheme="minorEastAsia" w:hAnsi="Calibri Light" w:cs="Calibri Light"/>
        </w:rPr>
        <w:t xml:space="preserve">Bank BUMN yang </w:t>
      </w:r>
      <w:proofErr w:type="spellStart"/>
      <w:r w:rsidRPr="00DC2624">
        <w:rPr>
          <w:rFonts w:ascii="Calibri Light" w:eastAsiaTheme="minorEastAsia" w:hAnsi="Calibri Light" w:cs="Calibri Light"/>
        </w:rPr>
        <w:t>mempublikasikn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Laporan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Keuangan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dalam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Rupiah </w:t>
      </w:r>
      <w:proofErr w:type="spellStart"/>
      <w:r w:rsidRPr="00DC2624">
        <w:rPr>
          <w:rFonts w:ascii="Calibri Light" w:eastAsiaTheme="minorEastAsia" w:hAnsi="Calibri Light" w:cs="Calibri Light"/>
        </w:rPr>
        <w:t>selama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periode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2013-2017.</w:t>
      </w:r>
    </w:p>
    <w:p w14:paraId="037DFA8C" w14:textId="77777777" w:rsidR="00196493" w:rsidRPr="00DC2624" w:rsidRDefault="00196493" w:rsidP="001269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 Light" w:eastAsiaTheme="minorEastAsia" w:hAnsi="Calibri Light" w:cs="Calibri Light"/>
        </w:rPr>
      </w:pPr>
      <w:r w:rsidRPr="00DC2624">
        <w:rPr>
          <w:rFonts w:ascii="Calibri Light" w:eastAsiaTheme="minorEastAsia" w:hAnsi="Calibri Light" w:cs="Calibri Light"/>
        </w:rPr>
        <w:t xml:space="preserve">Bank BUMN yang </w:t>
      </w:r>
      <w:proofErr w:type="spellStart"/>
      <w:r w:rsidRPr="00DC2624">
        <w:rPr>
          <w:rFonts w:ascii="Calibri Light" w:eastAsiaTheme="minorEastAsia" w:hAnsi="Calibri Light" w:cs="Calibri Light"/>
        </w:rPr>
        <w:t>Datanya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Lengkap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selama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periode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2013-2017.</w:t>
      </w:r>
    </w:p>
    <w:p w14:paraId="428716AF" w14:textId="19AC36DB" w:rsidR="001333BC" w:rsidRPr="00DC2624" w:rsidRDefault="001333BC" w:rsidP="007617D7">
      <w:pPr>
        <w:spacing w:after="0"/>
        <w:ind w:firstLine="360"/>
        <w:jc w:val="both"/>
        <w:rPr>
          <w:rFonts w:ascii="Calibri Light" w:eastAsiaTheme="minorEastAsia" w:hAnsi="Calibri Light" w:cs="Calibri Light"/>
        </w:rPr>
      </w:pPr>
      <w:r w:rsidRPr="00DC2624">
        <w:rPr>
          <w:rFonts w:ascii="Calibri Light" w:eastAsia="TimesNewRoman" w:hAnsi="Calibri Light" w:cs="Calibri Light"/>
        </w:rPr>
        <w:t>Teknik</w:t>
      </w:r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pengumpulan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data </w:t>
      </w:r>
      <w:proofErr w:type="spellStart"/>
      <w:r w:rsidRPr="00DC2624">
        <w:rPr>
          <w:rFonts w:ascii="Calibri Light" w:eastAsiaTheme="minorEastAsia" w:hAnsi="Calibri Light" w:cs="Calibri Light"/>
        </w:rPr>
        <w:t>dalam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penelitian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ini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dilakukan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dengan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metode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dokumentasi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. </w:t>
      </w:r>
      <w:r w:rsidR="00BD167B" w:rsidRPr="00DC2624">
        <w:rPr>
          <w:rFonts w:ascii="Calibri Light" w:eastAsiaTheme="minorEastAsia" w:hAnsi="Calibri Light" w:cs="Calibri Light"/>
        </w:rPr>
        <w:t>“</w:t>
      </w:r>
      <w:r w:rsidRPr="00DC2624">
        <w:rPr>
          <w:rFonts w:ascii="Calibri Light" w:eastAsiaTheme="minorEastAsia" w:hAnsi="Calibri Light" w:cs="Calibri Light"/>
        </w:rPr>
        <w:t xml:space="preserve">Data yang </w:t>
      </w:r>
      <w:proofErr w:type="spellStart"/>
      <w:r w:rsidRPr="00DC2624">
        <w:rPr>
          <w:rFonts w:ascii="Calibri Light" w:eastAsiaTheme="minorEastAsia" w:hAnsi="Calibri Light" w:cs="Calibri Light"/>
        </w:rPr>
        <w:t>digunakan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adalah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data </w:t>
      </w:r>
      <w:proofErr w:type="spellStart"/>
      <w:r w:rsidRPr="00DC2624">
        <w:rPr>
          <w:rFonts w:ascii="Calibri Light" w:eastAsiaTheme="minorEastAsia" w:hAnsi="Calibri Light" w:cs="Calibri Light"/>
        </w:rPr>
        <w:t>sekunder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, </w:t>
      </w:r>
      <w:proofErr w:type="spellStart"/>
      <w:r w:rsidRPr="00DC2624">
        <w:rPr>
          <w:rFonts w:ascii="Calibri Light" w:eastAsiaTheme="minorEastAsia" w:hAnsi="Calibri Light" w:cs="Calibri Light"/>
        </w:rPr>
        <w:t>yaitu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laporan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</w:t>
      </w:r>
      <w:proofErr w:type="spellStart"/>
      <w:r w:rsidRPr="00DC2624">
        <w:rPr>
          <w:rFonts w:ascii="Calibri Light" w:eastAsiaTheme="minorEastAsia" w:hAnsi="Calibri Light" w:cs="Calibri Light"/>
        </w:rPr>
        <w:t>keuangan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yang </w:t>
      </w:r>
      <w:proofErr w:type="spellStart"/>
      <w:r w:rsidRPr="00DC2624">
        <w:rPr>
          <w:rFonts w:ascii="Calibri Light" w:eastAsiaTheme="minorEastAsia" w:hAnsi="Calibri Light" w:cs="Calibri Light"/>
        </w:rPr>
        <w:t>dipublikasikan</w:t>
      </w:r>
      <w:proofErr w:type="spellEnd"/>
      <w:r w:rsidRPr="00DC2624">
        <w:rPr>
          <w:rFonts w:ascii="Calibri Light" w:eastAsiaTheme="minorEastAsia" w:hAnsi="Calibri Light" w:cs="Calibri Light"/>
        </w:rPr>
        <w:t xml:space="preserve"> di </w:t>
      </w:r>
      <w:hyperlink r:id="rId14" w:history="1">
        <w:r w:rsidR="00196493" w:rsidRPr="00DC2624">
          <w:rPr>
            <w:rFonts w:ascii="Calibri Light" w:eastAsiaTheme="minorEastAsia" w:hAnsi="Calibri Light" w:cs="Calibri Light"/>
          </w:rPr>
          <w:t>www.idx.co.id</w:t>
        </w:r>
      </w:hyperlink>
      <w:r w:rsidRPr="00DC2624">
        <w:rPr>
          <w:rFonts w:ascii="Calibri Light" w:eastAsiaTheme="minorEastAsia" w:hAnsi="Calibri Light" w:cs="Calibri Light"/>
        </w:rPr>
        <w:t xml:space="preserve">.  </w:t>
      </w:r>
    </w:p>
    <w:p w14:paraId="221319D9" w14:textId="77777777" w:rsidR="00196493" w:rsidRP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r w:rsidRPr="00DC2624">
        <w:rPr>
          <w:rFonts w:ascii="Calibri Light" w:eastAsia="Calibri" w:hAnsi="Calibri Light" w:cs="Calibri Light"/>
        </w:rPr>
        <w:t xml:space="preserve">Teknik </w:t>
      </w:r>
      <w:proofErr w:type="spellStart"/>
      <w:r w:rsidRPr="00DC2624">
        <w:rPr>
          <w:rFonts w:ascii="Calibri Light" w:eastAsia="Calibri" w:hAnsi="Calibri Light" w:cs="Calibri Light"/>
        </w:rPr>
        <w:t>analisis</w:t>
      </w:r>
      <w:proofErr w:type="spellEnd"/>
      <w:r w:rsidRPr="00196493">
        <w:rPr>
          <w:rFonts w:ascii="Calibri Light" w:eastAsia="Calibri" w:hAnsi="Calibri Light" w:cs="Calibri Light"/>
        </w:rPr>
        <w:t xml:space="preserve"> data yang </w:t>
      </w:r>
      <w:proofErr w:type="spellStart"/>
      <w:r w:rsidRPr="00196493">
        <w:rPr>
          <w:rFonts w:ascii="Calibri Light" w:eastAsia="Calibri" w:hAnsi="Calibri Light" w:cs="Calibri Light"/>
        </w:rPr>
        <w:t>digunakan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adalah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teknik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analisis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tingkat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kesehatan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menggunakan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pendekatan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(</w:t>
      </w:r>
      <w:r w:rsidRPr="00196493">
        <w:rPr>
          <w:rFonts w:ascii="Calibri Light" w:eastAsia="Calibri" w:hAnsi="Calibri Light" w:cs="Calibri Light"/>
          <w:i/>
          <w:iCs/>
        </w:rPr>
        <w:t>Risk-based Bank Rating/RBBR</w:t>
      </w:r>
      <w:r w:rsidRPr="00196493">
        <w:rPr>
          <w:rFonts w:ascii="Calibri Light" w:eastAsia="Calibri" w:hAnsi="Calibri Light" w:cs="Calibri Light"/>
        </w:rPr>
        <w:t xml:space="preserve">)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cakupan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meliputi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faktor-faktor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sebagai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berikut</w:t>
      </w:r>
      <w:proofErr w:type="spellEnd"/>
      <w:r w:rsidRPr="00196493">
        <w:rPr>
          <w:rFonts w:ascii="Calibri Light" w:eastAsia="Calibri" w:hAnsi="Calibri Light" w:cs="Calibri Light"/>
        </w:rPr>
        <w:t xml:space="preserve">: </w:t>
      </w:r>
    </w:p>
    <w:p w14:paraId="51D3673B" w14:textId="77777777" w:rsidR="00196493" w:rsidRPr="00196493" w:rsidRDefault="00196493" w:rsidP="001269CB">
      <w:pPr>
        <w:numPr>
          <w:ilvl w:val="0"/>
          <w:numId w:val="4"/>
        </w:numPr>
        <w:spacing w:after="0"/>
        <w:ind w:left="284" w:hanging="283"/>
        <w:contextualSpacing/>
        <w:jc w:val="both"/>
        <w:rPr>
          <w:rFonts w:ascii="Calibri Light" w:eastAsia="Calibri" w:hAnsi="Calibri Light" w:cs="Calibri Light"/>
          <w:b/>
        </w:rPr>
      </w:pPr>
      <w:proofErr w:type="spellStart"/>
      <w:r w:rsidRPr="00196493">
        <w:rPr>
          <w:rFonts w:ascii="Calibri Light" w:eastAsia="Calibri" w:hAnsi="Calibri Light" w:cs="Calibri Light"/>
          <w:b/>
        </w:rPr>
        <w:t>Penilaian</w:t>
      </w:r>
      <w:proofErr w:type="spellEnd"/>
      <w:r w:rsidRPr="00196493">
        <w:rPr>
          <w:rFonts w:ascii="Calibri Light" w:eastAsia="Calibri" w:hAnsi="Calibri Light" w:cs="Calibri Light"/>
          <w:b/>
        </w:rPr>
        <w:t xml:space="preserve"> </w:t>
      </w:r>
      <w:r w:rsidRPr="00196493">
        <w:rPr>
          <w:rFonts w:ascii="Calibri Light" w:eastAsia="Calibri" w:hAnsi="Calibri Light" w:cs="Calibri Light"/>
          <w:b/>
          <w:i/>
        </w:rPr>
        <w:t>Risk Profile</w:t>
      </w:r>
      <w:r w:rsidRPr="00196493">
        <w:rPr>
          <w:rFonts w:ascii="Calibri Light" w:eastAsia="Calibri" w:hAnsi="Calibri Light" w:cs="Calibri Light"/>
          <w:b/>
        </w:rPr>
        <w:t xml:space="preserve"> (</w:t>
      </w:r>
      <w:proofErr w:type="spellStart"/>
      <w:r w:rsidRPr="00196493">
        <w:rPr>
          <w:rFonts w:ascii="Calibri Light" w:eastAsia="Calibri" w:hAnsi="Calibri Light" w:cs="Calibri Light"/>
          <w:b/>
        </w:rPr>
        <w:t>Profil</w:t>
      </w:r>
      <w:proofErr w:type="spellEnd"/>
      <w:r w:rsidRPr="00196493">
        <w:rPr>
          <w:rFonts w:ascii="Calibri Light" w:eastAsia="Calibri" w:hAnsi="Calibri Light" w:cs="Calibri Light"/>
          <w:b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  <w:b/>
        </w:rPr>
        <w:t>Risiko</w:t>
      </w:r>
      <w:proofErr w:type="spellEnd"/>
      <w:r w:rsidRPr="00196493">
        <w:rPr>
          <w:rFonts w:ascii="Calibri Light" w:eastAsia="Calibri" w:hAnsi="Calibri Light" w:cs="Calibri Light"/>
          <w:b/>
        </w:rPr>
        <w:t>)</w:t>
      </w:r>
    </w:p>
    <w:p w14:paraId="362C34A0" w14:textId="7A8ECE17" w:rsid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terhadap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terbagi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menjadi</w:t>
      </w:r>
      <w:proofErr w:type="spellEnd"/>
      <w:r w:rsidRPr="00196493">
        <w:rPr>
          <w:rFonts w:ascii="Calibri Light" w:eastAsia="Calibri" w:hAnsi="Calibri Light" w:cs="Calibri Light"/>
        </w:rPr>
        <w:t xml:space="preserve"> 8 </w:t>
      </w:r>
      <w:proofErr w:type="spellStart"/>
      <w:r w:rsidRPr="00196493">
        <w:rPr>
          <w:rFonts w:ascii="Calibri Light" w:eastAsia="Calibri" w:hAnsi="Calibri Light" w:cs="Calibri Light"/>
        </w:rPr>
        <w:t>bagian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yaitu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kredit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pasar,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likuiditas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operasional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hukum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stratejik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kepatuhan</w:t>
      </w:r>
      <w:proofErr w:type="spellEnd"/>
      <w:r w:rsidRPr="00196493">
        <w:rPr>
          <w:rFonts w:ascii="Calibri Light" w:eastAsia="Calibri" w:hAnsi="Calibri Light" w:cs="Calibri Light"/>
        </w:rPr>
        <w:t xml:space="preserve"> dan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reputasi</w:t>
      </w:r>
      <w:proofErr w:type="spellEnd"/>
      <w:r w:rsidRPr="00196493">
        <w:rPr>
          <w:rFonts w:ascii="Calibri Light" w:eastAsia="Calibri" w:hAnsi="Calibri Light" w:cs="Calibri Light"/>
        </w:rPr>
        <w:t xml:space="preserve">. </w:t>
      </w:r>
      <w:proofErr w:type="spellStart"/>
      <w:r w:rsidRPr="00196493">
        <w:rPr>
          <w:rFonts w:ascii="Calibri Light" w:eastAsia="Calibri" w:hAnsi="Calibri Light" w:cs="Calibri Light"/>
        </w:rPr>
        <w:t>Dalam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penelitian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ini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mengukur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faktor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r w:rsidRPr="00196493">
        <w:rPr>
          <w:rFonts w:ascii="Calibri Light" w:eastAsia="Calibri" w:hAnsi="Calibri Light" w:cs="Calibri Light"/>
          <w:i/>
          <w:iCs/>
        </w:rPr>
        <w:t xml:space="preserve">risk profile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menggunakan</w:t>
      </w:r>
      <w:proofErr w:type="spellEnd"/>
      <w:r w:rsidRPr="00196493">
        <w:rPr>
          <w:rFonts w:ascii="Calibri Light" w:eastAsia="Calibri" w:hAnsi="Calibri Light" w:cs="Calibri Light"/>
        </w:rPr>
        <w:t xml:space="preserve"> 2 </w:t>
      </w:r>
      <w:proofErr w:type="spellStart"/>
      <w:r w:rsidRPr="00196493">
        <w:rPr>
          <w:rFonts w:ascii="Calibri Light" w:eastAsia="Calibri" w:hAnsi="Calibri Light" w:cs="Calibri Light"/>
        </w:rPr>
        <w:t>indikator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yaitu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faktor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kredit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menggunakan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rumus</w:t>
      </w:r>
      <w:proofErr w:type="spellEnd"/>
      <w:r w:rsidRPr="00196493">
        <w:rPr>
          <w:rFonts w:ascii="Calibri Light" w:eastAsia="Calibri" w:hAnsi="Calibri Light" w:cs="Calibri Light"/>
        </w:rPr>
        <w:t xml:space="preserve"> NPL dan </w:t>
      </w: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likuiditas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rumus</w:t>
      </w:r>
      <w:proofErr w:type="spellEnd"/>
      <w:r w:rsidRPr="00196493">
        <w:rPr>
          <w:rFonts w:ascii="Calibri Light" w:eastAsia="Calibri" w:hAnsi="Calibri Light" w:cs="Calibri Light"/>
        </w:rPr>
        <w:t xml:space="preserve"> LDR, LAR, dan Cash Ratio.</w:t>
      </w:r>
    </w:p>
    <w:p w14:paraId="58EBB112" w14:textId="77777777" w:rsidR="00196493" w:rsidRPr="00196493" w:rsidRDefault="00196493" w:rsidP="001269C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Kredit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</w:p>
    <w:p w14:paraId="64F4DC4C" w14:textId="77777777" w:rsidR="00196493" w:rsidRP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menghitiung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rasio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gramStart"/>
      <w:r w:rsidRPr="00196493">
        <w:rPr>
          <w:rFonts w:ascii="Calibri Light" w:eastAsia="Calibri" w:hAnsi="Calibri Light" w:cs="Calibri Light"/>
          <w:i/>
        </w:rPr>
        <w:t>Non Performing</w:t>
      </w:r>
      <w:proofErr w:type="gramEnd"/>
      <w:r w:rsidRPr="00196493">
        <w:rPr>
          <w:rFonts w:ascii="Calibri Light" w:eastAsia="Calibri" w:hAnsi="Calibri Light" w:cs="Calibri Light"/>
          <w:i/>
        </w:rPr>
        <w:t xml:space="preserve"> Loan</w:t>
      </w:r>
      <w:r w:rsidRPr="00196493">
        <w:rPr>
          <w:rFonts w:ascii="Calibri Light" w:eastAsia="Calibri" w:hAnsi="Calibri Light" w:cs="Calibri Light"/>
        </w:rPr>
        <w:t>:</w:t>
      </w:r>
    </w:p>
    <w:p w14:paraId="20B44ADE" w14:textId="77777777" w:rsidR="00196493" w:rsidRPr="00196493" w:rsidRDefault="00196493" w:rsidP="007617D7">
      <w:pPr>
        <w:spacing w:after="0"/>
        <w:jc w:val="both"/>
        <w:rPr>
          <w:rFonts w:ascii="Calibri Light" w:eastAsia="Times New Roman" w:hAnsi="Calibri Light" w:cs="Calibri Light"/>
        </w:rPr>
      </w:pPr>
      <m:oMathPara>
        <m:oMath>
          <m:r>
            <w:rPr>
              <w:rFonts w:ascii="Cambria Math" w:eastAsia="Calibri" w:hAnsi="Cambria Math" w:cs="Calibri Light"/>
            </w:rPr>
            <m:t>NPL</m:t>
          </m:r>
          <m:r>
            <m:rPr>
              <m:sty m:val="p"/>
            </m:rPr>
            <w:rPr>
              <w:rFonts w:ascii="Cambria Math" w:eastAsia="Calibri" w:hAnsi="Cambria Math" w:cs="Calibri Light"/>
            </w:rPr>
            <m:t>=</m:t>
          </m:r>
          <m:f>
            <m:fPr>
              <m:ctrlPr>
                <w:rPr>
                  <w:rFonts w:ascii="Cambria Math" w:eastAsia="Calibri" w:hAnsi="Cambria Math" w:cs="Calibri Ligh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>Kredit Bermasalah</m:t>
              </m:r>
            </m:num>
            <m:den>
              <m:r>
                <w:rPr>
                  <w:rFonts w:ascii="Cambria Math" w:eastAsia="Calibri" w:hAnsi="Cambria Math" w:cs="Calibri Light"/>
                </w:rPr>
                <m:t>Total Kredit</m:t>
              </m:r>
            </m:den>
          </m:f>
          <m:r>
            <m:rPr>
              <m:sty m:val="p"/>
            </m:rPr>
            <w:rPr>
              <w:rFonts w:ascii="Cambria Math" w:eastAsia="Calibri" w:hAnsi="Cambria Math" w:cs="Calibri Light"/>
            </w:rPr>
            <m:t>× 100%</m:t>
          </m:r>
        </m:oMath>
      </m:oMathPara>
    </w:p>
    <w:p w14:paraId="3FA8F8C5" w14:textId="77777777" w:rsidR="00196493" w:rsidRPr="00196493" w:rsidRDefault="00196493" w:rsidP="007617D7">
      <w:pPr>
        <w:spacing w:after="0"/>
        <w:ind w:left="1134" w:hanging="1134"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>: Lampiran SE BI No. 13/24/DPNP/201</w:t>
      </w:r>
    </w:p>
    <w:p w14:paraId="06D09D49" w14:textId="446E5E62" w:rsidR="00196493" w:rsidRPr="00DC2624" w:rsidRDefault="00196493" w:rsidP="00DC2624">
      <w:pPr>
        <w:pStyle w:val="Caption"/>
        <w:spacing w:after="0"/>
        <w:ind w:left="426" w:hanging="426"/>
        <w:jc w:val="both"/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</w:pPr>
      <w:bookmarkStart w:id="1" w:name="_Toc31443080"/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Table </w:t>
      </w:r>
      <w:r w:rsidR="00A8369D">
        <w:rPr>
          <w:rFonts w:ascii="Calibri Light" w:hAnsi="Calibri Light" w:cs="Calibri Light"/>
          <w:bCs/>
          <w:i w:val="0"/>
          <w:color w:val="auto"/>
          <w:sz w:val="22"/>
          <w:szCs w:val="22"/>
        </w:rPr>
        <w:t>1</w: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.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Matriks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Kriteria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Penetapan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Peringkat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gramStart"/>
      <w:r w:rsidRPr="00DC2624">
        <w:rPr>
          <w:rFonts w:ascii="Calibri Light" w:eastAsia="Calibri" w:hAnsi="Calibri Light" w:cs="Calibri Light"/>
          <w:bCs/>
          <w:iCs w:val="0"/>
          <w:color w:val="auto"/>
          <w:sz w:val="22"/>
          <w:szCs w:val="22"/>
          <w:lang w:val="en-US"/>
        </w:rPr>
        <w:t>Non Performing</w:t>
      </w:r>
      <w:proofErr w:type="gramEnd"/>
      <w:r w:rsidRPr="00DC2624">
        <w:rPr>
          <w:rFonts w:ascii="Calibri Light" w:eastAsia="Calibri" w:hAnsi="Calibri Light" w:cs="Calibri Light"/>
          <w:bCs/>
          <w:iCs w:val="0"/>
          <w:color w:val="auto"/>
          <w:sz w:val="22"/>
          <w:szCs w:val="22"/>
          <w:lang w:val="en-US"/>
        </w:rPr>
        <w:t xml:space="preserve"> Loan</w:t>
      </w:r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(NPL)</w:t>
      </w:r>
      <w:bookmarkEnd w:id="1"/>
    </w:p>
    <w:tbl>
      <w:tblPr>
        <w:tblStyle w:val="TableGrid13"/>
        <w:tblW w:w="3828" w:type="dxa"/>
        <w:tblInd w:w="108" w:type="dxa"/>
        <w:tblLook w:val="04A0" w:firstRow="1" w:lastRow="0" w:firstColumn="1" w:lastColumn="0" w:noHBand="0" w:noVBand="1"/>
      </w:tblPr>
      <w:tblGrid>
        <w:gridCol w:w="851"/>
        <w:gridCol w:w="1134"/>
        <w:gridCol w:w="1843"/>
      </w:tblGrid>
      <w:tr w:rsidR="00196493" w:rsidRPr="00196493" w14:paraId="0B51549F" w14:textId="77777777" w:rsidTr="00196493">
        <w:trPr>
          <w:trHeight w:val="256"/>
        </w:trPr>
        <w:tc>
          <w:tcPr>
            <w:tcW w:w="851" w:type="dxa"/>
          </w:tcPr>
          <w:p w14:paraId="0C2EA129" w14:textId="77777777" w:rsidR="00196493" w:rsidRPr="00196493" w:rsidRDefault="00196493" w:rsidP="007617D7">
            <w:pPr>
              <w:ind w:left="-177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Peringkat</w:t>
            </w:r>
            <w:proofErr w:type="spellEnd"/>
          </w:p>
        </w:tc>
        <w:tc>
          <w:tcPr>
            <w:tcW w:w="1134" w:type="dxa"/>
          </w:tcPr>
          <w:p w14:paraId="73E958BD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Keterangan</w:t>
            </w:r>
            <w:proofErr w:type="spellEnd"/>
          </w:p>
        </w:tc>
        <w:tc>
          <w:tcPr>
            <w:tcW w:w="1843" w:type="dxa"/>
          </w:tcPr>
          <w:p w14:paraId="59FE495D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Kriteria</w:t>
            </w:r>
            <w:proofErr w:type="spellEnd"/>
          </w:p>
        </w:tc>
      </w:tr>
      <w:tr w:rsidR="00196493" w:rsidRPr="00196493" w14:paraId="4A9B2CD8" w14:textId="77777777" w:rsidTr="00196493">
        <w:trPr>
          <w:trHeight w:val="132"/>
        </w:trPr>
        <w:tc>
          <w:tcPr>
            <w:tcW w:w="851" w:type="dxa"/>
          </w:tcPr>
          <w:p w14:paraId="4A281773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F187FC0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Sangat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69E9D4F2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0%&lt; NPL &lt; 2%</w:t>
            </w:r>
          </w:p>
        </w:tc>
      </w:tr>
      <w:tr w:rsidR="00196493" w:rsidRPr="00196493" w14:paraId="792C06DF" w14:textId="77777777" w:rsidTr="00196493">
        <w:trPr>
          <w:trHeight w:val="122"/>
        </w:trPr>
        <w:tc>
          <w:tcPr>
            <w:tcW w:w="851" w:type="dxa"/>
          </w:tcPr>
          <w:p w14:paraId="3E1427A5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641C23B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43C50A61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2% ≤ NPL &lt; 5%</w:t>
            </w:r>
          </w:p>
        </w:tc>
      </w:tr>
      <w:tr w:rsidR="00196493" w:rsidRPr="00196493" w14:paraId="4B7084D0" w14:textId="77777777" w:rsidTr="00196493">
        <w:trPr>
          <w:trHeight w:val="151"/>
        </w:trPr>
        <w:tc>
          <w:tcPr>
            <w:tcW w:w="851" w:type="dxa"/>
          </w:tcPr>
          <w:p w14:paraId="29109ED6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DAA3B19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Cukup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06AA399A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5% ≤ NPL &lt; 8%</w:t>
            </w:r>
          </w:p>
        </w:tc>
      </w:tr>
      <w:tr w:rsidR="00196493" w:rsidRPr="00196493" w14:paraId="43179033" w14:textId="77777777" w:rsidTr="00196493">
        <w:trPr>
          <w:trHeight w:val="226"/>
        </w:trPr>
        <w:tc>
          <w:tcPr>
            <w:tcW w:w="851" w:type="dxa"/>
          </w:tcPr>
          <w:p w14:paraId="36A3FE6C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C644D6D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Kurang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3EFB206B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8% &lt; NPL ≤ 11%</w:t>
            </w:r>
          </w:p>
        </w:tc>
      </w:tr>
      <w:tr w:rsidR="00196493" w:rsidRPr="00196493" w14:paraId="46F78DA6" w14:textId="77777777" w:rsidTr="00196493">
        <w:trPr>
          <w:trHeight w:val="116"/>
        </w:trPr>
        <w:tc>
          <w:tcPr>
            <w:tcW w:w="851" w:type="dxa"/>
          </w:tcPr>
          <w:p w14:paraId="7A03BA82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C170017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Tidak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196B5DBB" w14:textId="77777777" w:rsidR="00196493" w:rsidRPr="00196493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NPL &gt; 11%</w:t>
            </w:r>
          </w:p>
        </w:tc>
      </w:tr>
    </w:tbl>
    <w:p w14:paraId="2201F46B" w14:textId="22630E25" w:rsidR="00196493" w:rsidRPr="00196493" w:rsidRDefault="00196493" w:rsidP="007617D7">
      <w:pPr>
        <w:spacing w:after="0" w:line="240" w:lineRule="auto"/>
        <w:ind w:left="993" w:hanging="993"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 xml:space="preserve">: </w:t>
      </w:r>
      <w:proofErr w:type="spellStart"/>
      <w:r w:rsidRPr="00196493">
        <w:rPr>
          <w:rFonts w:ascii="Calibri Light" w:eastAsia="Calibri" w:hAnsi="Calibri Light" w:cs="Calibri Light"/>
        </w:rPr>
        <w:t>Kodifikasi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Tingkat</w:t>
      </w:r>
      <w:r>
        <w:rPr>
          <w:rFonts w:ascii="Calibri Light" w:eastAsia="Calibri" w:hAnsi="Calibri Light" w:cs="Calibri Light"/>
        </w:rPr>
        <w:t xml:space="preserve"> </w:t>
      </w:r>
      <w:proofErr w:type="spellStart"/>
      <w:r>
        <w:rPr>
          <w:rFonts w:ascii="Calibri Light" w:eastAsia="Calibri" w:hAnsi="Calibri Light" w:cs="Calibri Light"/>
        </w:rPr>
        <w:t>Kesehatan</w:t>
      </w:r>
      <w:proofErr w:type="spellEnd"/>
      <w:r>
        <w:rPr>
          <w:rFonts w:ascii="Calibri Light" w:eastAsia="Calibri" w:hAnsi="Calibri Light" w:cs="Calibri Light"/>
        </w:rPr>
        <w:t xml:space="preserve"> </w:t>
      </w:r>
      <w:r w:rsidRPr="00196493">
        <w:rPr>
          <w:rFonts w:ascii="Calibri Light" w:eastAsia="Calibri" w:hAnsi="Calibri Light" w:cs="Calibri Light"/>
        </w:rPr>
        <w:t xml:space="preserve">Bank </w:t>
      </w:r>
      <w:proofErr w:type="spellStart"/>
      <w:r w:rsidRPr="00196493">
        <w:rPr>
          <w:rFonts w:ascii="Calibri Light" w:eastAsia="Calibri" w:hAnsi="Calibri Light" w:cs="Calibri Light"/>
        </w:rPr>
        <w:t>Tahun</w:t>
      </w:r>
      <w:proofErr w:type="spellEnd"/>
      <w:r w:rsidRPr="00196493">
        <w:rPr>
          <w:rFonts w:ascii="Calibri Light" w:eastAsia="Calibri" w:hAnsi="Calibri Light" w:cs="Calibri Light"/>
        </w:rPr>
        <w:t xml:space="preserve"> 2012</w:t>
      </w:r>
    </w:p>
    <w:p w14:paraId="400A81EA" w14:textId="77777777" w:rsidR="00196493" w:rsidRPr="00196493" w:rsidRDefault="00196493" w:rsidP="001269C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Risiko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Likuiditas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</w:p>
    <w:p w14:paraId="6E26CE10" w14:textId="77777777" w:rsidR="00196493" w:rsidRP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menghitung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rasio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r w:rsidRPr="00196493">
        <w:rPr>
          <w:rFonts w:ascii="Calibri Light" w:eastAsia="Calibri" w:hAnsi="Calibri Light" w:cs="Calibri Light"/>
          <w:i/>
        </w:rPr>
        <w:t>Loan to Deposit Ratio</w:t>
      </w:r>
      <w:r w:rsidRPr="00196493">
        <w:rPr>
          <w:rFonts w:ascii="Calibri Light" w:eastAsia="Calibri" w:hAnsi="Calibri Light" w:cs="Calibri Light"/>
        </w:rPr>
        <w:t>:</w:t>
      </w:r>
    </w:p>
    <w:p w14:paraId="61BC36C5" w14:textId="77777777" w:rsidR="00196493" w:rsidRPr="00196493" w:rsidRDefault="00196493" w:rsidP="007617D7">
      <w:pPr>
        <w:spacing w:after="0"/>
        <w:jc w:val="both"/>
        <w:rPr>
          <w:rFonts w:ascii="Calibri Light" w:eastAsia="Times New Roman" w:hAnsi="Calibri Light" w:cs="Calibri Light"/>
        </w:rPr>
      </w:pPr>
      <m:oMathPara>
        <m:oMath>
          <m:r>
            <w:rPr>
              <w:rFonts w:ascii="Cambria Math" w:eastAsia="Calibri" w:hAnsi="Cambria Math" w:cs="Calibri Light"/>
            </w:rPr>
            <m:t>LDR</m:t>
          </m:r>
          <m:r>
            <m:rPr>
              <m:sty m:val="p"/>
            </m:rPr>
            <w:rPr>
              <w:rFonts w:ascii="Cambria Math" w:eastAsia="Calibri" w:hAnsi="Cambria Math" w:cs="Calibri Light"/>
            </w:rPr>
            <m:t>=</m:t>
          </m:r>
          <m:f>
            <m:fPr>
              <m:ctrlPr>
                <w:rPr>
                  <w:rFonts w:ascii="Cambria Math" w:eastAsia="Calibri" w:hAnsi="Cambria Math" w:cs="Calibri Ligh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 xml:space="preserve">Total Kredit </m:t>
              </m:r>
            </m:num>
            <m:den>
              <m:r>
                <w:rPr>
                  <w:rFonts w:ascii="Cambria Math" w:eastAsia="Calibri" w:hAnsi="Cambria Math" w:cs="Calibri Light"/>
                </w:rPr>
                <m:t>Dana Pihak Ketiga</m:t>
              </m:r>
            </m:den>
          </m:f>
          <m:r>
            <m:rPr>
              <m:sty m:val="p"/>
            </m:rPr>
            <w:rPr>
              <w:rFonts w:ascii="Cambria Math" w:eastAsia="Calibri" w:hAnsi="Cambria Math" w:cs="Calibri Light"/>
            </w:rPr>
            <m:t>×100%</m:t>
          </m:r>
        </m:oMath>
      </m:oMathPara>
    </w:p>
    <w:p w14:paraId="0C8E0042" w14:textId="0A5A0B4B" w:rsidR="00196493" w:rsidRPr="00196493" w:rsidRDefault="00196493" w:rsidP="007617D7">
      <w:pPr>
        <w:tabs>
          <w:tab w:val="left" w:pos="1418"/>
          <w:tab w:val="left" w:pos="1843"/>
        </w:tabs>
        <w:spacing w:after="0"/>
        <w:ind w:left="993" w:hanging="993"/>
        <w:jc w:val="both"/>
        <w:rPr>
          <w:rFonts w:ascii="Calibri Light" w:eastAsia="Times New Roman" w:hAnsi="Calibri Light" w:cs="Calibri Light"/>
        </w:rPr>
      </w:pPr>
      <w:proofErr w:type="spellStart"/>
      <w:r w:rsidRPr="00196493">
        <w:rPr>
          <w:rFonts w:ascii="Calibri Light" w:eastAsia="Times New Roman" w:hAnsi="Calibri Light" w:cs="Calibri Light"/>
        </w:rPr>
        <w:t>Sumber</w:t>
      </w:r>
      <w:proofErr w:type="spellEnd"/>
      <w:r w:rsidRPr="00196493">
        <w:rPr>
          <w:rFonts w:ascii="Calibri Light" w:eastAsia="Times New Roman" w:hAnsi="Calibri Light" w:cs="Calibri Light"/>
        </w:rPr>
        <w:t>: Lampiran SE BI No. 13/24/DPNP/2011</w:t>
      </w:r>
    </w:p>
    <w:p w14:paraId="3EAC8B8A" w14:textId="75EC6128" w:rsidR="00196493" w:rsidRPr="00DC2624" w:rsidRDefault="00196493" w:rsidP="00DC2624">
      <w:pPr>
        <w:pStyle w:val="Caption"/>
        <w:spacing w:after="0"/>
        <w:ind w:left="426" w:hanging="426"/>
        <w:jc w:val="both"/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</w:pPr>
      <w:bookmarkStart w:id="2" w:name="_Toc31443081"/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lastRenderedPageBreak/>
        <w:t>Table</w:t>
      </w:r>
      <w:r w:rsidR="00A8369D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 2</w: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.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Matriks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Kriteria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Penetapan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Peringkat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r w:rsidRPr="00DC2624">
        <w:rPr>
          <w:rFonts w:ascii="Calibri Light" w:eastAsia="Times New Roman" w:hAnsi="Calibri Light" w:cs="Calibri Light"/>
          <w:bCs/>
          <w:iCs w:val="0"/>
          <w:color w:val="auto"/>
          <w:sz w:val="22"/>
          <w:szCs w:val="22"/>
          <w:lang w:val="en-US"/>
        </w:rPr>
        <w:t>Loan to Deposit Ratio</w:t>
      </w:r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(LDR)</w:t>
      </w:r>
      <w:bookmarkEnd w:id="2"/>
    </w:p>
    <w:tbl>
      <w:tblPr>
        <w:tblStyle w:val="TableGrid14"/>
        <w:tblW w:w="0" w:type="auto"/>
        <w:tblInd w:w="108" w:type="dxa"/>
        <w:tblLook w:val="04A0" w:firstRow="1" w:lastRow="0" w:firstColumn="1" w:lastColumn="0" w:noHBand="0" w:noVBand="1"/>
      </w:tblPr>
      <w:tblGrid>
        <w:gridCol w:w="759"/>
        <w:gridCol w:w="1368"/>
        <w:gridCol w:w="1559"/>
      </w:tblGrid>
      <w:tr w:rsidR="00196493" w:rsidRPr="00196493" w14:paraId="26CB9C79" w14:textId="77777777" w:rsidTr="00283D5D">
        <w:trPr>
          <w:trHeight w:val="70"/>
        </w:trPr>
        <w:tc>
          <w:tcPr>
            <w:tcW w:w="759" w:type="dxa"/>
          </w:tcPr>
          <w:p w14:paraId="7C72035F" w14:textId="77777777" w:rsidR="00196493" w:rsidRPr="00196493" w:rsidRDefault="00196493" w:rsidP="007617D7">
            <w:pPr>
              <w:spacing w:line="276" w:lineRule="auto"/>
              <w:ind w:left="-86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Peringkat</w:t>
            </w:r>
            <w:proofErr w:type="spellEnd"/>
          </w:p>
        </w:tc>
        <w:tc>
          <w:tcPr>
            <w:tcW w:w="1368" w:type="dxa"/>
          </w:tcPr>
          <w:p w14:paraId="3CF85656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Keterangan</w:t>
            </w:r>
            <w:proofErr w:type="spellEnd"/>
          </w:p>
        </w:tc>
        <w:tc>
          <w:tcPr>
            <w:tcW w:w="1559" w:type="dxa"/>
          </w:tcPr>
          <w:p w14:paraId="1E1500C7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Kriteria</w:t>
            </w:r>
            <w:proofErr w:type="spellEnd"/>
          </w:p>
        </w:tc>
      </w:tr>
      <w:tr w:rsidR="00196493" w:rsidRPr="00196493" w14:paraId="1ACDB057" w14:textId="77777777" w:rsidTr="00283D5D">
        <w:trPr>
          <w:trHeight w:val="226"/>
        </w:trPr>
        <w:tc>
          <w:tcPr>
            <w:tcW w:w="759" w:type="dxa"/>
          </w:tcPr>
          <w:p w14:paraId="6C3EA10D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368" w:type="dxa"/>
          </w:tcPr>
          <w:p w14:paraId="39B55A6C" w14:textId="77777777" w:rsidR="00196493" w:rsidRPr="00196493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Sangat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7D5AADE2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50% &lt; LDR ≤ 75%</w:t>
            </w:r>
          </w:p>
        </w:tc>
      </w:tr>
      <w:tr w:rsidR="00196493" w:rsidRPr="00196493" w14:paraId="45F1BA8B" w14:textId="77777777" w:rsidTr="00283D5D">
        <w:trPr>
          <w:trHeight w:val="144"/>
        </w:trPr>
        <w:tc>
          <w:tcPr>
            <w:tcW w:w="759" w:type="dxa"/>
          </w:tcPr>
          <w:p w14:paraId="5FF2A92F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368" w:type="dxa"/>
          </w:tcPr>
          <w:p w14:paraId="7B515706" w14:textId="77777777" w:rsidR="00196493" w:rsidRPr="00196493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7A84710B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75% &lt; LDR ≤ 85%</w:t>
            </w:r>
          </w:p>
        </w:tc>
      </w:tr>
      <w:tr w:rsidR="00196493" w:rsidRPr="00196493" w14:paraId="4E7FE2B3" w14:textId="77777777" w:rsidTr="00283D5D">
        <w:trPr>
          <w:trHeight w:val="189"/>
        </w:trPr>
        <w:tc>
          <w:tcPr>
            <w:tcW w:w="759" w:type="dxa"/>
          </w:tcPr>
          <w:p w14:paraId="658E3099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368" w:type="dxa"/>
          </w:tcPr>
          <w:p w14:paraId="1AEB5013" w14:textId="77777777" w:rsidR="00196493" w:rsidRPr="00196493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Cukup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506BB15B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85% &lt; LDR≤ 100%</w:t>
            </w:r>
          </w:p>
        </w:tc>
      </w:tr>
      <w:tr w:rsidR="00196493" w:rsidRPr="00196493" w14:paraId="729A249B" w14:textId="77777777" w:rsidTr="00283D5D">
        <w:trPr>
          <w:trHeight w:val="236"/>
        </w:trPr>
        <w:tc>
          <w:tcPr>
            <w:tcW w:w="759" w:type="dxa"/>
          </w:tcPr>
          <w:p w14:paraId="1B28C36C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368" w:type="dxa"/>
          </w:tcPr>
          <w:p w14:paraId="05DDCA46" w14:textId="77777777" w:rsidR="00196493" w:rsidRPr="00196493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Kurang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28A59036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100% &lt; NPL ≤ 120%</w:t>
            </w:r>
          </w:p>
        </w:tc>
      </w:tr>
      <w:tr w:rsidR="00196493" w:rsidRPr="00196493" w14:paraId="181C570C" w14:textId="77777777" w:rsidTr="00283D5D">
        <w:trPr>
          <w:trHeight w:val="139"/>
        </w:trPr>
        <w:tc>
          <w:tcPr>
            <w:tcW w:w="759" w:type="dxa"/>
          </w:tcPr>
          <w:p w14:paraId="1E7B48F8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368" w:type="dxa"/>
          </w:tcPr>
          <w:p w14:paraId="7AAB12E7" w14:textId="77777777" w:rsidR="00196493" w:rsidRPr="00196493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Tidak</w:t>
            </w:r>
            <w:proofErr w:type="spellEnd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10012CB2" w14:textId="77777777" w:rsidR="00196493" w:rsidRPr="00196493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196493">
              <w:rPr>
                <w:rFonts w:ascii="Calibri Light" w:eastAsia="Calibri" w:hAnsi="Calibri Light" w:cs="Calibri Light"/>
                <w:sz w:val="16"/>
                <w:szCs w:val="16"/>
              </w:rPr>
              <w:t>LDR &gt; 120%</w:t>
            </w:r>
          </w:p>
        </w:tc>
      </w:tr>
    </w:tbl>
    <w:p w14:paraId="12442B8C" w14:textId="77777777" w:rsidR="00196493" w:rsidRPr="00196493" w:rsidRDefault="00196493" w:rsidP="007617D7">
      <w:pPr>
        <w:spacing w:after="0"/>
        <w:ind w:left="993" w:hanging="993"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 xml:space="preserve">: </w:t>
      </w:r>
      <w:proofErr w:type="spellStart"/>
      <w:r w:rsidRPr="00196493">
        <w:rPr>
          <w:rFonts w:ascii="Calibri Light" w:eastAsia="Calibri" w:hAnsi="Calibri Light" w:cs="Calibri Light"/>
        </w:rPr>
        <w:t>Kodifikasi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Tingkat </w:t>
      </w:r>
      <w:proofErr w:type="spellStart"/>
      <w:r w:rsidRPr="00196493">
        <w:rPr>
          <w:rFonts w:ascii="Calibri Light" w:eastAsia="Calibri" w:hAnsi="Calibri Light" w:cs="Calibri Light"/>
        </w:rPr>
        <w:t>kesehatan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Tahun</w:t>
      </w:r>
      <w:proofErr w:type="spellEnd"/>
      <w:r w:rsidRPr="00196493">
        <w:rPr>
          <w:rFonts w:ascii="Calibri Light" w:eastAsia="Calibri" w:hAnsi="Calibri Light" w:cs="Calibri Light"/>
        </w:rPr>
        <w:t xml:space="preserve"> 2012</w:t>
      </w:r>
    </w:p>
    <w:p w14:paraId="5C475893" w14:textId="77777777" w:rsidR="00196493" w:rsidRPr="00196493" w:rsidRDefault="00196493" w:rsidP="001269CB">
      <w:pPr>
        <w:numPr>
          <w:ilvl w:val="0"/>
          <w:numId w:val="4"/>
        </w:numPr>
        <w:spacing w:after="0"/>
        <w:ind w:left="284" w:hanging="283"/>
        <w:contextualSpacing/>
        <w:jc w:val="both"/>
        <w:rPr>
          <w:rFonts w:ascii="Calibri Light" w:eastAsia="Calibri" w:hAnsi="Calibri Light" w:cs="Calibri Light"/>
          <w:b/>
        </w:rPr>
      </w:pPr>
      <w:proofErr w:type="spellStart"/>
      <w:r w:rsidRPr="00196493">
        <w:rPr>
          <w:rFonts w:ascii="Calibri Light" w:eastAsia="Calibri" w:hAnsi="Calibri Light" w:cs="Calibri Light"/>
          <w:b/>
        </w:rPr>
        <w:t>Penilaian</w:t>
      </w:r>
      <w:proofErr w:type="spellEnd"/>
      <w:r w:rsidRPr="00196493">
        <w:rPr>
          <w:rFonts w:ascii="Calibri Light" w:eastAsia="Calibri" w:hAnsi="Calibri Light" w:cs="Calibri Light"/>
          <w:b/>
        </w:rPr>
        <w:t xml:space="preserve"> </w:t>
      </w:r>
      <w:r w:rsidRPr="00196493">
        <w:rPr>
          <w:rFonts w:ascii="Calibri Light" w:eastAsia="Calibri" w:hAnsi="Calibri Light" w:cs="Calibri Light"/>
          <w:b/>
          <w:i/>
        </w:rPr>
        <w:t>Good Corporate Governance</w:t>
      </w:r>
      <w:r w:rsidRPr="00196493">
        <w:rPr>
          <w:rFonts w:ascii="Calibri Light" w:eastAsia="Calibri" w:hAnsi="Calibri Light" w:cs="Calibri Light"/>
          <w:b/>
        </w:rPr>
        <w:t xml:space="preserve"> (GCG)</w:t>
      </w:r>
    </w:p>
    <w:p w14:paraId="6C54CEFF" w14:textId="33A2504A" w:rsidR="00196493" w:rsidRP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faktor</w:t>
      </w:r>
      <w:proofErr w:type="spellEnd"/>
      <w:r w:rsidRPr="00196493">
        <w:rPr>
          <w:rFonts w:ascii="Calibri Light" w:eastAsia="Calibri" w:hAnsi="Calibri Light" w:cs="Calibri Light"/>
        </w:rPr>
        <w:t xml:space="preserve"> GCG </w:t>
      </w:r>
      <w:proofErr w:type="spellStart"/>
      <w:r w:rsidRPr="00196493">
        <w:rPr>
          <w:rFonts w:ascii="Calibri Light" w:eastAsia="Calibri" w:hAnsi="Calibri Light" w:cs="Calibri Light"/>
        </w:rPr>
        <w:t>merupakan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terhadap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kualitas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manajemen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atas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pelaksanaan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prinsip-prinsip</w:t>
      </w:r>
      <w:proofErr w:type="spellEnd"/>
      <w:r w:rsidRPr="00196493">
        <w:rPr>
          <w:rFonts w:ascii="Calibri Light" w:eastAsia="Calibri" w:hAnsi="Calibri Light" w:cs="Calibri Light"/>
        </w:rPr>
        <w:t xml:space="preserve"> GCG.</w:t>
      </w:r>
      <w:r w:rsidR="00283D5D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Prinsip-prinsip</w:t>
      </w:r>
      <w:proofErr w:type="spellEnd"/>
      <w:r w:rsidRPr="00196493">
        <w:rPr>
          <w:rFonts w:ascii="Calibri Light" w:eastAsia="Calibri" w:hAnsi="Calibri Light" w:cs="Calibri Light"/>
        </w:rPr>
        <w:t xml:space="preserve"> GCG dan </w:t>
      </w:r>
      <w:proofErr w:type="spellStart"/>
      <w:r w:rsidRPr="00196493">
        <w:rPr>
          <w:rFonts w:ascii="Calibri Light" w:eastAsia="Calibri" w:hAnsi="Calibri Light" w:cs="Calibri Light"/>
        </w:rPr>
        <w:t>fokus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terhadap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pelaksanaan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prinsip-prinsip</w:t>
      </w:r>
      <w:proofErr w:type="spellEnd"/>
      <w:r w:rsidRPr="00196493">
        <w:rPr>
          <w:rFonts w:ascii="Calibri Light" w:eastAsia="Calibri" w:hAnsi="Calibri Light" w:cs="Calibri Light"/>
        </w:rPr>
        <w:t xml:space="preserve"> GCG </w:t>
      </w:r>
      <w:proofErr w:type="spellStart"/>
      <w:r w:rsidRPr="00196493">
        <w:rPr>
          <w:rFonts w:ascii="Calibri Light" w:eastAsia="Calibri" w:hAnsi="Calibri Light" w:cs="Calibri Light"/>
        </w:rPr>
        <w:t>berpedoman</w:t>
      </w:r>
      <w:proofErr w:type="spellEnd"/>
      <w:r w:rsidRPr="00196493">
        <w:rPr>
          <w:rFonts w:ascii="Calibri Light" w:eastAsia="Calibri" w:hAnsi="Calibri Light" w:cs="Calibri Light"/>
        </w:rPr>
        <w:t xml:space="preserve"> pada </w:t>
      </w:r>
      <w:proofErr w:type="spellStart"/>
      <w:r w:rsidRPr="00196493">
        <w:rPr>
          <w:rFonts w:ascii="Calibri Light" w:eastAsia="Calibri" w:hAnsi="Calibri Light" w:cs="Calibri Light"/>
        </w:rPr>
        <w:t>ketentuan</w:t>
      </w:r>
      <w:proofErr w:type="spellEnd"/>
      <w:r w:rsidRPr="00196493">
        <w:rPr>
          <w:rFonts w:ascii="Calibri Light" w:eastAsia="Calibri" w:hAnsi="Calibri Light" w:cs="Calibri Light"/>
        </w:rPr>
        <w:t xml:space="preserve"> Bank Indonesia </w:t>
      </w:r>
      <w:proofErr w:type="spellStart"/>
      <w:r w:rsidRPr="00196493">
        <w:rPr>
          <w:rFonts w:ascii="Calibri Light" w:eastAsia="Calibri" w:hAnsi="Calibri Light" w:cs="Calibri Light"/>
        </w:rPr>
        <w:t>mengenai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pelaksanaan</w:t>
      </w:r>
      <w:proofErr w:type="spellEnd"/>
      <w:r w:rsidRPr="00196493">
        <w:rPr>
          <w:rFonts w:ascii="Calibri Light" w:eastAsia="Calibri" w:hAnsi="Calibri Light" w:cs="Calibri Light"/>
        </w:rPr>
        <w:t xml:space="preserve"> GCG </w:t>
      </w:r>
      <w:proofErr w:type="spellStart"/>
      <w:r w:rsidRPr="00196493">
        <w:rPr>
          <w:rFonts w:ascii="Calibri Light" w:eastAsia="Calibri" w:hAnsi="Calibri Light" w:cs="Calibri Light"/>
        </w:rPr>
        <w:t>bagi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Umum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memperhatikan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karakteristik</w:t>
      </w:r>
      <w:proofErr w:type="spellEnd"/>
      <w:r w:rsidRPr="00196493">
        <w:rPr>
          <w:rFonts w:ascii="Calibri Light" w:eastAsia="Calibri" w:hAnsi="Calibri Light" w:cs="Calibri Light"/>
        </w:rPr>
        <w:t xml:space="preserve"> dan </w:t>
      </w:r>
      <w:proofErr w:type="spellStart"/>
      <w:r w:rsidRPr="00196493">
        <w:rPr>
          <w:rFonts w:ascii="Calibri Light" w:eastAsia="Calibri" w:hAnsi="Calibri Light" w:cs="Calibri Light"/>
        </w:rPr>
        <w:t>kompleksitas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usaha</w:t>
      </w:r>
      <w:proofErr w:type="spellEnd"/>
      <w:r w:rsidRPr="00196493">
        <w:rPr>
          <w:rFonts w:ascii="Calibri Light" w:eastAsia="Calibri" w:hAnsi="Calibri Light" w:cs="Calibri Light"/>
        </w:rPr>
        <w:t xml:space="preserve"> Bank.</w:t>
      </w:r>
    </w:p>
    <w:p w14:paraId="0C95ECB3" w14:textId="77777777" w:rsidR="00196493" w:rsidRP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Penilain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pelaksanakan</w:t>
      </w:r>
      <w:proofErr w:type="spellEnd"/>
      <w:r w:rsidRPr="00196493">
        <w:rPr>
          <w:rFonts w:ascii="Calibri Light" w:eastAsia="Calibri" w:hAnsi="Calibri Light" w:cs="Calibri Light"/>
        </w:rPr>
        <w:t xml:space="preserve"> GCG bank </w:t>
      </w:r>
      <w:proofErr w:type="spellStart"/>
      <w:r w:rsidRPr="00196493">
        <w:rPr>
          <w:rFonts w:ascii="Calibri Light" w:eastAsia="Calibri" w:hAnsi="Calibri Light" w:cs="Calibri Light"/>
        </w:rPr>
        <w:t>mempertimbangkan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faktor-faktor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GCG </w:t>
      </w:r>
      <w:proofErr w:type="spellStart"/>
      <w:r w:rsidRPr="00196493">
        <w:rPr>
          <w:rFonts w:ascii="Calibri Light" w:eastAsia="Calibri" w:hAnsi="Calibri Light" w:cs="Calibri Light"/>
        </w:rPr>
        <w:t>secara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komprehensif</w:t>
      </w:r>
      <w:proofErr w:type="spellEnd"/>
      <w:r w:rsidRPr="00196493">
        <w:rPr>
          <w:rFonts w:ascii="Calibri Light" w:eastAsia="Calibri" w:hAnsi="Calibri Light" w:cs="Calibri Light"/>
        </w:rPr>
        <w:t xml:space="preserve"> dan </w:t>
      </w:r>
      <w:proofErr w:type="spellStart"/>
      <w:r w:rsidRPr="00196493">
        <w:rPr>
          <w:rFonts w:ascii="Calibri Light" w:eastAsia="Calibri" w:hAnsi="Calibri Light" w:cs="Calibri Light"/>
        </w:rPr>
        <w:t>terstruktur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mencakup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r w:rsidRPr="00196493">
        <w:rPr>
          <w:rFonts w:ascii="Calibri Light" w:eastAsia="Calibri" w:hAnsi="Calibri Light" w:cs="Calibri Light"/>
          <w:i/>
          <w:iCs/>
        </w:rPr>
        <w:t xml:space="preserve">governance </w:t>
      </w:r>
      <w:proofErr w:type="spellStart"/>
      <w:r w:rsidRPr="00196493">
        <w:rPr>
          <w:rFonts w:ascii="Calibri Light" w:eastAsia="Calibri" w:hAnsi="Calibri Light" w:cs="Calibri Light"/>
          <w:i/>
          <w:iCs/>
        </w:rPr>
        <w:t>structur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r w:rsidRPr="00196493">
        <w:rPr>
          <w:rFonts w:ascii="Calibri Light" w:eastAsia="Calibri" w:hAnsi="Calibri Light" w:cs="Calibri Light"/>
          <w:i/>
          <w:iCs/>
        </w:rPr>
        <w:t>governance process</w:t>
      </w:r>
      <w:r w:rsidRPr="00196493">
        <w:rPr>
          <w:rFonts w:ascii="Calibri Light" w:eastAsia="Calibri" w:hAnsi="Calibri Light" w:cs="Calibri Light"/>
        </w:rPr>
        <w:t xml:space="preserve">, dan </w:t>
      </w:r>
      <w:r w:rsidRPr="00196493">
        <w:rPr>
          <w:rFonts w:ascii="Calibri Light" w:eastAsia="Calibri" w:hAnsi="Calibri Light" w:cs="Calibri Light"/>
          <w:i/>
          <w:iCs/>
        </w:rPr>
        <w:t>governance outcome</w:t>
      </w:r>
      <w:r w:rsidRPr="00196493">
        <w:rPr>
          <w:rFonts w:ascii="Calibri Light" w:eastAsia="Calibri" w:hAnsi="Calibri Light" w:cs="Calibri Light"/>
        </w:rPr>
        <w:t xml:space="preserve">. </w:t>
      </w:r>
      <w:proofErr w:type="spellStart"/>
      <w:r w:rsidRPr="00196493">
        <w:rPr>
          <w:rFonts w:ascii="Calibri Light" w:eastAsia="Calibri" w:hAnsi="Calibri Light" w:cs="Calibri Light"/>
        </w:rPr>
        <w:t>Berdasarkan</w:t>
      </w:r>
      <w:proofErr w:type="spellEnd"/>
      <w:r w:rsidRPr="00196493">
        <w:rPr>
          <w:rFonts w:ascii="Calibri Light" w:eastAsia="Calibri" w:hAnsi="Calibri Light" w:cs="Calibri Light"/>
        </w:rPr>
        <w:t xml:space="preserve"> SE BI No. 15/15/DPNP </w:t>
      </w:r>
      <w:proofErr w:type="spellStart"/>
      <w:r w:rsidRPr="00196493">
        <w:rPr>
          <w:rFonts w:ascii="Calibri Light" w:eastAsia="Calibri" w:hAnsi="Calibri Light" w:cs="Calibri Light"/>
        </w:rPr>
        <w:t>Tahun</w:t>
      </w:r>
      <w:proofErr w:type="spellEnd"/>
      <w:r w:rsidRPr="00196493">
        <w:rPr>
          <w:rFonts w:ascii="Calibri Light" w:eastAsia="Calibri" w:hAnsi="Calibri Light" w:cs="Calibri Light"/>
        </w:rPr>
        <w:t xml:space="preserve"> 2013 bank </w:t>
      </w:r>
      <w:proofErr w:type="spellStart"/>
      <w:r w:rsidRPr="00196493">
        <w:rPr>
          <w:rFonts w:ascii="Calibri Light" w:eastAsia="Calibri" w:hAnsi="Calibri Light" w:cs="Calibri Light"/>
        </w:rPr>
        <w:t>diharuskan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melakukan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sendiri</w:t>
      </w:r>
      <w:proofErr w:type="spellEnd"/>
      <w:r w:rsidRPr="00196493">
        <w:rPr>
          <w:rFonts w:ascii="Calibri Light" w:eastAsia="Calibri" w:hAnsi="Calibri Light" w:cs="Calibri Light"/>
        </w:rPr>
        <w:t xml:space="preserve"> (</w:t>
      </w:r>
      <w:proofErr w:type="spellStart"/>
      <w:r w:rsidRPr="00196493">
        <w:rPr>
          <w:rFonts w:ascii="Calibri Light" w:eastAsia="Calibri" w:hAnsi="Calibri Light" w:cs="Calibri Light"/>
          <w:i/>
          <w:iCs/>
        </w:rPr>
        <w:t>self assessment</w:t>
      </w:r>
      <w:proofErr w:type="spellEnd"/>
      <w:r w:rsidRPr="00196493">
        <w:rPr>
          <w:rFonts w:ascii="Calibri Light" w:eastAsia="Calibri" w:hAnsi="Calibri Light" w:cs="Calibri Light"/>
        </w:rPr>
        <w:t xml:space="preserve">) </w:t>
      </w:r>
      <w:proofErr w:type="spellStart"/>
      <w:r w:rsidRPr="00196493">
        <w:rPr>
          <w:rFonts w:ascii="Calibri Light" w:eastAsia="Calibri" w:hAnsi="Calibri Light" w:cs="Calibri Light"/>
        </w:rPr>
        <w:t>terhadap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pelaksanaan</w:t>
      </w:r>
      <w:proofErr w:type="spellEnd"/>
      <w:r w:rsidRPr="00196493">
        <w:rPr>
          <w:rFonts w:ascii="Calibri Light" w:eastAsia="Calibri" w:hAnsi="Calibri Light" w:cs="Calibri Light"/>
        </w:rPr>
        <w:t xml:space="preserve"> GCG. Nilai </w:t>
      </w:r>
      <w:proofErr w:type="spellStart"/>
      <w:r w:rsidRPr="00196493">
        <w:rPr>
          <w:rFonts w:ascii="Calibri Light" w:eastAsia="Calibri" w:hAnsi="Calibri Light" w:cs="Calibri Light"/>
        </w:rPr>
        <w:t>komposit</w:t>
      </w:r>
      <w:proofErr w:type="spellEnd"/>
      <w:r w:rsidRPr="00196493">
        <w:rPr>
          <w:rFonts w:ascii="Calibri Light" w:eastAsia="Calibri" w:hAnsi="Calibri Light" w:cs="Calibri Light"/>
        </w:rPr>
        <w:t xml:space="preserve"> GCG </w:t>
      </w:r>
      <w:proofErr w:type="spellStart"/>
      <w:r w:rsidRPr="00196493">
        <w:rPr>
          <w:rFonts w:ascii="Calibri Light" w:eastAsia="Calibri" w:hAnsi="Calibri Light" w:cs="Calibri Light"/>
        </w:rPr>
        <w:t>membantu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peneliti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dalam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melihat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keadaan</w:t>
      </w:r>
      <w:proofErr w:type="spellEnd"/>
      <w:r w:rsidRPr="00196493">
        <w:rPr>
          <w:rFonts w:ascii="Calibri Light" w:eastAsia="Calibri" w:hAnsi="Calibri Light" w:cs="Calibri Light"/>
        </w:rPr>
        <w:t xml:space="preserve"> GCG </w:t>
      </w:r>
      <w:proofErr w:type="spellStart"/>
      <w:r w:rsidRPr="00196493">
        <w:rPr>
          <w:rFonts w:ascii="Calibri Light" w:eastAsia="Calibri" w:hAnsi="Calibri Light" w:cs="Calibri Light"/>
        </w:rPr>
        <w:t>masing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masing</w:t>
      </w:r>
      <w:proofErr w:type="spellEnd"/>
      <w:r w:rsidRPr="00196493">
        <w:rPr>
          <w:rFonts w:ascii="Calibri Light" w:eastAsia="Calibri" w:hAnsi="Calibri Light" w:cs="Calibri Light"/>
        </w:rPr>
        <w:t xml:space="preserve"> bank.</w:t>
      </w:r>
    </w:p>
    <w:p w14:paraId="6EA63D68" w14:textId="1D57683F" w:rsidR="00196493" w:rsidRPr="00DC2624" w:rsidRDefault="00196493" w:rsidP="00DC2624">
      <w:pPr>
        <w:pStyle w:val="Caption"/>
        <w:spacing w:after="0"/>
        <w:ind w:left="284" w:hanging="284"/>
        <w:jc w:val="both"/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</w:pPr>
      <w:bookmarkStart w:id="3" w:name="_Toc31443082"/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>Table</w:t>
      </w:r>
      <w:r w:rsidR="00A8369D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 3</w: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.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Matriks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Kriteria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Penetapan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Peringkat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r w:rsidRPr="00DC2624">
        <w:rPr>
          <w:rFonts w:ascii="Calibri Light" w:eastAsia="Calibri" w:hAnsi="Calibri Light" w:cs="Calibri Light"/>
          <w:bCs/>
          <w:iCs w:val="0"/>
          <w:color w:val="auto"/>
          <w:sz w:val="22"/>
          <w:szCs w:val="22"/>
          <w:lang w:val="en-US"/>
        </w:rPr>
        <w:t>Good Corporate Governance</w:t>
      </w:r>
      <w:bookmarkEnd w:id="3"/>
    </w:p>
    <w:tbl>
      <w:tblPr>
        <w:tblStyle w:val="TableGrid14"/>
        <w:tblW w:w="3686" w:type="dxa"/>
        <w:tblInd w:w="108" w:type="dxa"/>
        <w:tblLook w:val="04A0" w:firstRow="1" w:lastRow="0" w:firstColumn="1" w:lastColumn="0" w:noHBand="0" w:noVBand="1"/>
      </w:tblPr>
      <w:tblGrid>
        <w:gridCol w:w="824"/>
        <w:gridCol w:w="1019"/>
        <w:gridCol w:w="1843"/>
      </w:tblGrid>
      <w:tr w:rsidR="00196493" w:rsidRPr="00C505DB" w14:paraId="1D48FF94" w14:textId="77777777" w:rsidTr="00C505DB">
        <w:trPr>
          <w:trHeight w:val="183"/>
        </w:trPr>
        <w:tc>
          <w:tcPr>
            <w:tcW w:w="824" w:type="dxa"/>
          </w:tcPr>
          <w:p w14:paraId="7A8EA953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Peringkat</w:t>
            </w:r>
            <w:proofErr w:type="spellEnd"/>
          </w:p>
        </w:tc>
        <w:tc>
          <w:tcPr>
            <w:tcW w:w="1019" w:type="dxa"/>
          </w:tcPr>
          <w:p w14:paraId="4E02E0BE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Keterangan</w:t>
            </w:r>
            <w:proofErr w:type="spellEnd"/>
          </w:p>
        </w:tc>
        <w:tc>
          <w:tcPr>
            <w:tcW w:w="1843" w:type="dxa"/>
          </w:tcPr>
          <w:p w14:paraId="5F74C225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Kriteria</w:t>
            </w:r>
            <w:proofErr w:type="spellEnd"/>
          </w:p>
        </w:tc>
      </w:tr>
      <w:tr w:rsidR="00196493" w:rsidRPr="00C505DB" w14:paraId="50732884" w14:textId="77777777" w:rsidTr="00C505DB">
        <w:trPr>
          <w:trHeight w:val="216"/>
        </w:trPr>
        <w:tc>
          <w:tcPr>
            <w:tcW w:w="824" w:type="dxa"/>
          </w:tcPr>
          <w:p w14:paraId="14818717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1</w:t>
            </w:r>
          </w:p>
        </w:tc>
        <w:tc>
          <w:tcPr>
            <w:tcW w:w="1019" w:type="dxa"/>
          </w:tcPr>
          <w:p w14:paraId="48284B48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Sangat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</w:t>
            </w: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4CDCDF66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Memiliki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NK &lt; 1,5</w:t>
            </w:r>
          </w:p>
        </w:tc>
      </w:tr>
      <w:tr w:rsidR="00196493" w:rsidRPr="00C505DB" w14:paraId="31B2D392" w14:textId="77777777" w:rsidTr="00C505DB">
        <w:trPr>
          <w:trHeight w:val="133"/>
        </w:trPr>
        <w:tc>
          <w:tcPr>
            <w:tcW w:w="824" w:type="dxa"/>
          </w:tcPr>
          <w:p w14:paraId="6CE62F56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2</w:t>
            </w:r>
          </w:p>
        </w:tc>
        <w:tc>
          <w:tcPr>
            <w:tcW w:w="1019" w:type="dxa"/>
          </w:tcPr>
          <w:p w14:paraId="55B2D8D9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4935D82B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Memliki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NK 1,5 ≤ NK &lt; 2,5</w:t>
            </w:r>
          </w:p>
        </w:tc>
      </w:tr>
      <w:tr w:rsidR="00196493" w:rsidRPr="00C505DB" w14:paraId="6ABF3C5E" w14:textId="77777777" w:rsidTr="00C505DB">
        <w:trPr>
          <w:trHeight w:val="180"/>
        </w:trPr>
        <w:tc>
          <w:tcPr>
            <w:tcW w:w="824" w:type="dxa"/>
          </w:tcPr>
          <w:p w14:paraId="346B5BBC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3</w:t>
            </w:r>
          </w:p>
        </w:tc>
        <w:tc>
          <w:tcPr>
            <w:tcW w:w="1019" w:type="dxa"/>
          </w:tcPr>
          <w:p w14:paraId="15AB1105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Cukup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</w:t>
            </w: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5EB89880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Memiliki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NK 2,5 ≤ NK &lt; 3,5</w:t>
            </w:r>
          </w:p>
        </w:tc>
      </w:tr>
      <w:tr w:rsidR="00196493" w:rsidRPr="00C505DB" w14:paraId="386E402B" w14:textId="77777777" w:rsidTr="00C505DB">
        <w:trPr>
          <w:trHeight w:val="226"/>
        </w:trPr>
        <w:tc>
          <w:tcPr>
            <w:tcW w:w="824" w:type="dxa"/>
          </w:tcPr>
          <w:p w14:paraId="457BC222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4</w:t>
            </w:r>
          </w:p>
        </w:tc>
        <w:tc>
          <w:tcPr>
            <w:tcW w:w="1019" w:type="dxa"/>
          </w:tcPr>
          <w:p w14:paraId="37D35FFA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Kurang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</w:t>
            </w: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4315DA8E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Memiliki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NK 3,5 ≤ NK &lt; 4,5</w:t>
            </w:r>
          </w:p>
        </w:tc>
      </w:tr>
      <w:tr w:rsidR="00196493" w:rsidRPr="00C505DB" w14:paraId="4A9F0FDB" w14:textId="77777777" w:rsidTr="00C505DB">
        <w:trPr>
          <w:trHeight w:val="143"/>
        </w:trPr>
        <w:tc>
          <w:tcPr>
            <w:tcW w:w="824" w:type="dxa"/>
          </w:tcPr>
          <w:p w14:paraId="78A08F81" w14:textId="77777777" w:rsidR="00196493" w:rsidRPr="00C505DB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5</w:t>
            </w:r>
          </w:p>
        </w:tc>
        <w:tc>
          <w:tcPr>
            <w:tcW w:w="1019" w:type="dxa"/>
          </w:tcPr>
          <w:p w14:paraId="42AE388E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Tidak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</w:t>
            </w: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Sehat</w:t>
            </w:r>
            <w:proofErr w:type="spellEnd"/>
          </w:p>
        </w:tc>
        <w:tc>
          <w:tcPr>
            <w:tcW w:w="1843" w:type="dxa"/>
          </w:tcPr>
          <w:p w14:paraId="30BC809F" w14:textId="77777777" w:rsidR="00196493" w:rsidRPr="00C505DB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4"/>
                <w:szCs w:val="14"/>
              </w:rPr>
            </w:pPr>
            <w:proofErr w:type="spellStart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>Memiliki</w:t>
            </w:r>
            <w:proofErr w:type="spellEnd"/>
            <w:r w:rsidRPr="00C505DB">
              <w:rPr>
                <w:rFonts w:ascii="Calibri Light" w:eastAsia="Calibri" w:hAnsi="Calibri Light" w:cs="Calibri Light"/>
                <w:sz w:val="14"/>
                <w:szCs w:val="14"/>
              </w:rPr>
              <w:t xml:space="preserve"> NK 4,5 ≤ NK &lt; 5</w:t>
            </w:r>
          </w:p>
        </w:tc>
      </w:tr>
    </w:tbl>
    <w:p w14:paraId="533011F5" w14:textId="75EC3C71" w:rsidR="00196493" w:rsidRDefault="00196493" w:rsidP="007617D7">
      <w:pPr>
        <w:spacing w:after="0"/>
        <w:ind w:left="851" w:hanging="851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 xml:space="preserve">: Surat </w:t>
      </w:r>
      <w:proofErr w:type="spellStart"/>
      <w:r w:rsidRPr="00196493">
        <w:rPr>
          <w:rFonts w:ascii="Calibri Light" w:eastAsia="Calibri" w:hAnsi="Calibri Light" w:cs="Calibri Light"/>
        </w:rPr>
        <w:t>Edaran</w:t>
      </w:r>
      <w:proofErr w:type="spellEnd"/>
      <w:r w:rsidRPr="00196493">
        <w:rPr>
          <w:rFonts w:ascii="Calibri Light" w:eastAsia="Calibri" w:hAnsi="Calibri Light" w:cs="Calibri Light"/>
        </w:rPr>
        <w:t xml:space="preserve"> Bank Indonesia No. 9/12/DPNP/2007</w:t>
      </w:r>
    </w:p>
    <w:p w14:paraId="02D7B770" w14:textId="77777777" w:rsidR="00C505DB" w:rsidRPr="00196493" w:rsidRDefault="00C505DB" w:rsidP="007617D7">
      <w:pPr>
        <w:spacing w:after="0"/>
        <w:ind w:left="851" w:hanging="851"/>
        <w:contextualSpacing/>
        <w:jc w:val="both"/>
        <w:rPr>
          <w:rFonts w:ascii="Calibri Light" w:eastAsia="Calibri" w:hAnsi="Calibri Light" w:cs="Calibri Light"/>
        </w:rPr>
      </w:pPr>
    </w:p>
    <w:p w14:paraId="762DD631" w14:textId="77777777" w:rsidR="00196493" w:rsidRPr="00196493" w:rsidRDefault="00196493" w:rsidP="001269CB">
      <w:pPr>
        <w:numPr>
          <w:ilvl w:val="0"/>
          <w:numId w:val="4"/>
        </w:numPr>
        <w:spacing w:after="0"/>
        <w:ind w:left="284" w:hanging="283"/>
        <w:contextualSpacing/>
        <w:jc w:val="both"/>
        <w:rPr>
          <w:rFonts w:ascii="Calibri Light" w:eastAsia="Calibri" w:hAnsi="Calibri Light" w:cs="Calibri Light"/>
          <w:b/>
        </w:rPr>
      </w:pPr>
      <w:proofErr w:type="spellStart"/>
      <w:r w:rsidRPr="00196493">
        <w:rPr>
          <w:rFonts w:ascii="Calibri Light" w:eastAsia="Calibri" w:hAnsi="Calibri Light" w:cs="Calibri Light"/>
          <w:b/>
        </w:rPr>
        <w:t>Penilaian</w:t>
      </w:r>
      <w:proofErr w:type="spellEnd"/>
      <w:r w:rsidRPr="00196493">
        <w:rPr>
          <w:rFonts w:ascii="Calibri Light" w:eastAsia="Calibri" w:hAnsi="Calibri Light" w:cs="Calibri Light"/>
          <w:b/>
        </w:rPr>
        <w:t xml:space="preserve"> </w:t>
      </w:r>
      <w:r w:rsidRPr="00196493">
        <w:rPr>
          <w:rFonts w:ascii="Calibri Light" w:eastAsia="Calibri" w:hAnsi="Calibri Light" w:cs="Calibri Light"/>
          <w:b/>
          <w:i/>
        </w:rPr>
        <w:t>Earning</w:t>
      </w:r>
      <w:r w:rsidRPr="00196493">
        <w:rPr>
          <w:rFonts w:ascii="Calibri Light" w:eastAsia="Calibri" w:hAnsi="Calibri Light" w:cs="Calibri Light"/>
          <w:b/>
        </w:rPr>
        <w:t xml:space="preserve"> (</w:t>
      </w:r>
      <w:proofErr w:type="spellStart"/>
      <w:r w:rsidRPr="00196493">
        <w:rPr>
          <w:rFonts w:ascii="Calibri Light" w:eastAsia="Calibri" w:hAnsi="Calibri Light" w:cs="Calibri Light"/>
          <w:b/>
        </w:rPr>
        <w:t>Rentabilitas</w:t>
      </w:r>
      <w:proofErr w:type="spellEnd"/>
      <w:r w:rsidRPr="00196493">
        <w:rPr>
          <w:rFonts w:ascii="Calibri Light" w:eastAsia="Calibri" w:hAnsi="Calibri Light" w:cs="Calibri Light"/>
          <w:b/>
        </w:rPr>
        <w:t>)</w:t>
      </w:r>
    </w:p>
    <w:p w14:paraId="577F0F1C" w14:textId="6E7A747A" w:rsid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faktor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rentabilitas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meliputi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evaluasi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terhadap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kinerja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rentabilitas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sumber-sumber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rentabilitas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kesinambungan</w:t>
      </w:r>
      <w:proofErr w:type="spellEnd"/>
      <w:r w:rsidRPr="00196493">
        <w:rPr>
          <w:rFonts w:ascii="Calibri Light" w:eastAsia="Calibri" w:hAnsi="Calibri Light" w:cs="Calibri Light"/>
        </w:rPr>
        <w:t xml:space="preserve"> (</w:t>
      </w:r>
      <w:r w:rsidRPr="00196493">
        <w:rPr>
          <w:rFonts w:ascii="Calibri Light" w:eastAsia="Calibri" w:hAnsi="Calibri Light" w:cs="Calibri Light"/>
          <w:i/>
          <w:iCs/>
        </w:rPr>
        <w:t>sustainability</w:t>
      </w:r>
      <w:r w:rsidRPr="00196493">
        <w:rPr>
          <w:rFonts w:ascii="Calibri Light" w:eastAsia="Calibri" w:hAnsi="Calibri Light" w:cs="Calibri Light"/>
        </w:rPr>
        <w:t xml:space="preserve">) </w:t>
      </w:r>
      <w:proofErr w:type="spellStart"/>
      <w:r w:rsidRPr="00196493">
        <w:rPr>
          <w:rFonts w:ascii="Calibri Light" w:eastAsia="Calibri" w:hAnsi="Calibri Light" w:cs="Calibri Light"/>
        </w:rPr>
        <w:t>rentabilitas</w:t>
      </w:r>
      <w:proofErr w:type="spellEnd"/>
      <w:r w:rsidRPr="00196493">
        <w:rPr>
          <w:rFonts w:ascii="Calibri Light" w:eastAsia="Calibri" w:hAnsi="Calibri Light" w:cs="Calibri Light"/>
        </w:rPr>
        <w:t xml:space="preserve">, dan </w:t>
      </w:r>
      <w:proofErr w:type="spellStart"/>
      <w:r w:rsidRPr="00196493">
        <w:rPr>
          <w:rFonts w:ascii="Calibri Light" w:eastAsia="Calibri" w:hAnsi="Calibri Light" w:cs="Calibri Light"/>
        </w:rPr>
        <w:t>manajemen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rentabilitas</w:t>
      </w:r>
      <w:proofErr w:type="spellEnd"/>
      <w:r w:rsidRPr="00196493">
        <w:rPr>
          <w:rFonts w:ascii="Calibri Light" w:eastAsia="Calibri" w:hAnsi="Calibri Light" w:cs="Calibri Light"/>
        </w:rPr>
        <w:t xml:space="preserve">.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dilakukan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mempertimbangkan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tingkat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r w:rsidRPr="00196493">
        <w:rPr>
          <w:rFonts w:ascii="Calibri Light" w:eastAsia="Calibri" w:hAnsi="Calibri Light" w:cs="Calibri Light"/>
          <w:i/>
          <w:iCs/>
        </w:rPr>
        <w:t>trend</w:t>
      </w:r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struktur</w:t>
      </w:r>
      <w:proofErr w:type="spellEnd"/>
      <w:r w:rsidRPr="00196493">
        <w:rPr>
          <w:rFonts w:ascii="Calibri Light" w:eastAsia="Calibri" w:hAnsi="Calibri Light" w:cs="Calibri Light"/>
        </w:rPr>
        <w:t xml:space="preserve">, </w:t>
      </w:r>
      <w:proofErr w:type="spellStart"/>
      <w:r w:rsidRPr="00196493">
        <w:rPr>
          <w:rFonts w:ascii="Calibri Light" w:eastAsia="Calibri" w:hAnsi="Calibri Light" w:cs="Calibri Light"/>
        </w:rPr>
        <w:t>stabilitas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rentabilitas</w:t>
      </w:r>
      <w:proofErr w:type="spellEnd"/>
      <w:r w:rsidRPr="00196493">
        <w:rPr>
          <w:rFonts w:ascii="Calibri Light" w:eastAsia="Calibri" w:hAnsi="Calibri Light" w:cs="Calibri Light"/>
        </w:rPr>
        <w:t xml:space="preserve"> bank, dan </w:t>
      </w:r>
      <w:proofErr w:type="spellStart"/>
      <w:r w:rsidRPr="00196493">
        <w:rPr>
          <w:rFonts w:ascii="Calibri Light" w:eastAsia="Calibri" w:hAnsi="Calibri Light" w:cs="Calibri Light"/>
        </w:rPr>
        <w:t>perbandingan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kinerja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kinerja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r w:rsidRPr="00196493">
        <w:rPr>
          <w:rFonts w:ascii="Calibri Light" w:eastAsia="Calibri" w:hAnsi="Calibri Light" w:cs="Calibri Light"/>
          <w:i/>
          <w:iCs/>
        </w:rPr>
        <w:t>peer group</w:t>
      </w:r>
      <w:r w:rsidRPr="00196493">
        <w:rPr>
          <w:rFonts w:ascii="Calibri Light" w:eastAsia="Calibri" w:hAnsi="Calibri Light" w:cs="Calibri Light"/>
        </w:rPr>
        <w:t xml:space="preserve">¸ </w:t>
      </w:r>
      <w:proofErr w:type="spellStart"/>
      <w:r w:rsidRPr="00196493">
        <w:rPr>
          <w:rFonts w:ascii="Calibri Light" w:eastAsia="Calibri" w:hAnsi="Calibri Light" w:cs="Calibri Light"/>
        </w:rPr>
        <w:t>baik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melalui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analisis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aspek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kuantitatif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maupun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kualitatif</w:t>
      </w:r>
      <w:proofErr w:type="spellEnd"/>
      <w:r w:rsidRPr="00196493">
        <w:rPr>
          <w:rFonts w:ascii="Calibri Light" w:eastAsia="Calibri" w:hAnsi="Calibri Light" w:cs="Calibri Light"/>
        </w:rPr>
        <w:t xml:space="preserve">.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terhadap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faktor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r w:rsidRPr="00196493">
        <w:rPr>
          <w:rFonts w:ascii="Calibri Light" w:eastAsia="Calibri" w:hAnsi="Calibri Light" w:cs="Calibri Light"/>
          <w:i/>
          <w:iCs/>
        </w:rPr>
        <w:t xml:space="preserve">earnings </w:t>
      </w:r>
      <w:proofErr w:type="spellStart"/>
      <w:r w:rsidRPr="00196493">
        <w:rPr>
          <w:rFonts w:ascii="Calibri Light" w:eastAsia="Calibri" w:hAnsi="Calibri Light" w:cs="Calibri Light"/>
        </w:rPr>
        <w:t>didasarkan</w:t>
      </w:r>
      <w:proofErr w:type="spellEnd"/>
      <w:r w:rsidRPr="00196493">
        <w:rPr>
          <w:rFonts w:ascii="Calibri Light" w:eastAsia="Calibri" w:hAnsi="Calibri Light" w:cs="Calibri Light"/>
        </w:rPr>
        <w:t xml:space="preserve"> pada </w:t>
      </w:r>
      <w:proofErr w:type="spellStart"/>
      <w:r w:rsidRPr="00196493">
        <w:rPr>
          <w:rFonts w:ascii="Calibri Light" w:eastAsia="Calibri" w:hAnsi="Calibri Light" w:cs="Calibri Light"/>
        </w:rPr>
        <w:t>dua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rasio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yaitu</w:t>
      </w:r>
      <w:proofErr w:type="spellEnd"/>
      <w:r w:rsidRPr="00196493">
        <w:rPr>
          <w:rFonts w:ascii="Calibri Light" w:eastAsia="Calibri" w:hAnsi="Calibri Light" w:cs="Calibri Light"/>
        </w:rPr>
        <w:t>:</w:t>
      </w:r>
    </w:p>
    <w:p w14:paraId="40738202" w14:textId="77777777" w:rsidR="00196493" w:rsidRPr="00196493" w:rsidRDefault="00196493" w:rsidP="001269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 Light" w:eastAsia="Calibri" w:hAnsi="Calibri Light" w:cs="Calibri Light"/>
          <w:b/>
        </w:rPr>
      </w:pPr>
      <w:r w:rsidRPr="00196493">
        <w:rPr>
          <w:rFonts w:ascii="Calibri Light" w:eastAsia="Calibri" w:hAnsi="Calibri Light" w:cs="Calibri Light"/>
          <w:i/>
        </w:rPr>
        <w:t xml:space="preserve">Return </w:t>
      </w:r>
      <w:proofErr w:type="gramStart"/>
      <w:r w:rsidRPr="00196493">
        <w:rPr>
          <w:rFonts w:ascii="Calibri Light" w:eastAsia="Calibri" w:hAnsi="Calibri Light" w:cs="Calibri Light"/>
          <w:i/>
        </w:rPr>
        <w:t>On</w:t>
      </w:r>
      <w:proofErr w:type="gramEnd"/>
      <w:r w:rsidRPr="00196493">
        <w:rPr>
          <w:rFonts w:ascii="Calibri Light" w:eastAsia="Calibri" w:hAnsi="Calibri Light" w:cs="Calibri Light"/>
          <w:i/>
        </w:rPr>
        <w:t xml:space="preserve"> Assets </w:t>
      </w:r>
      <w:r w:rsidRPr="00196493">
        <w:rPr>
          <w:rFonts w:ascii="Calibri Light" w:eastAsia="Calibri" w:hAnsi="Calibri Light" w:cs="Calibri Light"/>
        </w:rPr>
        <w:t>(ROA)</w:t>
      </w:r>
    </w:p>
    <w:p w14:paraId="2A4F6297" w14:textId="77777777" w:rsidR="00196493" w:rsidRPr="00196493" w:rsidRDefault="00196493" w:rsidP="007617D7">
      <w:pPr>
        <w:spacing w:after="0"/>
        <w:jc w:val="both"/>
        <w:rPr>
          <w:rFonts w:ascii="Calibri Light" w:eastAsia="Times New Roman" w:hAnsi="Calibri Light" w:cs="Calibri Light"/>
        </w:rPr>
      </w:pPr>
      <m:oMathPara>
        <m:oMath>
          <m:r>
            <w:rPr>
              <w:rFonts w:ascii="Cambria Math" w:eastAsia="Calibri" w:hAnsi="Cambria Math" w:cs="Calibri Light"/>
            </w:rPr>
            <m:t>ROA</m:t>
          </m:r>
          <m:r>
            <m:rPr>
              <m:sty m:val="p"/>
            </m:rPr>
            <w:rPr>
              <w:rFonts w:ascii="Cambria Math" w:eastAsia="Calibri" w:hAnsi="Cambria Math" w:cs="Calibri Light"/>
            </w:rPr>
            <m:t>=</m:t>
          </m:r>
          <m:f>
            <m:fPr>
              <m:ctrlPr>
                <w:rPr>
                  <w:rFonts w:ascii="Cambria Math" w:eastAsia="Calibri" w:hAnsi="Cambria Math" w:cs="Calibri Ligh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>Laba sebelum pajak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>Rata-rata total asset</m:t>
              </m:r>
            </m:den>
          </m:f>
          <m:r>
            <m:rPr>
              <m:sty m:val="p"/>
            </m:rPr>
            <w:rPr>
              <w:rFonts w:ascii="Cambria Math" w:eastAsia="Calibri" w:hAnsi="Cambria Math" w:cs="Calibri Light"/>
            </w:rPr>
            <m:t>×100%</m:t>
          </m:r>
        </m:oMath>
      </m:oMathPara>
    </w:p>
    <w:p w14:paraId="428608DB" w14:textId="77777777" w:rsidR="00196493" w:rsidRPr="00196493" w:rsidRDefault="00196493" w:rsidP="007617D7">
      <w:pPr>
        <w:spacing w:after="0"/>
        <w:ind w:left="993" w:hanging="993"/>
        <w:jc w:val="both"/>
        <w:rPr>
          <w:rFonts w:ascii="Calibri Light" w:eastAsia="Times New Roman" w:hAnsi="Calibri Light" w:cs="Calibri Light"/>
        </w:rPr>
      </w:pPr>
      <w:proofErr w:type="spellStart"/>
      <w:r w:rsidRPr="00196493">
        <w:rPr>
          <w:rFonts w:ascii="Calibri Light" w:eastAsia="Times New Roman" w:hAnsi="Calibri Light" w:cs="Calibri Light"/>
        </w:rPr>
        <w:t>Sumber</w:t>
      </w:r>
      <w:proofErr w:type="spellEnd"/>
      <w:r w:rsidRPr="00196493">
        <w:rPr>
          <w:rFonts w:ascii="Calibri Light" w:eastAsia="Times New Roman" w:hAnsi="Calibri Light" w:cs="Calibri Light"/>
        </w:rPr>
        <w:t>: Lampiran SE BI No. 13/24/DPNP/2011</w:t>
      </w:r>
    </w:p>
    <w:p w14:paraId="2B0E96C5" w14:textId="0AC409B0" w:rsidR="00196493" w:rsidRPr="00DC2624" w:rsidRDefault="00196493" w:rsidP="007617D7">
      <w:pPr>
        <w:pStyle w:val="Caption"/>
        <w:spacing w:after="0"/>
        <w:ind w:left="709" w:hanging="709"/>
        <w:jc w:val="both"/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</w:pPr>
      <w:bookmarkStart w:id="4" w:name="_Toc31443083"/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>Table</w:t>
      </w:r>
      <w:r w:rsidR="00A8369D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 4</w: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>.</w:t>
      </w:r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Matriks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Kriteria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Penetapan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>Peringatan</w:t>
      </w:r>
      <w:proofErr w:type="spellEnd"/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r w:rsidRPr="00DC2624">
        <w:rPr>
          <w:rFonts w:ascii="Calibri Light" w:eastAsia="Times New Roman" w:hAnsi="Calibri Light" w:cs="Calibri Light"/>
          <w:bCs/>
          <w:iCs w:val="0"/>
          <w:color w:val="auto"/>
          <w:sz w:val="22"/>
          <w:szCs w:val="22"/>
          <w:lang w:val="en-US"/>
        </w:rPr>
        <w:t>Return ON Asset</w:t>
      </w:r>
      <w:r w:rsidRPr="00DC2624"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  <w:t xml:space="preserve"> (ROA)</w:t>
      </w:r>
      <w:bookmarkEnd w:id="4"/>
    </w:p>
    <w:tbl>
      <w:tblPr>
        <w:tblStyle w:val="TableGrid15"/>
        <w:tblW w:w="0" w:type="auto"/>
        <w:tblInd w:w="108" w:type="dxa"/>
        <w:tblLook w:val="04A0" w:firstRow="1" w:lastRow="0" w:firstColumn="1" w:lastColumn="0" w:noHBand="0" w:noVBand="1"/>
      </w:tblPr>
      <w:tblGrid>
        <w:gridCol w:w="929"/>
        <w:gridCol w:w="1082"/>
        <w:gridCol w:w="1817"/>
      </w:tblGrid>
      <w:tr w:rsidR="00196493" w:rsidRPr="00283D5D" w14:paraId="7E8E8A93" w14:textId="77777777" w:rsidTr="00283D5D">
        <w:trPr>
          <w:trHeight w:val="233"/>
        </w:trPr>
        <w:tc>
          <w:tcPr>
            <w:tcW w:w="929" w:type="dxa"/>
          </w:tcPr>
          <w:p w14:paraId="69BADBE8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Peringkat</w:t>
            </w:r>
            <w:proofErr w:type="spellEnd"/>
          </w:p>
        </w:tc>
        <w:tc>
          <w:tcPr>
            <w:tcW w:w="1082" w:type="dxa"/>
          </w:tcPr>
          <w:p w14:paraId="4093330A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Keterangan</w:t>
            </w:r>
            <w:proofErr w:type="spellEnd"/>
          </w:p>
        </w:tc>
        <w:tc>
          <w:tcPr>
            <w:tcW w:w="1817" w:type="dxa"/>
          </w:tcPr>
          <w:p w14:paraId="6A19E5B7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Kriteria</w:t>
            </w:r>
            <w:proofErr w:type="spellEnd"/>
          </w:p>
        </w:tc>
      </w:tr>
      <w:tr w:rsidR="00196493" w:rsidRPr="00283D5D" w14:paraId="1DA4565E" w14:textId="77777777" w:rsidTr="00283D5D">
        <w:trPr>
          <w:trHeight w:val="138"/>
        </w:trPr>
        <w:tc>
          <w:tcPr>
            <w:tcW w:w="929" w:type="dxa"/>
          </w:tcPr>
          <w:p w14:paraId="3D67153A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082" w:type="dxa"/>
          </w:tcPr>
          <w:p w14:paraId="36A6143C" w14:textId="77777777" w:rsidR="00196493" w:rsidRPr="00283D5D" w:rsidRDefault="00196493" w:rsidP="007617D7">
            <w:pPr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Sangat</w:t>
            </w:r>
            <w:proofErr w:type="spellEnd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17" w:type="dxa"/>
          </w:tcPr>
          <w:p w14:paraId="1C630430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ROA &gt; 1,5%</w:t>
            </w:r>
          </w:p>
        </w:tc>
      </w:tr>
      <w:tr w:rsidR="00196493" w:rsidRPr="00283D5D" w14:paraId="142A7132" w14:textId="77777777" w:rsidTr="00283D5D">
        <w:trPr>
          <w:trHeight w:val="211"/>
        </w:trPr>
        <w:tc>
          <w:tcPr>
            <w:tcW w:w="929" w:type="dxa"/>
          </w:tcPr>
          <w:p w14:paraId="44921F14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082" w:type="dxa"/>
          </w:tcPr>
          <w:p w14:paraId="34BF0E52" w14:textId="77777777" w:rsidR="00196493" w:rsidRPr="00283D5D" w:rsidRDefault="00196493" w:rsidP="007617D7">
            <w:pPr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17" w:type="dxa"/>
          </w:tcPr>
          <w:p w14:paraId="20952147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1,25% &lt; ROA ≤ 1,5%</w:t>
            </w:r>
          </w:p>
        </w:tc>
      </w:tr>
      <w:tr w:rsidR="00196493" w:rsidRPr="00283D5D" w14:paraId="406F9A76" w14:textId="77777777" w:rsidTr="00283D5D">
        <w:trPr>
          <w:trHeight w:val="130"/>
        </w:trPr>
        <w:tc>
          <w:tcPr>
            <w:tcW w:w="929" w:type="dxa"/>
          </w:tcPr>
          <w:p w14:paraId="3B453AD2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082" w:type="dxa"/>
          </w:tcPr>
          <w:p w14:paraId="69EE51D8" w14:textId="77777777" w:rsidR="00196493" w:rsidRPr="00283D5D" w:rsidRDefault="00196493" w:rsidP="007617D7">
            <w:pPr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Cukup</w:t>
            </w:r>
            <w:proofErr w:type="spellEnd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17" w:type="dxa"/>
          </w:tcPr>
          <w:p w14:paraId="76C6B736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0,5% &lt; ROA ≤ 1,25%</w:t>
            </w:r>
          </w:p>
        </w:tc>
      </w:tr>
      <w:tr w:rsidR="00196493" w:rsidRPr="00283D5D" w14:paraId="3A1FC9FC" w14:textId="77777777" w:rsidTr="00283D5D">
        <w:trPr>
          <w:trHeight w:val="218"/>
        </w:trPr>
        <w:tc>
          <w:tcPr>
            <w:tcW w:w="929" w:type="dxa"/>
          </w:tcPr>
          <w:p w14:paraId="148586D9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082" w:type="dxa"/>
          </w:tcPr>
          <w:p w14:paraId="6192EE79" w14:textId="77777777" w:rsidR="00196493" w:rsidRPr="00283D5D" w:rsidRDefault="00196493" w:rsidP="007617D7">
            <w:pPr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Kurang</w:t>
            </w:r>
            <w:proofErr w:type="spellEnd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17" w:type="dxa"/>
          </w:tcPr>
          <w:p w14:paraId="5CD38846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0% &lt; ROA ≤0,5%</w:t>
            </w:r>
          </w:p>
        </w:tc>
      </w:tr>
      <w:tr w:rsidR="00196493" w:rsidRPr="00283D5D" w14:paraId="112C86CD" w14:textId="77777777" w:rsidTr="00283D5D">
        <w:trPr>
          <w:trHeight w:val="121"/>
        </w:trPr>
        <w:tc>
          <w:tcPr>
            <w:tcW w:w="929" w:type="dxa"/>
          </w:tcPr>
          <w:p w14:paraId="7094993E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082" w:type="dxa"/>
          </w:tcPr>
          <w:p w14:paraId="0FC7D16B" w14:textId="77777777" w:rsidR="00196493" w:rsidRPr="00283D5D" w:rsidRDefault="00196493" w:rsidP="007617D7">
            <w:pPr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Tidak</w:t>
            </w:r>
            <w:proofErr w:type="spellEnd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17" w:type="dxa"/>
          </w:tcPr>
          <w:p w14:paraId="7FB9ACF1" w14:textId="77777777" w:rsidR="00196493" w:rsidRPr="00283D5D" w:rsidRDefault="00196493" w:rsidP="007617D7">
            <w:pPr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283D5D">
              <w:rPr>
                <w:rFonts w:ascii="Calibri Light" w:eastAsia="Calibri" w:hAnsi="Calibri Light" w:cs="Calibri Light"/>
                <w:sz w:val="16"/>
                <w:szCs w:val="16"/>
              </w:rPr>
              <w:t>ROA ≤ 0%</w:t>
            </w:r>
          </w:p>
        </w:tc>
      </w:tr>
    </w:tbl>
    <w:p w14:paraId="743C13A7" w14:textId="77777777" w:rsidR="00196493" w:rsidRPr="00196493" w:rsidRDefault="00196493" w:rsidP="007617D7">
      <w:pPr>
        <w:spacing w:after="0" w:line="240" w:lineRule="auto"/>
        <w:ind w:left="993" w:hanging="993"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 xml:space="preserve">: </w:t>
      </w:r>
      <w:proofErr w:type="spellStart"/>
      <w:r w:rsidRPr="00196493">
        <w:rPr>
          <w:rFonts w:ascii="Calibri Light" w:eastAsia="Calibri" w:hAnsi="Calibri Light" w:cs="Calibri Light"/>
        </w:rPr>
        <w:t>Kodifikasi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Tingkat </w:t>
      </w:r>
      <w:proofErr w:type="spellStart"/>
      <w:r w:rsidRPr="00196493">
        <w:rPr>
          <w:rFonts w:ascii="Calibri Light" w:eastAsia="Calibri" w:hAnsi="Calibri Light" w:cs="Calibri Light"/>
        </w:rPr>
        <w:t>kesehatan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Tahun</w:t>
      </w:r>
      <w:proofErr w:type="spellEnd"/>
      <w:r w:rsidRPr="00196493">
        <w:rPr>
          <w:rFonts w:ascii="Calibri Light" w:eastAsia="Calibri" w:hAnsi="Calibri Light" w:cs="Calibri Light"/>
        </w:rPr>
        <w:t xml:space="preserve"> 2012</w:t>
      </w:r>
    </w:p>
    <w:p w14:paraId="3FCADBD0" w14:textId="77777777" w:rsidR="00196493" w:rsidRPr="00196493" w:rsidRDefault="00196493" w:rsidP="001269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 Light" w:eastAsia="Times New Roman" w:hAnsi="Calibri Light" w:cs="Calibri Light"/>
          <w:b/>
        </w:rPr>
      </w:pPr>
      <w:r w:rsidRPr="00196493">
        <w:rPr>
          <w:rFonts w:ascii="Calibri Light" w:eastAsia="Calibri" w:hAnsi="Calibri Light" w:cs="Calibri Light"/>
          <w:i/>
        </w:rPr>
        <w:t xml:space="preserve">Net Interest Margin </w:t>
      </w:r>
      <w:r w:rsidRPr="00196493">
        <w:rPr>
          <w:rFonts w:ascii="Calibri Light" w:eastAsia="Calibri" w:hAnsi="Calibri Light" w:cs="Calibri Light"/>
        </w:rPr>
        <w:t>(NIM)</w:t>
      </w:r>
    </w:p>
    <w:p w14:paraId="645F9500" w14:textId="77777777" w:rsidR="00196493" w:rsidRPr="00196493" w:rsidRDefault="00196493" w:rsidP="007617D7">
      <w:pPr>
        <w:spacing w:after="0"/>
        <w:jc w:val="both"/>
        <w:rPr>
          <w:rFonts w:ascii="Calibri Light" w:eastAsia="Times New Roman" w:hAnsi="Calibri Light" w:cs="Calibri Light"/>
        </w:rPr>
      </w:pPr>
      <m:oMathPara>
        <m:oMath>
          <m:r>
            <w:rPr>
              <w:rFonts w:ascii="Cambria Math" w:eastAsia="Calibri" w:hAnsi="Cambria Math" w:cs="Calibri Light"/>
            </w:rPr>
            <m:t>NIM</m:t>
          </m:r>
          <m:r>
            <m:rPr>
              <m:sty m:val="p"/>
            </m:rPr>
            <w:rPr>
              <w:rFonts w:ascii="Cambria Math" w:eastAsia="Calibri" w:hAnsi="Cambria Math" w:cs="Calibri Light"/>
            </w:rPr>
            <m:t>=</m:t>
          </m:r>
          <m:f>
            <m:fPr>
              <m:ctrlPr>
                <w:rPr>
                  <w:rFonts w:ascii="Cambria Math" w:eastAsia="Calibri" w:hAnsi="Cambria Math" w:cs="Calibri Ligh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>Pendapatan bunga bersih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>Rata-rata aset produktif</m:t>
              </m:r>
            </m:den>
          </m:f>
          <m:r>
            <m:rPr>
              <m:sty m:val="p"/>
            </m:rPr>
            <w:rPr>
              <w:rFonts w:ascii="Cambria Math" w:eastAsia="Calibri" w:hAnsi="Cambria Math" w:cs="Calibri Light"/>
            </w:rPr>
            <m:t>×100%</m:t>
          </m:r>
        </m:oMath>
      </m:oMathPara>
    </w:p>
    <w:p w14:paraId="41E4040E" w14:textId="7505EDA3" w:rsidR="00196493" w:rsidRPr="00196493" w:rsidRDefault="00196493" w:rsidP="007617D7">
      <w:pPr>
        <w:spacing w:after="0"/>
        <w:ind w:left="993" w:hanging="993"/>
        <w:contextualSpacing/>
        <w:jc w:val="both"/>
        <w:rPr>
          <w:rFonts w:ascii="Calibri Light" w:eastAsia="Times New Roman" w:hAnsi="Calibri Light" w:cs="Calibri Light"/>
        </w:rPr>
      </w:pPr>
      <w:proofErr w:type="spellStart"/>
      <w:r w:rsidRPr="00196493">
        <w:rPr>
          <w:rFonts w:ascii="Calibri Light" w:eastAsia="Times New Roman" w:hAnsi="Calibri Light" w:cs="Calibri Light"/>
        </w:rPr>
        <w:t>Sumber</w:t>
      </w:r>
      <w:proofErr w:type="spellEnd"/>
      <w:r w:rsidRPr="00196493">
        <w:rPr>
          <w:rFonts w:ascii="Calibri Light" w:eastAsia="Times New Roman" w:hAnsi="Calibri Light" w:cs="Calibri Light"/>
        </w:rPr>
        <w:t>: Lampiran SE BI No. 13/24/DPNP/2011</w:t>
      </w:r>
    </w:p>
    <w:p w14:paraId="637C6BDE" w14:textId="51CB4DF1" w:rsidR="00196493" w:rsidRPr="00DC2624" w:rsidRDefault="00196493" w:rsidP="00DC2624">
      <w:pPr>
        <w:pStyle w:val="Caption"/>
        <w:spacing w:after="0"/>
        <w:ind w:left="567" w:hanging="567"/>
        <w:jc w:val="both"/>
        <w:rPr>
          <w:rFonts w:ascii="Calibri Light" w:eastAsia="Times New Roman" w:hAnsi="Calibri Light" w:cs="Calibri Light"/>
          <w:bCs/>
          <w:i w:val="0"/>
          <w:color w:val="auto"/>
          <w:sz w:val="22"/>
          <w:szCs w:val="22"/>
          <w:lang w:val="en-US"/>
        </w:rPr>
      </w:pPr>
      <w:bookmarkStart w:id="5" w:name="_Toc31443084"/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Table </w:t>
      </w:r>
      <w:r w:rsidR="00A8369D">
        <w:rPr>
          <w:rFonts w:ascii="Calibri Light" w:hAnsi="Calibri Light" w:cs="Calibri Light"/>
          <w:bCs/>
          <w:i w:val="0"/>
          <w:color w:val="auto"/>
          <w:sz w:val="22"/>
          <w:szCs w:val="22"/>
        </w:rPr>
        <w:t>5</w: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fldChar w:fldCharType="begin"/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instrText xml:space="preserve"> SEQ Table \* ARABIC </w:instrTex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fldChar w:fldCharType="separate"/>
      </w:r>
      <w:r w:rsidR="00AC3C0E">
        <w:rPr>
          <w:rFonts w:ascii="Calibri Light" w:hAnsi="Calibri Light" w:cs="Calibri Light"/>
          <w:bCs/>
          <w:i w:val="0"/>
          <w:noProof/>
          <w:color w:val="auto"/>
          <w:sz w:val="22"/>
          <w:szCs w:val="22"/>
        </w:rPr>
        <w:t>1</w: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fldChar w:fldCharType="end"/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.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Matriks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Kriteria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Penetapan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Peringkat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r w:rsidRPr="00DC2624">
        <w:rPr>
          <w:rFonts w:ascii="Calibri Light" w:eastAsia="Calibri" w:hAnsi="Calibri Light" w:cs="Calibri Light"/>
          <w:bCs/>
          <w:iCs w:val="0"/>
          <w:color w:val="auto"/>
          <w:sz w:val="22"/>
          <w:szCs w:val="22"/>
          <w:lang w:val="en-US"/>
        </w:rPr>
        <w:t>Net Interest Margin</w:t>
      </w:r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(NIM)</w:t>
      </w:r>
      <w:bookmarkEnd w:id="5"/>
    </w:p>
    <w:tbl>
      <w:tblPr>
        <w:tblStyle w:val="TableGrid15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1143"/>
        <w:gridCol w:w="1844"/>
      </w:tblGrid>
      <w:tr w:rsidR="00196493" w:rsidRPr="007617D7" w14:paraId="27E5378B" w14:textId="77777777" w:rsidTr="007617D7">
        <w:trPr>
          <w:trHeight w:val="140"/>
        </w:trPr>
        <w:tc>
          <w:tcPr>
            <w:tcW w:w="842" w:type="dxa"/>
          </w:tcPr>
          <w:p w14:paraId="37431B3C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Peringkat</w:t>
            </w:r>
            <w:proofErr w:type="spellEnd"/>
          </w:p>
        </w:tc>
        <w:tc>
          <w:tcPr>
            <w:tcW w:w="1143" w:type="dxa"/>
          </w:tcPr>
          <w:p w14:paraId="2478A2BE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Keterangan</w:t>
            </w:r>
            <w:proofErr w:type="spellEnd"/>
          </w:p>
        </w:tc>
        <w:tc>
          <w:tcPr>
            <w:tcW w:w="1844" w:type="dxa"/>
          </w:tcPr>
          <w:p w14:paraId="4308139D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Kriteria</w:t>
            </w:r>
            <w:proofErr w:type="spellEnd"/>
          </w:p>
        </w:tc>
      </w:tr>
      <w:tr w:rsidR="00196493" w:rsidRPr="007617D7" w14:paraId="3977B622" w14:textId="77777777" w:rsidTr="007617D7">
        <w:trPr>
          <w:trHeight w:val="185"/>
        </w:trPr>
        <w:tc>
          <w:tcPr>
            <w:tcW w:w="842" w:type="dxa"/>
          </w:tcPr>
          <w:p w14:paraId="1F908A3E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143" w:type="dxa"/>
          </w:tcPr>
          <w:p w14:paraId="07142F97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Sangat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4" w:type="dxa"/>
          </w:tcPr>
          <w:p w14:paraId="2C7256C6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3% &gt; NIM</w:t>
            </w:r>
          </w:p>
        </w:tc>
      </w:tr>
      <w:tr w:rsidR="00196493" w:rsidRPr="007617D7" w14:paraId="57A6485F" w14:textId="77777777" w:rsidTr="007617D7">
        <w:trPr>
          <w:trHeight w:val="246"/>
        </w:trPr>
        <w:tc>
          <w:tcPr>
            <w:tcW w:w="842" w:type="dxa"/>
          </w:tcPr>
          <w:p w14:paraId="409305C7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14:paraId="63516B72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4" w:type="dxa"/>
          </w:tcPr>
          <w:p w14:paraId="4593F18B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2% &lt; NIM ≤ 3%</w:t>
            </w:r>
          </w:p>
        </w:tc>
      </w:tr>
      <w:tr w:rsidR="00196493" w:rsidRPr="007617D7" w14:paraId="37FCBC1D" w14:textId="77777777" w:rsidTr="007617D7">
        <w:trPr>
          <w:trHeight w:val="135"/>
        </w:trPr>
        <w:tc>
          <w:tcPr>
            <w:tcW w:w="842" w:type="dxa"/>
          </w:tcPr>
          <w:p w14:paraId="21334D6A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14:paraId="482D9A5F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Cukup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4" w:type="dxa"/>
          </w:tcPr>
          <w:p w14:paraId="18881790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1,5% &lt; NIM ≤ 2%</w:t>
            </w:r>
          </w:p>
        </w:tc>
      </w:tr>
      <w:tr w:rsidR="00196493" w:rsidRPr="007617D7" w14:paraId="69B3B633" w14:textId="77777777" w:rsidTr="007617D7">
        <w:trPr>
          <w:trHeight w:val="168"/>
        </w:trPr>
        <w:tc>
          <w:tcPr>
            <w:tcW w:w="842" w:type="dxa"/>
          </w:tcPr>
          <w:p w14:paraId="75C98557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143" w:type="dxa"/>
          </w:tcPr>
          <w:p w14:paraId="4F0D4E85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Kurang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4" w:type="dxa"/>
          </w:tcPr>
          <w:p w14:paraId="4C8A1E28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1% &lt; NIM ≤ 1,5%</w:t>
            </w:r>
          </w:p>
        </w:tc>
      </w:tr>
      <w:tr w:rsidR="00196493" w:rsidRPr="007617D7" w14:paraId="4E8F401C" w14:textId="77777777" w:rsidTr="007617D7">
        <w:trPr>
          <w:trHeight w:val="214"/>
        </w:trPr>
        <w:tc>
          <w:tcPr>
            <w:tcW w:w="842" w:type="dxa"/>
          </w:tcPr>
          <w:p w14:paraId="2E61C248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14:paraId="77671261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Tidak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844" w:type="dxa"/>
          </w:tcPr>
          <w:p w14:paraId="4839055B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NIM ≤ 1%</w:t>
            </w:r>
          </w:p>
        </w:tc>
      </w:tr>
    </w:tbl>
    <w:p w14:paraId="689B5A05" w14:textId="28A4E4E2" w:rsidR="00196493" w:rsidRDefault="00196493" w:rsidP="007617D7">
      <w:pPr>
        <w:spacing w:after="0"/>
        <w:ind w:left="851" w:hanging="851"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 xml:space="preserve">: </w:t>
      </w:r>
      <w:proofErr w:type="spellStart"/>
      <w:r w:rsidRPr="00196493">
        <w:rPr>
          <w:rFonts w:ascii="Calibri Light" w:eastAsia="Calibri" w:hAnsi="Calibri Light" w:cs="Calibri Light"/>
        </w:rPr>
        <w:t>Kodifikasi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Tingkat </w:t>
      </w:r>
      <w:proofErr w:type="spellStart"/>
      <w:r w:rsidRPr="00196493">
        <w:rPr>
          <w:rFonts w:ascii="Calibri Light" w:eastAsia="Calibri" w:hAnsi="Calibri Light" w:cs="Calibri Light"/>
        </w:rPr>
        <w:t>kesehatan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Tahun</w:t>
      </w:r>
      <w:proofErr w:type="spellEnd"/>
      <w:r w:rsidRPr="00196493">
        <w:rPr>
          <w:rFonts w:ascii="Calibri Light" w:eastAsia="Calibri" w:hAnsi="Calibri Light" w:cs="Calibri Light"/>
        </w:rPr>
        <w:t xml:space="preserve"> 2012</w:t>
      </w:r>
    </w:p>
    <w:p w14:paraId="58ED777C" w14:textId="77777777" w:rsidR="00C505DB" w:rsidRPr="00196493" w:rsidRDefault="00C505DB" w:rsidP="007617D7">
      <w:pPr>
        <w:spacing w:after="0"/>
        <w:ind w:left="851" w:hanging="851"/>
        <w:jc w:val="both"/>
        <w:rPr>
          <w:rFonts w:ascii="Calibri Light" w:eastAsia="Calibri" w:hAnsi="Calibri Light" w:cs="Calibri Light"/>
        </w:rPr>
      </w:pPr>
    </w:p>
    <w:p w14:paraId="2AD96894" w14:textId="77777777" w:rsidR="00196493" w:rsidRPr="00196493" w:rsidRDefault="00196493" w:rsidP="001269CB">
      <w:pPr>
        <w:numPr>
          <w:ilvl w:val="0"/>
          <w:numId w:val="4"/>
        </w:numPr>
        <w:spacing w:after="0"/>
        <w:ind w:left="284" w:hanging="283"/>
        <w:contextualSpacing/>
        <w:jc w:val="both"/>
        <w:rPr>
          <w:rFonts w:ascii="Calibri Light" w:eastAsia="Calibri" w:hAnsi="Calibri Light" w:cs="Calibri Light"/>
          <w:b/>
        </w:rPr>
      </w:pPr>
      <w:proofErr w:type="spellStart"/>
      <w:r w:rsidRPr="00196493">
        <w:rPr>
          <w:rFonts w:ascii="Calibri Light" w:eastAsia="Calibri" w:hAnsi="Calibri Light" w:cs="Calibri Light"/>
          <w:b/>
        </w:rPr>
        <w:lastRenderedPageBreak/>
        <w:t>Penilaian</w:t>
      </w:r>
      <w:proofErr w:type="spellEnd"/>
      <w:r w:rsidRPr="00196493">
        <w:rPr>
          <w:rFonts w:ascii="Calibri Light" w:eastAsia="Calibri" w:hAnsi="Calibri Light" w:cs="Calibri Light"/>
          <w:b/>
        </w:rPr>
        <w:t xml:space="preserve"> </w:t>
      </w:r>
      <w:r w:rsidRPr="00196493">
        <w:rPr>
          <w:rFonts w:ascii="Calibri Light" w:eastAsia="Calibri" w:hAnsi="Calibri Light" w:cs="Calibri Light"/>
          <w:b/>
          <w:i/>
        </w:rPr>
        <w:t>Capital</w:t>
      </w:r>
      <w:r w:rsidRPr="00196493">
        <w:rPr>
          <w:rFonts w:ascii="Calibri Light" w:eastAsia="Calibri" w:hAnsi="Calibri Light" w:cs="Calibri Light"/>
          <w:b/>
        </w:rPr>
        <w:t xml:space="preserve"> (</w:t>
      </w:r>
      <w:proofErr w:type="spellStart"/>
      <w:r w:rsidRPr="00196493">
        <w:rPr>
          <w:rFonts w:ascii="Calibri Light" w:eastAsia="Calibri" w:hAnsi="Calibri Light" w:cs="Calibri Light"/>
          <w:b/>
        </w:rPr>
        <w:t>Permodalan</w:t>
      </w:r>
      <w:proofErr w:type="spellEnd"/>
      <w:r w:rsidRPr="00196493">
        <w:rPr>
          <w:rFonts w:ascii="Calibri Light" w:eastAsia="Calibri" w:hAnsi="Calibri Light" w:cs="Calibri Light"/>
          <w:b/>
        </w:rPr>
        <w:t>)</w:t>
      </w:r>
    </w:p>
    <w:p w14:paraId="718DCBC8" w14:textId="31644024" w:rsidR="00196493" w:rsidRDefault="00196493" w:rsidP="007617D7">
      <w:pPr>
        <w:spacing w:after="0"/>
        <w:ind w:firstLine="567"/>
        <w:contextualSpacing/>
        <w:jc w:val="both"/>
        <w:rPr>
          <w:rFonts w:ascii="Calibri Light" w:eastAsia="Calibri" w:hAnsi="Calibri Light" w:cs="Calibri Light"/>
        </w:rPr>
      </w:pPr>
      <w:r w:rsidRPr="00196493">
        <w:rPr>
          <w:rFonts w:ascii="Calibri Light" w:eastAsia="Calibri" w:hAnsi="Calibri Light" w:cs="Calibri Light"/>
          <w:i/>
          <w:iCs/>
        </w:rPr>
        <w:t xml:space="preserve">Capital </w:t>
      </w:r>
      <w:proofErr w:type="spellStart"/>
      <w:r w:rsidRPr="00196493">
        <w:rPr>
          <w:rFonts w:ascii="Calibri Light" w:eastAsia="Calibri" w:hAnsi="Calibri Light" w:cs="Calibri Light"/>
        </w:rPr>
        <w:t>atau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permodalan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yaitu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metode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berdasarkan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permodalan</w:t>
      </w:r>
      <w:proofErr w:type="spellEnd"/>
      <w:r w:rsidRPr="00196493">
        <w:rPr>
          <w:rFonts w:ascii="Calibri Light" w:eastAsia="Calibri" w:hAnsi="Calibri Light" w:cs="Calibri Light"/>
        </w:rPr>
        <w:t xml:space="preserve"> yang </w:t>
      </w:r>
      <w:proofErr w:type="spellStart"/>
      <w:r w:rsidRPr="00196493">
        <w:rPr>
          <w:rFonts w:ascii="Calibri Light" w:eastAsia="Calibri" w:hAnsi="Calibri Light" w:cs="Calibri Light"/>
        </w:rPr>
        <w:t>dimiliki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dengan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menggunakan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rasio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r w:rsidRPr="00196493">
        <w:rPr>
          <w:rFonts w:ascii="Calibri Light" w:eastAsia="Calibri" w:hAnsi="Calibri Light" w:cs="Calibri Light"/>
          <w:i/>
          <w:iCs/>
        </w:rPr>
        <w:t xml:space="preserve">Capital Adequacy Ratio </w:t>
      </w:r>
      <w:r w:rsidRPr="00196493">
        <w:rPr>
          <w:rFonts w:ascii="Calibri Light" w:eastAsia="Calibri" w:hAnsi="Calibri Light" w:cs="Calibri Light"/>
        </w:rPr>
        <w:t>(CAR).</w:t>
      </w:r>
    </w:p>
    <w:p w14:paraId="67CFA593" w14:textId="77777777" w:rsidR="00196493" w:rsidRPr="00196493" w:rsidRDefault="00196493" w:rsidP="007617D7">
      <w:pPr>
        <w:spacing w:after="0"/>
        <w:jc w:val="both"/>
        <w:rPr>
          <w:rFonts w:ascii="Calibri Light" w:eastAsia="Calibri" w:hAnsi="Calibri Light" w:cs="Calibri Light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Calibri Light"/>
            </w:rPr>
            <m:t>CAR=</m:t>
          </m:r>
          <m:f>
            <m:fPr>
              <m:ctrlPr>
                <w:rPr>
                  <w:rFonts w:ascii="Cambria Math" w:eastAsia="Calibri" w:hAnsi="Cambria Math" w:cs="Calibri Ligh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>Modal bank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libri Light"/>
                </w:rPr>
                <m:t>ATMR</m:t>
              </m:r>
            </m:den>
          </m:f>
          <m:r>
            <m:rPr>
              <m:sty m:val="p"/>
            </m:rPr>
            <w:rPr>
              <w:rFonts w:ascii="Cambria Math" w:eastAsia="Calibri" w:hAnsi="Cambria Math" w:cs="Calibri Light"/>
            </w:rPr>
            <m:t>×100%</m:t>
          </m:r>
        </m:oMath>
      </m:oMathPara>
    </w:p>
    <w:p w14:paraId="240FE43A" w14:textId="77777777" w:rsidR="00196493" w:rsidRPr="00196493" w:rsidRDefault="00196493" w:rsidP="007617D7">
      <w:pPr>
        <w:spacing w:after="0"/>
        <w:ind w:left="993" w:hanging="993"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>: Lampiran SE BI No. 13/24/DPNP/2011</w:t>
      </w:r>
    </w:p>
    <w:p w14:paraId="10B34729" w14:textId="34CF07D8" w:rsidR="00196493" w:rsidRPr="00DC2624" w:rsidRDefault="00196493" w:rsidP="007617D7">
      <w:pPr>
        <w:pStyle w:val="Caption"/>
        <w:spacing w:after="0"/>
        <w:jc w:val="both"/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</w:pPr>
      <w:bookmarkStart w:id="6" w:name="_Toc31443085"/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>Table</w:t>
      </w:r>
      <w:r w:rsidR="00A8369D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 6</w:t>
      </w:r>
      <w:r w:rsidRPr="00DC2624">
        <w:rPr>
          <w:rFonts w:ascii="Calibri Light" w:hAnsi="Calibri Light" w:cs="Calibri Light"/>
          <w:bCs/>
          <w:i w:val="0"/>
          <w:color w:val="auto"/>
          <w:sz w:val="22"/>
          <w:szCs w:val="22"/>
        </w:rPr>
        <w:t xml:space="preserve">.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Matriks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Kriteria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Penetapan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>Peringatan</w:t>
      </w:r>
      <w:proofErr w:type="spellEnd"/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</w:t>
      </w:r>
      <w:r w:rsidRPr="00DC2624">
        <w:rPr>
          <w:rFonts w:ascii="Calibri Light" w:eastAsia="Calibri" w:hAnsi="Calibri Light" w:cs="Calibri Light"/>
          <w:bCs/>
          <w:iCs w:val="0"/>
          <w:color w:val="auto"/>
          <w:sz w:val="22"/>
          <w:szCs w:val="22"/>
          <w:lang w:val="en-US"/>
        </w:rPr>
        <w:t>Capital Adequacy Ratio</w:t>
      </w:r>
      <w:r w:rsidRPr="00DC2624">
        <w:rPr>
          <w:rFonts w:ascii="Calibri Light" w:eastAsia="Calibri" w:hAnsi="Calibri Light" w:cs="Calibri Light"/>
          <w:bCs/>
          <w:i w:val="0"/>
          <w:color w:val="auto"/>
          <w:sz w:val="22"/>
          <w:szCs w:val="22"/>
          <w:lang w:val="en-US"/>
        </w:rPr>
        <w:t xml:space="preserve"> (CAR)</w:t>
      </w:r>
      <w:bookmarkEnd w:id="6"/>
    </w:p>
    <w:tbl>
      <w:tblPr>
        <w:tblStyle w:val="TableGrid15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1261"/>
        <w:gridCol w:w="1559"/>
      </w:tblGrid>
      <w:tr w:rsidR="00196493" w:rsidRPr="007617D7" w14:paraId="6269D9F2" w14:textId="77777777" w:rsidTr="007617D7">
        <w:trPr>
          <w:trHeight w:val="200"/>
        </w:trPr>
        <w:tc>
          <w:tcPr>
            <w:tcW w:w="866" w:type="dxa"/>
          </w:tcPr>
          <w:p w14:paraId="48BDAB50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Peringkat</w:t>
            </w:r>
            <w:proofErr w:type="spellEnd"/>
          </w:p>
        </w:tc>
        <w:tc>
          <w:tcPr>
            <w:tcW w:w="1261" w:type="dxa"/>
          </w:tcPr>
          <w:p w14:paraId="2F61F77A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Keterangan</w:t>
            </w:r>
            <w:proofErr w:type="spellEnd"/>
          </w:p>
        </w:tc>
        <w:tc>
          <w:tcPr>
            <w:tcW w:w="1559" w:type="dxa"/>
          </w:tcPr>
          <w:p w14:paraId="5C5FCDDF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Kriteria</w:t>
            </w:r>
            <w:proofErr w:type="spellEnd"/>
          </w:p>
        </w:tc>
      </w:tr>
      <w:tr w:rsidR="00196493" w:rsidRPr="007617D7" w14:paraId="51E67F0C" w14:textId="77777777" w:rsidTr="007617D7">
        <w:trPr>
          <w:trHeight w:val="104"/>
        </w:trPr>
        <w:tc>
          <w:tcPr>
            <w:tcW w:w="866" w:type="dxa"/>
          </w:tcPr>
          <w:p w14:paraId="11DB1560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61" w:type="dxa"/>
          </w:tcPr>
          <w:p w14:paraId="1CCFAC0A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Sangat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6607BCE5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CAR ≥ 11%</w:t>
            </w:r>
          </w:p>
        </w:tc>
      </w:tr>
      <w:tr w:rsidR="00196493" w:rsidRPr="007617D7" w14:paraId="2199B8B7" w14:textId="77777777" w:rsidTr="007617D7">
        <w:trPr>
          <w:trHeight w:val="163"/>
        </w:trPr>
        <w:tc>
          <w:tcPr>
            <w:tcW w:w="866" w:type="dxa"/>
          </w:tcPr>
          <w:p w14:paraId="12A4D1BE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61" w:type="dxa"/>
          </w:tcPr>
          <w:p w14:paraId="580F2C74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59295474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9,5% ≤ CAR &lt; 11%</w:t>
            </w:r>
          </w:p>
        </w:tc>
      </w:tr>
      <w:tr w:rsidR="00196493" w:rsidRPr="007617D7" w14:paraId="6D066CD2" w14:textId="77777777" w:rsidTr="007617D7">
        <w:trPr>
          <w:trHeight w:val="210"/>
        </w:trPr>
        <w:tc>
          <w:tcPr>
            <w:tcW w:w="866" w:type="dxa"/>
          </w:tcPr>
          <w:p w14:paraId="214FFE67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261" w:type="dxa"/>
          </w:tcPr>
          <w:p w14:paraId="14DF788F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Cukup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5C20AFD5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8% ≤ CAR &lt; 9.5%</w:t>
            </w:r>
          </w:p>
        </w:tc>
      </w:tr>
      <w:tr w:rsidR="00196493" w:rsidRPr="007617D7" w14:paraId="200EA0C9" w14:textId="77777777" w:rsidTr="007617D7">
        <w:trPr>
          <w:trHeight w:val="113"/>
        </w:trPr>
        <w:tc>
          <w:tcPr>
            <w:tcW w:w="866" w:type="dxa"/>
          </w:tcPr>
          <w:p w14:paraId="2A89AA74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261" w:type="dxa"/>
          </w:tcPr>
          <w:p w14:paraId="7E5CE8D9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Kurang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4D5DBC53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6,5% ≤ CAR &lt; 8%</w:t>
            </w:r>
          </w:p>
        </w:tc>
      </w:tr>
      <w:tr w:rsidR="00196493" w:rsidRPr="007617D7" w14:paraId="73D1FA11" w14:textId="77777777" w:rsidTr="007617D7">
        <w:trPr>
          <w:trHeight w:val="70"/>
        </w:trPr>
        <w:tc>
          <w:tcPr>
            <w:tcW w:w="866" w:type="dxa"/>
          </w:tcPr>
          <w:p w14:paraId="6C3AF052" w14:textId="77777777" w:rsidR="00196493" w:rsidRPr="007617D7" w:rsidRDefault="00196493" w:rsidP="007617D7">
            <w:pPr>
              <w:spacing w:line="276" w:lineRule="auto"/>
              <w:contextualSpacing/>
              <w:jc w:val="center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261" w:type="dxa"/>
          </w:tcPr>
          <w:p w14:paraId="2C226790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Tidak</w:t>
            </w:r>
            <w:proofErr w:type="spellEnd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Sehat</w:t>
            </w:r>
            <w:proofErr w:type="spellEnd"/>
          </w:p>
        </w:tc>
        <w:tc>
          <w:tcPr>
            <w:tcW w:w="1559" w:type="dxa"/>
          </w:tcPr>
          <w:p w14:paraId="3EEBB6D6" w14:textId="77777777" w:rsidR="00196493" w:rsidRPr="007617D7" w:rsidRDefault="00196493" w:rsidP="007617D7">
            <w:pPr>
              <w:spacing w:line="276" w:lineRule="auto"/>
              <w:contextualSpacing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7617D7">
              <w:rPr>
                <w:rFonts w:ascii="Calibri Light" w:eastAsia="Calibri" w:hAnsi="Calibri Light" w:cs="Calibri Light"/>
                <w:sz w:val="16"/>
                <w:szCs w:val="16"/>
              </w:rPr>
              <w:t>CAR &lt; 6,5%</w:t>
            </w:r>
          </w:p>
        </w:tc>
      </w:tr>
    </w:tbl>
    <w:p w14:paraId="59736592" w14:textId="77777777" w:rsidR="00196493" w:rsidRPr="00196493" w:rsidRDefault="00196493" w:rsidP="007617D7">
      <w:pPr>
        <w:spacing w:after="0" w:line="240" w:lineRule="auto"/>
        <w:ind w:left="993" w:hanging="993"/>
        <w:contextualSpacing/>
        <w:jc w:val="both"/>
        <w:rPr>
          <w:rFonts w:ascii="Calibri Light" w:eastAsia="Calibri" w:hAnsi="Calibri Light" w:cs="Calibri Light"/>
        </w:rPr>
      </w:pPr>
      <w:proofErr w:type="spellStart"/>
      <w:r w:rsidRPr="00196493">
        <w:rPr>
          <w:rFonts w:ascii="Calibri Light" w:eastAsia="Calibri" w:hAnsi="Calibri Light" w:cs="Calibri Light"/>
        </w:rPr>
        <w:t>Sumber</w:t>
      </w:r>
      <w:proofErr w:type="spellEnd"/>
      <w:r w:rsidRPr="00196493">
        <w:rPr>
          <w:rFonts w:ascii="Calibri Light" w:eastAsia="Calibri" w:hAnsi="Calibri Light" w:cs="Calibri Light"/>
        </w:rPr>
        <w:t xml:space="preserve">: </w:t>
      </w:r>
      <w:proofErr w:type="spellStart"/>
      <w:r w:rsidRPr="00196493">
        <w:rPr>
          <w:rFonts w:ascii="Calibri Light" w:eastAsia="Calibri" w:hAnsi="Calibri Light" w:cs="Calibri Light"/>
        </w:rPr>
        <w:t>Kodifikasi</w:t>
      </w:r>
      <w:proofErr w:type="spellEnd"/>
      <w:r w:rsidRPr="00196493">
        <w:rPr>
          <w:rFonts w:ascii="Calibri Light" w:eastAsia="Calibri" w:hAnsi="Calibri Light" w:cs="Calibri Light"/>
        </w:rPr>
        <w:t xml:space="preserve"> </w:t>
      </w:r>
      <w:proofErr w:type="spellStart"/>
      <w:r w:rsidRPr="00196493">
        <w:rPr>
          <w:rFonts w:ascii="Calibri Light" w:eastAsia="Calibri" w:hAnsi="Calibri Light" w:cs="Calibri Light"/>
        </w:rPr>
        <w:t>Penilaian</w:t>
      </w:r>
      <w:proofErr w:type="spellEnd"/>
      <w:r w:rsidRPr="00196493">
        <w:rPr>
          <w:rFonts w:ascii="Calibri Light" w:eastAsia="Calibri" w:hAnsi="Calibri Light" w:cs="Calibri Light"/>
        </w:rPr>
        <w:t xml:space="preserve"> Tingkat </w:t>
      </w:r>
      <w:proofErr w:type="spellStart"/>
      <w:r w:rsidRPr="00196493">
        <w:rPr>
          <w:rFonts w:ascii="Calibri Light" w:eastAsia="Calibri" w:hAnsi="Calibri Light" w:cs="Calibri Light"/>
        </w:rPr>
        <w:t>kesehatan</w:t>
      </w:r>
      <w:proofErr w:type="spellEnd"/>
      <w:r w:rsidRPr="00196493">
        <w:rPr>
          <w:rFonts w:ascii="Calibri Light" w:eastAsia="Calibri" w:hAnsi="Calibri Light" w:cs="Calibri Light"/>
        </w:rPr>
        <w:t xml:space="preserve"> Bank </w:t>
      </w:r>
      <w:proofErr w:type="spellStart"/>
      <w:r w:rsidRPr="00196493">
        <w:rPr>
          <w:rFonts w:ascii="Calibri Light" w:eastAsia="Calibri" w:hAnsi="Calibri Light" w:cs="Calibri Light"/>
        </w:rPr>
        <w:t>Tahun</w:t>
      </w:r>
      <w:proofErr w:type="spellEnd"/>
      <w:r w:rsidRPr="00196493">
        <w:rPr>
          <w:rFonts w:ascii="Calibri Light" w:eastAsia="Calibri" w:hAnsi="Calibri Light" w:cs="Calibri Light"/>
        </w:rPr>
        <w:t xml:space="preserve"> 2012</w:t>
      </w:r>
    </w:p>
    <w:p w14:paraId="3EE8F3B7" w14:textId="09DA82E8" w:rsidR="00196493" w:rsidRDefault="00196493" w:rsidP="007617D7">
      <w:pPr>
        <w:spacing w:after="0"/>
        <w:ind w:firstLine="360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49F0F9" w14:textId="59910478" w:rsidR="00F75134" w:rsidRPr="00C03505" w:rsidRDefault="00F75134" w:rsidP="007617D7">
      <w:pPr>
        <w:pStyle w:val="ListParagraph"/>
        <w:spacing w:after="0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43F8D">
        <w:rPr>
          <w:rFonts w:ascii="Calibri Light" w:hAnsi="Calibri Light" w:cs="Calibri Light"/>
          <w:b/>
          <w:bCs/>
          <w:sz w:val="24"/>
          <w:szCs w:val="24"/>
          <w:lang w:val="id-ID"/>
        </w:rPr>
        <w:t xml:space="preserve">HASIL DAN </w:t>
      </w:r>
      <w:r w:rsidR="00730F88" w:rsidRPr="00643F8D">
        <w:rPr>
          <w:rFonts w:ascii="Calibri Light" w:hAnsi="Calibri Light" w:cs="Calibri Light"/>
          <w:b/>
          <w:bCs/>
          <w:sz w:val="24"/>
          <w:szCs w:val="24"/>
        </w:rPr>
        <w:t>PE</w:t>
      </w:r>
      <w:r w:rsidRPr="00643F8D">
        <w:rPr>
          <w:rFonts w:ascii="Calibri Light" w:hAnsi="Calibri Light" w:cs="Calibri Light"/>
          <w:b/>
          <w:bCs/>
          <w:sz w:val="24"/>
          <w:szCs w:val="24"/>
          <w:lang w:val="id-ID"/>
        </w:rPr>
        <w:t>MBAHASAN</w:t>
      </w:r>
    </w:p>
    <w:p w14:paraId="5EAE69E1" w14:textId="691AC958" w:rsidR="00FB58BF" w:rsidRPr="00C03505" w:rsidRDefault="009A58B2" w:rsidP="007617D7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643F8D">
        <w:rPr>
          <w:rFonts w:ascii="Calibri Light" w:hAnsi="Calibri Light" w:cs="Calibri Light"/>
          <w:b/>
          <w:sz w:val="24"/>
          <w:szCs w:val="24"/>
          <w:lang w:val="id-ID"/>
        </w:rPr>
        <w:t>Hasil Penelitian</w:t>
      </w:r>
    </w:p>
    <w:p w14:paraId="742DD4B7" w14:textId="77777777" w:rsidR="008C420B" w:rsidRPr="008C420B" w:rsidRDefault="008C420B" w:rsidP="008C420B">
      <w:pPr>
        <w:spacing w:after="0"/>
        <w:ind w:firstLine="360"/>
        <w:jc w:val="both"/>
        <w:rPr>
          <w:rFonts w:ascii="Calibri Light" w:hAnsi="Calibri Light" w:cs="Calibri Light"/>
        </w:rPr>
      </w:pPr>
      <w:proofErr w:type="spellStart"/>
      <w:r w:rsidRPr="008C420B">
        <w:rPr>
          <w:rFonts w:ascii="Calibri Light" w:hAnsi="Calibri Light" w:cs="Calibri Light"/>
        </w:rPr>
        <w:t>Berdasarkan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Peraturan</w:t>
      </w:r>
      <w:proofErr w:type="spellEnd"/>
      <w:r w:rsidRPr="008C420B">
        <w:rPr>
          <w:rFonts w:ascii="Calibri Light" w:hAnsi="Calibri Light" w:cs="Calibri Light"/>
        </w:rPr>
        <w:t xml:space="preserve"> Bank Indonesia No. 13/1/PBI/</w:t>
      </w:r>
      <w:r w:rsidRPr="008C420B">
        <w:rPr>
          <w:rFonts w:ascii="Calibri Light" w:hAnsi="Calibri Light" w:cs="Calibri Light"/>
          <w:sz w:val="24"/>
          <w:szCs w:val="24"/>
        </w:rPr>
        <w:t>2011</w:t>
      </w:r>
      <w:r w:rsidRPr="008C420B">
        <w:rPr>
          <w:rFonts w:ascii="Calibri Light" w:hAnsi="Calibri Light" w:cs="Calibri Light"/>
        </w:rPr>
        <w:t xml:space="preserve"> dan SE No. 13/ 24/ DPNP </w:t>
      </w:r>
      <w:proofErr w:type="spellStart"/>
      <w:r w:rsidRPr="008C420B">
        <w:rPr>
          <w:rFonts w:ascii="Calibri Light" w:hAnsi="Calibri Light" w:cs="Calibri Light"/>
        </w:rPr>
        <w:t>tanggal</w:t>
      </w:r>
      <w:proofErr w:type="spellEnd"/>
      <w:r w:rsidRPr="008C420B">
        <w:rPr>
          <w:rFonts w:ascii="Calibri Light" w:hAnsi="Calibri Light" w:cs="Calibri Light"/>
        </w:rPr>
        <w:t xml:space="preserve"> 25 </w:t>
      </w:r>
      <w:proofErr w:type="spellStart"/>
      <w:r w:rsidRPr="008C420B">
        <w:rPr>
          <w:rFonts w:ascii="Calibri Light" w:hAnsi="Calibri Light" w:cs="Calibri Light"/>
        </w:rPr>
        <w:t>Oktober</w:t>
      </w:r>
      <w:proofErr w:type="spellEnd"/>
      <w:r w:rsidRPr="008C420B">
        <w:rPr>
          <w:rFonts w:ascii="Calibri Light" w:hAnsi="Calibri Light" w:cs="Calibri Light"/>
        </w:rPr>
        <w:t xml:space="preserve"> 2011 </w:t>
      </w:r>
      <w:proofErr w:type="spellStart"/>
      <w:r w:rsidRPr="008C420B">
        <w:rPr>
          <w:rFonts w:ascii="Calibri Light" w:hAnsi="Calibri Light" w:cs="Calibri Light"/>
        </w:rPr>
        <w:t>tentang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Sistem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Penilaian</w:t>
      </w:r>
      <w:proofErr w:type="spellEnd"/>
      <w:r w:rsidRPr="008C420B">
        <w:rPr>
          <w:rFonts w:ascii="Calibri Light" w:hAnsi="Calibri Light" w:cs="Calibri Light"/>
        </w:rPr>
        <w:t xml:space="preserve"> Tingkat </w:t>
      </w:r>
      <w:proofErr w:type="spellStart"/>
      <w:r w:rsidRPr="008C420B">
        <w:rPr>
          <w:rFonts w:ascii="Calibri Light" w:hAnsi="Calibri Light" w:cs="Calibri Light"/>
        </w:rPr>
        <w:t>Kesehatan</w:t>
      </w:r>
      <w:proofErr w:type="spellEnd"/>
      <w:r w:rsidRPr="008C420B">
        <w:rPr>
          <w:rFonts w:ascii="Calibri Light" w:hAnsi="Calibri Light" w:cs="Calibri Light"/>
        </w:rPr>
        <w:t xml:space="preserve"> Bank </w:t>
      </w:r>
      <w:proofErr w:type="spellStart"/>
      <w:r w:rsidRPr="008C420B">
        <w:rPr>
          <w:rFonts w:ascii="Calibri Light" w:hAnsi="Calibri Light" w:cs="Calibri Light"/>
        </w:rPr>
        <w:t>Umum</w:t>
      </w:r>
      <w:proofErr w:type="spellEnd"/>
      <w:r w:rsidRPr="008C420B">
        <w:rPr>
          <w:rFonts w:ascii="Calibri Light" w:hAnsi="Calibri Light" w:cs="Calibri Light"/>
        </w:rPr>
        <w:t xml:space="preserve">, </w:t>
      </w:r>
      <w:proofErr w:type="spellStart"/>
      <w:r w:rsidRPr="008C420B">
        <w:rPr>
          <w:rFonts w:ascii="Calibri Light" w:hAnsi="Calibri Light" w:cs="Calibri Light"/>
        </w:rPr>
        <w:t>Penilaian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kesehatan</w:t>
      </w:r>
      <w:proofErr w:type="spellEnd"/>
      <w:r w:rsidRPr="008C420B">
        <w:rPr>
          <w:rFonts w:ascii="Calibri Light" w:hAnsi="Calibri Light" w:cs="Calibri Light"/>
        </w:rPr>
        <w:t xml:space="preserve"> bank </w:t>
      </w:r>
      <w:proofErr w:type="spellStart"/>
      <w:r w:rsidRPr="008C420B">
        <w:rPr>
          <w:rFonts w:ascii="Calibri Light" w:hAnsi="Calibri Light" w:cs="Calibri Light"/>
        </w:rPr>
        <w:t>umum</w:t>
      </w:r>
      <w:proofErr w:type="spellEnd"/>
      <w:r w:rsidRPr="008C420B">
        <w:rPr>
          <w:rFonts w:ascii="Calibri Light" w:hAnsi="Calibri Light" w:cs="Calibri Light"/>
        </w:rPr>
        <w:t xml:space="preserve"> BUMN yang </w:t>
      </w:r>
      <w:proofErr w:type="spellStart"/>
      <w:r w:rsidRPr="008C420B">
        <w:rPr>
          <w:rFonts w:ascii="Calibri Light" w:hAnsi="Calibri Light" w:cs="Calibri Light"/>
        </w:rPr>
        <w:t>terdaftar</w:t>
      </w:r>
      <w:proofErr w:type="spellEnd"/>
      <w:r w:rsidRPr="008C420B">
        <w:rPr>
          <w:rFonts w:ascii="Calibri Light" w:hAnsi="Calibri Light" w:cs="Calibri Light"/>
        </w:rPr>
        <w:t xml:space="preserve"> di Bursa </w:t>
      </w:r>
      <w:proofErr w:type="spellStart"/>
      <w:r w:rsidRPr="008C420B">
        <w:rPr>
          <w:rFonts w:ascii="Calibri Light" w:hAnsi="Calibri Light" w:cs="Calibri Light"/>
        </w:rPr>
        <w:t>Efek</w:t>
      </w:r>
      <w:proofErr w:type="spellEnd"/>
      <w:r w:rsidRPr="008C420B">
        <w:rPr>
          <w:rFonts w:ascii="Calibri Light" w:hAnsi="Calibri Light" w:cs="Calibri Light"/>
        </w:rPr>
        <w:t xml:space="preserve"> Indonesia </w:t>
      </w:r>
      <w:proofErr w:type="spellStart"/>
      <w:r w:rsidRPr="008C420B">
        <w:rPr>
          <w:rFonts w:ascii="Calibri Light" w:hAnsi="Calibri Light" w:cs="Calibri Light"/>
        </w:rPr>
        <w:t>tahun</w:t>
      </w:r>
      <w:proofErr w:type="spellEnd"/>
      <w:r w:rsidRPr="008C420B">
        <w:rPr>
          <w:rFonts w:ascii="Calibri Light" w:hAnsi="Calibri Light" w:cs="Calibri Light"/>
        </w:rPr>
        <w:t xml:space="preserve"> 2013-2017 </w:t>
      </w:r>
      <w:proofErr w:type="spellStart"/>
      <w:r w:rsidRPr="008C420B">
        <w:rPr>
          <w:rFonts w:ascii="Calibri Light" w:hAnsi="Calibri Light" w:cs="Calibri Light"/>
        </w:rPr>
        <w:t>meliputi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faktor-faktor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sebagai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berikut</w:t>
      </w:r>
      <w:proofErr w:type="spellEnd"/>
      <w:r w:rsidRPr="008C420B">
        <w:rPr>
          <w:rFonts w:ascii="Calibri Light" w:hAnsi="Calibri Light" w:cs="Calibri Light"/>
        </w:rPr>
        <w:t>:</w:t>
      </w:r>
    </w:p>
    <w:p w14:paraId="32C81676" w14:textId="77777777" w:rsidR="008C420B" w:rsidRPr="008C420B" w:rsidRDefault="008C420B" w:rsidP="001269C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b/>
          <w:bCs/>
          <w:color w:val="000000"/>
        </w:rPr>
        <w:t>Profil</w:t>
      </w:r>
      <w:proofErr w:type="spellEnd"/>
      <w:r w:rsidRPr="008C420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b/>
          <w:bCs/>
          <w:color w:val="000000"/>
        </w:rPr>
        <w:t>Risiko</w:t>
      </w:r>
      <w:proofErr w:type="spellEnd"/>
      <w:r w:rsidRPr="008C420B">
        <w:rPr>
          <w:rFonts w:ascii="Calibri Light" w:hAnsi="Calibri Light" w:cs="Calibri Light"/>
          <w:b/>
          <w:bCs/>
          <w:color w:val="000000"/>
        </w:rPr>
        <w:t xml:space="preserve"> (</w:t>
      </w:r>
      <w:r w:rsidRPr="008C420B">
        <w:rPr>
          <w:rFonts w:ascii="Calibri Light" w:hAnsi="Calibri Light" w:cs="Calibri Light"/>
          <w:b/>
          <w:bCs/>
          <w:i/>
          <w:iCs/>
          <w:color w:val="000000"/>
        </w:rPr>
        <w:t>Risk Profile</w:t>
      </w:r>
      <w:r w:rsidRPr="008C420B">
        <w:rPr>
          <w:rFonts w:ascii="Calibri Light" w:hAnsi="Calibri Light" w:cs="Calibri Light"/>
          <w:b/>
          <w:bCs/>
          <w:color w:val="000000"/>
        </w:rPr>
        <w:t xml:space="preserve">) </w:t>
      </w:r>
    </w:p>
    <w:p w14:paraId="4112873B" w14:textId="1CCEAE7A" w:rsidR="008C420B" w:rsidRPr="008C420B" w:rsidRDefault="008E22E6" w:rsidP="008C420B">
      <w:pPr>
        <w:spacing w:after="0"/>
        <w:ind w:firstLine="360"/>
        <w:jc w:val="both"/>
        <w:rPr>
          <w:rFonts w:ascii="Calibri Light" w:hAnsi="Calibri Light" w:cs="Calibri Light"/>
          <w:color w:val="000000"/>
        </w:rPr>
      </w:pPr>
      <w:proofErr w:type="spellStart"/>
      <w:r>
        <w:rPr>
          <w:rFonts w:ascii="Calibri Light" w:hAnsi="Calibri Light" w:cs="Calibri Light"/>
          <w:color w:val="000000"/>
        </w:rPr>
        <w:t>A</w:t>
      </w:r>
      <w:r w:rsidR="008C420B" w:rsidRPr="008C420B">
        <w:rPr>
          <w:rFonts w:ascii="Calibri Light" w:hAnsi="Calibri Light" w:cs="Calibri Light"/>
          <w:color w:val="000000"/>
        </w:rPr>
        <w:t>spek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r w:rsidR="008C420B" w:rsidRPr="008C420B">
        <w:rPr>
          <w:rFonts w:ascii="Calibri Light" w:hAnsi="Calibri Light" w:cs="Calibri Light"/>
          <w:i/>
          <w:iCs/>
          <w:color w:val="000000"/>
        </w:rPr>
        <w:t xml:space="preserve">risk profile </w:t>
      </w:r>
      <w:r w:rsidR="008C420B"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penelitian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ini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dengan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menggunakan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2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indikator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yaitu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faktor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risiko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kredit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dengan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menggunakan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rumus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NPL dan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risiko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likuiditas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dengan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8C420B" w:rsidRPr="008C420B">
        <w:rPr>
          <w:rFonts w:ascii="Calibri Light" w:hAnsi="Calibri Light" w:cs="Calibri Light"/>
          <w:color w:val="000000"/>
        </w:rPr>
        <w:t>rumus</w:t>
      </w:r>
      <w:proofErr w:type="spellEnd"/>
      <w:r w:rsidR="008C420B" w:rsidRPr="008C420B">
        <w:rPr>
          <w:rFonts w:ascii="Calibri Light" w:hAnsi="Calibri Light" w:cs="Calibri Light"/>
          <w:color w:val="000000"/>
        </w:rPr>
        <w:t xml:space="preserve"> LDR.</w:t>
      </w:r>
    </w:p>
    <w:p w14:paraId="7EDABE84" w14:textId="3FF65B4E" w:rsidR="008C420B" w:rsidRPr="008C420B" w:rsidRDefault="008C420B" w:rsidP="001269C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R</w:t>
      </w:r>
      <w:r w:rsidR="008E22E6">
        <w:rPr>
          <w:rFonts w:ascii="Calibri Light" w:hAnsi="Calibri Light" w:cs="Calibri Light"/>
          <w:color w:val="000000"/>
        </w:rPr>
        <w:t>i</w:t>
      </w:r>
      <w:r w:rsidRPr="008C420B">
        <w:rPr>
          <w:rFonts w:ascii="Calibri Light" w:hAnsi="Calibri Light" w:cs="Calibri Light"/>
          <w:color w:val="000000"/>
        </w:rPr>
        <w:t>siko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Kredit</w:t>
      </w:r>
      <w:proofErr w:type="spellEnd"/>
    </w:p>
    <w:p w14:paraId="4CF4CFB7" w14:textId="7700168E" w:rsidR="008C420B" w:rsidRPr="008C420B" w:rsidRDefault="008C420B" w:rsidP="008E22E6">
      <w:pPr>
        <w:spacing w:after="0"/>
        <w:ind w:firstLine="360"/>
        <w:jc w:val="both"/>
        <w:rPr>
          <w:rFonts w:ascii="Calibri Light" w:hAnsi="Calibri Light" w:cs="Calibri Light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penelitian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ini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untuk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mengetahui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risiko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kredit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dihitung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</w:p>
    <w:p w14:paraId="66D17CD7" w14:textId="5E0E4703" w:rsidR="008C420B" w:rsidRDefault="008C420B" w:rsidP="008C420B">
      <w:pPr>
        <w:spacing w:after="0"/>
        <w:rPr>
          <w:rFonts w:ascii="Calibri Light" w:hAnsi="Calibri Light" w:cs="Calibri Light"/>
        </w:rPr>
      </w:pPr>
    </w:p>
    <w:p w14:paraId="64C72E7B" w14:textId="484F1035" w:rsidR="00DC2624" w:rsidRDefault="00DC2624" w:rsidP="008C420B">
      <w:pPr>
        <w:spacing w:after="0"/>
        <w:rPr>
          <w:rFonts w:ascii="Calibri Light" w:hAnsi="Calibri Light" w:cs="Calibri Light"/>
        </w:rPr>
      </w:pPr>
    </w:p>
    <w:p w14:paraId="1C2D8DD5" w14:textId="77777777" w:rsidR="00DC2624" w:rsidRPr="008C420B" w:rsidRDefault="00DC2624" w:rsidP="008C420B">
      <w:pPr>
        <w:spacing w:after="0"/>
        <w:rPr>
          <w:rFonts w:ascii="Calibri Light" w:hAnsi="Calibri Light" w:cs="Calibri Light"/>
        </w:rPr>
      </w:pPr>
    </w:p>
    <w:p w14:paraId="0DAF2A63" w14:textId="77777777" w:rsidR="008C420B" w:rsidRPr="008C420B" w:rsidRDefault="008C420B" w:rsidP="008C420B">
      <w:pPr>
        <w:spacing w:after="0"/>
        <w:rPr>
          <w:rFonts w:ascii="Calibri Light" w:hAnsi="Calibri Light" w:cs="Calibri Light"/>
        </w:rPr>
      </w:pPr>
    </w:p>
    <w:p w14:paraId="13F9C91F" w14:textId="77777777" w:rsidR="008C420B" w:rsidRPr="008C420B" w:rsidRDefault="008C420B" w:rsidP="008C420B">
      <w:pPr>
        <w:spacing w:after="0"/>
        <w:rPr>
          <w:rFonts w:ascii="Calibri Light" w:hAnsi="Calibri Light" w:cs="Calibri Light"/>
        </w:rPr>
      </w:pPr>
    </w:p>
    <w:p w14:paraId="70A563BB" w14:textId="408A2FD0" w:rsidR="008C420B" w:rsidRPr="00DC2624" w:rsidRDefault="008C420B" w:rsidP="008E22E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i/>
          <w:color w:val="000000"/>
        </w:rPr>
      </w:pPr>
      <w:proofErr w:type="spellStart"/>
      <w:r w:rsidRPr="00DC2624">
        <w:rPr>
          <w:rFonts w:ascii="Calibri Light" w:hAnsi="Calibri Light" w:cs="Calibri Light"/>
          <w:bCs/>
          <w:color w:val="000000"/>
        </w:rPr>
        <w:t>Tabel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r w:rsidR="00A8369D">
        <w:rPr>
          <w:rFonts w:ascii="Calibri Light" w:hAnsi="Calibri Light" w:cs="Calibri Light"/>
          <w:bCs/>
          <w:color w:val="000000"/>
        </w:rPr>
        <w:t>7</w:t>
      </w:r>
      <w:r w:rsidRPr="00DC2624">
        <w:rPr>
          <w:rFonts w:ascii="Calibri Light" w:hAnsi="Calibri Light" w:cs="Calibri Light"/>
          <w:bCs/>
          <w:color w:val="000000"/>
        </w:rPr>
        <w:t xml:space="preserve">.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Kesehatan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Bank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Umum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BUMN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Berdasarkan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Rasio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NPL </w:t>
      </w:r>
      <w:r w:rsidRPr="00DC2624">
        <w:rPr>
          <w:rFonts w:ascii="Calibri Light" w:hAnsi="Calibri Light" w:cs="Calibri Light"/>
          <w:bCs/>
          <w:i/>
          <w:color w:val="000000"/>
        </w:rPr>
        <w:t xml:space="preserve">(Non </w:t>
      </w:r>
      <w:proofErr w:type="spellStart"/>
      <w:r w:rsidRPr="00DC2624">
        <w:rPr>
          <w:rFonts w:ascii="Calibri Light" w:hAnsi="Calibri Light" w:cs="Calibri Light"/>
          <w:bCs/>
          <w:i/>
          <w:color w:val="000000"/>
        </w:rPr>
        <w:t>Perfoming</w:t>
      </w:r>
      <w:proofErr w:type="spellEnd"/>
      <w:r w:rsidRPr="00DC2624">
        <w:rPr>
          <w:rFonts w:ascii="Calibri Light" w:hAnsi="Calibri Light" w:cs="Calibri Light"/>
          <w:bCs/>
          <w:i/>
          <w:color w:val="000000"/>
        </w:rPr>
        <w:t xml:space="preserve"> Loan)</w:t>
      </w:r>
    </w:p>
    <w:tbl>
      <w:tblPr>
        <w:tblW w:w="4798" w:type="pct"/>
        <w:tblInd w:w="108" w:type="dxa"/>
        <w:tblLook w:val="04A0" w:firstRow="1" w:lastRow="0" w:firstColumn="1" w:lastColumn="0" w:noHBand="0" w:noVBand="1"/>
      </w:tblPr>
      <w:tblGrid>
        <w:gridCol w:w="759"/>
        <w:gridCol w:w="1020"/>
        <w:gridCol w:w="859"/>
        <w:gridCol w:w="1190"/>
      </w:tblGrid>
      <w:tr w:rsidR="008C420B" w:rsidRPr="008E22E6" w14:paraId="7153D1A3" w14:textId="77777777" w:rsidTr="008E22E6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2FD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Tahun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6AB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Bank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841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NPL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273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Kriteria</w:t>
            </w:r>
            <w:proofErr w:type="spellEnd"/>
          </w:p>
        </w:tc>
      </w:tr>
      <w:tr w:rsidR="008C420B" w:rsidRPr="008E22E6" w14:paraId="35E490F5" w14:textId="77777777" w:rsidTr="008E22E6">
        <w:trPr>
          <w:trHeight w:val="300"/>
        </w:trPr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4E94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10D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F08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1,27%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18C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8ADB59B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CA38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7732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A37D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2,69%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296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8BE2693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CF3B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EB2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859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0,01%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5553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40EDEAC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8B93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CC1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698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1,43%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74A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DA2F511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5202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341BB9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871EE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1,35%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D79CAF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A490606" w14:textId="77777777" w:rsidTr="008E22E6">
        <w:trPr>
          <w:trHeight w:val="300"/>
        </w:trPr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AA8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22B1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3BE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1,26%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6A4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11FB203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C748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EA59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654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2,52%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D0DD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9D24212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DD28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6A0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95B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0,02%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387F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8118FA1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6F87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05C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362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1,49%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CA5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C586B6D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FD97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70451F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8AA19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1,32%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27A3E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811ACC4" w14:textId="77777777" w:rsidTr="008E22E6">
        <w:trPr>
          <w:trHeight w:val="300"/>
        </w:trPr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257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0DC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5D0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2,10%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7C0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C383AF4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90C7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F742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E6E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3,44%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BAC0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7604CFA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F5D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ABC3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4E5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0,02%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B52C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8912CB0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CD30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763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87D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2,00%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4DBC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ED534DB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64D4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513D2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65467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1,89%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0C9A9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062AC6E" w14:textId="77777777" w:rsidTr="008E22E6">
        <w:trPr>
          <w:trHeight w:val="300"/>
        </w:trPr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94F1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C428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DDE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2,13%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79A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5358A7A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B541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486B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77D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3,84%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F5A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88F2CA5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2870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1A6B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A86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0,02%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AD61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AD32000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8315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833F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C6F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12,59%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01A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4B906AC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6F93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8307F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9946A9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4,65%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8A905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8910DAC" w14:textId="77777777" w:rsidTr="008E22E6">
        <w:trPr>
          <w:trHeight w:val="300"/>
        </w:trPr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6DE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C914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A93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2,23%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255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D7380AC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76FE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3B0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2B0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2,99%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C48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244D8EE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15E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88CA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ED4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0,03%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ECB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EA9232B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EB5E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44E0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30B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9,65%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8347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Kurang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0A5BAD4" w14:textId="77777777" w:rsidTr="008E22E6">
        <w:trPr>
          <w:trHeight w:val="300"/>
        </w:trPr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036F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0B98DC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F3FA1B" w14:textId="77777777" w:rsidR="008C420B" w:rsidRPr="008E22E6" w:rsidRDefault="008C420B" w:rsidP="008E2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3,72%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E8A8A" w14:textId="77777777" w:rsidR="008C420B" w:rsidRPr="008E22E6" w:rsidRDefault="008C420B" w:rsidP="008E22E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</w:tbl>
    <w:p w14:paraId="50FD4A08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Sumber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: Data </w:t>
      </w:r>
      <w:proofErr w:type="spellStart"/>
      <w:r w:rsidRPr="008C420B">
        <w:rPr>
          <w:rFonts w:ascii="Calibri Light" w:hAnsi="Calibri Light" w:cs="Calibri Light"/>
          <w:color w:val="000000"/>
        </w:rPr>
        <w:t>Sekunder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Diolah</w:t>
      </w:r>
      <w:proofErr w:type="spellEnd"/>
      <w:r w:rsidRPr="008C420B">
        <w:rPr>
          <w:rFonts w:ascii="Calibri Light" w:hAnsi="Calibri Light" w:cs="Calibri Light"/>
          <w:color w:val="000000"/>
        </w:rPr>
        <w:t>, 2019</w:t>
      </w:r>
    </w:p>
    <w:p w14:paraId="200DE7C7" w14:textId="6ED89B84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di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diketahui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NPL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1,35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NPL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r w:rsidRPr="008E22E6">
        <w:rPr>
          <w:rFonts w:ascii="Calibri Light" w:eastAsia="Calibri" w:hAnsi="Calibri Light" w:cs="Calibri Light"/>
        </w:rPr>
        <w:t>pada</w:t>
      </w:r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BTN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0,01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bookmarkStart w:id="7" w:name="_Hlk21408377"/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bookmarkEnd w:id="7"/>
      <w:r w:rsidRPr="008C420B">
        <w:rPr>
          <w:rFonts w:ascii="Calibri Light" w:hAnsi="Calibri Light" w:cs="Calibri Light"/>
          <w:color w:val="000000"/>
        </w:rPr>
        <w:t xml:space="preserve">1,27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1,43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2,69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50819316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lastRenderedPageBreak/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2014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NPL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1,32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NPL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BTN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0,02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1,26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1,49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2,52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15F48C03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2015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NPL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1,89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NPL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2015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BTN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0,02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lalu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2,00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2,10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3,44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61ABFA79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2016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NPL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4,65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NPL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BTN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0,02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diikuiti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2,13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3,84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12,59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1DB4D451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2017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NPL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3,72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NPL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0,03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2,23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2,99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9,65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3D41F188" w14:textId="77777777" w:rsidR="008C420B" w:rsidRPr="008C420B" w:rsidRDefault="008C420B" w:rsidP="001269C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Rasio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Likuiditas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</w:p>
    <w:p w14:paraId="1FE6975A" w14:textId="033DB7F3" w:rsid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Rasio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keuangan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ini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menerangkan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LDR </w:t>
      </w:r>
      <w:r w:rsidRPr="008C420B">
        <w:rPr>
          <w:rFonts w:ascii="Calibri Light" w:hAnsi="Calibri Light" w:cs="Calibri Light"/>
          <w:i/>
          <w:color w:val="000000"/>
        </w:rPr>
        <w:t>(Loan Deposit Ratio)</w:t>
      </w:r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digunakan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untuk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likuiditas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suatu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cara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membandingkan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antara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jumlah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kredit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diberikan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bank dan dana </w:t>
      </w:r>
      <w:proofErr w:type="spellStart"/>
      <w:r w:rsidRPr="008C420B">
        <w:rPr>
          <w:rFonts w:ascii="Calibri Light" w:hAnsi="Calibri Light" w:cs="Calibri Light"/>
          <w:color w:val="000000"/>
        </w:rPr>
        <w:t>pihak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ketiga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termasuk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pinjaman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diterima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8C420B">
        <w:rPr>
          <w:rFonts w:ascii="Calibri Light" w:hAnsi="Calibri Light" w:cs="Calibri Light"/>
          <w:color w:val="000000"/>
        </w:rPr>
        <w:t>Kredit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diberikan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tidak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termasuk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kredit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kepada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lain. Dana </w:t>
      </w:r>
      <w:proofErr w:type="spellStart"/>
      <w:r w:rsidRPr="008C420B">
        <w:rPr>
          <w:rFonts w:ascii="Calibri Light" w:hAnsi="Calibri Light" w:cs="Calibri Light"/>
          <w:color w:val="000000"/>
        </w:rPr>
        <w:t>pihak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ketiga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adalah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giro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tabungan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simpanan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berkala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</w:t>
      </w:r>
      <w:proofErr w:type="spellStart"/>
      <w:r w:rsidRPr="008C420B">
        <w:rPr>
          <w:rFonts w:ascii="Calibri Light" w:hAnsi="Calibri Light" w:cs="Calibri Light"/>
          <w:color w:val="000000"/>
        </w:rPr>
        <w:t>sertifikat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deposito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71C6A796" w14:textId="6D181C2E" w:rsidR="008E22E6" w:rsidRDefault="008E22E6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50FDF6D6" w14:textId="276BB3EF" w:rsidR="008E22E6" w:rsidRDefault="008E22E6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6C4907DF" w14:textId="5E4B4100" w:rsidR="008C420B" w:rsidRPr="00DC2624" w:rsidRDefault="008C420B" w:rsidP="008E22E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Calibri Light"/>
          <w:bCs/>
          <w:i/>
          <w:color w:val="000000"/>
        </w:rPr>
      </w:pPr>
      <w:proofErr w:type="spellStart"/>
      <w:r w:rsidRPr="00DC2624">
        <w:rPr>
          <w:rFonts w:ascii="Calibri Light" w:hAnsi="Calibri Light" w:cs="Calibri Light"/>
          <w:bCs/>
          <w:color w:val="000000"/>
        </w:rPr>
        <w:t>Tabel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r w:rsidR="00A8369D">
        <w:rPr>
          <w:rFonts w:ascii="Calibri Light" w:hAnsi="Calibri Light" w:cs="Calibri Light"/>
          <w:bCs/>
          <w:color w:val="000000"/>
        </w:rPr>
        <w:t>8</w:t>
      </w:r>
      <w:r w:rsidRPr="00DC2624">
        <w:rPr>
          <w:rFonts w:ascii="Calibri Light" w:hAnsi="Calibri Light" w:cs="Calibri Light"/>
          <w:bCs/>
          <w:color w:val="000000"/>
        </w:rPr>
        <w:t xml:space="preserve">.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Kesehatan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Bank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Umum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BUMN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Berdasarkan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Rasio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LDR </w:t>
      </w:r>
      <w:r w:rsidRPr="00DC2624">
        <w:rPr>
          <w:rFonts w:ascii="Calibri Light" w:hAnsi="Calibri Light" w:cs="Calibri Light"/>
          <w:bCs/>
          <w:i/>
          <w:color w:val="000000"/>
        </w:rPr>
        <w:t>(Loan Deposito Ratio)</w:t>
      </w:r>
    </w:p>
    <w:tbl>
      <w:tblPr>
        <w:tblW w:w="4433" w:type="pct"/>
        <w:tblInd w:w="250" w:type="dxa"/>
        <w:tblLook w:val="04A0" w:firstRow="1" w:lastRow="0" w:firstColumn="1" w:lastColumn="0" w:noHBand="0" w:noVBand="1"/>
      </w:tblPr>
      <w:tblGrid>
        <w:gridCol w:w="699"/>
        <w:gridCol w:w="890"/>
        <w:gridCol w:w="891"/>
        <w:gridCol w:w="1057"/>
      </w:tblGrid>
      <w:tr w:rsidR="008C420B" w:rsidRPr="008E22E6" w14:paraId="1A1CBD44" w14:textId="77777777" w:rsidTr="008E22E6">
        <w:trPr>
          <w:trHeight w:val="30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E59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Tahun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B63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Bank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CA48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LDR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F12A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Kriteria</w:t>
            </w:r>
            <w:proofErr w:type="spellEnd"/>
          </w:p>
        </w:tc>
      </w:tr>
      <w:tr w:rsidR="008C420B" w:rsidRPr="008E22E6" w14:paraId="263A2336" w14:textId="77777777" w:rsidTr="008E22E6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77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793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EC4D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86,13%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1E18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872F721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93B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181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A2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84,97%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3F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0FC36B2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935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4F3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0E3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92,49%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342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BB8E61A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B9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29EC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3A2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84,92%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1F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D1AB317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29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2167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14992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87,12%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BF9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FC1406A" w14:textId="77777777" w:rsidTr="008E22E6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70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03E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18D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79,56%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5E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B4A0D22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E66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9E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1DD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84,08%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C5CC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D1009C2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AC0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E70C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025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94,50%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4DC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34766CC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D5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D1C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A58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83,28%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EFD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BF5D926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74F8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77099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7A1E0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85,35%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D4C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8CBFD9C" w14:textId="77777777" w:rsidTr="008E22E6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5960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982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200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86,86%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32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878E2FF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3FD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96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806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86,22%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1E2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82C6FB4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3DCE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AB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053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95,44%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9E31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68F7AB4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252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8E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5BB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88,04%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FE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255D8D4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04F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131D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21053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89,14%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65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B5E4995" w14:textId="77777777" w:rsidTr="008E22E6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1BF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86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E6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87,93%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13A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382D5F0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B76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E22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125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86,43%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F66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1DE17D1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3015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4B9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E3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90,15%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87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3698F9F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DE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16E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E10F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103,33%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BF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Kurang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461FE34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BAC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84387C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7B3A1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91,96%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55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973C5B8" w14:textId="77777777" w:rsidTr="008E22E6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1EB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D32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9E59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87,84%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BC7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434F12C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0F4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75D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2A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80,77%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678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0185323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0F5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19D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677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92,55%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A5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2E0C24B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51C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7CD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CC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133,43%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AA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Tidak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D88C488" w14:textId="77777777" w:rsidTr="008E22E6">
        <w:trPr>
          <w:trHeight w:val="300"/>
        </w:trPr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95B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9F02A5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55A5F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98,65%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D9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</w:tbl>
    <w:p w14:paraId="02E8A2A6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Sumber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: Data </w:t>
      </w:r>
      <w:proofErr w:type="spellStart"/>
      <w:r w:rsidRPr="008C420B">
        <w:rPr>
          <w:rFonts w:ascii="Calibri Light" w:hAnsi="Calibri Light" w:cs="Calibri Light"/>
          <w:color w:val="000000"/>
        </w:rPr>
        <w:t>Sekunder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Diolah</w:t>
      </w:r>
      <w:proofErr w:type="spellEnd"/>
      <w:r w:rsidRPr="008C420B">
        <w:rPr>
          <w:rFonts w:ascii="Calibri Light" w:hAnsi="Calibri Light" w:cs="Calibri Light"/>
          <w:color w:val="000000"/>
        </w:rPr>
        <w:t>, 2019</w:t>
      </w:r>
    </w:p>
    <w:p w14:paraId="74290934" w14:textId="367423B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di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diketahui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LDR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86,13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LDR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BNI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84,97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84,92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86,13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92,19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65530BD2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2014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LDR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85,32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LDR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79,56 </w:t>
      </w:r>
      <w:proofErr w:type="spellStart"/>
      <w:r w:rsidRPr="008C420B">
        <w:rPr>
          <w:rFonts w:ascii="Calibri Light" w:hAnsi="Calibri Light" w:cs="Calibri Light"/>
          <w:color w:val="000000"/>
        </w:rPr>
        <w:lastRenderedPageBreak/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83,28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84,08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94,38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3DF961EA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2015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LDR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89,14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LDR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86,22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86,86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88,04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95,44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232E13B1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2016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LDR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91,96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LDR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BNI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86,43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87,93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90,15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103,33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1763D878" w14:textId="4DDA4CB1" w:rsidR="008E22E6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2017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LDR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98,65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LDR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BNI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80,77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87,84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92,55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133,43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2066C6AB" w14:textId="77777777" w:rsidR="008C420B" w:rsidRPr="008C420B" w:rsidRDefault="008C420B" w:rsidP="001269C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Calibri Light" w:hAnsi="Calibri Light" w:cs="Calibri Light"/>
          <w:b/>
          <w:color w:val="000000"/>
        </w:rPr>
      </w:pPr>
      <w:r w:rsidRPr="008C420B">
        <w:rPr>
          <w:rFonts w:ascii="Calibri Light" w:hAnsi="Calibri Light" w:cs="Calibri Light"/>
          <w:b/>
          <w:i/>
          <w:color w:val="000000"/>
        </w:rPr>
        <w:t xml:space="preserve">Good Corporate Governance </w:t>
      </w:r>
      <w:r w:rsidRPr="008C420B">
        <w:rPr>
          <w:rFonts w:ascii="Calibri Light" w:hAnsi="Calibri Light" w:cs="Calibri Light"/>
          <w:b/>
          <w:color w:val="000000"/>
        </w:rPr>
        <w:t>(GCG)</w:t>
      </w:r>
    </w:p>
    <w:p w14:paraId="21E0444C" w14:textId="290DC889" w:rsid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Penilaian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faktor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</w:t>
      </w:r>
      <w:proofErr w:type="spellStart"/>
      <w:r w:rsidRPr="008C420B">
        <w:rPr>
          <w:rFonts w:ascii="Calibri Light" w:hAnsi="Calibri Light" w:cs="Calibri Light"/>
          <w:color w:val="000000"/>
        </w:rPr>
        <w:t>merupakan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penilaian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terhadap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kualitas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manajemen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pelaksanaan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prinsip-prinsip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GCG. </w:t>
      </w:r>
      <w:proofErr w:type="spellStart"/>
      <w:r w:rsidRPr="008C420B">
        <w:rPr>
          <w:rFonts w:ascii="Calibri Light" w:hAnsi="Calibri Light" w:cs="Calibri Light"/>
          <w:color w:val="000000"/>
        </w:rPr>
        <w:t>Prinsip-prinsip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dan </w:t>
      </w:r>
      <w:r w:rsidR="00C505DB">
        <w:rPr>
          <w:rFonts w:ascii="Calibri Light" w:hAnsi="Calibri Light" w:cs="Calibri Light"/>
          <w:color w:val="000000"/>
        </w:rPr>
        <w:t>a</w:t>
      </w:r>
      <w:r w:rsidRPr="008C420B">
        <w:rPr>
          <w:rFonts w:ascii="Calibri Light" w:hAnsi="Calibri Light" w:cs="Calibri Light"/>
          <w:color w:val="000000"/>
        </w:rPr>
        <w:t xml:space="preserve">sset </w:t>
      </w:r>
      <w:proofErr w:type="spellStart"/>
      <w:r w:rsidRPr="008C420B">
        <w:rPr>
          <w:rFonts w:ascii="Calibri Light" w:hAnsi="Calibri Light" w:cs="Calibri Light"/>
          <w:color w:val="000000"/>
        </w:rPr>
        <w:t>penilaian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terhadap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pelaksanaan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prinsip-prinsip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</w:t>
      </w:r>
      <w:proofErr w:type="spellStart"/>
      <w:r w:rsidRPr="008C420B">
        <w:rPr>
          <w:rFonts w:ascii="Calibri Light" w:hAnsi="Calibri Light" w:cs="Calibri Light"/>
          <w:color w:val="000000"/>
        </w:rPr>
        <w:t>berpedoman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ketentuan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Indonesia </w:t>
      </w:r>
      <w:proofErr w:type="spellStart"/>
      <w:r w:rsidRPr="008C420B">
        <w:rPr>
          <w:rFonts w:ascii="Calibri Light" w:hAnsi="Calibri Light" w:cs="Calibri Light"/>
          <w:color w:val="000000"/>
        </w:rPr>
        <w:t>mengenai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Pelaksanaan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</w:t>
      </w:r>
      <w:proofErr w:type="spellStart"/>
      <w:r w:rsidRPr="008C420B">
        <w:rPr>
          <w:rFonts w:ascii="Calibri Light" w:hAnsi="Calibri Light" w:cs="Calibri Light"/>
          <w:color w:val="000000"/>
        </w:rPr>
        <w:t>bagi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memperhatikan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karakteristik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8C420B">
        <w:rPr>
          <w:rFonts w:ascii="Calibri Light" w:hAnsi="Calibri Light" w:cs="Calibri Light"/>
          <w:color w:val="000000"/>
        </w:rPr>
        <w:t>kompleksitas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usaha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Bank.</w:t>
      </w:r>
    </w:p>
    <w:p w14:paraId="10D2E63F" w14:textId="05D7B464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3F3007F7" w14:textId="30AE6BF1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2E6FD4E5" w14:textId="13470E97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28076F94" w14:textId="40504780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62D3BEF5" w14:textId="77777777" w:rsidR="00C505DB" w:rsidRPr="008C420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b/>
          <w:color w:val="000000"/>
        </w:rPr>
      </w:pPr>
    </w:p>
    <w:p w14:paraId="6F63E710" w14:textId="60CE5BD8" w:rsidR="008C420B" w:rsidRPr="00DC2624" w:rsidRDefault="008C420B" w:rsidP="008E22E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i/>
          <w:color w:val="000000"/>
        </w:rPr>
      </w:pPr>
      <w:proofErr w:type="spellStart"/>
      <w:r w:rsidRPr="00DC2624">
        <w:rPr>
          <w:rFonts w:ascii="Calibri Light" w:hAnsi="Calibri Light" w:cs="Calibri Light"/>
          <w:bCs/>
          <w:color w:val="000000"/>
        </w:rPr>
        <w:t>Tabel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r w:rsidR="00A8369D">
        <w:rPr>
          <w:rFonts w:ascii="Calibri Light" w:hAnsi="Calibri Light" w:cs="Calibri Light"/>
          <w:bCs/>
          <w:color w:val="000000"/>
        </w:rPr>
        <w:t>9</w:t>
      </w:r>
      <w:r w:rsidRPr="00DC2624">
        <w:rPr>
          <w:rFonts w:ascii="Calibri Light" w:hAnsi="Calibri Light" w:cs="Calibri Light"/>
          <w:bCs/>
          <w:color w:val="000000"/>
        </w:rPr>
        <w:t xml:space="preserve">.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Kesehatan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Bank BUMN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Berdasarkan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Nilai GCG (</w:t>
      </w:r>
      <w:r w:rsidRPr="00DC2624">
        <w:rPr>
          <w:rFonts w:ascii="Calibri Light" w:hAnsi="Calibri Light" w:cs="Calibri Light"/>
          <w:bCs/>
          <w:i/>
          <w:color w:val="000000"/>
        </w:rPr>
        <w:t>Good Corporate Governance)</w:t>
      </w:r>
    </w:p>
    <w:tbl>
      <w:tblPr>
        <w:tblW w:w="4520" w:type="pct"/>
        <w:tblInd w:w="108" w:type="dxa"/>
        <w:tblLook w:val="04A0" w:firstRow="1" w:lastRow="0" w:firstColumn="1" w:lastColumn="0" w:noHBand="0" w:noVBand="1"/>
      </w:tblPr>
      <w:tblGrid>
        <w:gridCol w:w="402"/>
        <w:gridCol w:w="619"/>
        <w:gridCol w:w="992"/>
        <w:gridCol w:w="544"/>
        <w:gridCol w:w="1049"/>
      </w:tblGrid>
      <w:tr w:rsidR="008C420B" w:rsidRPr="008E22E6" w14:paraId="35AE6E5F" w14:textId="77777777" w:rsidTr="008E22E6">
        <w:trPr>
          <w:trHeight w:val="30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2E3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bookmarkStart w:id="8" w:name="_Hlk21412070" w:colFirst="2" w:colLast="4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No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4E4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Tahun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7449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Bank BUMN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C5BE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GCG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731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Kriteria</w:t>
            </w:r>
            <w:proofErr w:type="spellEnd"/>
          </w:p>
        </w:tc>
      </w:tr>
      <w:bookmarkEnd w:id="8"/>
      <w:tr w:rsidR="008C420B" w:rsidRPr="008E22E6" w14:paraId="322B7FF5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57E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F1CF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2013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8F6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B75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1,29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C65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6A153ADD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957F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B85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3C0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CB3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199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67917413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19C9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0445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9325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Mandiri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89A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46F2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043E4D70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5A7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EF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BE4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BTN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35A8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C3F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64F58D41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7F47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AC79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641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Rata-Rata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0CC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2,07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ECE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5377E240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E33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079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2014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28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E5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1,14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6E4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6564AB12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0E5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3D64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B1D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160F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EDDB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41D56201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A70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3FEA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D0E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Mandiri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541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910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7586F74A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AC2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0D31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09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BTN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631C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825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48BFAD56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C665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FBEA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713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Rata-Rata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04A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1,54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F4D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1C29F823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734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35C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2015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8C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500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1,17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123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1D4DF96C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2A30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3440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59A9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D24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243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266984E4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90F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11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707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ACE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Mandiri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5C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8ED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20114E2D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BAC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12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1BD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672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BTN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709E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B51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353F7F82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F9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ADDF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3D2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Rata-Rata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FE1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1,54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535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37BD72D0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3E5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13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28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2016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DA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5264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972E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3B728729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AC1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14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5C1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A8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40B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89E9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5F9FF0A4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FBB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15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8A0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14BD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Mandiri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C7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2B4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4E3B990F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A7D6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16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7191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3B1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BTN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2E1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D05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12BEFED3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D3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E05E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C82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Rata-Rata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035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1,75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7F2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246BEFAE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AB4F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17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A8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2017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FC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027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719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32E1877A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AF4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18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0D30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F84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D610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1F3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196F25B8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2EF6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19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C76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471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Mandiri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A45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D0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2EA374E4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4F5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EED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4E5C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BTN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E51C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3CD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  <w:tr w:rsidR="008C420B" w:rsidRPr="008E22E6" w14:paraId="752297F1" w14:textId="77777777" w:rsidTr="008E22E6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2B5D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7523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9E32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Rata-Rata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E63D" w14:textId="77777777" w:rsidR="008C420B" w:rsidRPr="008E22E6" w:rsidRDefault="008C420B" w:rsidP="008E22E6">
            <w:pPr>
              <w:spacing w:after="0" w:line="0" w:lineRule="atLeast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1,75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9897" w14:textId="77777777" w:rsidR="008C420B" w:rsidRPr="008E22E6" w:rsidRDefault="008C420B" w:rsidP="008E22E6">
            <w:pPr>
              <w:spacing w:after="0" w:line="0" w:lineRule="atLeas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n-ID"/>
              </w:rPr>
              <w:t>Sehat</w:t>
            </w:r>
            <w:proofErr w:type="spellEnd"/>
          </w:p>
        </w:tc>
      </w:tr>
    </w:tbl>
    <w:p w14:paraId="4B2BF681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Sumber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: Data </w:t>
      </w:r>
      <w:proofErr w:type="spellStart"/>
      <w:r w:rsidRPr="008C420B">
        <w:rPr>
          <w:rFonts w:ascii="Calibri Light" w:hAnsi="Calibri Light" w:cs="Calibri Light"/>
          <w:color w:val="000000"/>
        </w:rPr>
        <w:t>Sekunder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Diolah</w:t>
      </w:r>
      <w:proofErr w:type="spellEnd"/>
      <w:r w:rsidRPr="008C420B">
        <w:rPr>
          <w:rFonts w:ascii="Calibri Light" w:hAnsi="Calibri Light" w:cs="Calibri Light"/>
          <w:color w:val="000000"/>
        </w:rPr>
        <w:t>, 2019</w:t>
      </w:r>
    </w:p>
    <w:p w14:paraId="709C99BD" w14:textId="06D30D0B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di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diketahui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 rata-rata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2,07. GCG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1,29;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BNI dan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 dan BTN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3.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2014 rata-rata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1,54. GCG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1;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1; BNI </w:t>
      </w:r>
      <w:r w:rsidRPr="008C420B">
        <w:rPr>
          <w:rFonts w:ascii="Calibri Light" w:hAnsi="Calibri Light" w:cs="Calibri Light"/>
          <w:color w:val="000000"/>
        </w:rPr>
        <w:lastRenderedPageBreak/>
        <w:t xml:space="preserve">dan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2.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2015 rata-rata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1,54. GCG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1,17; BRI dan BTN </w:t>
      </w:r>
      <w:proofErr w:type="spellStart"/>
      <w:r w:rsidRPr="008C420B">
        <w:rPr>
          <w:rFonts w:ascii="Calibri Light" w:hAnsi="Calibri Light" w:cs="Calibri Light"/>
          <w:color w:val="000000"/>
        </w:rPr>
        <w:t>memperoleh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sama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yaitu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2.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2016 rata-rata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1,75. GCG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1;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BRI, BNI, dan BTN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memperoleh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sama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yaitu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2.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2017 rata-rata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GCG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1,75. GCG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BRI; BNI; dan BTN </w:t>
      </w:r>
      <w:proofErr w:type="spellStart"/>
      <w:r w:rsidRPr="008C420B">
        <w:rPr>
          <w:rFonts w:ascii="Calibri Light" w:hAnsi="Calibri Light" w:cs="Calibri Light"/>
          <w:color w:val="000000"/>
        </w:rPr>
        <w:t>memperoleh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sama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yaitu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2.</w:t>
      </w:r>
    </w:p>
    <w:p w14:paraId="42C2D08F" w14:textId="77777777" w:rsidR="008C420B" w:rsidRPr="008C420B" w:rsidRDefault="008C420B" w:rsidP="001269C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Calibri Light" w:hAnsi="Calibri Light" w:cs="Calibri Light"/>
          <w:b/>
          <w:i/>
          <w:color w:val="000000"/>
        </w:rPr>
      </w:pPr>
      <w:proofErr w:type="spellStart"/>
      <w:r w:rsidRPr="008C420B">
        <w:rPr>
          <w:rFonts w:ascii="Calibri Light" w:hAnsi="Calibri Light" w:cs="Calibri Light"/>
          <w:b/>
          <w:iCs/>
          <w:color w:val="000000"/>
        </w:rPr>
        <w:t>Rentabilitas</w:t>
      </w:r>
      <w:proofErr w:type="spellEnd"/>
      <w:r w:rsidRPr="008C420B">
        <w:rPr>
          <w:rFonts w:ascii="Calibri Light" w:hAnsi="Calibri Light" w:cs="Calibri Light"/>
          <w:b/>
          <w:iCs/>
          <w:color w:val="000000"/>
        </w:rPr>
        <w:t xml:space="preserve"> </w:t>
      </w:r>
      <w:r w:rsidRPr="008C420B">
        <w:rPr>
          <w:rFonts w:ascii="Calibri Light" w:hAnsi="Calibri Light" w:cs="Calibri Light"/>
          <w:b/>
          <w:i/>
          <w:color w:val="000000"/>
        </w:rPr>
        <w:t>(Earnings)</w:t>
      </w:r>
    </w:p>
    <w:p w14:paraId="46C7E32D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Rasio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keuangan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digunakan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dalam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kesehatan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ditinjau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dari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aspek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r w:rsidRPr="008C420B">
        <w:rPr>
          <w:rFonts w:ascii="Calibri Light" w:hAnsi="Calibri Light" w:cs="Calibri Light"/>
          <w:i/>
          <w:iCs/>
          <w:color w:val="000000"/>
        </w:rPr>
        <w:t xml:space="preserve">earnings </w:t>
      </w: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penelitian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ini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menggunakan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dua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rasio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yaitu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ROA dan NIM.</w:t>
      </w:r>
    </w:p>
    <w:p w14:paraId="7D631E65" w14:textId="77777777" w:rsidR="008C420B" w:rsidRPr="008C420B" w:rsidRDefault="008C420B" w:rsidP="001269C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 Light" w:hAnsi="Calibri Light" w:cs="Calibri Light"/>
          <w:b/>
          <w:i/>
          <w:color w:val="000000"/>
        </w:rPr>
      </w:pPr>
      <w:r w:rsidRPr="008C420B">
        <w:rPr>
          <w:rFonts w:ascii="Calibri Light" w:hAnsi="Calibri Light" w:cs="Calibri Light"/>
          <w:color w:val="000000"/>
        </w:rPr>
        <w:t>ROA (</w:t>
      </w:r>
      <w:r w:rsidRPr="008C420B">
        <w:rPr>
          <w:rFonts w:ascii="Calibri Light" w:hAnsi="Calibri Light" w:cs="Calibri Light"/>
          <w:i/>
          <w:iCs/>
          <w:color w:val="000000"/>
        </w:rPr>
        <w:t xml:space="preserve">Return </w:t>
      </w:r>
      <w:proofErr w:type="gramStart"/>
      <w:r w:rsidRPr="008C420B">
        <w:rPr>
          <w:rFonts w:ascii="Calibri Light" w:hAnsi="Calibri Light" w:cs="Calibri Light"/>
          <w:i/>
          <w:iCs/>
          <w:color w:val="000000"/>
        </w:rPr>
        <w:t>On</w:t>
      </w:r>
      <w:proofErr w:type="gramEnd"/>
      <w:r w:rsidRPr="008C420B">
        <w:rPr>
          <w:rFonts w:ascii="Calibri Light" w:hAnsi="Calibri Light" w:cs="Calibri Light"/>
          <w:i/>
          <w:iCs/>
          <w:color w:val="000000"/>
        </w:rPr>
        <w:t xml:space="preserve"> Asset</w:t>
      </w:r>
      <w:r w:rsidRPr="008C420B">
        <w:rPr>
          <w:rFonts w:ascii="Calibri Light" w:hAnsi="Calibri Light" w:cs="Calibri Light"/>
          <w:color w:val="000000"/>
        </w:rPr>
        <w:t xml:space="preserve">) </w:t>
      </w:r>
    </w:p>
    <w:p w14:paraId="2ADBBAA9" w14:textId="71606C0A" w:rsid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>ROA (</w:t>
      </w:r>
      <w:r w:rsidRPr="008C420B">
        <w:rPr>
          <w:rFonts w:ascii="Calibri Light" w:hAnsi="Calibri Light" w:cs="Calibri Light"/>
          <w:i/>
          <w:iCs/>
          <w:color w:val="000000"/>
        </w:rPr>
        <w:t xml:space="preserve">Return </w:t>
      </w:r>
      <w:proofErr w:type="gramStart"/>
      <w:r w:rsidRPr="008C420B">
        <w:rPr>
          <w:rFonts w:ascii="Calibri Light" w:hAnsi="Calibri Light" w:cs="Calibri Light"/>
          <w:i/>
          <w:iCs/>
          <w:color w:val="000000"/>
        </w:rPr>
        <w:t>On</w:t>
      </w:r>
      <w:proofErr w:type="gramEnd"/>
      <w:r w:rsidRPr="008C420B">
        <w:rPr>
          <w:rFonts w:ascii="Calibri Light" w:hAnsi="Calibri Light" w:cs="Calibri Light"/>
          <w:i/>
          <w:iCs/>
          <w:color w:val="000000"/>
        </w:rPr>
        <w:t xml:space="preserve"> Asset</w:t>
      </w:r>
      <w:r w:rsidRPr="008C420B">
        <w:rPr>
          <w:rFonts w:ascii="Calibri Light" w:hAnsi="Calibri Light" w:cs="Calibri Light"/>
          <w:color w:val="000000"/>
        </w:rPr>
        <w:t xml:space="preserve">) </w:t>
      </w:r>
      <w:proofErr w:type="spellStart"/>
      <w:r w:rsidRPr="008C420B">
        <w:rPr>
          <w:rFonts w:ascii="Calibri Light" w:hAnsi="Calibri Light" w:cs="Calibri Light"/>
          <w:color w:val="000000"/>
        </w:rPr>
        <w:t>merupakan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rasio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profitabilitas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mampu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menunjukkan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keberhasilan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suatu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dalam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menghasilkan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keuntungan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atau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laba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mengoptimalkan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r w:rsidRPr="008C420B">
        <w:rPr>
          <w:rFonts w:ascii="Calibri Light" w:hAnsi="Calibri Light" w:cs="Calibri Light"/>
          <w:color w:val="000000"/>
        </w:rPr>
        <w:pgNum/>
      </w:r>
      <w:proofErr w:type="spellStart"/>
      <w:r w:rsidRPr="008C420B">
        <w:rPr>
          <w:rFonts w:ascii="Calibri Light" w:hAnsi="Calibri Light" w:cs="Calibri Light"/>
          <w:color w:val="000000"/>
        </w:rPr>
        <w:t>sset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1B1DA403" w14:textId="5B29BB9D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6B0F5C89" w14:textId="7051A574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074534ED" w14:textId="050C1D3A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3CC9E53B" w14:textId="286BD3E3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4BAC81EF" w14:textId="340178D4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37853009" w14:textId="0B90AD01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4849A9C6" w14:textId="77777777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776E8B58" w14:textId="66E49D1C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6B6C3BF9" w14:textId="77777777" w:rsidR="00C505DB" w:rsidRPr="008C420B" w:rsidRDefault="00C505DB" w:rsidP="008E22E6">
      <w:pPr>
        <w:spacing w:after="0"/>
        <w:ind w:firstLine="567"/>
        <w:contextualSpacing/>
        <w:jc w:val="both"/>
        <w:rPr>
          <w:rFonts w:ascii="Calibri Light" w:eastAsiaTheme="minorEastAsia" w:hAnsi="Calibri Light" w:cs="Calibri Light"/>
        </w:rPr>
      </w:pPr>
    </w:p>
    <w:p w14:paraId="4A949EA4" w14:textId="744B8690" w:rsidR="008C420B" w:rsidRPr="00DC2624" w:rsidRDefault="008C420B" w:rsidP="008E22E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 Light" w:hAnsi="Calibri Light" w:cs="Calibri Light"/>
          <w:bCs/>
          <w:i/>
          <w:color w:val="000000"/>
        </w:rPr>
      </w:pPr>
      <w:proofErr w:type="spellStart"/>
      <w:r w:rsidRPr="00DC2624">
        <w:rPr>
          <w:rFonts w:ascii="Calibri Light" w:hAnsi="Calibri Light" w:cs="Calibri Light"/>
          <w:bCs/>
          <w:color w:val="000000"/>
        </w:rPr>
        <w:t>Tabel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r w:rsidR="00A8369D">
        <w:rPr>
          <w:rFonts w:ascii="Calibri Light" w:hAnsi="Calibri Light" w:cs="Calibri Light"/>
          <w:bCs/>
          <w:color w:val="000000"/>
        </w:rPr>
        <w:t>10</w:t>
      </w:r>
      <w:r w:rsidRPr="00DC2624">
        <w:rPr>
          <w:rFonts w:ascii="Calibri Light" w:hAnsi="Calibri Light" w:cs="Calibri Light"/>
          <w:bCs/>
          <w:color w:val="000000"/>
        </w:rPr>
        <w:t xml:space="preserve">.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Kesehatan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Bank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Umum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BUMN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Berdasarkan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Rasio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ROA </w:t>
      </w:r>
      <w:r w:rsidRPr="00DC2624">
        <w:rPr>
          <w:rFonts w:ascii="Calibri Light" w:hAnsi="Calibri Light" w:cs="Calibri Light"/>
          <w:bCs/>
          <w:i/>
          <w:color w:val="000000"/>
        </w:rPr>
        <w:t xml:space="preserve">(Return </w:t>
      </w:r>
      <w:proofErr w:type="gramStart"/>
      <w:r w:rsidRPr="00DC2624">
        <w:rPr>
          <w:rFonts w:ascii="Calibri Light" w:hAnsi="Calibri Light" w:cs="Calibri Light"/>
          <w:bCs/>
          <w:i/>
          <w:color w:val="000000"/>
        </w:rPr>
        <w:t>On</w:t>
      </w:r>
      <w:proofErr w:type="gramEnd"/>
      <w:r w:rsidRPr="00DC2624">
        <w:rPr>
          <w:rFonts w:ascii="Calibri Light" w:hAnsi="Calibri Light" w:cs="Calibri Light"/>
          <w:bCs/>
          <w:i/>
          <w:color w:val="000000"/>
        </w:rPr>
        <w:t xml:space="preserve"> Asset)</w:t>
      </w:r>
    </w:p>
    <w:tbl>
      <w:tblPr>
        <w:tblW w:w="4346" w:type="pct"/>
        <w:tblInd w:w="250" w:type="dxa"/>
        <w:tblLook w:val="04A0" w:firstRow="1" w:lastRow="0" w:firstColumn="1" w:lastColumn="0" w:noHBand="0" w:noVBand="1"/>
      </w:tblPr>
      <w:tblGrid>
        <w:gridCol w:w="623"/>
        <w:gridCol w:w="812"/>
        <w:gridCol w:w="960"/>
        <w:gridCol w:w="1072"/>
      </w:tblGrid>
      <w:tr w:rsidR="008C420B" w:rsidRPr="008E22E6" w14:paraId="56855F40" w14:textId="77777777" w:rsidTr="008E22E6">
        <w:trPr>
          <w:trHeight w:val="30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ABA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Tahun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08C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Bank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8F91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ROA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9D2B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Kriteria</w:t>
            </w:r>
            <w:proofErr w:type="spellEnd"/>
          </w:p>
        </w:tc>
      </w:tr>
      <w:tr w:rsidR="008C420B" w:rsidRPr="008E22E6" w14:paraId="788B70C5" w14:textId="77777777" w:rsidTr="008E22E6">
        <w:trPr>
          <w:trHeight w:val="300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1EA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BC8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F1B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4,74%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22A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604C0CE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E2A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9D3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92E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3,51%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132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687CB9D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5934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CD5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BC7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1,76%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9A2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5189B7B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FEC1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F36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014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6,56%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15A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A3424AE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2BB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6B60D9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F5AD8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4,14%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CED9C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18500A0" w14:textId="77777777" w:rsidTr="008E22E6">
        <w:trPr>
          <w:trHeight w:val="300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0B17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5010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66E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4,32%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41A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8DF57E3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E965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976B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189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3,37%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16B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EECEC40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53EA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78B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9AC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1,12%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4F1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Cukup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3994E88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1FE7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B3CB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222D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3,28%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F15E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38A6D3C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97C4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9044E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716D4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3,02%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838B78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659D48A" w14:textId="77777777" w:rsidTr="008E22E6">
        <w:trPr>
          <w:trHeight w:val="300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D58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494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20AB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3,87%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FDDD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088F759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7007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715D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FF29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2,48%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3D4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97F9815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EA6D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09F3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B83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1,61%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16F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323ED238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1F6B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11C7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EB30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2,99%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FDC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CC745D1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A22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70163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CEDEE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2,74%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70C1CA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CE805CC" w14:textId="77777777" w:rsidTr="008E22E6">
        <w:trPr>
          <w:trHeight w:val="300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17D4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CA2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AAC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3,61%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1778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5F1A006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6497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A388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9ED3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2,57%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FFC2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E5F6721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EB42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E17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2D67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1,73%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821C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33735AC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39AE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FC5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D52D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1,91%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586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986C1C3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BF9B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D8764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FCA77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2,45%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7077A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A388F70" w14:textId="77777777" w:rsidTr="008E22E6">
        <w:trPr>
          <w:trHeight w:val="300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C01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8713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D09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3,48%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089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5F1E9E02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8318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0D87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DDC4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2,62%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D6F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2F1C2F2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5E4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FCA3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6C3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1,62%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6F7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B3AF7DE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95C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1A65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4CA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2,51%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79E4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5F26690" w14:textId="77777777" w:rsidTr="008E22E6">
        <w:trPr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E9E6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0E5C3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2B2F12" w14:textId="77777777" w:rsidR="008C420B" w:rsidRPr="008E22E6" w:rsidRDefault="008C420B" w:rsidP="008E22E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2,56%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9BF73" w14:textId="77777777" w:rsidR="008C420B" w:rsidRPr="008E22E6" w:rsidRDefault="008C420B" w:rsidP="008E22E6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</w:tbl>
    <w:p w14:paraId="5F55563C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Sumber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: Data </w:t>
      </w:r>
      <w:proofErr w:type="spellStart"/>
      <w:r w:rsidRPr="008C420B">
        <w:rPr>
          <w:rFonts w:ascii="Calibri Light" w:hAnsi="Calibri Light" w:cs="Calibri Light"/>
          <w:color w:val="000000"/>
        </w:rPr>
        <w:t>Sekunder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Diolah</w:t>
      </w:r>
      <w:proofErr w:type="spellEnd"/>
      <w:r w:rsidRPr="008C420B">
        <w:rPr>
          <w:rFonts w:ascii="Calibri Light" w:hAnsi="Calibri Light" w:cs="Calibri Light"/>
          <w:color w:val="000000"/>
        </w:rPr>
        <w:t>, 2019</w:t>
      </w:r>
    </w:p>
    <w:p w14:paraId="67DA3747" w14:textId="6E699128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di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diketahui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ROA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4,14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ROA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6,56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4,74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3,51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1,76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398785D2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2014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ROA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3,02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ROA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4,32 </w:t>
      </w:r>
      <w:proofErr w:type="spellStart"/>
      <w:r w:rsidRPr="008C420B">
        <w:rPr>
          <w:rFonts w:ascii="Calibri Light" w:hAnsi="Calibri Light" w:cs="Calibri Light"/>
          <w:color w:val="000000"/>
        </w:rPr>
        <w:lastRenderedPageBreak/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3,37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3,28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1,12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1F2599C4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2015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ROA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2,74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ROA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masih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3,87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2,99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2,48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1,61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0088AAD4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2016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ROA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2,47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CAR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3,61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2,57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1,95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1,73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160E4A74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2017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ROA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2,59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ROA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masih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3,48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kemudian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2,62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2,63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1,62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3D4B09E7" w14:textId="77777777" w:rsidR="008C420B" w:rsidRPr="008C420B" w:rsidRDefault="008C420B" w:rsidP="001269C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NIM </w:t>
      </w:r>
      <w:r w:rsidRPr="008C420B">
        <w:rPr>
          <w:rFonts w:ascii="Calibri Light" w:hAnsi="Calibri Light" w:cs="Calibri Light"/>
          <w:i/>
          <w:color w:val="000000"/>
        </w:rPr>
        <w:t xml:space="preserve">(Net </w:t>
      </w:r>
      <w:proofErr w:type="spellStart"/>
      <w:r w:rsidRPr="008C420B">
        <w:rPr>
          <w:rFonts w:ascii="Calibri Light" w:hAnsi="Calibri Light" w:cs="Calibri Light"/>
          <w:i/>
          <w:color w:val="000000"/>
        </w:rPr>
        <w:t>Interst</w:t>
      </w:r>
      <w:proofErr w:type="spellEnd"/>
      <w:r w:rsidRPr="008C420B">
        <w:rPr>
          <w:rFonts w:ascii="Calibri Light" w:hAnsi="Calibri Light" w:cs="Calibri Light"/>
          <w:i/>
          <w:color w:val="000000"/>
        </w:rPr>
        <w:t xml:space="preserve"> Margin)</w:t>
      </w:r>
    </w:p>
    <w:p w14:paraId="5D450172" w14:textId="4D02E36D" w:rsid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>NIM (</w:t>
      </w:r>
      <w:r w:rsidRPr="008C420B">
        <w:rPr>
          <w:rFonts w:ascii="Calibri Light" w:hAnsi="Calibri Light" w:cs="Calibri Light"/>
          <w:i/>
          <w:iCs/>
          <w:color w:val="000000"/>
        </w:rPr>
        <w:t>Net Interest Margin</w:t>
      </w:r>
      <w:r w:rsidRPr="008C420B">
        <w:rPr>
          <w:rFonts w:ascii="Calibri Light" w:hAnsi="Calibri Light" w:cs="Calibri Light"/>
          <w:color w:val="000000"/>
        </w:rPr>
        <w:t xml:space="preserve">) </w:t>
      </w:r>
      <w:proofErr w:type="spellStart"/>
      <w:r w:rsidRPr="008C420B">
        <w:rPr>
          <w:rFonts w:ascii="Calibri Light" w:hAnsi="Calibri Light" w:cs="Calibri Light"/>
          <w:color w:val="000000"/>
        </w:rPr>
        <w:t>digunakan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sebagai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alat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ukur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untuk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mengetahui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rentabilitas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yang </w:t>
      </w:r>
      <w:proofErr w:type="spellStart"/>
      <w:r w:rsidRPr="008C420B">
        <w:rPr>
          <w:rFonts w:ascii="Calibri Light" w:hAnsi="Calibri Light" w:cs="Calibri Light"/>
          <w:color w:val="000000"/>
        </w:rPr>
        <w:t>diperoleh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dari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pendapatan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bunga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bersih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aktiva-aktiva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produktif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atau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aktiva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menghasilkan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bunga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bersih</w:t>
      </w:r>
      <w:proofErr w:type="spellEnd"/>
      <w:r w:rsidR="008E22E6">
        <w:rPr>
          <w:rFonts w:ascii="Calibri Light" w:hAnsi="Calibri Light" w:cs="Calibri Light"/>
          <w:color w:val="000000"/>
        </w:rPr>
        <w:t>.</w:t>
      </w:r>
    </w:p>
    <w:p w14:paraId="02DBA5EB" w14:textId="3F78C944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17CE0595" w14:textId="55B8E15F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30AAD4DA" w14:textId="24B472C8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39A4365A" w14:textId="6BC5F069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23A4E48E" w14:textId="07E0F188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5B9EAEFE" w14:textId="71AC3623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76A5E42F" w14:textId="552FC87F" w:rsidR="00C505DB" w:rsidRDefault="00C505D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252B9FDB" w14:textId="77777777" w:rsidR="00C505DB" w:rsidRPr="008C420B" w:rsidRDefault="00C505DB" w:rsidP="008E22E6">
      <w:pPr>
        <w:spacing w:after="0"/>
        <w:ind w:firstLine="567"/>
        <w:contextualSpacing/>
        <w:jc w:val="both"/>
        <w:rPr>
          <w:rFonts w:ascii="Calibri Light" w:eastAsiaTheme="minorEastAsia" w:hAnsi="Calibri Light" w:cs="Calibri Light"/>
          <w:color w:val="000000"/>
        </w:rPr>
      </w:pPr>
    </w:p>
    <w:p w14:paraId="3B5547E8" w14:textId="2420E407" w:rsidR="008C420B" w:rsidRPr="00DC2624" w:rsidRDefault="008C420B" w:rsidP="008E22E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 Light" w:hAnsi="Calibri Light" w:cs="Calibri Light"/>
          <w:bCs/>
          <w:i/>
          <w:color w:val="000000"/>
        </w:rPr>
      </w:pPr>
      <w:proofErr w:type="spellStart"/>
      <w:r w:rsidRPr="00DC2624">
        <w:rPr>
          <w:rFonts w:ascii="Calibri Light" w:hAnsi="Calibri Light" w:cs="Calibri Light"/>
          <w:bCs/>
          <w:color w:val="000000"/>
        </w:rPr>
        <w:t>Tabel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r w:rsidR="00A8369D">
        <w:rPr>
          <w:rFonts w:ascii="Calibri Light" w:hAnsi="Calibri Light" w:cs="Calibri Light"/>
          <w:bCs/>
          <w:color w:val="000000"/>
        </w:rPr>
        <w:t>11</w:t>
      </w:r>
      <w:r w:rsidRPr="00DC2624">
        <w:rPr>
          <w:rFonts w:ascii="Calibri Light" w:hAnsi="Calibri Light" w:cs="Calibri Light"/>
          <w:bCs/>
          <w:color w:val="000000"/>
        </w:rPr>
        <w:t xml:space="preserve">.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Kesehatan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Bank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Berdasarkan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Rasio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NIM </w:t>
      </w:r>
      <w:r w:rsidRPr="00DC2624">
        <w:rPr>
          <w:rFonts w:ascii="Calibri Light" w:hAnsi="Calibri Light" w:cs="Calibri Light"/>
          <w:bCs/>
          <w:i/>
          <w:color w:val="000000"/>
        </w:rPr>
        <w:t>(Net Interest Margin)</w:t>
      </w:r>
    </w:p>
    <w:tbl>
      <w:tblPr>
        <w:tblW w:w="4395" w:type="pct"/>
        <w:tblInd w:w="250" w:type="dxa"/>
        <w:tblLook w:val="04A0" w:firstRow="1" w:lastRow="0" w:firstColumn="1" w:lastColumn="0" w:noHBand="0" w:noVBand="1"/>
      </w:tblPr>
      <w:tblGrid>
        <w:gridCol w:w="619"/>
        <w:gridCol w:w="812"/>
        <w:gridCol w:w="892"/>
        <w:gridCol w:w="1183"/>
      </w:tblGrid>
      <w:tr w:rsidR="008C420B" w:rsidRPr="008E22E6" w14:paraId="5D56209B" w14:textId="77777777" w:rsidTr="008E22E6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2C9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bookmarkStart w:id="9" w:name="_Hlk21414769"/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Tahun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6B41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Bank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51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NIM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EB5D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Kriteria</w:t>
            </w:r>
            <w:proofErr w:type="spellEnd"/>
          </w:p>
        </w:tc>
      </w:tr>
      <w:tr w:rsidR="008C420B" w:rsidRPr="008E22E6" w14:paraId="05F71A25" w14:textId="77777777" w:rsidTr="008E22E6">
        <w:trPr>
          <w:trHeight w:val="30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C1A2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503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108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8,26%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4D8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785A0AB1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AF5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9BC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4C2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6,67%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3C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363C6C4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25B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5378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08F2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5,17%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A6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FF3F1AC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3A1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CF2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D12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9,28%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38E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A10F449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168C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CC22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0AB4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7,35%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7B89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E6BC50D" w14:textId="77777777" w:rsidTr="008E22E6">
        <w:trPr>
          <w:trHeight w:val="30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B5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2014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645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37B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7,93%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BB4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A0EE495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3BEC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890E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A08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7,00%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45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DAEE287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FA5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25F5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FBE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4,05%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0C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633125A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3F2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29B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F89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22,53%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20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DD8FF19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EAC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6387B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AA87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10,38%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D920E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F34907B" w14:textId="77777777" w:rsidTr="008E22E6">
        <w:trPr>
          <w:trHeight w:val="30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3E0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2015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1AC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A43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7,72%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4CA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1606E11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04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55C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B6D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7,40%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367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02190D0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6A6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E4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B06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4,40%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4E9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031FDFB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42B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24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A6F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22,44%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C2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2CD5FA64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758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4E92B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01647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10,49%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395C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251B0F9" w14:textId="77777777" w:rsidTr="008E22E6">
        <w:trPr>
          <w:trHeight w:val="30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4EA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2016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C88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7BC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7,38%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85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961B3A4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0DD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CC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4B1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7,68%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D6D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2D53AAE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AA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93C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8D0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4,36%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A8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AB88F11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0174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6341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39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18,69%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56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9A6284C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46CE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8A3F8E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4E196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9,53%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EF76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462E141B" w14:textId="77777777" w:rsidTr="008E22E6">
        <w:trPr>
          <w:trHeight w:val="30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B72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941B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926B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6,89%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F1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07A076E3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D0F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ACB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0BB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6,95%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998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D332502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8DB3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DE72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41F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4,21%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B00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66060444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C126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BFBA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EBC9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15,76%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DC1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8E22E6" w14:paraId="18D23CDD" w14:textId="77777777" w:rsidTr="008E22E6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9A62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D54C29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7A154" w14:textId="77777777" w:rsidR="008C420B" w:rsidRPr="008E22E6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8,45%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4E497" w14:textId="77777777" w:rsidR="008C420B" w:rsidRPr="008E22E6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8E22E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</w:tbl>
    <w:p w14:paraId="5475B31D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Sumber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: Data </w:t>
      </w:r>
      <w:proofErr w:type="spellStart"/>
      <w:r w:rsidRPr="008C420B">
        <w:rPr>
          <w:rFonts w:ascii="Calibri Light" w:hAnsi="Calibri Light" w:cs="Calibri Light"/>
          <w:color w:val="000000"/>
        </w:rPr>
        <w:t>Sekunder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Diolah</w:t>
      </w:r>
      <w:proofErr w:type="spellEnd"/>
      <w:r w:rsidRPr="008C420B">
        <w:rPr>
          <w:rFonts w:ascii="Calibri Light" w:hAnsi="Calibri Light" w:cs="Calibri Light"/>
          <w:color w:val="000000"/>
        </w:rPr>
        <w:t>, 2019</w:t>
      </w:r>
    </w:p>
    <w:bookmarkEnd w:id="9"/>
    <w:p w14:paraId="42654EA7" w14:textId="378FF309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di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diketahui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NIM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7,32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NIM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9,28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8,26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6,67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5,17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438744D2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2014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NIM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10,38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NIM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22,53;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7,93 </w:t>
      </w:r>
      <w:proofErr w:type="spellStart"/>
      <w:r w:rsidRPr="008C420B">
        <w:rPr>
          <w:rFonts w:ascii="Calibri Light" w:hAnsi="Calibri Light" w:cs="Calibri Light"/>
          <w:color w:val="000000"/>
        </w:rPr>
        <w:lastRenderedPageBreak/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7,00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4,05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3767F233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2015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NIM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10,49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NIM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masih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22,44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7,72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lalu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7,40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4,40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29C35410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2016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NIM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9,53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NIM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18,69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7,68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7,38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4,36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457CB2DE" w14:textId="77777777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2017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NIM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8,45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NIM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15,76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6,95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6,89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4,21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4038CE7D" w14:textId="77777777" w:rsidR="008C420B" w:rsidRPr="008C420B" w:rsidRDefault="008C420B" w:rsidP="001269C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Calibri Light" w:hAnsi="Calibri Light" w:cs="Calibri Light"/>
          <w:b/>
          <w:color w:val="000000"/>
        </w:rPr>
      </w:pPr>
      <w:proofErr w:type="spellStart"/>
      <w:r w:rsidRPr="008C420B">
        <w:rPr>
          <w:rFonts w:ascii="Calibri Light" w:hAnsi="Calibri Light" w:cs="Calibri Light"/>
          <w:b/>
          <w:iCs/>
          <w:color w:val="000000"/>
        </w:rPr>
        <w:t>Penilaian</w:t>
      </w:r>
      <w:proofErr w:type="spellEnd"/>
      <w:r w:rsidRPr="008C420B">
        <w:rPr>
          <w:rFonts w:ascii="Calibri Light" w:hAnsi="Calibri Light" w:cs="Calibri Light"/>
          <w:b/>
          <w:color w:val="000000"/>
        </w:rPr>
        <w:t xml:space="preserve"> Capital (</w:t>
      </w:r>
      <w:proofErr w:type="spellStart"/>
      <w:r w:rsidRPr="008C420B">
        <w:rPr>
          <w:rFonts w:ascii="Calibri Light" w:hAnsi="Calibri Light" w:cs="Calibri Light"/>
          <w:b/>
          <w:color w:val="000000"/>
        </w:rPr>
        <w:t>Permodalan</w:t>
      </w:r>
      <w:proofErr w:type="spellEnd"/>
      <w:r w:rsidRPr="008C420B">
        <w:rPr>
          <w:rFonts w:ascii="Calibri Light" w:hAnsi="Calibri Light" w:cs="Calibri Light"/>
          <w:b/>
          <w:color w:val="000000"/>
        </w:rPr>
        <w:t>)</w:t>
      </w:r>
    </w:p>
    <w:p w14:paraId="5E565871" w14:textId="46E1CED9" w:rsidR="008C420B" w:rsidRPr="008C420B" w:rsidRDefault="008C420B" w:rsidP="008E22E6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Berikut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hasil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perhitungan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rasio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CAR </w:t>
      </w:r>
      <w:proofErr w:type="spellStart"/>
      <w:r w:rsidRPr="008C420B">
        <w:rPr>
          <w:rFonts w:ascii="Calibri Light" w:hAnsi="Calibri Light" w:cs="Calibri Light"/>
          <w:color w:val="000000"/>
        </w:rPr>
        <w:t>masing-masing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2013-2017.</w:t>
      </w:r>
    </w:p>
    <w:p w14:paraId="72E2DBDF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0419E430" w14:textId="286B7384" w:rsid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3D3B613A" w14:textId="77777777" w:rsidR="00C505DB" w:rsidRPr="008C420B" w:rsidRDefault="00C505D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7053C7BF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5922E112" w14:textId="15A067BB" w:rsid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45B83C3D" w14:textId="47EBB8B1" w:rsidR="00C505DB" w:rsidRDefault="00C505D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3919318C" w14:textId="77777777" w:rsidR="00C505DB" w:rsidRPr="008C420B" w:rsidRDefault="00C505D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2A2164F4" w14:textId="3245A283" w:rsid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34785A86" w14:textId="0835A5D8" w:rsidR="00C505DB" w:rsidRDefault="00C505D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0D27F6CF" w14:textId="77777777" w:rsidR="00C505DB" w:rsidRPr="008C420B" w:rsidRDefault="00C505D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5E2AB051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</w:p>
    <w:p w14:paraId="26BAFECD" w14:textId="24EFB45F" w:rsidR="008C420B" w:rsidRPr="00DC2624" w:rsidRDefault="008C420B" w:rsidP="003468C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Calibri Light"/>
          <w:bCs/>
          <w:i/>
          <w:color w:val="000000"/>
        </w:rPr>
      </w:pPr>
      <w:proofErr w:type="spellStart"/>
      <w:r w:rsidRPr="00DC2624">
        <w:rPr>
          <w:rFonts w:ascii="Calibri Light" w:hAnsi="Calibri Light" w:cs="Calibri Light"/>
          <w:bCs/>
          <w:color w:val="000000"/>
        </w:rPr>
        <w:t>Tabel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r w:rsidR="00A8369D">
        <w:rPr>
          <w:rFonts w:ascii="Calibri Light" w:hAnsi="Calibri Light" w:cs="Calibri Light"/>
          <w:bCs/>
          <w:color w:val="000000"/>
        </w:rPr>
        <w:t>12</w:t>
      </w:r>
      <w:r w:rsidRPr="00DC2624">
        <w:rPr>
          <w:rFonts w:ascii="Calibri Light" w:hAnsi="Calibri Light" w:cs="Calibri Light"/>
          <w:bCs/>
          <w:color w:val="000000"/>
        </w:rPr>
        <w:t xml:space="preserve">.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Kesehatan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Bank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Umum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BUMN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Berdasarkan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bCs/>
          <w:color w:val="000000"/>
        </w:rPr>
        <w:t>Rasio</w:t>
      </w:r>
      <w:proofErr w:type="spellEnd"/>
      <w:r w:rsidRPr="00DC2624">
        <w:rPr>
          <w:rFonts w:ascii="Calibri Light" w:hAnsi="Calibri Light" w:cs="Calibri Light"/>
          <w:bCs/>
          <w:color w:val="000000"/>
        </w:rPr>
        <w:t xml:space="preserve"> CAR </w:t>
      </w:r>
      <w:r w:rsidRPr="00DC2624">
        <w:rPr>
          <w:rFonts w:ascii="Calibri Light" w:hAnsi="Calibri Light" w:cs="Calibri Light"/>
          <w:bCs/>
          <w:i/>
          <w:color w:val="000000"/>
        </w:rPr>
        <w:t>(Capital adequacy Ratio)</w:t>
      </w:r>
    </w:p>
    <w:tbl>
      <w:tblPr>
        <w:tblW w:w="4520" w:type="pct"/>
        <w:tblInd w:w="108" w:type="dxa"/>
        <w:tblLook w:val="04A0" w:firstRow="1" w:lastRow="0" w:firstColumn="1" w:lastColumn="0" w:noHBand="0" w:noVBand="1"/>
      </w:tblPr>
      <w:tblGrid>
        <w:gridCol w:w="927"/>
        <w:gridCol w:w="812"/>
        <w:gridCol w:w="829"/>
        <w:gridCol w:w="1038"/>
      </w:tblGrid>
      <w:tr w:rsidR="008C420B" w:rsidRPr="003468C9" w14:paraId="229F1EF5" w14:textId="77777777" w:rsidTr="003468C9">
        <w:trPr>
          <w:trHeight w:val="30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D1C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Tahun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5AD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Bank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4D73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CAR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1B6E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Kriteria</w:t>
            </w:r>
            <w:proofErr w:type="spellEnd"/>
          </w:p>
        </w:tc>
      </w:tr>
      <w:tr w:rsidR="008C420B" w:rsidRPr="003468C9" w14:paraId="4AE53016" w14:textId="77777777" w:rsidTr="003468C9">
        <w:trPr>
          <w:trHeight w:val="300"/>
        </w:trPr>
        <w:tc>
          <w:tcPr>
            <w:tcW w:w="1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83B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75C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BCA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16,99%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648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12EADB71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A437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539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D1F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15,09%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7B0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186933DF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454E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794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E00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15,62%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0C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3487C8B2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9E5F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6A5E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968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14,93%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5BC7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2FDA798C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219D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B572C8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127F8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15,66%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7093E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439BEB0B" w14:textId="77777777" w:rsidTr="003468C9">
        <w:trPr>
          <w:trHeight w:val="300"/>
        </w:trPr>
        <w:tc>
          <w:tcPr>
            <w:tcW w:w="1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A98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282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841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18,31%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645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26C208A2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E700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DB52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6FB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16,22%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BE2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68F316EB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E5EC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BFB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FBA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14,64%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0B7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4BB9EE2B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186D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EC61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3CD3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16,60%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098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4C13BF42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7A4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477743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70028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16,44%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8DEEEC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4A3B4804" w14:textId="77777777" w:rsidTr="003468C9">
        <w:trPr>
          <w:trHeight w:val="300"/>
        </w:trPr>
        <w:tc>
          <w:tcPr>
            <w:tcW w:w="1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38E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FA7E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6753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20,39%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B3CC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061612BC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900D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3151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E28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19,49%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DDA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0BE93E2C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94B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F0F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764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16,97%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FDC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0F32D1D8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9E5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A9A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5990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18,60%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E6D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331D422F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0192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ADF710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BDD0E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18,86%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C3D6D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49F5757B" w14:textId="77777777" w:rsidTr="003468C9">
        <w:trPr>
          <w:trHeight w:val="300"/>
        </w:trPr>
        <w:tc>
          <w:tcPr>
            <w:tcW w:w="1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D8C6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2016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D348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992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22,69%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58B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468C9DF3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BD4F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06F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48E8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19,36%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A2C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4E7F199D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5450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D28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F4EE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16,92%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0A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5DB904FC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78DE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DEDF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0586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21,36%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D0E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21B09ECF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141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C4FFC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52EAC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20,08%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1C31D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56605B21" w14:textId="77777777" w:rsidTr="003468C9">
        <w:trPr>
          <w:trHeight w:val="300"/>
        </w:trPr>
        <w:tc>
          <w:tcPr>
            <w:tcW w:w="1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2A4B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2017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307A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BRI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78C2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22,84%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8C69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5BCFB4B5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E9AA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EF14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BNI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7AE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18,53%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29F6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7C2DA336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64C9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557A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BTN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6B9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22,63%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309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07B5FFD5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51BD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BB11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Mandiri</w:t>
            </w:r>
            <w:proofErr w:type="spell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5B4F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21,64%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143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  <w:tr w:rsidR="008C420B" w:rsidRPr="003468C9" w14:paraId="7C128A29" w14:textId="77777777" w:rsidTr="003468C9">
        <w:trPr>
          <w:trHeight w:val="300"/>
        </w:trPr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55B5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F8FDF5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Rata-rata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38DED" w14:textId="77777777" w:rsidR="008C420B" w:rsidRPr="003468C9" w:rsidRDefault="008C420B" w:rsidP="008C420B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21,41%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D8827B" w14:textId="77777777" w:rsidR="008C420B" w:rsidRPr="003468C9" w:rsidRDefault="008C420B" w:rsidP="008C420B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n-ID" w:eastAsia="en-ID"/>
              </w:rPr>
              <w:t>sehat</w:t>
            </w:r>
            <w:proofErr w:type="spellEnd"/>
          </w:p>
        </w:tc>
      </w:tr>
    </w:tbl>
    <w:p w14:paraId="6E4B5328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Sumber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: Data </w:t>
      </w:r>
      <w:proofErr w:type="spellStart"/>
      <w:r w:rsidRPr="008C420B">
        <w:rPr>
          <w:rFonts w:ascii="Calibri Light" w:hAnsi="Calibri Light" w:cs="Calibri Light"/>
          <w:color w:val="000000"/>
        </w:rPr>
        <w:t>Sekunder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Diolah</w:t>
      </w:r>
      <w:proofErr w:type="spellEnd"/>
      <w:r w:rsidRPr="008C420B">
        <w:rPr>
          <w:rFonts w:ascii="Calibri Light" w:hAnsi="Calibri Light" w:cs="Calibri Light"/>
          <w:color w:val="000000"/>
        </w:rPr>
        <w:t>, 2019</w:t>
      </w:r>
    </w:p>
    <w:p w14:paraId="5AC226EE" w14:textId="581BC806" w:rsidR="008C420B" w:rsidRPr="008C420B" w:rsidRDefault="008C420B" w:rsidP="003468C9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di </w:t>
      </w:r>
      <w:proofErr w:type="spellStart"/>
      <w:r w:rsidRPr="008C420B">
        <w:rPr>
          <w:rFonts w:ascii="Calibri Light" w:hAnsi="Calibri Light" w:cs="Calibri Light"/>
          <w:color w:val="000000"/>
        </w:rPr>
        <w:t>atas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diketahui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CAR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15,66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CAR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16,99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15,62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15,09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14,93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655C6CF9" w14:textId="77777777" w:rsidR="008C420B" w:rsidRPr="008C420B" w:rsidRDefault="008C420B" w:rsidP="003468C9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2014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CAR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16,44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CAR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18,31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lastRenderedPageBreak/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16,60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16,22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14,64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25CD779B" w14:textId="77777777" w:rsidR="008C420B" w:rsidRPr="008C420B" w:rsidRDefault="008C420B" w:rsidP="003468C9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2015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CAR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18,86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CAR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BRI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20,39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lalu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19,49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18,60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16,97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</w:p>
    <w:p w14:paraId="56724568" w14:textId="77777777" w:rsidR="008C420B" w:rsidRPr="008C420B" w:rsidRDefault="008C420B" w:rsidP="003468C9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2016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CAR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20,08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CAR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22,69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21,36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19,36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16,92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,</w:t>
      </w:r>
    </w:p>
    <w:p w14:paraId="78DD8749" w14:textId="77777777" w:rsidR="008C420B" w:rsidRPr="008C420B" w:rsidRDefault="008C420B" w:rsidP="003468C9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2017 </w:t>
      </w:r>
      <w:proofErr w:type="spellStart"/>
      <w:r w:rsidRPr="008C420B">
        <w:rPr>
          <w:rFonts w:ascii="Calibri Light" w:hAnsi="Calibri Light" w:cs="Calibri Light"/>
          <w:color w:val="000000"/>
        </w:rPr>
        <w:t>nilai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rata-rata CAR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21,41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CAR </w:t>
      </w:r>
      <w:proofErr w:type="spellStart"/>
      <w:r w:rsidRPr="008C420B">
        <w:rPr>
          <w:rFonts w:ascii="Calibri Light" w:hAnsi="Calibri Light" w:cs="Calibri Light"/>
          <w:color w:val="000000"/>
        </w:rPr>
        <w:t>terbaik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tersebut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dimiliki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oleh BRI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22,84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diikuti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BTN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22,63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21,64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dan BNI </w:t>
      </w:r>
      <w:proofErr w:type="spellStart"/>
      <w:r w:rsidRPr="008C420B">
        <w:rPr>
          <w:rFonts w:ascii="Calibri Light" w:hAnsi="Calibri Light" w:cs="Calibri Light"/>
          <w:color w:val="000000"/>
        </w:rPr>
        <w:t>sebesar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18,53 </w:t>
      </w:r>
      <w:proofErr w:type="spellStart"/>
      <w:r w:rsidRPr="008C420B">
        <w:rPr>
          <w:rFonts w:ascii="Calibri Light" w:hAnsi="Calibri Light" w:cs="Calibri Light"/>
          <w:color w:val="000000"/>
        </w:rPr>
        <w:t>persen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659BF9EC" w14:textId="77777777" w:rsidR="008C420B" w:rsidRPr="008C420B" w:rsidRDefault="008C420B" w:rsidP="001269C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b/>
          <w:iCs/>
          <w:color w:val="000000"/>
        </w:rPr>
        <w:t>Aspek</w:t>
      </w:r>
      <w:proofErr w:type="spellEnd"/>
      <w:r w:rsidRPr="008C420B">
        <w:rPr>
          <w:rFonts w:ascii="Calibri Light" w:hAnsi="Calibri Light" w:cs="Calibri Light"/>
          <w:b/>
          <w:bCs/>
          <w:color w:val="000000"/>
        </w:rPr>
        <w:t xml:space="preserve"> RGEC (</w:t>
      </w:r>
      <w:r w:rsidRPr="008C420B">
        <w:rPr>
          <w:rFonts w:ascii="Calibri Light" w:hAnsi="Calibri Light" w:cs="Calibri Light"/>
          <w:b/>
          <w:bCs/>
          <w:i/>
          <w:iCs/>
          <w:color w:val="000000"/>
        </w:rPr>
        <w:t xml:space="preserve">Risk profile, Good Corporate Governance, Earnings, </w:t>
      </w:r>
      <w:r w:rsidRPr="008C420B">
        <w:rPr>
          <w:rFonts w:ascii="Calibri Light" w:hAnsi="Calibri Light" w:cs="Calibri Light"/>
          <w:b/>
          <w:bCs/>
          <w:color w:val="000000"/>
        </w:rPr>
        <w:t xml:space="preserve">dan </w:t>
      </w:r>
      <w:r w:rsidRPr="008C420B">
        <w:rPr>
          <w:rFonts w:ascii="Calibri Light" w:hAnsi="Calibri Light" w:cs="Calibri Light"/>
          <w:b/>
          <w:bCs/>
          <w:i/>
          <w:iCs/>
          <w:color w:val="000000"/>
        </w:rPr>
        <w:t xml:space="preserve">Capital) </w:t>
      </w:r>
    </w:p>
    <w:p w14:paraId="11DF3982" w14:textId="168E9A22" w:rsidR="008C420B" w:rsidRDefault="008C420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8C420B">
        <w:rPr>
          <w:rFonts w:ascii="Calibri Light" w:hAnsi="Calibri Light" w:cs="Calibri Light"/>
          <w:color w:val="000000"/>
        </w:rPr>
        <w:t xml:space="preserve">Hasil </w:t>
      </w:r>
      <w:proofErr w:type="spellStart"/>
      <w:r w:rsidRPr="008C420B">
        <w:rPr>
          <w:rFonts w:ascii="Calibri Light" w:hAnsi="Calibri Light" w:cs="Calibri Light"/>
          <w:color w:val="000000"/>
        </w:rPr>
        <w:t>penilaian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kesehatan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Metode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RGEC (</w:t>
      </w:r>
      <w:r w:rsidRPr="008C420B">
        <w:rPr>
          <w:rFonts w:ascii="Calibri Light" w:hAnsi="Calibri Light" w:cs="Calibri Light"/>
          <w:i/>
          <w:iCs/>
          <w:color w:val="000000"/>
        </w:rPr>
        <w:t xml:space="preserve">Risk profile, Good Corporate Governance, earnings, </w:t>
      </w:r>
      <w:r w:rsidRPr="008C420B">
        <w:rPr>
          <w:rFonts w:ascii="Calibri Light" w:hAnsi="Calibri Light" w:cs="Calibri Light"/>
          <w:color w:val="000000"/>
        </w:rPr>
        <w:t xml:space="preserve">dan </w:t>
      </w:r>
      <w:r w:rsidRPr="008C420B">
        <w:rPr>
          <w:rFonts w:ascii="Calibri Light" w:hAnsi="Calibri Light" w:cs="Calibri Light"/>
          <w:i/>
          <w:iCs/>
          <w:color w:val="000000"/>
        </w:rPr>
        <w:t>Capital</w:t>
      </w:r>
      <w:r w:rsidRPr="008C420B">
        <w:rPr>
          <w:rFonts w:ascii="Calibri Light" w:hAnsi="Calibri Light" w:cs="Calibri Light"/>
          <w:color w:val="000000"/>
        </w:rPr>
        <w:t xml:space="preserve">) </w:t>
      </w:r>
      <w:proofErr w:type="spellStart"/>
      <w:r w:rsidRPr="008C420B">
        <w:rPr>
          <w:rFonts w:ascii="Calibri Light" w:hAnsi="Calibri Light" w:cs="Calibri Light"/>
          <w:color w:val="000000"/>
        </w:rPr>
        <w:t>selama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8C420B">
        <w:rPr>
          <w:rFonts w:ascii="Calibri Light" w:hAnsi="Calibri Light" w:cs="Calibri Light"/>
          <w:color w:val="000000"/>
        </w:rPr>
        <w:t>dapat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disajikan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dalam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sebagai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berikut</w:t>
      </w:r>
      <w:proofErr w:type="spellEnd"/>
      <w:r w:rsidRPr="008C420B">
        <w:rPr>
          <w:rFonts w:ascii="Calibri Light" w:hAnsi="Calibri Light" w:cs="Calibri Light"/>
          <w:color w:val="000000"/>
        </w:rPr>
        <w:t>:</w:t>
      </w:r>
    </w:p>
    <w:p w14:paraId="77BBCEC2" w14:textId="7AF7E275" w:rsidR="00C505DB" w:rsidRDefault="00C505D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12B7979F" w14:textId="28405EA5" w:rsidR="00C505DB" w:rsidRDefault="00C505D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487B960A" w14:textId="4837DD04" w:rsidR="00C505DB" w:rsidRDefault="00C505D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2226C510" w14:textId="4462ABC9" w:rsidR="00C505DB" w:rsidRDefault="00C505D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186527F9" w14:textId="7BBB28C9" w:rsidR="00C505DB" w:rsidRDefault="00C505D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5618A31A" w14:textId="0A35EE7F" w:rsidR="00C505DB" w:rsidRDefault="00C505D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520B2DA4" w14:textId="77777777" w:rsidR="00C505DB" w:rsidRPr="008C420B" w:rsidRDefault="00C505D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</w:p>
    <w:p w14:paraId="18BA78E6" w14:textId="1400FE91" w:rsidR="008C420B" w:rsidRPr="00DC2624" w:rsidRDefault="008C420B" w:rsidP="003468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  <w:color w:val="000000"/>
        </w:rPr>
      </w:pPr>
      <w:proofErr w:type="spellStart"/>
      <w:r w:rsidRPr="00DC2624">
        <w:rPr>
          <w:rFonts w:ascii="Calibri Light" w:hAnsi="Calibri Light" w:cs="Calibri Light"/>
          <w:color w:val="000000"/>
        </w:rPr>
        <w:t>Tabel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</w:t>
      </w:r>
      <w:r w:rsidR="00A8369D">
        <w:rPr>
          <w:rFonts w:ascii="Calibri Light" w:hAnsi="Calibri Light" w:cs="Calibri Light"/>
          <w:color w:val="000000"/>
        </w:rPr>
        <w:t>13</w:t>
      </w:r>
      <w:r w:rsidRPr="00DC2624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DC2624">
        <w:rPr>
          <w:rFonts w:ascii="Calibri Light" w:hAnsi="Calibri Light" w:cs="Calibri Light"/>
          <w:color w:val="000000"/>
        </w:rPr>
        <w:t>Penetapan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color w:val="000000"/>
        </w:rPr>
        <w:t>Peringkat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color w:val="000000"/>
        </w:rPr>
        <w:t>Komposit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DC2624">
        <w:rPr>
          <w:rFonts w:ascii="Calibri Light" w:hAnsi="Calibri Light" w:cs="Calibri Light"/>
          <w:color w:val="000000"/>
        </w:rPr>
        <w:t>Umum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DC2624">
        <w:rPr>
          <w:rFonts w:ascii="Calibri Light" w:hAnsi="Calibri Light" w:cs="Calibri Light"/>
          <w:color w:val="000000"/>
        </w:rPr>
        <w:t>Berdasarkan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DC2624">
        <w:rPr>
          <w:rFonts w:ascii="Calibri Light" w:hAnsi="Calibri Light" w:cs="Calibri Light"/>
          <w:color w:val="000000"/>
        </w:rPr>
        <w:t>Metode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RGEC Pada </w:t>
      </w:r>
      <w:proofErr w:type="spellStart"/>
      <w:r w:rsidRPr="00DC2624">
        <w:rPr>
          <w:rFonts w:ascii="Calibri Light" w:hAnsi="Calibri Light" w:cs="Calibri Light"/>
          <w:color w:val="000000"/>
        </w:rPr>
        <w:t>Tahun</w:t>
      </w:r>
      <w:proofErr w:type="spellEnd"/>
      <w:r w:rsidRPr="00DC2624">
        <w:rPr>
          <w:rFonts w:ascii="Calibri Light" w:hAnsi="Calibri Light" w:cs="Calibri Light"/>
          <w:color w:val="000000"/>
        </w:rPr>
        <w:t xml:space="preserve"> 2013-2017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491"/>
        <w:gridCol w:w="600"/>
        <w:gridCol w:w="347"/>
        <w:gridCol w:w="281"/>
        <w:gridCol w:w="281"/>
        <w:gridCol w:w="281"/>
        <w:gridCol w:w="282"/>
        <w:gridCol w:w="886"/>
      </w:tblGrid>
      <w:tr w:rsidR="003468C9" w:rsidRPr="003468C9" w14:paraId="619E2DBB" w14:textId="77777777" w:rsidTr="003468C9">
        <w:trPr>
          <w:trHeight w:val="172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9129E" w14:textId="5086F9A5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Thn</w:t>
            </w:r>
            <w:proofErr w:type="spellEnd"/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C29D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Rasio</w:t>
            </w:r>
            <w:proofErr w:type="spellEnd"/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ACF87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Nilai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5AAC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Kriteria</w:t>
            </w:r>
            <w:proofErr w:type="spellEnd"/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5663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PK</w:t>
            </w:r>
          </w:p>
        </w:tc>
      </w:tr>
      <w:tr w:rsidR="003468C9" w:rsidRPr="003468C9" w14:paraId="1004D002" w14:textId="77777777" w:rsidTr="003468C9">
        <w:trPr>
          <w:trHeight w:val="7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472A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BCC6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B957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782E6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98D93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D11A6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EF711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30AC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5</w:t>
            </w: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325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2D4DB307" w14:textId="77777777" w:rsidTr="003468C9">
        <w:trPr>
          <w:trHeight w:val="119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8A2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70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NPL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4CA88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1,35%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C3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05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599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AB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72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56B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90,00%</w:t>
            </w:r>
          </w:p>
          <w:p w14:paraId="5A5C985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Sehat</w:t>
            </w:r>
            <w:proofErr w:type="spellEnd"/>
          </w:p>
        </w:tc>
      </w:tr>
      <w:tr w:rsidR="003468C9" w:rsidRPr="003468C9" w14:paraId="76402114" w14:textId="77777777" w:rsidTr="003468C9">
        <w:trPr>
          <w:trHeight w:val="108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D076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C3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LDR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239F0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87,12%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05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D3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189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54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4FB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B5E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21C52AAA" w14:textId="77777777" w:rsidTr="003468C9">
        <w:trPr>
          <w:trHeight w:val="96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E6BE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ED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GCG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CF4AA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2,07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90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0BD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DC9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61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7B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B2772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2CA37FCB" w14:textId="77777777" w:rsidTr="003468C9">
        <w:trPr>
          <w:trHeight w:val="7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2851D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7CB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ROA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F1F70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4,14%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C2F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A6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03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23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0ED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7620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6E988C62" w14:textId="77777777" w:rsidTr="003468C9">
        <w:trPr>
          <w:trHeight w:val="71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643E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BA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NIM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8D6AF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7,35%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4AC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FC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74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95E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E3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EA5B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4EAB5DA1" w14:textId="77777777" w:rsidTr="003468C9">
        <w:trPr>
          <w:trHeight w:val="7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780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1B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CAR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F146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15,66%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AE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46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CE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511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E0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365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38863423" w14:textId="77777777" w:rsidTr="003468C9">
        <w:trPr>
          <w:trHeight w:val="7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C1FB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5818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67BC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8089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E6DA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0C57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3D8A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BF6A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53E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36CEA0C8" w14:textId="77777777" w:rsidTr="003468C9">
        <w:trPr>
          <w:trHeight w:val="15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22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2C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NPL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8A14D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1,32%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30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EB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D6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E73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BE7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9E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90,00%</w:t>
            </w:r>
          </w:p>
          <w:p w14:paraId="3479917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Sehat</w:t>
            </w:r>
            <w:proofErr w:type="spellEnd"/>
          </w:p>
        </w:tc>
      </w:tr>
      <w:tr w:rsidR="003468C9" w:rsidRPr="003468C9" w14:paraId="2C49F6ED" w14:textId="77777777" w:rsidTr="003468C9">
        <w:trPr>
          <w:trHeight w:val="137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D99F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EB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LDR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461E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85,35%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2CC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2E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F3A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35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05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696A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515021A9" w14:textId="77777777" w:rsidTr="003468C9">
        <w:trPr>
          <w:trHeight w:val="126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BFD6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312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GCG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7CE9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1,54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B1D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CD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C95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AB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81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23DA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43F5A009" w14:textId="77777777" w:rsidTr="003468C9">
        <w:trPr>
          <w:trHeight w:val="114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2478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B6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ROA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22866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3,02%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F2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65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EA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61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58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8D0A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0B2BFEF3" w14:textId="77777777" w:rsidTr="003468C9">
        <w:trPr>
          <w:trHeight w:val="87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4639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11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NIM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1754A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10,38%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D84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91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821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B4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DDD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9403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7D5B0EE0" w14:textId="77777777" w:rsidTr="003468C9">
        <w:trPr>
          <w:trHeight w:val="76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6B2C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7F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CAR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E24F9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16,44%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A7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FD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A4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F4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AD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0E29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67F208E7" w14:textId="77777777" w:rsidTr="003468C9">
        <w:trPr>
          <w:trHeight w:val="78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B01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DEBD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EA67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54F7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75EF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289B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3ADBF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16924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F3C1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7E88E77B" w14:textId="77777777" w:rsidTr="003468C9">
        <w:trPr>
          <w:trHeight w:val="194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54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65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NPL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9316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1,89%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FF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05F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3B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F9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50C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62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90,00%</w:t>
            </w:r>
          </w:p>
          <w:p w14:paraId="19417096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Sehat</w:t>
            </w:r>
            <w:proofErr w:type="spellEnd"/>
          </w:p>
        </w:tc>
      </w:tr>
      <w:tr w:rsidR="003468C9" w:rsidRPr="003468C9" w14:paraId="13F50E0B" w14:textId="77777777" w:rsidTr="003468C9">
        <w:trPr>
          <w:trHeight w:val="139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5457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4C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LDR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9FB1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89,14%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8FE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4F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405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0C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E1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EB71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1EDED77A" w14:textId="77777777" w:rsidTr="003468C9">
        <w:trPr>
          <w:trHeight w:val="114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741E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E9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GCG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50D1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1,54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5D8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85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84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48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47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EF4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12A5B018" w14:textId="77777777" w:rsidTr="003468C9">
        <w:trPr>
          <w:trHeight w:val="102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19A4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CD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ROA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07C6E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2,74%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54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74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E4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80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AB3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5730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507C2600" w14:textId="77777777" w:rsidTr="003468C9">
        <w:trPr>
          <w:trHeight w:val="7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528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54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NIM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E2FD8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10,49%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4F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57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97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1706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07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9FE7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09636201" w14:textId="77777777" w:rsidTr="003468C9">
        <w:trPr>
          <w:trHeight w:val="78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B9F9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57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CAR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D5293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18,86%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BD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DA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A2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58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229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783C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08AA8694" w14:textId="77777777" w:rsidTr="00932F20">
        <w:trPr>
          <w:trHeight w:val="194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696D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E042C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6DBCE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3EA9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7C71E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BC30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E6B2C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522B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240BE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5BD9F626" w14:textId="77777777" w:rsidTr="00932F20">
        <w:trPr>
          <w:trHeight w:val="139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F2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2F5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NPL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8260A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4,65%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79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AF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68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52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29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4B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86,67%</w:t>
            </w:r>
          </w:p>
          <w:p w14:paraId="6557295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Sehat</w:t>
            </w:r>
            <w:proofErr w:type="spellEnd"/>
          </w:p>
        </w:tc>
      </w:tr>
      <w:tr w:rsidR="003468C9" w:rsidRPr="003468C9" w14:paraId="2C47AD4A" w14:textId="77777777" w:rsidTr="00932F20">
        <w:trPr>
          <w:trHeight w:val="114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0032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69B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LDR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D4518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91,96%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0D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B7A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99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7D9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4C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1E6B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64401F3C" w14:textId="77777777" w:rsidTr="00932F20">
        <w:trPr>
          <w:trHeight w:val="102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AF1F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DC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GCG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9ACF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1,75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C3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5B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97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947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4E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0F8B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3FD65F75" w14:textId="77777777" w:rsidTr="00932F20">
        <w:trPr>
          <w:trHeight w:val="9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358A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27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ROA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024C9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2,45%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919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83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57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95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D1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AE80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449B0D42" w14:textId="77777777" w:rsidTr="00932F20">
        <w:trPr>
          <w:trHeight w:val="78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8E81E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8DD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NIM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7E4E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9,53%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DD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43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30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F0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EFF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C090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51148661" w14:textId="77777777" w:rsidTr="00932F20">
        <w:trPr>
          <w:trHeight w:val="7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789E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FE7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CAR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8B115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20,08%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5A8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72E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63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68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18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14BD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704E1568" w14:textId="77777777" w:rsidTr="00932F20">
        <w:trPr>
          <w:trHeight w:val="182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0A7C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C3095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9533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099F2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B438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B74D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DC57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9DCFB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2C4C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7BA98D30" w14:textId="77777777" w:rsidTr="00932F20">
        <w:trPr>
          <w:trHeight w:val="128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0A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2017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99D6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NPL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F614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3,72%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BD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C9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1D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30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5E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03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86,67%</w:t>
            </w:r>
          </w:p>
          <w:p w14:paraId="32AEEC3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Sangat</w:t>
            </w:r>
            <w:proofErr w:type="spellEnd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 xml:space="preserve"> </w:t>
            </w:r>
            <w:proofErr w:type="spellStart"/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Sehat</w:t>
            </w:r>
            <w:proofErr w:type="spellEnd"/>
          </w:p>
        </w:tc>
      </w:tr>
      <w:tr w:rsidR="003468C9" w:rsidRPr="003468C9" w14:paraId="5748ADCF" w14:textId="77777777" w:rsidTr="00932F20">
        <w:trPr>
          <w:trHeight w:val="13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7103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3C4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LDR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A845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98,65%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20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DD0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35C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E94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438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59E7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58015AAF" w14:textId="77777777" w:rsidTr="00932F20">
        <w:trPr>
          <w:trHeight w:val="118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D590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65A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GCG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967A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1,75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13B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0C6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72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B1D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056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4DCC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0DDE38DA" w14:textId="77777777" w:rsidTr="00932F20">
        <w:trPr>
          <w:trHeight w:val="92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C1AB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BA6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ROA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4209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2,56%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C88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26D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6F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E3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CD6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97D8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7B872378" w14:textId="77777777" w:rsidTr="00932F20">
        <w:trPr>
          <w:trHeight w:val="79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AE95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441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NIM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F49B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8,45%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723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92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23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E9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13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1757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71D00F48" w14:textId="77777777" w:rsidTr="00932F20">
        <w:trPr>
          <w:trHeight w:val="7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B2A6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E1D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CAR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B3972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21,41%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E31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√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CB6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9D6C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0C5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272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1380C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  <w:tr w:rsidR="003468C9" w:rsidRPr="003468C9" w14:paraId="76FA07BF" w14:textId="77777777" w:rsidTr="00932F20">
        <w:trPr>
          <w:trHeight w:val="7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1EB6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921924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DB3891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5FF4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DF54B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81D2F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B44CE0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5D4B7" w14:textId="77777777" w:rsidR="003468C9" w:rsidRPr="003468C9" w:rsidRDefault="003468C9" w:rsidP="003468C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  <w:r w:rsidRPr="003468C9"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  <w:t> </w:t>
            </w: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31D2" w14:textId="77777777" w:rsidR="003468C9" w:rsidRPr="003468C9" w:rsidRDefault="003468C9" w:rsidP="00346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val="en-ID" w:eastAsia="en-ID"/>
              </w:rPr>
            </w:pPr>
          </w:p>
        </w:tc>
      </w:tr>
    </w:tbl>
    <w:p w14:paraId="2C9A0E9B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Sumber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: Data </w:t>
      </w:r>
      <w:proofErr w:type="spellStart"/>
      <w:r w:rsidRPr="008C420B">
        <w:rPr>
          <w:rFonts w:ascii="Calibri Light" w:hAnsi="Calibri Light" w:cs="Calibri Light"/>
          <w:color w:val="000000"/>
        </w:rPr>
        <w:t>Sekunder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Diolah</w:t>
      </w:r>
      <w:proofErr w:type="spellEnd"/>
      <w:r w:rsidRPr="008C420B">
        <w:rPr>
          <w:rFonts w:ascii="Calibri Light" w:hAnsi="Calibri Light" w:cs="Calibri Light"/>
          <w:color w:val="000000"/>
        </w:rPr>
        <w:t>, 2019</w:t>
      </w:r>
    </w:p>
    <w:p w14:paraId="2D2F2547" w14:textId="77777777" w:rsidR="008C420B" w:rsidRPr="008C420B" w:rsidRDefault="008C420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Selanjutnya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hasil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analisis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kesehatan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metode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RGEC </w:t>
      </w:r>
      <w:proofErr w:type="spellStart"/>
      <w:r w:rsidRPr="008C420B">
        <w:rPr>
          <w:rFonts w:ascii="Calibri Light" w:hAnsi="Calibri Light" w:cs="Calibri Light"/>
          <w:color w:val="000000"/>
        </w:rPr>
        <w:t>selama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8C420B">
        <w:rPr>
          <w:rFonts w:ascii="Calibri Light" w:hAnsi="Calibri Light" w:cs="Calibri Light"/>
          <w:color w:val="000000"/>
        </w:rPr>
        <w:t>menunjukkan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kinerja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aspek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r w:rsidRPr="008C420B">
        <w:rPr>
          <w:rFonts w:ascii="Calibri Light" w:hAnsi="Calibri Light" w:cs="Calibri Light"/>
          <w:i/>
          <w:iCs/>
          <w:color w:val="000000"/>
        </w:rPr>
        <w:t xml:space="preserve">Risk Profile, GCG, earnings, </w:t>
      </w:r>
      <w:r w:rsidRPr="008C420B">
        <w:rPr>
          <w:rFonts w:ascii="Calibri Light" w:hAnsi="Calibri Light" w:cs="Calibri Light"/>
          <w:color w:val="000000"/>
        </w:rPr>
        <w:t xml:space="preserve">dan </w:t>
      </w:r>
      <w:r w:rsidRPr="008C420B">
        <w:rPr>
          <w:rFonts w:ascii="Calibri Light" w:hAnsi="Calibri Light" w:cs="Calibri Light"/>
          <w:i/>
          <w:iCs/>
          <w:color w:val="000000"/>
        </w:rPr>
        <w:t xml:space="preserve">capital </w:t>
      </w:r>
      <w:proofErr w:type="spellStart"/>
      <w:r w:rsidRPr="008C420B">
        <w:rPr>
          <w:rFonts w:ascii="Calibri Light" w:hAnsi="Calibri Light" w:cs="Calibri Light"/>
          <w:color w:val="000000"/>
        </w:rPr>
        <w:t>berada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Peringkat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Komposit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 (PK-1). Hal </w:t>
      </w:r>
      <w:proofErr w:type="spellStart"/>
      <w:r w:rsidRPr="008C420B">
        <w:rPr>
          <w:rFonts w:ascii="Calibri Light" w:hAnsi="Calibri Light" w:cs="Calibri Light"/>
          <w:color w:val="000000"/>
        </w:rPr>
        <w:t>ini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menunjukkan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BUMN pada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8C420B">
        <w:rPr>
          <w:rFonts w:ascii="Calibri Light" w:hAnsi="Calibri Light" w:cs="Calibri Light"/>
          <w:color w:val="000000"/>
        </w:rPr>
        <w:t>terus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mempertahankan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kinerja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perusahaan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secara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keseluruhan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sehingga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tetap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berada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peringkat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sangat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sehat</w:t>
      </w:r>
      <w:proofErr w:type="spellEnd"/>
      <w:r w:rsidRPr="008C420B">
        <w:rPr>
          <w:rFonts w:ascii="Calibri Light" w:hAnsi="Calibri Light" w:cs="Calibri Light"/>
          <w:color w:val="000000"/>
        </w:rPr>
        <w:t>.</w:t>
      </w:r>
    </w:p>
    <w:p w14:paraId="04B5EDE3" w14:textId="0DCF6C4B" w:rsidR="008C420B" w:rsidRPr="008C420B" w:rsidRDefault="008C420B" w:rsidP="00932F20">
      <w:pPr>
        <w:spacing w:after="0"/>
        <w:ind w:firstLine="567"/>
        <w:contextualSpacing/>
        <w:jc w:val="both"/>
        <w:rPr>
          <w:rFonts w:ascii="Calibri Light" w:hAnsi="Calibri Light" w:cs="Calibri Light"/>
        </w:rPr>
      </w:pPr>
      <w:proofErr w:type="spellStart"/>
      <w:r w:rsidRPr="008C420B">
        <w:rPr>
          <w:rFonts w:ascii="Calibri Light" w:hAnsi="Calibri Light" w:cs="Calibri Light"/>
          <w:color w:val="000000"/>
        </w:rPr>
        <w:t>Berdasarkan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tabel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diketahui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dari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</w:t>
      </w:r>
      <w:r w:rsidR="00932F20">
        <w:rPr>
          <w:rFonts w:ascii="Calibri Light" w:hAnsi="Calibri Light" w:cs="Calibri Light"/>
          <w:color w:val="000000"/>
        </w:rPr>
        <w:t>-</w:t>
      </w:r>
      <w:r w:rsidRPr="008C420B">
        <w:rPr>
          <w:rFonts w:ascii="Calibri Light" w:hAnsi="Calibri Light" w:cs="Calibri Light"/>
          <w:color w:val="000000"/>
        </w:rPr>
        <w:t xml:space="preserve">2017 Bank BUMN </w:t>
      </w:r>
      <w:proofErr w:type="spellStart"/>
      <w:r w:rsidRPr="008C420B">
        <w:rPr>
          <w:rFonts w:ascii="Calibri Light" w:hAnsi="Calibri Light" w:cs="Calibri Light"/>
          <w:color w:val="000000"/>
        </w:rPr>
        <w:t>mendapatkan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penilaian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sangat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memperoleh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Peringkat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Komposit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 </w:t>
      </w:r>
      <w:proofErr w:type="spellStart"/>
      <w:r w:rsidRPr="008C420B">
        <w:rPr>
          <w:rFonts w:ascii="Calibri Light" w:hAnsi="Calibri Light" w:cs="Calibri Light"/>
          <w:color w:val="000000"/>
        </w:rPr>
        <w:t>dengan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predikat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Sangat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Sehat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8C420B">
        <w:rPr>
          <w:rFonts w:ascii="Calibri Light" w:hAnsi="Calibri Light" w:cs="Calibri Light"/>
          <w:color w:val="000000"/>
        </w:rPr>
        <w:t>Terdapat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beberapa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faktor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memperoleh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lastRenderedPageBreak/>
        <w:t>penurunan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ditiap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periode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namun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hal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itu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tidak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berpengaruh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terhadap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Peringkat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Komposit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secara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keseluruhan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8C420B">
        <w:rPr>
          <w:rFonts w:ascii="Calibri Light" w:hAnsi="Calibri Light" w:cs="Calibri Light"/>
          <w:color w:val="000000"/>
        </w:rPr>
        <w:t>Perolehan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Peringkat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Komposit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1 </w:t>
      </w:r>
      <w:proofErr w:type="spellStart"/>
      <w:r w:rsidRPr="008C420B">
        <w:rPr>
          <w:rFonts w:ascii="Calibri Light" w:hAnsi="Calibri Light" w:cs="Calibri Light"/>
          <w:color w:val="000000"/>
        </w:rPr>
        <w:t>ini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mencerminkan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bahwa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8C420B">
        <w:rPr>
          <w:rFonts w:ascii="Calibri Light" w:hAnsi="Calibri Light" w:cs="Calibri Light"/>
          <w:color w:val="000000"/>
        </w:rPr>
        <w:t>Mandiri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8C420B">
        <w:rPr>
          <w:rFonts w:ascii="Calibri Light" w:hAnsi="Calibri Light" w:cs="Calibri Light"/>
          <w:color w:val="000000"/>
        </w:rPr>
        <w:t>periode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tahun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8C420B">
        <w:rPr>
          <w:rFonts w:ascii="Calibri Light" w:hAnsi="Calibri Light" w:cs="Calibri Light"/>
          <w:color w:val="000000"/>
        </w:rPr>
        <w:t>secara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umum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mampu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menghadapi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pengaruh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negatif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dari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perubahan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kondisi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bisnis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8C420B">
        <w:rPr>
          <w:rFonts w:ascii="Calibri Light" w:hAnsi="Calibri Light" w:cs="Calibri Light"/>
          <w:color w:val="000000"/>
        </w:rPr>
        <w:t>mungkin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terjadi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8C420B">
        <w:rPr>
          <w:rFonts w:ascii="Calibri Light" w:hAnsi="Calibri Light" w:cs="Calibri Light"/>
          <w:color w:val="000000"/>
        </w:rPr>
        <w:t>baik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dari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C420B">
        <w:rPr>
          <w:rFonts w:ascii="Calibri Light" w:hAnsi="Calibri Light" w:cs="Calibri Light"/>
          <w:color w:val="000000"/>
        </w:rPr>
        <w:t>faktor</w:t>
      </w:r>
      <w:proofErr w:type="spellEnd"/>
      <w:r w:rsidRPr="008C420B">
        <w:rPr>
          <w:rFonts w:ascii="Calibri Light" w:hAnsi="Calibri Light" w:cs="Calibri Light"/>
          <w:color w:val="000000"/>
        </w:rPr>
        <w:t xml:space="preserve"> </w:t>
      </w:r>
      <w:r w:rsidRPr="008C420B">
        <w:rPr>
          <w:rFonts w:ascii="Calibri Light" w:hAnsi="Calibri Light" w:cs="Calibri Light"/>
        </w:rPr>
        <w:t xml:space="preserve">internal </w:t>
      </w:r>
      <w:proofErr w:type="spellStart"/>
      <w:r w:rsidRPr="008C420B">
        <w:rPr>
          <w:rFonts w:ascii="Calibri Light" w:hAnsi="Calibri Light" w:cs="Calibri Light"/>
        </w:rPr>
        <w:t>maupun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eksternal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lainnya</w:t>
      </w:r>
      <w:proofErr w:type="spellEnd"/>
      <w:r w:rsidRPr="008C420B">
        <w:rPr>
          <w:rFonts w:ascii="Calibri Light" w:hAnsi="Calibri Light" w:cs="Calibri Light"/>
        </w:rPr>
        <w:t xml:space="preserve">. </w:t>
      </w:r>
      <w:proofErr w:type="spellStart"/>
      <w:r w:rsidRPr="008C420B">
        <w:rPr>
          <w:rFonts w:ascii="Calibri Light" w:hAnsi="Calibri Light" w:cs="Calibri Light"/>
        </w:rPr>
        <w:t>Terdapat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kelemahan</w:t>
      </w:r>
      <w:proofErr w:type="spellEnd"/>
      <w:r w:rsidRPr="008C420B">
        <w:rPr>
          <w:rFonts w:ascii="Calibri Light" w:hAnsi="Calibri Light" w:cs="Calibri Light"/>
        </w:rPr>
        <w:t xml:space="preserve"> di </w:t>
      </w:r>
      <w:proofErr w:type="spellStart"/>
      <w:r w:rsidRPr="008C420B">
        <w:rPr>
          <w:rFonts w:ascii="Calibri Light" w:hAnsi="Calibri Light" w:cs="Calibri Light"/>
        </w:rPr>
        <w:t>dalam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faktor-faktor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tersebut</w:t>
      </w:r>
      <w:proofErr w:type="spellEnd"/>
      <w:r w:rsidRPr="008C420B">
        <w:rPr>
          <w:rFonts w:ascii="Calibri Light" w:hAnsi="Calibri Light" w:cs="Calibri Light"/>
        </w:rPr>
        <w:t xml:space="preserve">, </w:t>
      </w:r>
      <w:proofErr w:type="spellStart"/>
      <w:r w:rsidRPr="008C420B">
        <w:rPr>
          <w:rFonts w:ascii="Calibri Light" w:hAnsi="Calibri Light" w:cs="Calibri Light"/>
        </w:rPr>
        <w:t>maka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secara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umum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kelemahan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tersebut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tidak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berpengaruh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secara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signifikan</w:t>
      </w:r>
      <w:proofErr w:type="spellEnd"/>
      <w:r w:rsidRPr="008C420B">
        <w:rPr>
          <w:rFonts w:ascii="Calibri Light" w:hAnsi="Calibri Light" w:cs="Calibri Light"/>
        </w:rPr>
        <w:t xml:space="preserve">. </w:t>
      </w:r>
      <w:proofErr w:type="spellStart"/>
      <w:r w:rsidRPr="008C420B">
        <w:rPr>
          <w:rFonts w:ascii="Calibri Light" w:hAnsi="Calibri Light" w:cs="Calibri Light"/>
        </w:rPr>
        <w:t>Keberhasilan</w:t>
      </w:r>
      <w:proofErr w:type="spellEnd"/>
      <w:r w:rsidRPr="008C420B">
        <w:rPr>
          <w:rFonts w:ascii="Calibri Light" w:hAnsi="Calibri Light" w:cs="Calibri Light"/>
        </w:rPr>
        <w:t xml:space="preserve"> yang </w:t>
      </w:r>
      <w:proofErr w:type="spellStart"/>
      <w:r w:rsidRPr="008C420B">
        <w:rPr>
          <w:rFonts w:ascii="Calibri Light" w:hAnsi="Calibri Light" w:cs="Calibri Light"/>
        </w:rPr>
        <w:t>diperoleh</w:t>
      </w:r>
      <w:proofErr w:type="spellEnd"/>
      <w:r w:rsidRPr="008C420B">
        <w:rPr>
          <w:rFonts w:ascii="Calibri Light" w:hAnsi="Calibri Light" w:cs="Calibri Light"/>
        </w:rPr>
        <w:t xml:space="preserve"> oleh </w:t>
      </w:r>
      <w:proofErr w:type="spellStart"/>
      <w:r w:rsidRPr="008C420B">
        <w:rPr>
          <w:rFonts w:ascii="Calibri Light" w:hAnsi="Calibri Light" w:cs="Calibri Light"/>
        </w:rPr>
        <w:t>pihak</w:t>
      </w:r>
      <w:proofErr w:type="spellEnd"/>
      <w:r w:rsidRPr="008C420B">
        <w:rPr>
          <w:rFonts w:ascii="Calibri Light" w:hAnsi="Calibri Light" w:cs="Calibri Light"/>
        </w:rPr>
        <w:t xml:space="preserve"> Bank </w:t>
      </w:r>
      <w:r w:rsidRPr="008C420B">
        <w:rPr>
          <w:rFonts w:ascii="Calibri Light" w:hAnsi="Calibri Light" w:cs="Calibri Light"/>
          <w:color w:val="000000"/>
        </w:rPr>
        <w:t xml:space="preserve">BUMN </w:t>
      </w:r>
      <w:proofErr w:type="spellStart"/>
      <w:r w:rsidRPr="008C420B">
        <w:rPr>
          <w:rFonts w:ascii="Calibri Light" w:hAnsi="Calibri Light" w:cs="Calibri Light"/>
        </w:rPr>
        <w:t>mencerminkan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kinerja</w:t>
      </w:r>
      <w:proofErr w:type="spellEnd"/>
      <w:r w:rsidRPr="008C420B">
        <w:rPr>
          <w:rFonts w:ascii="Calibri Light" w:hAnsi="Calibri Light" w:cs="Calibri Light"/>
        </w:rPr>
        <w:t xml:space="preserve"> yang </w:t>
      </w:r>
      <w:proofErr w:type="spellStart"/>
      <w:r w:rsidRPr="008C420B">
        <w:rPr>
          <w:rFonts w:ascii="Calibri Light" w:hAnsi="Calibri Light" w:cs="Calibri Light"/>
        </w:rPr>
        <w:t>telah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dicapai</w:t>
      </w:r>
      <w:proofErr w:type="spellEnd"/>
      <w:r w:rsidRPr="008C420B">
        <w:rPr>
          <w:rFonts w:ascii="Calibri Light" w:hAnsi="Calibri Light" w:cs="Calibri Light"/>
        </w:rPr>
        <w:t xml:space="preserve"> oleh </w:t>
      </w:r>
      <w:proofErr w:type="spellStart"/>
      <w:r w:rsidRPr="008C420B">
        <w:rPr>
          <w:rFonts w:ascii="Calibri Light" w:hAnsi="Calibri Light" w:cs="Calibri Light"/>
        </w:rPr>
        <w:t>pihak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manajemen</w:t>
      </w:r>
      <w:proofErr w:type="spellEnd"/>
      <w:r w:rsidRPr="008C420B">
        <w:rPr>
          <w:rFonts w:ascii="Calibri Light" w:hAnsi="Calibri Light" w:cs="Calibri Light"/>
        </w:rPr>
        <w:t xml:space="preserve"> Bank </w:t>
      </w:r>
      <w:r w:rsidRPr="008C420B">
        <w:rPr>
          <w:rFonts w:ascii="Calibri Light" w:hAnsi="Calibri Light" w:cs="Calibri Light"/>
          <w:color w:val="000000"/>
        </w:rPr>
        <w:t>BUMN</w:t>
      </w:r>
      <w:r w:rsidRPr="008C420B">
        <w:rPr>
          <w:rFonts w:ascii="Calibri Light" w:hAnsi="Calibri Light" w:cs="Calibri Light"/>
        </w:rPr>
        <w:t xml:space="preserve">. </w:t>
      </w:r>
      <w:proofErr w:type="spellStart"/>
      <w:r w:rsidRPr="008C420B">
        <w:rPr>
          <w:rFonts w:ascii="Calibri Light" w:hAnsi="Calibri Light" w:cs="Calibri Light"/>
        </w:rPr>
        <w:t>Pencapaian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ini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merupakan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prestasi</w:t>
      </w:r>
      <w:proofErr w:type="spellEnd"/>
      <w:r w:rsidRPr="008C420B">
        <w:rPr>
          <w:rFonts w:ascii="Calibri Light" w:hAnsi="Calibri Light" w:cs="Calibri Light"/>
        </w:rPr>
        <w:t xml:space="preserve"> yang </w:t>
      </w:r>
      <w:proofErr w:type="spellStart"/>
      <w:r w:rsidRPr="008C420B">
        <w:rPr>
          <w:rFonts w:ascii="Calibri Light" w:hAnsi="Calibri Light" w:cs="Calibri Light"/>
        </w:rPr>
        <w:t>perlu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dipertahankan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bahkan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ditingkatkan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untuk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meningkatkan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tingkat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kepercayaan</w:t>
      </w:r>
      <w:proofErr w:type="spellEnd"/>
      <w:r w:rsidRPr="008C420B">
        <w:rPr>
          <w:rFonts w:ascii="Calibri Light" w:hAnsi="Calibri Light" w:cs="Calibri Light"/>
        </w:rPr>
        <w:t xml:space="preserve"> </w:t>
      </w:r>
      <w:proofErr w:type="spellStart"/>
      <w:r w:rsidRPr="008C420B">
        <w:rPr>
          <w:rFonts w:ascii="Calibri Light" w:hAnsi="Calibri Light" w:cs="Calibri Light"/>
        </w:rPr>
        <w:t>masyarakat</w:t>
      </w:r>
      <w:proofErr w:type="spellEnd"/>
      <w:r w:rsidRPr="008C420B">
        <w:rPr>
          <w:rFonts w:ascii="Calibri Light" w:hAnsi="Calibri Light" w:cs="Calibri Light"/>
        </w:rPr>
        <w:t>.</w:t>
      </w:r>
    </w:p>
    <w:p w14:paraId="5273CFD1" w14:textId="77777777" w:rsidR="008C420B" w:rsidRPr="008C420B" w:rsidRDefault="008C420B" w:rsidP="008C420B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</w:p>
    <w:p w14:paraId="27E1EAFE" w14:textId="076C4F68" w:rsidR="001333BC" w:rsidRDefault="001333BC" w:rsidP="007617D7">
      <w:pPr>
        <w:tabs>
          <w:tab w:val="left" w:pos="360"/>
        </w:tabs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 w:rsidRPr="00643F8D">
        <w:rPr>
          <w:rFonts w:ascii="Calibri Light" w:hAnsi="Calibri Light" w:cs="Calibri Light"/>
          <w:b/>
          <w:bCs/>
          <w:sz w:val="24"/>
          <w:szCs w:val="24"/>
        </w:rPr>
        <w:t>Pembahasan</w:t>
      </w:r>
      <w:proofErr w:type="spellEnd"/>
    </w:p>
    <w:p w14:paraId="2C7BBD20" w14:textId="77777777" w:rsidR="00932F20" w:rsidRPr="00932F20" w:rsidRDefault="00932F20" w:rsidP="001269C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b/>
          <w:color w:val="000000"/>
        </w:rPr>
        <w:t xml:space="preserve">Profile </w:t>
      </w:r>
      <w:proofErr w:type="spellStart"/>
      <w:r w:rsidRPr="00932F20">
        <w:rPr>
          <w:rFonts w:ascii="Calibri Light" w:hAnsi="Calibri Light" w:cs="Calibri Light"/>
          <w:b/>
          <w:color w:val="000000"/>
        </w:rPr>
        <w:t>Risiko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r w:rsidRPr="00932F20">
        <w:rPr>
          <w:rFonts w:ascii="Calibri Light" w:hAnsi="Calibri Light" w:cs="Calibri Light"/>
          <w:b/>
          <w:i/>
          <w:color w:val="000000"/>
        </w:rPr>
        <w:t>(Risk Profile)</w:t>
      </w:r>
    </w:p>
    <w:p w14:paraId="573D995A" w14:textId="77777777" w:rsidR="00932F20" w:rsidRPr="00932F20" w:rsidRDefault="00932F20" w:rsidP="001269C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color w:val="000000"/>
        </w:rPr>
        <w:t>NPL (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Net Performing Loan) </w:t>
      </w:r>
    </w:p>
    <w:p w14:paraId="7131035C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bookmarkStart w:id="10" w:name="_Hlk21423669"/>
      <w:r w:rsidRPr="00932F20">
        <w:rPr>
          <w:rFonts w:ascii="Calibri Light" w:hAnsi="Calibri Light" w:cs="Calibri Light"/>
          <w:color w:val="000000"/>
        </w:rPr>
        <w:t xml:space="preserve">Nilai rata-rata NPL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bookmarkStart w:id="11" w:name="_Hlk22070876"/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2013-2014 </w:t>
      </w:r>
      <w:proofErr w:type="spellStart"/>
      <w:r w:rsidRPr="00932F20">
        <w:rPr>
          <w:rFonts w:ascii="Calibri Light" w:hAnsi="Calibri Light" w:cs="Calibri Light"/>
          <w:color w:val="000000"/>
        </w:rPr>
        <w:t>berturut-turut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1,35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1,32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bookmarkEnd w:id="11"/>
      <w:proofErr w:type="spellEnd"/>
      <w:r w:rsidRPr="00932F20">
        <w:rPr>
          <w:rFonts w:ascii="Calibri Light" w:hAnsi="Calibri Light" w:cs="Calibri Light"/>
          <w:color w:val="000000"/>
        </w:rPr>
        <w:t xml:space="preserve">. Nilai NPL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kualitas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berada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kondisi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bookmarkEnd w:id="10"/>
      <w:r w:rsidRPr="00932F20">
        <w:rPr>
          <w:rFonts w:ascii="Calibri Light" w:hAnsi="Calibri Light" w:cs="Calibri Light"/>
          <w:color w:val="000000"/>
        </w:rPr>
        <w:t xml:space="preserve">Hal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sesuai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matriks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penetapan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NPL </w:t>
      </w:r>
      <w:proofErr w:type="spellStart"/>
      <w:r w:rsidRPr="00932F20">
        <w:rPr>
          <w:rFonts w:ascii="Calibri Light" w:hAnsi="Calibri Light" w:cs="Calibri Light"/>
          <w:color w:val="000000"/>
        </w:rPr>
        <w:t>dimana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rasio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NPL </w:t>
      </w:r>
      <w:proofErr w:type="spellStart"/>
      <w:r w:rsidRPr="00932F20">
        <w:rPr>
          <w:rFonts w:ascii="Calibri Light" w:hAnsi="Calibri Light" w:cs="Calibri Light"/>
          <w:color w:val="000000"/>
        </w:rPr>
        <w:t>antara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0%&lt; NPL &lt; 2% </w:t>
      </w:r>
      <w:proofErr w:type="spellStart"/>
      <w:r w:rsidRPr="00932F20">
        <w:rPr>
          <w:rFonts w:ascii="Calibri Light" w:hAnsi="Calibri Light" w:cs="Calibri Light"/>
          <w:color w:val="000000"/>
        </w:rPr>
        <w:t>masuk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</w:p>
    <w:p w14:paraId="005ACF52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color w:val="000000"/>
        </w:rPr>
        <w:t xml:space="preserve">Nilai rata-rata NPL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2015-2017 </w:t>
      </w:r>
      <w:proofErr w:type="spellStart"/>
      <w:r w:rsidRPr="00932F20">
        <w:rPr>
          <w:rFonts w:ascii="Calibri Light" w:hAnsi="Calibri Light" w:cs="Calibri Light"/>
          <w:color w:val="000000"/>
        </w:rPr>
        <w:t>berturut-turut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1,89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4,65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dan 3,72. Nilai NPL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kualitas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berada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kondisi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Hal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sesuai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matriks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penetapan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NPL </w:t>
      </w:r>
      <w:proofErr w:type="spellStart"/>
      <w:r w:rsidRPr="00932F20">
        <w:rPr>
          <w:rFonts w:ascii="Calibri Light" w:hAnsi="Calibri Light" w:cs="Calibri Light"/>
          <w:color w:val="000000"/>
        </w:rPr>
        <w:t>dimana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rasio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NPL </w:t>
      </w:r>
      <w:proofErr w:type="spellStart"/>
      <w:r w:rsidRPr="00932F20">
        <w:rPr>
          <w:rFonts w:ascii="Calibri Light" w:hAnsi="Calibri Light" w:cs="Calibri Light"/>
          <w:color w:val="000000"/>
        </w:rPr>
        <w:t>antara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2% ≤ NPL &lt; 5% </w:t>
      </w:r>
      <w:proofErr w:type="spellStart"/>
      <w:r w:rsidRPr="00932F20">
        <w:rPr>
          <w:rFonts w:ascii="Calibri Light" w:hAnsi="Calibri Light" w:cs="Calibri Light"/>
          <w:color w:val="000000"/>
        </w:rPr>
        <w:t>masuk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NPL yang </w:t>
      </w:r>
      <w:proofErr w:type="spellStart"/>
      <w:r w:rsidRPr="00932F20">
        <w:rPr>
          <w:rFonts w:ascii="Calibri Light" w:hAnsi="Calibri Light" w:cs="Calibri Light"/>
          <w:color w:val="000000"/>
        </w:rPr>
        <w:t>diperoleh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sesuai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standar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Indonesia yang </w:t>
      </w:r>
      <w:proofErr w:type="spellStart"/>
      <w:r w:rsidRPr="00932F20">
        <w:rPr>
          <w:rFonts w:ascii="Calibri Light" w:hAnsi="Calibri Light" w:cs="Calibri Light"/>
          <w:color w:val="000000"/>
        </w:rPr>
        <w:t>menetapkan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rasio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bermasalah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(NPL) </w:t>
      </w:r>
      <w:proofErr w:type="spellStart"/>
      <w:r w:rsidRPr="00932F20">
        <w:rPr>
          <w:rFonts w:ascii="Calibri Light" w:hAnsi="Calibri Light" w:cs="Calibri Light"/>
          <w:color w:val="000000"/>
        </w:rPr>
        <w:t>maksimal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5%. </w:t>
      </w:r>
    </w:p>
    <w:p w14:paraId="36D029AC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  <w:color w:val="000000"/>
        </w:rPr>
        <w:t>Terlihat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pula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NPL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 dan 2014 </w:t>
      </w:r>
      <w:proofErr w:type="spellStart"/>
      <w:r w:rsidRPr="00932F20">
        <w:rPr>
          <w:rFonts w:ascii="Calibri Light" w:hAnsi="Calibri Light" w:cs="Calibri Light"/>
          <w:color w:val="000000"/>
        </w:rPr>
        <w:t>lebih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kecil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2015, 2016 dan 2017. Nilai NPL yang </w:t>
      </w:r>
      <w:proofErr w:type="spellStart"/>
      <w:r w:rsidRPr="00932F20">
        <w:rPr>
          <w:rFonts w:ascii="Calibri Light" w:hAnsi="Calibri Light" w:cs="Calibri Light"/>
          <w:color w:val="000000"/>
        </w:rPr>
        <w:t>semakin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kecil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semakin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menyeleksi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calon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peminjam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jumlah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tergolong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kurang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lancar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diragukan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macet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pun </w:t>
      </w:r>
      <w:proofErr w:type="spellStart"/>
      <w:r w:rsidRPr="00932F20">
        <w:rPr>
          <w:rFonts w:ascii="Calibri Light" w:hAnsi="Calibri Light" w:cs="Calibri Light"/>
          <w:color w:val="000000"/>
        </w:rPr>
        <w:t>berkurang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Hal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upaya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manajemen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mengelola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kolektibilitas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menjaga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kualitas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tiap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semakin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memberikan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hasil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positif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mampu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menghasilkan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pertumbuhan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berkualitas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bukan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sekedar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pertumbuhan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tinggi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agresif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</w:p>
    <w:p w14:paraId="6ADB7DC1" w14:textId="77777777" w:rsidR="00932F20" w:rsidRPr="00932F20" w:rsidRDefault="00932F20" w:rsidP="001269C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color w:val="000000"/>
        </w:rPr>
        <w:t>LDR (</w:t>
      </w:r>
      <w:r w:rsidRPr="00932F20">
        <w:rPr>
          <w:rFonts w:ascii="Calibri Light" w:hAnsi="Calibri Light" w:cs="Calibri Light"/>
          <w:i/>
          <w:iCs/>
          <w:color w:val="000000"/>
        </w:rPr>
        <w:t>Loan to Deposit ratio</w:t>
      </w:r>
      <w:r w:rsidRPr="00932F20">
        <w:rPr>
          <w:rFonts w:ascii="Calibri Light" w:hAnsi="Calibri Light" w:cs="Calibri Light"/>
          <w:color w:val="000000"/>
        </w:rPr>
        <w:t xml:space="preserve">) </w:t>
      </w:r>
    </w:p>
    <w:p w14:paraId="01744E47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bookmarkStart w:id="12" w:name="_Hlk21423756"/>
      <w:r w:rsidRPr="00932F20">
        <w:rPr>
          <w:rFonts w:ascii="Calibri Light" w:hAnsi="Calibri Light" w:cs="Calibri Light"/>
          <w:color w:val="000000"/>
        </w:rPr>
        <w:t xml:space="preserve">Nilai rata-rata LDR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berturut-turut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Start w:id="13" w:name="_Hlk22892382"/>
      <w:r w:rsidRPr="00932F20">
        <w:rPr>
          <w:rFonts w:ascii="Calibri Light" w:hAnsi="Calibri Light" w:cs="Calibri Light"/>
          <w:color w:val="000000"/>
        </w:rPr>
        <w:t xml:space="preserve">87,12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85,35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89,14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91,96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dan 98,65. Nilai LDR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kualitas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berada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kondisi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cukup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End w:id="13"/>
      <w:proofErr w:type="spellStart"/>
      <w:r w:rsidRPr="00932F20">
        <w:rPr>
          <w:rFonts w:ascii="Calibri Light" w:hAnsi="Calibri Light" w:cs="Calibri Light"/>
          <w:color w:val="000000"/>
        </w:rPr>
        <w:t>sesuai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SE BI No. 13/24/DPNP/201 yang </w:t>
      </w:r>
      <w:proofErr w:type="spellStart"/>
      <w:r w:rsidRPr="00932F20">
        <w:rPr>
          <w:rFonts w:ascii="Calibri Light" w:hAnsi="Calibri Light" w:cs="Calibri Light"/>
          <w:color w:val="000000"/>
        </w:rPr>
        <w:t>berada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diantara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85%&lt;LDR≤100%. </w:t>
      </w:r>
      <w:bookmarkEnd w:id="12"/>
    </w:p>
    <w:p w14:paraId="65EBA254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</w:rPr>
        <w:t>Terlihat</w:t>
      </w:r>
      <w:proofErr w:type="spellEnd"/>
      <w:r w:rsidRPr="00932F20">
        <w:rPr>
          <w:rFonts w:ascii="Calibri Light" w:hAnsi="Calibri Light" w:cs="Calibri Light"/>
        </w:rPr>
        <w:t xml:space="preserve"> </w:t>
      </w:r>
      <w:proofErr w:type="spellStart"/>
      <w:r w:rsidRPr="00932F20">
        <w:rPr>
          <w:rFonts w:ascii="Calibri Light" w:hAnsi="Calibri Light" w:cs="Calibri Light"/>
        </w:rPr>
        <w:t>bahwa</w:t>
      </w:r>
      <w:proofErr w:type="spellEnd"/>
      <w:r w:rsidRPr="00932F20">
        <w:rPr>
          <w:rFonts w:ascii="Calibri Light" w:hAnsi="Calibri Light" w:cs="Calibri Light"/>
        </w:rPr>
        <w:t xml:space="preserve"> pada </w:t>
      </w:r>
      <w:proofErr w:type="spellStart"/>
      <w:r w:rsidRPr="00932F20">
        <w:rPr>
          <w:rFonts w:ascii="Calibri Light" w:hAnsi="Calibri Light" w:cs="Calibri Light"/>
        </w:rPr>
        <w:t>tahun</w:t>
      </w:r>
      <w:proofErr w:type="spellEnd"/>
      <w:r w:rsidRPr="00932F20">
        <w:rPr>
          <w:rFonts w:ascii="Calibri Light" w:hAnsi="Calibri Light" w:cs="Calibri Light"/>
        </w:rPr>
        <w:t xml:space="preserve"> 2013 </w:t>
      </w:r>
      <w:proofErr w:type="spellStart"/>
      <w:r w:rsidRPr="00932F20">
        <w:rPr>
          <w:rFonts w:ascii="Calibri Light" w:hAnsi="Calibri Light" w:cs="Calibri Light"/>
        </w:rPr>
        <w:t>hingga</w:t>
      </w:r>
      <w:proofErr w:type="spellEnd"/>
      <w:r w:rsidRPr="00932F20">
        <w:rPr>
          <w:rFonts w:ascii="Calibri Light" w:hAnsi="Calibri Light" w:cs="Calibri Light"/>
        </w:rPr>
        <w:t xml:space="preserve"> 2017 </w:t>
      </w:r>
      <w:proofErr w:type="spellStart"/>
      <w:r w:rsidRPr="00932F20">
        <w:rPr>
          <w:rFonts w:ascii="Calibri Light" w:hAnsi="Calibri Light" w:cs="Calibri Light"/>
        </w:rPr>
        <w:t>nilai</w:t>
      </w:r>
      <w:proofErr w:type="spellEnd"/>
      <w:r w:rsidRPr="00932F20">
        <w:rPr>
          <w:rFonts w:ascii="Calibri Light" w:hAnsi="Calibri Light" w:cs="Calibri Light"/>
        </w:rPr>
        <w:t xml:space="preserve"> LDR </w:t>
      </w:r>
      <w:proofErr w:type="spellStart"/>
      <w:r w:rsidRPr="00932F20">
        <w:rPr>
          <w:rFonts w:ascii="Calibri Light" w:hAnsi="Calibri Light" w:cs="Calibri Light"/>
        </w:rPr>
        <w:t>cenderung</w:t>
      </w:r>
      <w:proofErr w:type="spellEnd"/>
      <w:r w:rsidRPr="00932F20">
        <w:rPr>
          <w:rFonts w:ascii="Calibri Light" w:hAnsi="Calibri Light" w:cs="Calibri Light"/>
        </w:rPr>
        <w:t xml:space="preserve"> naik, </w:t>
      </w:r>
      <w:proofErr w:type="spellStart"/>
      <w:r w:rsidRPr="00932F20">
        <w:rPr>
          <w:rFonts w:ascii="Calibri Light" w:hAnsi="Calibri Light" w:cs="Calibri Light"/>
        </w:rPr>
        <w:t>namun</w:t>
      </w:r>
      <w:proofErr w:type="spellEnd"/>
      <w:r w:rsidRPr="00932F20">
        <w:rPr>
          <w:rFonts w:ascii="Calibri Light" w:hAnsi="Calibri Light" w:cs="Calibri Light"/>
        </w:rPr>
        <w:t xml:space="preserve"> </w:t>
      </w:r>
      <w:proofErr w:type="spellStart"/>
      <w:r w:rsidRPr="00932F20">
        <w:rPr>
          <w:rFonts w:ascii="Calibri Light" w:hAnsi="Calibri Light" w:cs="Calibri Light"/>
        </w:rPr>
        <w:t>masih</w:t>
      </w:r>
      <w:proofErr w:type="spellEnd"/>
      <w:r w:rsidRPr="00932F20">
        <w:rPr>
          <w:rFonts w:ascii="Calibri Light" w:hAnsi="Calibri Light" w:cs="Calibri Light"/>
        </w:rPr>
        <w:t xml:space="preserve"> </w:t>
      </w:r>
      <w:proofErr w:type="spellStart"/>
      <w:r w:rsidRPr="00932F20">
        <w:rPr>
          <w:rFonts w:ascii="Calibri Light" w:hAnsi="Calibri Light" w:cs="Calibri Light"/>
        </w:rPr>
        <w:t>berada</w:t>
      </w:r>
      <w:proofErr w:type="spellEnd"/>
      <w:r w:rsidRPr="00932F20">
        <w:rPr>
          <w:rFonts w:ascii="Calibri Light" w:hAnsi="Calibri Light" w:cs="Calibri Light"/>
        </w:rPr>
        <w:t xml:space="preserve"> pada </w:t>
      </w:r>
      <w:proofErr w:type="spellStart"/>
      <w:r w:rsidRPr="00932F20">
        <w:rPr>
          <w:rFonts w:ascii="Calibri Light" w:hAnsi="Calibri Light" w:cs="Calibri Light"/>
        </w:rPr>
        <w:t>peringkat</w:t>
      </w:r>
      <w:proofErr w:type="spellEnd"/>
      <w:r w:rsidRPr="00932F20">
        <w:rPr>
          <w:rFonts w:ascii="Calibri Light" w:hAnsi="Calibri Light" w:cs="Calibri Light"/>
        </w:rPr>
        <w:t xml:space="preserve"> </w:t>
      </w:r>
      <w:proofErr w:type="spellStart"/>
      <w:r w:rsidRPr="00932F20">
        <w:rPr>
          <w:rFonts w:ascii="Calibri Light" w:hAnsi="Calibri Light" w:cs="Calibri Light"/>
        </w:rPr>
        <w:t>cukup</w:t>
      </w:r>
      <w:proofErr w:type="spellEnd"/>
      <w:r w:rsidRPr="00932F20">
        <w:rPr>
          <w:rFonts w:ascii="Calibri Light" w:hAnsi="Calibri Light" w:cs="Calibri Light"/>
        </w:rPr>
        <w:t xml:space="preserve"> </w:t>
      </w:r>
      <w:proofErr w:type="spellStart"/>
      <w:r w:rsidRPr="00932F20">
        <w:rPr>
          <w:rFonts w:ascii="Calibri Light" w:hAnsi="Calibri Light" w:cs="Calibri Light"/>
        </w:rPr>
        <w:t>sehat</w:t>
      </w:r>
      <w:proofErr w:type="spellEnd"/>
      <w:r w:rsidRPr="00932F20">
        <w:rPr>
          <w:rFonts w:ascii="Calibri Light" w:hAnsi="Calibri Light" w:cs="Calibri Light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periode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memiliki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kemampuan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cukup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memenuhi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kewajiban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lastRenderedPageBreak/>
        <w:t>jangka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pendeknya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ditagih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deposan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mengandalkan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diberikan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sebagai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sumber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likuiditasnya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Namun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keseluruhan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sebaiknya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perlu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mengetatkan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jumlah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disalurkan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tetap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menjaga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prinsip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kehati-hatian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tahun-tahun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mendatang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Karena </w:t>
      </w:r>
      <w:proofErr w:type="spellStart"/>
      <w:r w:rsidRPr="00932F20">
        <w:rPr>
          <w:rFonts w:ascii="Calibri Light" w:hAnsi="Calibri Light" w:cs="Calibri Light"/>
          <w:color w:val="000000"/>
        </w:rPr>
        <w:t>apabila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memiliki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LDR yang </w:t>
      </w:r>
      <w:proofErr w:type="spellStart"/>
      <w:r w:rsidRPr="00932F20">
        <w:rPr>
          <w:rFonts w:ascii="Calibri Light" w:hAnsi="Calibri Light" w:cs="Calibri Light"/>
          <w:color w:val="000000"/>
        </w:rPr>
        <w:t>terlalu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tinggi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terlalu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agresif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menyalurkan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meningkatkan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eksposur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risiko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dihadapi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</w:p>
    <w:p w14:paraId="1BBF54A0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  <w:color w:val="000000"/>
        </w:rPr>
        <w:t>Namun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apabila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LDR </w:t>
      </w:r>
      <w:proofErr w:type="spellStart"/>
      <w:r w:rsidRPr="00932F20">
        <w:rPr>
          <w:rFonts w:ascii="Calibri Light" w:hAnsi="Calibri Light" w:cs="Calibri Light"/>
          <w:color w:val="000000"/>
        </w:rPr>
        <w:t>terlalu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rendah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maka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mempengaruhi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laba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karena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apabila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LDR </w:t>
      </w:r>
      <w:proofErr w:type="spellStart"/>
      <w:r w:rsidRPr="00932F20">
        <w:rPr>
          <w:rFonts w:ascii="Calibri Light" w:hAnsi="Calibri Light" w:cs="Calibri Light"/>
          <w:color w:val="000000"/>
        </w:rPr>
        <w:t>terlalu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rendah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hal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mengindikasikan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jumlah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disalurkan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menurun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menurunnya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disalurkan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maka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menurun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pula </w:t>
      </w:r>
      <w:proofErr w:type="spellStart"/>
      <w:r w:rsidRPr="00932F20">
        <w:rPr>
          <w:rFonts w:ascii="Calibri Light" w:hAnsi="Calibri Light" w:cs="Calibri Light"/>
          <w:color w:val="000000"/>
        </w:rPr>
        <w:t>laba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dihasilkan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bank. Oleh </w:t>
      </w:r>
      <w:proofErr w:type="spellStart"/>
      <w:r w:rsidRPr="00932F20">
        <w:rPr>
          <w:rFonts w:ascii="Calibri Light" w:hAnsi="Calibri Light" w:cs="Calibri Light"/>
          <w:color w:val="000000"/>
        </w:rPr>
        <w:t>sebab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itu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pihak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perlu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menjaga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Loan to Deposit Ratio </w:t>
      </w:r>
      <w:r w:rsidRPr="00932F20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932F20">
        <w:rPr>
          <w:rFonts w:ascii="Calibri Light" w:hAnsi="Calibri Light" w:cs="Calibri Light"/>
          <w:color w:val="000000"/>
        </w:rPr>
        <w:t>kisaran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ideal yang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ditetapkan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Bank Indonesia </w:t>
      </w:r>
      <w:proofErr w:type="spellStart"/>
      <w:r w:rsidRPr="00932F20">
        <w:rPr>
          <w:rFonts w:ascii="Calibri Light" w:hAnsi="Calibri Light" w:cs="Calibri Light"/>
          <w:color w:val="000000"/>
        </w:rPr>
        <w:t>yaitu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78-92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terlihat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mampu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menjaga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LDR bank pada </w:t>
      </w:r>
      <w:proofErr w:type="spellStart"/>
      <w:r w:rsidRPr="00932F20">
        <w:rPr>
          <w:rFonts w:ascii="Calibri Light" w:hAnsi="Calibri Light" w:cs="Calibri Light"/>
          <w:color w:val="000000"/>
        </w:rPr>
        <w:t>kisaran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ideal yang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ditetapkan</w:t>
      </w:r>
      <w:proofErr w:type="spellEnd"/>
      <w:r w:rsidRPr="00932F20">
        <w:rPr>
          <w:rFonts w:ascii="Calibri Light" w:hAnsi="Calibri Light" w:cs="Calibri Light"/>
          <w:color w:val="000000"/>
        </w:rPr>
        <w:t>.</w:t>
      </w:r>
    </w:p>
    <w:p w14:paraId="161E307B" w14:textId="77777777" w:rsidR="00932F20" w:rsidRPr="00932F20" w:rsidRDefault="00932F20" w:rsidP="001269C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b/>
          <w:bCs/>
          <w:i/>
          <w:iCs/>
          <w:color w:val="000000"/>
        </w:rPr>
        <w:t xml:space="preserve">Good Corporate Governance </w:t>
      </w:r>
      <w:r w:rsidRPr="00932F20">
        <w:rPr>
          <w:rFonts w:ascii="Calibri Light" w:hAnsi="Calibri Light" w:cs="Calibri Light"/>
          <w:b/>
          <w:bCs/>
          <w:color w:val="000000"/>
        </w:rPr>
        <w:t xml:space="preserve">(GCG) </w:t>
      </w:r>
    </w:p>
    <w:p w14:paraId="1F36948F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bookmarkStart w:id="14" w:name="_Hlk21423903"/>
      <w:r w:rsidRPr="00932F20">
        <w:rPr>
          <w:rFonts w:ascii="Calibri Light" w:hAnsi="Calibri Light" w:cs="Calibri Light"/>
          <w:color w:val="000000"/>
        </w:rPr>
        <w:t xml:space="preserve">Tingkat </w:t>
      </w:r>
      <w:proofErr w:type="spellStart"/>
      <w:r w:rsidRPr="00932F20">
        <w:rPr>
          <w:rFonts w:ascii="Calibri Light" w:hAnsi="Calibri Light" w:cs="Calibri Light"/>
          <w:color w:val="000000"/>
        </w:rPr>
        <w:t>kesehatan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ditinjau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rata-rata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Good Corporate Governance </w:t>
      </w:r>
      <w:r w:rsidRPr="00932F20">
        <w:rPr>
          <w:rFonts w:ascii="Calibri Light" w:hAnsi="Calibri Light" w:cs="Calibri Light"/>
          <w:color w:val="000000"/>
        </w:rPr>
        <w:t xml:space="preserve">pada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Start w:id="15" w:name="_Hlk25225244"/>
      <w:r w:rsidRPr="00932F20">
        <w:rPr>
          <w:rFonts w:ascii="Calibri Light" w:hAnsi="Calibri Light" w:cs="Calibri Light"/>
          <w:color w:val="000000"/>
        </w:rPr>
        <w:t xml:space="preserve">2013 </w:t>
      </w:r>
      <w:proofErr w:type="spellStart"/>
      <w:r w:rsidRPr="00932F20">
        <w:rPr>
          <w:rFonts w:ascii="Calibri Light" w:hAnsi="Calibri Light" w:cs="Calibri Light"/>
          <w:color w:val="000000"/>
        </w:rPr>
        <w:t>yakni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memperoleh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2,07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cukup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2014 dan 2015 </w:t>
      </w:r>
      <w:proofErr w:type="spellStart"/>
      <w:r w:rsidRPr="00932F20">
        <w:rPr>
          <w:rFonts w:ascii="Calibri Light" w:hAnsi="Calibri Light" w:cs="Calibri Light"/>
          <w:color w:val="000000"/>
        </w:rPr>
        <w:t>memperoleh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1,54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2016 dan 2017 </w:t>
      </w:r>
      <w:proofErr w:type="spellStart"/>
      <w:r w:rsidRPr="00932F20">
        <w:rPr>
          <w:rFonts w:ascii="Calibri Light" w:hAnsi="Calibri Light" w:cs="Calibri Light"/>
          <w:color w:val="000000"/>
        </w:rPr>
        <w:t>memperoleh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1,75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bookmarkEnd w:id="15"/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kualitas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manajemen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atas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pelaksanaan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prinsip-prinsip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GCG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berjalan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empat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pun </w:t>
      </w:r>
      <w:proofErr w:type="spellStart"/>
      <w:r w:rsidRPr="00932F20">
        <w:rPr>
          <w:rFonts w:ascii="Calibri Light" w:hAnsi="Calibri Light" w:cs="Calibri Light"/>
          <w:color w:val="000000"/>
        </w:rPr>
        <w:t>tergolong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yang </w:t>
      </w:r>
      <w:proofErr w:type="spellStart"/>
      <w:r w:rsidRPr="00932F20">
        <w:rPr>
          <w:rFonts w:ascii="Calibri Light" w:hAnsi="Calibri Light" w:cs="Calibri Light"/>
          <w:color w:val="000000"/>
        </w:rPr>
        <w:t>terpercaya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2014 dan 2015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memperoleh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rata-rata GCG </w:t>
      </w:r>
      <w:proofErr w:type="spellStart"/>
      <w:r w:rsidRPr="00932F20">
        <w:rPr>
          <w:rFonts w:ascii="Calibri Light" w:hAnsi="Calibri Light" w:cs="Calibri Light"/>
          <w:color w:val="000000"/>
        </w:rPr>
        <w:t>terbaik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1,54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bookmarkEnd w:id="14"/>
      <w:proofErr w:type="spellStart"/>
      <w:r w:rsidRPr="00932F20">
        <w:rPr>
          <w:rFonts w:ascii="Calibri Light" w:hAnsi="Calibri Light" w:cs="Calibri Light"/>
          <w:color w:val="000000"/>
        </w:rPr>
        <w:t>yakni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satu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level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sebelumnya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kualitas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manajemen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atas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paksanaan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prinsip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GCG </w:t>
      </w:r>
      <w:proofErr w:type="spellStart"/>
      <w:r w:rsidRPr="00932F20">
        <w:rPr>
          <w:rFonts w:ascii="Calibri Light" w:hAnsi="Calibri Light" w:cs="Calibri Light"/>
          <w:color w:val="000000"/>
        </w:rPr>
        <w:t>berjalan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2014-2017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tergolong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yang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terpercaya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Penerapan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GCG yang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meningkatkan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kepercayaan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stakeholder </w:t>
      </w:r>
      <w:proofErr w:type="spellStart"/>
      <w:r w:rsidRPr="00932F20">
        <w:rPr>
          <w:rFonts w:ascii="Calibri Light" w:hAnsi="Calibri Light" w:cs="Calibri Light"/>
          <w:color w:val="000000"/>
        </w:rPr>
        <w:t>untuk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melakukan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transaksi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bank yang </w:t>
      </w:r>
      <w:proofErr w:type="spellStart"/>
      <w:r w:rsidRPr="00932F20">
        <w:rPr>
          <w:rFonts w:ascii="Calibri Light" w:hAnsi="Calibri Light" w:cs="Calibri Light"/>
          <w:color w:val="000000"/>
        </w:rPr>
        <w:t>bersangkutan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karena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melihat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GCG </w:t>
      </w:r>
      <w:proofErr w:type="spellStart"/>
      <w:r w:rsidRPr="00932F20">
        <w:rPr>
          <w:rFonts w:ascii="Calibri Light" w:hAnsi="Calibri Light" w:cs="Calibri Light"/>
          <w:color w:val="000000"/>
        </w:rPr>
        <w:t>suatu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stakeholder </w:t>
      </w:r>
      <w:proofErr w:type="spellStart"/>
      <w:r w:rsidRPr="00932F20">
        <w:rPr>
          <w:rFonts w:ascii="Calibri Light" w:hAnsi="Calibri Light" w:cs="Calibri Light"/>
          <w:color w:val="000000"/>
        </w:rPr>
        <w:t>dapat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mengetahui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risiko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mungkin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terjadi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apabila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melakukan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transaksi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>.</w:t>
      </w:r>
    </w:p>
    <w:p w14:paraId="0BEDFC6E" w14:textId="77777777" w:rsidR="00932F20" w:rsidRPr="00932F20" w:rsidRDefault="00932F20" w:rsidP="001269C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  <w:b/>
          <w:bCs/>
          <w:color w:val="000000"/>
        </w:rPr>
        <w:t>Rentabilitas</w:t>
      </w:r>
      <w:proofErr w:type="spellEnd"/>
      <w:r w:rsidRPr="00932F20">
        <w:rPr>
          <w:rFonts w:ascii="Calibri Light" w:hAnsi="Calibri Light" w:cs="Calibri Light"/>
          <w:b/>
          <w:bCs/>
          <w:color w:val="000000"/>
        </w:rPr>
        <w:t xml:space="preserve"> (</w:t>
      </w:r>
      <w:r w:rsidRPr="00932F20">
        <w:rPr>
          <w:rFonts w:ascii="Calibri Light" w:hAnsi="Calibri Light" w:cs="Calibri Light"/>
          <w:b/>
          <w:bCs/>
          <w:i/>
          <w:iCs/>
          <w:color w:val="000000"/>
        </w:rPr>
        <w:t>Earnings</w:t>
      </w:r>
      <w:r w:rsidRPr="00932F20">
        <w:rPr>
          <w:rFonts w:ascii="Calibri Light" w:hAnsi="Calibri Light" w:cs="Calibri Light"/>
          <w:b/>
          <w:bCs/>
          <w:color w:val="000000"/>
        </w:rPr>
        <w:t xml:space="preserve">) </w:t>
      </w:r>
    </w:p>
    <w:p w14:paraId="61C324E3" w14:textId="77777777" w:rsidR="00932F20" w:rsidRPr="00932F20" w:rsidRDefault="00932F20" w:rsidP="001269C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color w:val="000000"/>
        </w:rPr>
        <w:t>ROA (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Return </w:t>
      </w:r>
      <w:proofErr w:type="gramStart"/>
      <w:r w:rsidRPr="00932F20">
        <w:rPr>
          <w:rFonts w:ascii="Calibri Light" w:hAnsi="Calibri Light" w:cs="Calibri Light"/>
          <w:i/>
          <w:iCs/>
          <w:color w:val="000000"/>
        </w:rPr>
        <w:t>On</w:t>
      </w:r>
      <w:proofErr w:type="gramEnd"/>
      <w:r w:rsidRPr="00932F20">
        <w:rPr>
          <w:rFonts w:ascii="Calibri Light" w:hAnsi="Calibri Light" w:cs="Calibri Light"/>
          <w:i/>
          <w:iCs/>
          <w:color w:val="000000"/>
        </w:rPr>
        <w:t xml:space="preserve"> Asset</w:t>
      </w:r>
      <w:r w:rsidRPr="00932F20">
        <w:rPr>
          <w:rFonts w:ascii="Calibri Light" w:hAnsi="Calibri Light" w:cs="Calibri Light"/>
          <w:color w:val="000000"/>
        </w:rPr>
        <w:t xml:space="preserve">) </w:t>
      </w:r>
    </w:p>
    <w:p w14:paraId="166B0CFB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bookmarkStart w:id="16" w:name="_Hlk21424076"/>
      <w:r w:rsidRPr="00932F20">
        <w:rPr>
          <w:rFonts w:ascii="Calibri Light" w:hAnsi="Calibri Light" w:cs="Calibri Light"/>
          <w:color w:val="000000"/>
        </w:rPr>
        <w:t xml:space="preserve">Nilai rata-rata ROA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berturut-turut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Start w:id="17" w:name="_Hlk22892432"/>
      <w:r w:rsidRPr="00932F20">
        <w:rPr>
          <w:rFonts w:ascii="Calibri Light" w:hAnsi="Calibri Light" w:cs="Calibri Light"/>
          <w:color w:val="000000"/>
        </w:rPr>
        <w:t xml:space="preserve">4,14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3,02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2,74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2,45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dan 2,56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bookmarkEnd w:id="17"/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Terlihat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rata-rata ROA yang </w:t>
      </w:r>
      <w:proofErr w:type="spellStart"/>
      <w:r w:rsidRPr="00932F20">
        <w:rPr>
          <w:rFonts w:ascii="Calibri Light" w:hAnsi="Calibri Light" w:cs="Calibri Light"/>
          <w:color w:val="000000"/>
        </w:rPr>
        <w:t>setiap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mengalami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penurunan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hal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disebabkan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932F20">
        <w:rPr>
          <w:rFonts w:ascii="Calibri Light" w:hAnsi="Calibri Light" w:cs="Calibri Light"/>
          <w:color w:val="000000"/>
        </w:rPr>
        <w:t>kenaikan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suku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bunga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menyebabkan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Peningkatan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Cadangan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Kerugian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Penurunan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Nilai (CKPN)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BUMN. </w:t>
      </w:r>
      <w:proofErr w:type="spellStart"/>
      <w:r w:rsidRPr="00932F20">
        <w:rPr>
          <w:rFonts w:ascii="Calibri Light" w:hAnsi="Calibri Light" w:cs="Calibri Light"/>
          <w:color w:val="000000"/>
        </w:rPr>
        <w:t>Namun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keseluruhan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ROA yang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dimilki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periode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masuk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bookmarkEnd w:id="16"/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hal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kemampuan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memperoleh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laba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mengandalkan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asetnya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berjalan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Hal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sesuai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matriks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penetapan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lastRenderedPageBreak/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ROA </w:t>
      </w:r>
      <w:proofErr w:type="spellStart"/>
      <w:r w:rsidRPr="00932F20">
        <w:rPr>
          <w:rFonts w:ascii="Calibri Light" w:hAnsi="Calibri Light" w:cs="Calibri Light"/>
          <w:color w:val="000000"/>
        </w:rPr>
        <w:t>dimana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rasio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ROA &gt; 1,5% </w:t>
      </w:r>
      <w:proofErr w:type="spellStart"/>
      <w:r w:rsidRPr="00932F20">
        <w:rPr>
          <w:rFonts w:ascii="Calibri Light" w:hAnsi="Calibri Light" w:cs="Calibri Light"/>
          <w:color w:val="000000"/>
        </w:rPr>
        <w:t>masuk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>.</w:t>
      </w:r>
    </w:p>
    <w:p w14:paraId="23DDBDF8" w14:textId="77777777" w:rsidR="00932F20" w:rsidRPr="00932F20" w:rsidRDefault="00932F20" w:rsidP="001269C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932F20">
        <w:rPr>
          <w:rFonts w:ascii="Calibri Light" w:hAnsi="Calibri Light" w:cs="Calibri Light"/>
        </w:rPr>
        <w:t>NIM (</w:t>
      </w:r>
      <w:r w:rsidRPr="00932F20">
        <w:rPr>
          <w:rFonts w:ascii="Calibri Light" w:hAnsi="Calibri Light" w:cs="Calibri Light"/>
          <w:i/>
          <w:iCs/>
        </w:rPr>
        <w:t>Net Interest Margin</w:t>
      </w:r>
      <w:r w:rsidRPr="00932F20">
        <w:rPr>
          <w:rFonts w:ascii="Calibri Light" w:hAnsi="Calibri Light" w:cs="Calibri Light"/>
        </w:rPr>
        <w:t xml:space="preserve">) </w:t>
      </w:r>
    </w:p>
    <w:p w14:paraId="0CCDA332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bookmarkStart w:id="18" w:name="_Hlk21424124"/>
      <w:r w:rsidRPr="00932F20">
        <w:rPr>
          <w:rFonts w:ascii="Calibri Light" w:hAnsi="Calibri Light" w:cs="Calibri Light"/>
          <w:color w:val="000000"/>
        </w:rPr>
        <w:t xml:space="preserve">Nilai rata-rata margin </w:t>
      </w:r>
      <w:proofErr w:type="spellStart"/>
      <w:r w:rsidRPr="00932F20">
        <w:rPr>
          <w:rFonts w:ascii="Calibri Light" w:hAnsi="Calibri Light" w:cs="Calibri Light"/>
          <w:color w:val="000000"/>
        </w:rPr>
        <w:t>bunga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bersih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(NIM)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masing-masing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Start w:id="19" w:name="_Hlk22070916"/>
      <w:r w:rsidRPr="00932F20">
        <w:rPr>
          <w:rFonts w:ascii="Calibri Light" w:hAnsi="Calibri Light" w:cs="Calibri Light"/>
          <w:color w:val="000000"/>
        </w:rPr>
        <w:t xml:space="preserve">7,35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10,38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10,49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9,53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dan 8,45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bookmarkEnd w:id="19"/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Terlihat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penurunan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rata-rata NIM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2014 </w:t>
      </w:r>
      <w:proofErr w:type="spellStart"/>
      <w:r w:rsidRPr="00932F20">
        <w:rPr>
          <w:rFonts w:ascii="Calibri Light" w:hAnsi="Calibri Light" w:cs="Calibri Light"/>
          <w:color w:val="000000"/>
        </w:rPr>
        <w:t>hal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disebabkan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932F20">
        <w:rPr>
          <w:rFonts w:ascii="Calibri Light" w:hAnsi="Calibri Light" w:cs="Calibri Light"/>
          <w:color w:val="000000"/>
        </w:rPr>
        <w:t>kenaikan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suku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bunga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menyebabkan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tingginya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biaya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bunga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ditanggung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namun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2015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rata-rata NIM </w:t>
      </w:r>
      <w:proofErr w:type="spellStart"/>
      <w:r w:rsidRPr="00932F20">
        <w:rPr>
          <w:rFonts w:ascii="Calibri Light" w:hAnsi="Calibri Light" w:cs="Calibri Light"/>
          <w:color w:val="000000"/>
        </w:rPr>
        <w:t>sedikit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hal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pendapatan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bunga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bersih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juga </w:t>
      </w:r>
      <w:proofErr w:type="spellStart"/>
      <w:r w:rsidRPr="00932F20">
        <w:rPr>
          <w:rFonts w:ascii="Calibri Light" w:hAnsi="Calibri Light" w:cs="Calibri Light"/>
          <w:color w:val="000000"/>
        </w:rPr>
        <w:t>membaik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</w:p>
    <w:p w14:paraId="47FA6F4F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color w:val="000000"/>
        </w:rPr>
        <w:t xml:space="preserve">Pada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2016 dan 2017 </w:t>
      </w:r>
      <w:proofErr w:type="spellStart"/>
      <w:r w:rsidRPr="00932F20">
        <w:rPr>
          <w:rFonts w:ascii="Calibri Light" w:hAnsi="Calibri Light" w:cs="Calibri Light"/>
          <w:color w:val="000000"/>
        </w:rPr>
        <w:t>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penurunan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lagi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mamun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keseluruhan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rata-rata NIM </w:t>
      </w:r>
      <w:proofErr w:type="spellStart"/>
      <w:r w:rsidRPr="00932F20">
        <w:rPr>
          <w:rFonts w:ascii="Calibri Light" w:hAnsi="Calibri Light" w:cs="Calibri Light"/>
          <w:color w:val="000000"/>
        </w:rPr>
        <w:t>sebesar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itu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kemampuan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memperoleh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pendapatan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bunga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bersih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lima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sudah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Hal </w:t>
      </w:r>
      <w:proofErr w:type="spellStart"/>
      <w:r w:rsidRPr="00932F20">
        <w:rPr>
          <w:rFonts w:ascii="Calibri Light" w:hAnsi="Calibri Light" w:cs="Calibri Light"/>
          <w:color w:val="000000"/>
        </w:rPr>
        <w:t>ini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sesuai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matriks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penetapan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NIM </w:t>
      </w:r>
      <w:proofErr w:type="spellStart"/>
      <w:r w:rsidRPr="00932F20">
        <w:rPr>
          <w:rFonts w:ascii="Calibri Light" w:hAnsi="Calibri Light" w:cs="Calibri Light"/>
          <w:color w:val="000000"/>
        </w:rPr>
        <w:t>dimana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rasio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NIM &gt; 3% </w:t>
      </w:r>
      <w:proofErr w:type="spellStart"/>
      <w:r w:rsidRPr="00932F20">
        <w:rPr>
          <w:rFonts w:ascii="Calibri Light" w:hAnsi="Calibri Light" w:cs="Calibri Light"/>
          <w:color w:val="000000"/>
        </w:rPr>
        <w:t>masuk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>.</w:t>
      </w:r>
      <w:bookmarkEnd w:id="18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diindikasikan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memiliki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kemampuan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manajemen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yang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mengelola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aktiva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produktifnya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untuk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menghasilkan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pendapatan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bunga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bersih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perusahaan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</w:p>
    <w:p w14:paraId="6D8D01BD" w14:textId="77777777" w:rsidR="00932F20" w:rsidRPr="00932F20" w:rsidRDefault="00932F20" w:rsidP="001269C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  <w:b/>
          <w:bCs/>
          <w:color w:val="000000"/>
        </w:rPr>
        <w:t>Permodalan</w:t>
      </w:r>
      <w:proofErr w:type="spellEnd"/>
      <w:r w:rsidRPr="00932F20">
        <w:rPr>
          <w:rFonts w:ascii="Calibri Light" w:hAnsi="Calibri Light" w:cs="Calibri Light"/>
          <w:b/>
          <w:bCs/>
          <w:color w:val="000000"/>
        </w:rPr>
        <w:t xml:space="preserve"> (</w:t>
      </w:r>
      <w:r w:rsidRPr="00932F20">
        <w:rPr>
          <w:rFonts w:ascii="Calibri Light" w:hAnsi="Calibri Light" w:cs="Calibri Light"/>
          <w:b/>
          <w:bCs/>
          <w:i/>
          <w:iCs/>
          <w:color w:val="000000"/>
        </w:rPr>
        <w:t>Capital</w:t>
      </w:r>
      <w:r w:rsidRPr="00932F20">
        <w:rPr>
          <w:rFonts w:ascii="Calibri Light" w:hAnsi="Calibri Light" w:cs="Calibri Light"/>
          <w:b/>
          <w:bCs/>
          <w:color w:val="000000"/>
        </w:rPr>
        <w:t xml:space="preserve">) </w:t>
      </w:r>
    </w:p>
    <w:p w14:paraId="558899E8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r w:rsidRPr="00932F20">
        <w:rPr>
          <w:rFonts w:ascii="Calibri Light" w:hAnsi="Calibri Light" w:cs="Calibri Light"/>
          <w:color w:val="000000"/>
        </w:rPr>
        <w:t xml:space="preserve">Tingkat </w:t>
      </w:r>
      <w:proofErr w:type="spellStart"/>
      <w:r w:rsidRPr="00932F20">
        <w:rPr>
          <w:rFonts w:ascii="Calibri Light" w:hAnsi="Calibri Light" w:cs="Calibri Light"/>
          <w:color w:val="000000"/>
        </w:rPr>
        <w:t>kesehatan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ditinjau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aspek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Capital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mengitung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Capital Adequacy Ratio </w:t>
      </w:r>
      <w:r w:rsidRPr="00932F20">
        <w:rPr>
          <w:rFonts w:ascii="Calibri Light" w:hAnsi="Calibri Light" w:cs="Calibri Light"/>
          <w:color w:val="000000"/>
        </w:rPr>
        <w:t xml:space="preserve">(CAR) pada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bookmarkStart w:id="20" w:name="_Hlk21424200"/>
      <w:proofErr w:type="spellStart"/>
      <w:r w:rsidRPr="00932F20">
        <w:rPr>
          <w:rFonts w:ascii="Calibri Light" w:hAnsi="Calibri Light" w:cs="Calibri Light"/>
          <w:color w:val="000000"/>
        </w:rPr>
        <w:t>memiliki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rata-rata CAR </w:t>
      </w:r>
      <w:proofErr w:type="spellStart"/>
      <w:r w:rsidRPr="00932F20">
        <w:rPr>
          <w:rFonts w:ascii="Calibri Light" w:hAnsi="Calibri Light" w:cs="Calibri Light"/>
          <w:color w:val="000000"/>
        </w:rPr>
        <w:t>masing-masing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Start w:id="21" w:name="_Hlk22647566"/>
      <w:bookmarkStart w:id="22" w:name="_Hlk22070938"/>
      <w:r w:rsidRPr="00932F20">
        <w:rPr>
          <w:rFonts w:ascii="Calibri Light" w:hAnsi="Calibri Light" w:cs="Calibri Light"/>
          <w:color w:val="000000"/>
        </w:rPr>
        <w:t xml:space="preserve">15,66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16,44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18,86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20,1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dan 21,4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bookmarkEnd w:id="21"/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End w:id="22"/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>.</w:t>
      </w:r>
      <w:bookmarkEnd w:id="20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Meskipun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terlihat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sedikit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penurunan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namun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keseluruhan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CAR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sudah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sesuai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ketentuan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ditetapkan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Indonesia, </w:t>
      </w:r>
      <w:proofErr w:type="spellStart"/>
      <w:r w:rsidRPr="00932F20">
        <w:rPr>
          <w:rFonts w:ascii="Calibri Light" w:hAnsi="Calibri Light" w:cs="Calibri Light"/>
          <w:color w:val="000000"/>
        </w:rPr>
        <w:t>yaitu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wajib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menyediakan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total modal paling </w:t>
      </w:r>
      <w:proofErr w:type="spellStart"/>
      <w:r w:rsidRPr="00932F20">
        <w:rPr>
          <w:rFonts w:ascii="Calibri Light" w:hAnsi="Calibri Light" w:cs="Calibri Light"/>
          <w:color w:val="000000"/>
        </w:rPr>
        <w:t>kurang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8%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ATMR. CAR yang </w:t>
      </w:r>
      <w:proofErr w:type="spellStart"/>
      <w:r w:rsidRPr="00932F20">
        <w:rPr>
          <w:rFonts w:ascii="Calibri Light" w:hAnsi="Calibri Light" w:cs="Calibri Light"/>
          <w:color w:val="000000"/>
        </w:rPr>
        <w:t>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dapat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menyangga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kerugian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operasional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bila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terjadi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dapat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mendukung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pemberian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kredit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CAR yang </w:t>
      </w:r>
      <w:proofErr w:type="spellStart"/>
      <w:r w:rsidRPr="00932F20">
        <w:rPr>
          <w:rFonts w:ascii="Calibri Light" w:hAnsi="Calibri Light" w:cs="Calibri Light"/>
          <w:color w:val="000000"/>
        </w:rPr>
        <w:t>besar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juga </w:t>
      </w:r>
      <w:proofErr w:type="spellStart"/>
      <w:r w:rsidRPr="00932F20">
        <w:rPr>
          <w:rFonts w:ascii="Calibri Light" w:hAnsi="Calibri Light" w:cs="Calibri Light"/>
          <w:color w:val="000000"/>
        </w:rPr>
        <w:t>dapat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meningkatkan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kepercayaan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masyarakat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untuk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menyalurkan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dananya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BUMN. Nilai CAR yang </w:t>
      </w:r>
      <w:proofErr w:type="spellStart"/>
      <w:r w:rsidRPr="00932F20">
        <w:rPr>
          <w:rFonts w:ascii="Calibri Light" w:hAnsi="Calibri Light" w:cs="Calibri Light"/>
          <w:color w:val="000000"/>
        </w:rPr>
        <w:t>dimiliki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berada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di </w:t>
      </w:r>
      <w:proofErr w:type="spellStart"/>
      <w:r w:rsidRPr="00932F20">
        <w:rPr>
          <w:rFonts w:ascii="Calibri Light" w:hAnsi="Calibri Light" w:cs="Calibri Light"/>
          <w:color w:val="000000"/>
        </w:rPr>
        <w:t>atas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standar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ditetapkan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dinilai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mampu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memenuhi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Kewajiban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Penyediaan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Modal Minimum (KPMM).</w:t>
      </w:r>
    </w:p>
    <w:p w14:paraId="748548FF" w14:textId="77777777" w:rsidR="00932F20" w:rsidRPr="00932F20" w:rsidRDefault="00932F20" w:rsidP="001269C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  <w:b/>
          <w:bCs/>
          <w:color w:val="000000"/>
        </w:rPr>
        <w:t>Aspek</w:t>
      </w:r>
      <w:proofErr w:type="spellEnd"/>
      <w:r w:rsidRPr="00932F20">
        <w:rPr>
          <w:rFonts w:ascii="Calibri Light" w:hAnsi="Calibri Light" w:cs="Calibri Light"/>
          <w:b/>
          <w:bCs/>
          <w:color w:val="000000"/>
        </w:rPr>
        <w:t xml:space="preserve"> RGEC (</w:t>
      </w:r>
      <w:r w:rsidRPr="00932F20">
        <w:rPr>
          <w:rFonts w:ascii="Calibri Light" w:hAnsi="Calibri Light" w:cs="Calibri Light"/>
          <w:b/>
          <w:bCs/>
          <w:i/>
          <w:iCs/>
          <w:color w:val="000000"/>
        </w:rPr>
        <w:t xml:space="preserve">Risk Profile, Good Corporate Governance, </w:t>
      </w:r>
      <w:r w:rsidRPr="00932F20">
        <w:rPr>
          <w:rFonts w:ascii="Calibri Light" w:hAnsi="Calibri Light" w:cs="Calibri Light"/>
          <w:b/>
          <w:bCs/>
          <w:color w:val="000000"/>
        </w:rPr>
        <w:t xml:space="preserve">dan </w:t>
      </w:r>
      <w:r w:rsidRPr="00932F20">
        <w:rPr>
          <w:rFonts w:ascii="Calibri Light" w:hAnsi="Calibri Light" w:cs="Calibri Light"/>
          <w:b/>
          <w:bCs/>
          <w:i/>
          <w:iCs/>
          <w:color w:val="000000"/>
        </w:rPr>
        <w:t>Capital</w:t>
      </w:r>
      <w:r w:rsidRPr="00932F20">
        <w:rPr>
          <w:rFonts w:ascii="Calibri Light" w:hAnsi="Calibri Light" w:cs="Calibri Light"/>
          <w:b/>
          <w:bCs/>
          <w:color w:val="000000"/>
        </w:rPr>
        <w:t xml:space="preserve">) </w:t>
      </w:r>
    </w:p>
    <w:p w14:paraId="384E582C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  <w:color w:val="000000"/>
        </w:rPr>
        <w:t>Penilaian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kesehatan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menggunakan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metode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Start w:id="23" w:name="_Hlk22070982"/>
      <w:r w:rsidRPr="00932F20">
        <w:rPr>
          <w:rFonts w:ascii="Calibri Light" w:hAnsi="Calibri Light" w:cs="Calibri Light"/>
          <w:color w:val="000000"/>
        </w:rPr>
        <w:t xml:space="preserve">RGEC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menunjukkan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kinerja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berdasarkan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aspek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Risk Profile, GCG, earnings, </w:t>
      </w:r>
      <w:r w:rsidRPr="00932F20">
        <w:rPr>
          <w:rFonts w:ascii="Calibri Light" w:hAnsi="Calibri Light" w:cs="Calibri Light"/>
          <w:color w:val="000000"/>
        </w:rPr>
        <w:t xml:space="preserve">dan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capital </w:t>
      </w:r>
      <w:proofErr w:type="spellStart"/>
      <w:r w:rsidRPr="00932F20">
        <w:rPr>
          <w:rFonts w:ascii="Calibri Light" w:hAnsi="Calibri Light" w:cs="Calibri Light"/>
          <w:color w:val="000000"/>
        </w:rPr>
        <w:t>berada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Komposit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 (PK-1).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rincian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pada </w:t>
      </w:r>
      <w:bookmarkStart w:id="24" w:name="_Hlk25225275"/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Komposit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berturut-turut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adalah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bookmarkStart w:id="25" w:name="_Hlk22647610"/>
      <w:r w:rsidRPr="00932F20">
        <w:rPr>
          <w:rFonts w:ascii="Calibri Light" w:hAnsi="Calibri Light" w:cs="Calibri Light"/>
          <w:color w:val="000000"/>
        </w:rPr>
        <w:t xml:space="preserve">90,00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90,00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90,00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86,67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dan 86,67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bookmarkEnd w:id="25"/>
      <w:proofErr w:type="spellEnd"/>
      <w:r w:rsidRPr="00932F20">
        <w:rPr>
          <w:rFonts w:ascii="Calibri Light" w:hAnsi="Calibri Light" w:cs="Calibri Light"/>
          <w:color w:val="000000"/>
        </w:rPr>
        <w:t>.</w:t>
      </w:r>
      <w:bookmarkEnd w:id="24"/>
      <w:r w:rsidRPr="00932F20">
        <w:rPr>
          <w:rFonts w:ascii="Calibri Light" w:hAnsi="Calibri Light" w:cs="Calibri Light"/>
          <w:color w:val="000000"/>
        </w:rPr>
        <w:t xml:space="preserve"> </w:t>
      </w:r>
      <w:bookmarkEnd w:id="23"/>
      <w:proofErr w:type="spellStart"/>
      <w:r w:rsidRPr="00932F20">
        <w:rPr>
          <w:rFonts w:ascii="Calibri Light" w:hAnsi="Calibri Light" w:cs="Calibri Light"/>
          <w:color w:val="000000"/>
        </w:rPr>
        <w:t>Berdasarkan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penelitian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dilakukan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oleh </w:t>
      </w:r>
      <w:proofErr w:type="spellStart"/>
      <w:r w:rsidRPr="00932F20">
        <w:rPr>
          <w:rFonts w:ascii="Calibri Light" w:hAnsi="Calibri Light" w:cs="Calibri Light"/>
          <w:color w:val="000000"/>
        </w:rPr>
        <w:t>Refmasari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Ngadirin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Setiawan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bobot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komposit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antara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86-100 </w:t>
      </w:r>
      <w:proofErr w:type="spellStart"/>
      <w:r w:rsidRPr="00932F20">
        <w:rPr>
          <w:rFonts w:ascii="Calibri Light" w:hAnsi="Calibri Light" w:cs="Calibri Light"/>
          <w:color w:val="000000"/>
        </w:rPr>
        <w:t>persen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masuk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komposit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 (PK-1) </w:t>
      </w:r>
      <w:proofErr w:type="spellStart"/>
      <w:r w:rsidRPr="00932F20">
        <w:rPr>
          <w:rFonts w:ascii="Calibri Light" w:hAnsi="Calibri Light" w:cs="Calibri Light"/>
          <w:color w:val="000000"/>
        </w:rPr>
        <w:t>dengan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penilaian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kesehatan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BUMN </w:t>
      </w:r>
      <w:proofErr w:type="spellStart"/>
      <w:r w:rsidRPr="00932F20">
        <w:rPr>
          <w:rFonts w:ascii="Calibri Light" w:hAnsi="Calibri Light" w:cs="Calibri Light"/>
          <w:color w:val="000000"/>
        </w:rPr>
        <w:t>selama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tahun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2013-2017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masuk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dalam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1. </w:t>
      </w:r>
    </w:p>
    <w:p w14:paraId="30995B70" w14:textId="77777777" w:rsidR="00932F20" w:rsidRPr="00932F20" w:rsidRDefault="00932F20" w:rsidP="00932F20">
      <w:pPr>
        <w:spacing w:after="0"/>
        <w:ind w:firstLine="567"/>
        <w:contextualSpacing/>
        <w:jc w:val="both"/>
        <w:rPr>
          <w:rFonts w:ascii="Calibri Light" w:hAnsi="Calibri Light" w:cs="Calibri Light"/>
          <w:color w:val="000000"/>
        </w:rPr>
      </w:pPr>
      <w:proofErr w:type="spellStart"/>
      <w:r w:rsidRPr="00932F20">
        <w:rPr>
          <w:rFonts w:ascii="Calibri Light" w:hAnsi="Calibri Light" w:cs="Calibri Light"/>
          <w:color w:val="000000"/>
        </w:rPr>
        <w:lastRenderedPageBreak/>
        <w:t>Berdasarkan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Lampiran SE BI No. 13/24/DPNP/2011 bank yang </w:t>
      </w:r>
      <w:proofErr w:type="spellStart"/>
      <w:r w:rsidRPr="00932F20">
        <w:rPr>
          <w:rFonts w:ascii="Calibri Light" w:hAnsi="Calibri Light" w:cs="Calibri Light"/>
          <w:color w:val="000000"/>
        </w:rPr>
        <w:t>memperoleh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peringkat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komposit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1 </w:t>
      </w:r>
      <w:proofErr w:type="spellStart"/>
      <w:r w:rsidRPr="00932F20">
        <w:rPr>
          <w:rFonts w:ascii="Calibri Light" w:hAnsi="Calibri Light" w:cs="Calibri Light"/>
          <w:color w:val="000000"/>
        </w:rPr>
        <w:t>mencerminkan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bahwa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kondisi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bank yang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sehingga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dinilai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mampu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menghadapi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pengaruh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negatif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yang </w:t>
      </w:r>
      <w:proofErr w:type="spellStart"/>
      <w:r w:rsidRPr="00932F20">
        <w:rPr>
          <w:rFonts w:ascii="Calibri Light" w:hAnsi="Calibri Light" w:cs="Calibri Light"/>
          <w:color w:val="000000"/>
        </w:rPr>
        <w:t>signifikan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perubahan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kondisi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bisnis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dan </w:t>
      </w:r>
      <w:proofErr w:type="spellStart"/>
      <w:r w:rsidRPr="00932F20">
        <w:rPr>
          <w:rFonts w:ascii="Calibri Light" w:hAnsi="Calibri Light" w:cs="Calibri Light"/>
          <w:color w:val="000000"/>
        </w:rPr>
        <w:t>faktor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eksternal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lainnya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tercermin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dari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kriteria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faktor-faktor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penilaian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antara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lain </w:t>
      </w:r>
      <w:r w:rsidRPr="00932F20">
        <w:rPr>
          <w:rFonts w:ascii="Calibri Light" w:hAnsi="Calibri Light" w:cs="Calibri Light"/>
          <w:i/>
          <w:iCs/>
          <w:color w:val="000000"/>
        </w:rPr>
        <w:t>risk profile</w:t>
      </w:r>
      <w:r w:rsidRPr="00932F20">
        <w:rPr>
          <w:rFonts w:ascii="Calibri Light" w:hAnsi="Calibri Light" w:cs="Calibri Light"/>
          <w:color w:val="000000"/>
        </w:rPr>
        <w:t xml:space="preserve">, </w:t>
      </w:r>
      <w:proofErr w:type="spellStart"/>
      <w:r w:rsidRPr="00932F20">
        <w:rPr>
          <w:rFonts w:ascii="Calibri Light" w:hAnsi="Calibri Light" w:cs="Calibri Light"/>
          <w:color w:val="000000"/>
        </w:rPr>
        <w:t>penerapan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GCG, </w:t>
      </w:r>
      <w:r w:rsidRPr="00932F20">
        <w:rPr>
          <w:rFonts w:ascii="Calibri Light" w:hAnsi="Calibri Light" w:cs="Calibri Light"/>
          <w:i/>
          <w:iCs/>
          <w:color w:val="000000"/>
        </w:rPr>
        <w:t>earnings</w:t>
      </w:r>
      <w:r w:rsidRPr="00932F20">
        <w:rPr>
          <w:rFonts w:ascii="Calibri Light" w:hAnsi="Calibri Light" w:cs="Calibri Light"/>
          <w:color w:val="000000"/>
        </w:rPr>
        <w:t xml:space="preserve">, dan </w:t>
      </w:r>
      <w:r w:rsidRPr="00932F20">
        <w:rPr>
          <w:rFonts w:ascii="Calibri Light" w:hAnsi="Calibri Light" w:cs="Calibri Light"/>
          <w:i/>
          <w:iCs/>
          <w:color w:val="000000"/>
        </w:rPr>
        <w:t xml:space="preserve">capital </w:t>
      </w:r>
      <w:r w:rsidRPr="00932F20">
        <w:rPr>
          <w:rFonts w:ascii="Calibri Light" w:hAnsi="Calibri Light" w:cs="Calibri Light"/>
          <w:color w:val="000000"/>
        </w:rPr>
        <w:t xml:space="preserve">yang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sangat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baik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. </w:t>
      </w:r>
      <w:proofErr w:type="spellStart"/>
      <w:r w:rsidRPr="00932F20">
        <w:rPr>
          <w:rFonts w:ascii="Calibri Light" w:hAnsi="Calibri Light" w:cs="Calibri Light"/>
          <w:color w:val="000000"/>
        </w:rPr>
        <w:t>Apabila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terdapat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kelemahan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maka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secara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umum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kelemahan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tersebut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tidak</w:t>
      </w:r>
      <w:proofErr w:type="spellEnd"/>
      <w:r w:rsidRPr="00932F20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932F20">
        <w:rPr>
          <w:rFonts w:ascii="Calibri Light" w:hAnsi="Calibri Light" w:cs="Calibri Light"/>
          <w:color w:val="000000"/>
        </w:rPr>
        <w:t>signifikan</w:t>
      </w:r>
      <w:proofErr w:type="spellEnd"/>
      <w:r w:rsidRPr="00932F20">
        <w:rPr>
          <w:rFonts w:ascii="Calibri Light" w:hAnsi="Calibri Light" w:cs="Calibri Light"/>
          <w:color w:val="000000"/>
        </w:rPr>
        <w:t>.</w:t>
      </w:r>
    </w:p>
    <w:p w14:paraId="0EEECD8B" w14:textId="7B202821" w:rsidR="00F75134" w:rsidRPr="00643F8D" w:rsidRDefault="00E1363F" w:rsidP="007617D7">
      <w:pPr>
        <w:pStyle w:val="ListParagraph"/>
        <w:spacing w:after="0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43F8D">
        <w:rPr>
          <w:rFonts w:ascii="Calibri Light" w:hAnsi="Calibri Light" w:cs="Calibri Light"/>
          <w:b/>
          <w:bCs/>
          <w:sz w:val="24"/>
          <w:szCs w:val="24"/>
        </w:rPr>
        <w:t>SIMPULAN</w:t>
      </w:r>
      <w:r w:rsidR="007D1670" w:rsidRPr="00643F8D">
        <w:rPr>
          <w:rFonts w:ascii="Calibri Light" w:hAnsi="Calibri Light" w:cs="Calibri Light"/>
          <w:b/>
          <w:bCs/>
          <w:sz w:val="24"/>
          <w:szCs w:val="24"/>
        </w:rPr>
        <w:t xml:space="preserve"> DAN SARAN</w:t>
      </w:r>
    </w:p>
    <w:p w14:paraId="7A500FF4" w14:textId="5BC5618D" w:rsidR="007D1670" w:rsidRPr="00643F8D" w:rsidRDefault="00643F8D" w:rsidP="007617D7">
      <w:pPr>
        <w:pStyle w:val="ListParagraph"/>
        <w:spacing w:after="0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</w:rPr>
        <w:t>S</w:t>
      </w:r>
      <w:r w:rsidR="007D1670" w:rsidRPr="00643F8D">
        <w:rPr>
          <w:rFonts w:ascii="Calibri Light" w:hAnsi="Calibri Light" w:cs="Calibri Light"/>
          <w:b/>
          <w:bCs/>
          <w:sz w:val="24"/>
          <w:szCs w:val="24"/>
        </w:rPr>
        <w:t>impulan</w:t>
      </w:r>
      <w:proofErr w:type="spellEnd"/>
      <w:r w:rsidR="007D1670" w:rsidRPr="00643F8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26EC7AF7" w14:textId="77777777" w:rsidR="00741414" w:rsidRPr="00741414" w:rsidRDefault="00741414" w:rsidP="001269CB">
      <w:pPr>
        <w:pStyle w:val="ListParagraph"/>
        <w:numPr>
          <w:ilvl w:val="3"/>
          <w:numId w:val="1"/>
        </w:numPr>
        <w:tabs>
          <w:tab w:val="clear" w:pos="3432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r w:rsidRPr="00741414">
        <w:rPr>
          <w:rFonts w:ascii="Calibri Light" w:hAnsi="Calibri Light" w:cs="Calibri Light"/>
          <w:sz w:val="24"/>
          <w:szCs w:val="24"/>
          <w:lang w:val="id-ID"/>
        </w:rPr>
        <w:t xml:space="preserve"> </w:t>
      </w:r>
      <w:r w:rsidRPr="00741414">
        <w:rPr>
          <w:rFonts w:ascii="Calibri Light" w:eastAsia="Calibri" w:hAnsi="Calibri Light" w:cs="Calibri Light"/>
          <w:color w:val="000000"/>
        </w:rPr>
        <w:t xml:space="preserve">Hasil </w:t>
      </w:r>
      <w:r w:rsidRPr="00741414">
        <w:rPr>
          <w:rFonts w:ascii="Calibri Light" w:hAnsi="Calibri Light" w:cs="Calibri Light"/>
          <w:sz w:val="24"/>
          <w:szCs w:val="24"/>
          <w:lang w:val="id-ID"/>
        </w:rPr>
        <w:t>penilaian</w:t>
      </w:r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Profil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risiko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(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Risk profile) </w:t>
      </w:r>
      <w:r w:rsidRPr="00741414">
        <w:rPr>
          <w:rFonts w:ascii="Calibri Light" w:eastAsia="Calibri" w:hAnsi="Calibri Light" w:cs="Calibri Light"/>
          <w:color w:val="000000"/>
        </w:rPr>
        <w:t xml:space="preserve">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menggunakan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indikator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yaitu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faktor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risiko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kredit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menggunakan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rasio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NPL dan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risiko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likuiditas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rasio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LDR. Nilai NPL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selama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2013-2014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masuk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kategori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sanga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dan pada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2015-2017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berada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pada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kondisi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. Nilai LDR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selama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2013-2017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masuk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kategori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cukup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>.</w:t>
      </w:r>
    </w:p>
    <w:p w14:paraId="59362F45" w14:textId="77777777" w:rsidR="00741414" w:rsidRPr="00741414" w:rsidRDefault="00741414" w:rsidP="001269CB">
      <w:pPr>
        <w:pStyle w:val="ListParagraph"/>
        <w:numPr>
          <w:ilvl w:val="3"/>
          <w:numId w:val="1"/>
        </w:numPr>
        <w:tabs>
          <w:tab w:val="clear" w:pos="3432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r w:rsidRPr="00741414">
        <w:rPr>
          <w:rFonts w:ascii="Calibri Light" w:eastAsia="Calibri" w:hAnsi="Calibri Light" w:cs="Calibri Light"/>
          <w:color w:val="000000"/>
        </w:rPr>
        <w:t xml:space="preserve">Hasil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penilaian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Good Corporate </w:t>
      </w:r>
      <w:r w:rsidRPr="00741414">
        <w:rPr>
          <w:rFonts w:ascii="Calibri Light" w:hAnsi="Calibri Light" w:cs="Calibri Light"/>
          <w:i/>
          <w:iCs/>
          <w:sz w:val="24"/>
          <w:szCs w:val="24"/>
          <w:lang w:val="id-ID"/>
        </w:rPr>
        <w:t>Governance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 </w:t>
      </w:r>
      <w:r w:rsidRPr="00741414">
        <w:rPr>
          <w:rFonts w:ascii="Calibri Light" w:eastAsia="Calibri" w:hAnsi="Calibri Light" w:cs="Calibri Light"/>
          <w:color w:val="000000"/>
        </w:rPr>
        <w:t xml:space="preserve">(GCG)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pada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2013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kriteria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cukup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,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2014-2015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kriteria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>.</w:t>
      </w:r>
    </w:p>
    <w:p w14:paraId="0EC0463B" w14:textId="77777777" w:rsidR="00741414" w:rsidRPr="00741414" w:rsidRDefault="00741414" w:rsidP="001269CB">
      <w:pPr>
        <w:pStyle w:val="ListParagraph"/>
        <w:numPr>
          <w:ilvl w:val="3"/>
          <w:numId w:val="1"/>
        </w:numPr>
        <w:tabs>
          <w:tab w:val="clear" w:pos="3432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r w:rsidRPr="00741414">
        <w:rPr>
          <w:rFonts w:ascii="Calibri Light" w:eastAsia="Calibri" w:hAnsi="Calibri Light" w:cs="Calibri Light"/>
          <w:color w:val="000000"/>
        </w:rPr>
        <w:t xml:space="preserve">Hasil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penilaian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Rentabilitas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(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Earnings) </w:t>
      </w:r>
      <w:r w:rsidRPr="00741414">
        <w:rPr>
          <w:rFonts w:ascii="Calibri Light" w:eastAsia="Calibri" w:hAnsi="Calibri Light" w:cs="Calibri Light"/>
          <w:color w:val="000000"/>
        </w:rPr>
        <w:t xml:space="preserve">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menggunakan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dua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rasio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yaitu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ROA dan NIM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selama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2013-2017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masuk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dalam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kriteria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sangat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>.</w:t>
      </w:r>
    </w:p>
    <w:p w14:paraId="015308F3" w14:textId="77777777" w:rsidR="00741414" w:rsidRPr="00741414" w:rsidRDefault="00741414" w:rsidP="001269CB">
      <w:pPr>
        <w:pStyle w:val="ListParagraph"/>
        <w:numPr>
          <w:ilvl w:val="3"/>
          <w:numId w:val="1"/>
        </w:numPr>
        <w:tabs>
          <w:tab w:val="clear" w:pos="3432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r w:rsidRPr="00741414">
        <w:rPr>
          <w:rFonts w:ascii="Calibri Light" w:eastAsia="Calibri" w:hAnsi="Calibri Light" w:cs="Calibri Light"/>
          <w:color w:val="000000"/>
        </w:rPr>
        <w:t xml:space="preserve">Hasil </w:t>
      </w:r>
      <w:r w:rsidRPr="00741414">
        <w:rPr>
          <w:rFonts w:ascii="Calibri Light" w:hAnsi="Calibri Light" w:cs="Calibri Light"/>
          <w:sz w:val="24"/>
          <w:szCs w:val="24"/>
          <w:lang w:val="id-ID"/>
        </w:rPr>
        <w:t>penilain</w:t>
      </w:r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Permodalan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(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Capital) </w:t>
      </w:r>
      <w:r w:rsidRPr="00741414">
        <w:rPr>
          <w:rFonts w:ascii="Calibri Light" w:eastAsia="Calibri" w:hAnsi="Calibri Light" w:cs="Calibri Light"/>
          <w:color w:val="000000"/>
        </w:rPr>
        <w:t xml:space="preserve">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selama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r w:rsidRPr="00741414">
        <w:rPr>
          <w:rFonts w:ascii="Calibri Light" w:eastAsia="Calibri" w:hAnsi="Calibri Light" w:cs="Calibri Light"/>
          <w:color w:val="000000"/>
        </w:rPr>
        <w:t xml:space="preserve">2013-2017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berada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dalam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kondisi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sangat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>.</w:t>
      </w:r>
    </w:p>
    <w:p w14:paraId="698AF8A3" w14:textId="77777777" w:rsidR="00741414" w:rsidRPr="00741414" w:rsidRDefault="00741414" w:rsidP="001269CB">
      <w:pPr>
        <w:pStyle w:val="ListParagraph"/>
        <w:numPr>
          <w:ilvl w:val="3"/>
          <w:numId w:val="1"/>
        </w:numPr>
        <w:tabs>
          <w:tab w:val="clear" w:pos="3432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r w:rsidRPr="00741414">
        <w:rPr>
          <w:rFonts w:ascii="Calibri Light" w:eastAsia="Calibri" w:hAnsi="Calibri Light" w:cs="Calibri Light"/>
          <w:color w:val="000000"/>
        </w:rPr>
        <w:t xml:space="preserve">Hasil </w:t>
      </w:r>
      <w:r w:rsidRPr="00741414">
        <w:rPr>
          <w:rFonts w:ascii="Calibri Light" w:hAnsi="Calibri Light" w:cs="Calibri Light"/>
          <w:sz w:val="24"/>
          <w:szCs w:val="24"/>
          <w:lang w:val="id-ID"/>
        </w:rPr>
        <w:t>penilaian</w:t>
      </w:r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tingkat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kesehatan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dilihat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aspek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RGEC (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Risk profile, Good Corporate Governance, Earnings, </w:t>
      </w:r>
      <w:r w:rsidRPr="00741414">
        <w:rPr>
          <w:rFonts w:ascii="Calibri Light" w:eastAsia="Calibri" w:hAnsi="Calibri Light" w:cs="Calibri Light"/>
          <w:color w:val="000000"/>
        </w:rPr>
        <w:t xml:space="preserve">dan 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Capital)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selama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2013-2017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berdasarkan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aspek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risk profile, GCG, earnings, </w:t>
      </w:r>
      <w:r w:rsidRPr="00741414">
        <w:rPr>
          <w:rFonts w:ascii="Calibri Light" w:eastAsia="Calibri" w:hAnsi="Calibri Light" w:cs="Calibri Light"/>
          <w:color w:val="000000"/>
        </w:rPr>
        <w:t xml:space="preserve">dan 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capital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berada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pada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Peringkat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Komposit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1 (PK-1). </w:t>
      </w:r>
    </w:p>
    <w:p w14:paraId="2D26DFA9" w14:textId="77777777" w:rsidR="00E1363F" w:rsidRPr="00643F8D" w:rsidRDefault="007D1670" w:rsidP="007617D7">
      <w:pPr>
        <w:pStyle w:val="ListParagraph"/>
        <w:spacing w:after="0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643F8D">
        <w:rPr>
          <w:rFonts w:ascii="Calibri Light" w:hAnsi="Calibri Light" w:cs="Calibri Light"/>
          <w:b/>
          <w:sz w:val="24"/>
          <w:szCs w:val="24"/>
        </w:rPr>
        <w:t>Saran</w:t>
      </w:r>
    </w:p>
    <w:p w14:paraId="4C5DB062" w14:textId="77777777" w:rsidR="00741414" w:rsidRPr="00741414" w:rsidRDefault="00741414" w:rsidP="001269CB">
      <w:pPr>
        <w:pStyle w:val="ListParagraph"/>
        <w:numPr>
          <w:ilvl w:val="0"/>
          <w:numId w:val="2"/>
        </w:numPr>
        <w:tabs>
          <w:tab w:val="clear" w:pos="1272"/>
          <w:tab w:val="num" w:pos="284"/>
        </w:tabs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proofErr w:type="spellStart"/>
      <w:r w:rsidRPr="00741414">
        <w:rPr>
          <w:rFonts w:ascii="Calibri Light" w:eastAsia="Calibri" w:hAnsi="Calibri Light" w:cs="Calibri Light"/>
          <w:color w:val="000000"/>
        </w:rPr>
        <w:t>Penilaian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faktor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Profil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risiko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(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 xml:space="preserve">Risk profile),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hAnsi="Calibri Light" w:cs="Calibri Light"/>
        </w:rPr>
        <w:t>aspek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risiko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kredit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sebaiknya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pihak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manajemen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lebih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selektif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dan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hati-hati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dalam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pemberian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kredit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terhadap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nasabah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dan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mengikuti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peraturan-peraturan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perkreditan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telah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ditetapkan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oleh Bank Indonesia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untuk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menghindari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terjadinya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kredit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macet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khususnya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kepada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Mandiri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memiliki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rasio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NPL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lebih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tinggi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sehingga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kualitas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kredit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tergolong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lebih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rendah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dibandingkan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tiga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lainnya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. </w:t>
      </w:r>
    </w:p>
    <w:p w14:paraId="41446FC6" w14:textId="77777777" w:rsidR="00741414" w:rsidRPr="00741414" w:rsidRDefault="00741414" w:rsidP="001269CB">
      <w:pPr>
        <w:pStyle w:val="ListParagraph"/>
        <w:numPr>
          <w:ilvl w:val="0"/>
          <w:numId w:val="2"/>
        </w:numPr>
        <w:tabs>
          <w:tab w:val="clear" w:pos="1272"/>
          <w:tab w:val="num" w:pos="284"/>
        </w:tabs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proofErr w:type="spellStart"/>
      <w:r w:rsidRPr="00741414">
        <w:rPr>
          <w:rFonts w:ascii="Calibri Light" w:eastAsia="Calibri" w:hAnsi="Calibri Light" w:cs="Calibri Light"/>
          <w:color w:val="000000"/>
        </w:rPr>
        <w:t>Penilain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faktor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Profil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risiko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r w:rsidRPr="00741414">
        <w:rPr>
          <w:rFonts w:ascii="Calibri Light" w:eastAsia="Calibri" w:hAnsi="Calibri Light" w:cs="Calibri Light"/>
          <w:i/>
          <w:iCs/>
          <w:color w:val="000000"/>
        </w:rPr>
        <w:t>(Risk profile)</w:t>
      </w:r>
      <w:r w:rsidRPr="00741414">
        <w:rPr>
          <w:rFonts w:ascii="Calibri Light" w:eastAsia="Calibri" w:hAnsi="Calibri Light" w:cs="Calibri Light"/>
          <w:color w:val="000000"/>
        </w:rPr>
        <w:t xml:space="preserve">,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hAnsi="Calibri Light" w:cs="Calibri Light"/>
        </w:rPr>
        <w:t>aspek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risiko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likuiditas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sebaiknya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BTN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sebagai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salah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satu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memiliki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rasio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LDR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melebihi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batas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maksimal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ketentuan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telah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ditetapkan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oleh Bank Indonesia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untuk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lebih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memperhatikan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seluruh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kewajiban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terlebih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khusus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kewajiban-kewajiban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jangka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pendek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dan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berusaha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untuk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menyeimbangkan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antara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pemberian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kredit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dengan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banyaknya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dana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diterima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dari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pihak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ketiga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agar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likuiditas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dapat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terjaga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. </w:t>
      </w:r>
    </w:p>
    <w:p w14:paraId="7980E667" w14:textId="77777777" w:rsidR="00741414" w:rsidRPr="00741414" w:rsidRDefault="00741414" w:rsidP="001269CB">
      <w:pPr>
        <w:pStyle w:val="ListParagraph"/>
        <w:numPr>
          <w:ilvl w:val="0"/>
          <w:numId w:val="2"/>
        </w:numPr>
        <w:tabs>
          <w:tab w:val="clear" w:pos="1272"/>
          <w:tab w:val="num" w:pos="284"/>
        </w:tabs>
        <w:spacing w:after="0"/>
        <w:ind w:left="284" w:hanging="284"/>
        <w:contextualSpacing w:val="0"/>
        <w:jc w:val="both"/>
        <w:rPr>
          <w:rFonts w:ascii="Calibri Light" w:eastAsia="Calibri" w:hAnsi="Calibri Light" w:cs="Calibri Light"/>
          <w:color w:val="000000"/>
        </w:rPr>
      </w:pPr>
      <w:proofErr w:type="spellStart"/>
      <w:r w:rsidRPr="00741414">
        <w:rPr>
          <w:rFonts w:ascii="Calibri Light" w:eastAsia="Calibri" w:hAnsi="Calibri Light" w:cs="Calibri Light"/>
          <w:color w:val="000000"/>
        </w:rPr>
        <w:t>Sebagai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berstatus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Badan Usaha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Milik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Negara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sebaiknya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umum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BUMN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mampu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lastRenderedPageBreak/>
        <w:t>mempertahankan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dan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terus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meningkatkan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kesehatan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pada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tahun-tahun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berikutnya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. Tingkat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kesehatan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 yang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sangat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sehat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akan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meningkatkan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kepercayaan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masyarakat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,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nasabah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,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karyawan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,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pemegangsaham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, dan juga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pihak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lainnya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terhadap</w:t>
      </w:r>
      <w:proofErr w:type="spellEnd"/>
      <w:r w:rsidRPr="00741414">
        <w:rPr>
          <w:rFonts w:ascii="Calibri Light" w:eastAsia="Calibri" w:hAnsi="Calibri Light" w:cs="Calibri Light"/>
          <w:color w:val="000000"/>
        </w:rPr>
        <w:t xml:space="preserve"> bank. </w:t>
      </w:r>
    </w:p>
    <w:p w14:paraId="561278A6" w14:textId="15969782" w:rsidR="00741414" w:rsidRPr="00741414" w:rsidRDefault="00741414" w:rsidP="001269CB">
      <w:pPr>
        <w:pStyle w:val="ListParagraph"/>
        <w:numPr>
          <w:ilvl w:val="0"/>
          <w:numId w:val="2"/>
        </w:numPr>
        <w:tabs>
          <w:tab w:val="clear" w:pos="1272"/>
          <w:tab w:val="num" w:pos="284"/>
        </w:tabs>
        <w:spacing w:after="0"/>
        <w:ind w:left="284" w:hanging="284"/>
        <w:contextualSpacing w:val="0"/>
        <w:jc w:val="both"/>
        <w:rPr>
          <w:rFonts w:ascii="Calibri Light" w:eastAsia="Times New Roman" w:hAnsi="Calibri Light" w:cs="Calibri Light"/>
        </w:rPr>
      </w:pPr>
      <w:proofErr w:type="spellStart"/>
      <w:r w:rsidRPr="00741414">
        <w:rPr>
          <w:rFonts w:ascii="Calibri Light" w:eastAsia="Calibri" w:hAnsi="Calibri Light" w:cs="Calibri Light"/>
        </w:rPr>
        <w:t>Bagi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peneliti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selanjutnya</w:t>
      </w:r>
      <w:proofErr w:type="spellEnd"/>
      <w:r w:rsidRPr="00741414">
        <w:rPr>
          <w:rFonts w:ascii="Calibri Light" w:eastAsia="Calibri" w:hAnsi="Calibri Light" w:cs="Calibri Light"/>
        </w:rPr>
        <w:t xml:space="preserve">, </w:t>
      </w:r>
      <w:proofErr w:type="spellStart"/>
      <w:r w:rsidRPr="00741414">
        <w:rPr>
          <w:rFonts w:ascii="Calibri Light" w:eastAsia="Calibri" w:hAnsi="Calibri Light" w:cs="Calibri Light"/>
        </w:rPr>
        <w:t>diharapkan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  <w:color w:val="000000"/>
        </w:rPr>
        <w:t>dapat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menambah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periode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penelitian</w:t>
      </w:r>
      <w:proofErr w:type="spellEnd"/>
      <w:r w:rsidRPr="00741414">
        <w:rPr>
          <w:rFonts w:ascii="Calibri Light" w:eastAsia="Calibri" w:hAnsi="Calibri Light" w:cs="Calibri Light"/>
        </w:rPr>
        <w:t xml:space="preserve"> dan </w:t>
      </w:r>
      <w:proofErr w:type="spellStart"/>
      <w:r w:rsidRPr="00741414">
        <w:rPr>
          <w:rFonts w:ascii="Calibri Light" w:eastAsia="Calibri" w:hAnsi="Calibri Light" w:cs="Calibri Light"/>
        </w:rPr>
        <w:t>menambah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rasio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keuangan</w:t>
      </w:r>
      <w:proofErr w:type="spellEnd"/>
      <w:r w:rsidRPr="00741414">
        <w:rPr>
          <w:rFonts w:ascii="Calibri Light" w:eastAsia="Calibri" w:hAnsi="Calibri Light" w:cs="Calibri Light"/>
        </w:rPr>
        <w:t xml:space="preserve"> yang </w:t>
      </w:r>
      <w:proofErr w:type="spellStart"/>
      <w:r w:rsidRPr="00741414">
        <w:rPr>
          <w:rFonts w:ascii="Calibri Light" w:eastAsia="Calibri" w:hAnsi="Calibri Light" w:cs="Calibri Light"/>
        </w:rPr>
        <w:t>digunakan</w:t>
      </w:r>
      <w:proofErr w:type="spellEnd"/>
      <w:r w:rsidRPr="00741414">
        <w:rPr>
          <w:rFonts w:ascii="Calibri Light" w:eastAsia="Calibri" w:hAnsi="Calibri Light" w:cs="Calibri Light"/>
        </w:rPr>
        <w:t xml:space="preserve"> agar </w:t>
      </w:r>
      <w:proofErr w:type="spellStart"/>
      <w:r w:rsidRPr="00741414">
        <w:rPr>
          <w:rFonts w:ascii="Calibri Light" w:eastAsia="Calibri" w:hAnsi="Calibri Light" w:cs="Calibri Light"/>
        </w:rPr>
        <w:t>diperoleh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perhitungan</w:t>
      </w:r>
      <w:proofErr w:type="spellEnd"/>
      <w:r w:rsidRPr="00741414">
        <w:rPr>
          <w:rFonts w:ascii="Calibri Light" w:eastAsia="Calibri" w:hAnsi="Calibri Light" w:cs="Calibri Light"/>
        </w:rPr>
        <w:t xml:space="preserve"> dan </w:t>
      </w:r>
      <w:proofErr w:type="spellStart"/>
      <w:r w:rsidRPr="00741414">
        <w:rPr>
          <w:rFonts w:ascii="Calibri Light" w:eastAsia="Calibri" w:hAnsi="Calibri Light" w:cs="Calibri Light"/>
        </w:rPr>
        <w:t>analisis</w:t>
      </w:r>
      <w:proofErr w:type="spellEnd"/>
      <w:r w:rsidRPr="00741414">
        <w:rPr>
          <w:rFonts w:ascii="Calibri Light" w:eastAsia="Calibri" w:hAnsi="Calibri Light" w:cs="Calibri Light"/>
        </w:rPr>
        <w:t xml:space="preserve"> yang </w:t>
      </w:r>
      <w:proofErr w:type="spellStart"/>
      <w:r w:rsidRPr="00741414">
        <w:rPr>
          <w:rFonts w:ascii="Calibri Light" w:eastAsia="Calibri" w:hAnsi="Calibri Light" w:cs="Calibri Light"/>
        </w:rPr>
        <w:t>lebih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menyeluruh</w:t>
      </w:r>
      <w:proofErr w:type="spellEnd"/>
      <w:r w:rsidRPr="00741414">
        <w:rPr>
          <w:rFonts w:ascii="Calibri Light" w:eastAsia="Calibri" w:hAnsi="Calibri Light" w:cs="Calibri Light"/>
        </w:rPr>
        <w:t xml:space="preserve"> dan </w:t>
      </w:r>
      <w:proofErr w:type="spellStart"/>
      <w:r w:rsidRPr="00741414">
        <w:rPr>
          <w:rFonts w:ascii="Calibri Light" w:eastAsia="Calibri" w:hAnsi="Calibri Light" w:cs="Calibri Light"/>
        </w:rPr>
        <w:t>akurat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dalam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perhitungan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kinerja</w:t>
      </w:r>
      <w:proofErr w:type="spellEnd"/>
      <w:r w:rsidRPr="00741414">
        <w:rPr>
          <w:rFonts w:ascii="Calibri Light" w:eastAsia="Calibri" w:hAnsi="Calibri Light" w:cs="Calibri Light"/>
        </w:rPr>
        <w:t xml:space="preserve"> bank </w:t>
      </w:r>
      <w:proofErr w:type="spellStart"/>
      <w:r w:rsidRPr="00741414">
        <w:rPr>
          <w:rFonts w:ascii="Calibri Light" w:eastAsia="Calibri" w:hAnsi="Calibri Light" w:cs="Calibri Light"/>
        </w:rPr>
        <w:t>dengan</w:t>
      </w:r>
      <w:proofErr w:type="spellEnd"/>
      <w:r w:rsidRPr="00741414">
        <w:rPr>
          <w:rFonts w:ascii="Calibri Light" w:eastAsia="Calibri" w:hAnsi="Calibri Light" w:cs="Calibri Light"/>
        </w:rPr>
        <w:t xml:space="preserve"> </w:t>
      </w:r>
      <w:proofErr w:type="spellStart"/>
      <w:r w:rsidRPr="00741414">
        <w:rPr>
          <w:rFonts w:ascii="Calibri Light" w:eastAsia="Calibri" w:hAnsi="Calibri Light" w:cs="Calibri Light"/>
        </w:rPr>
        <w:t>metode</w:t>
      </w:r>
      <w:proofErr w:type="spellEnd"/>
      <w:r w:rsidRPr="00741414">
        <w:rPr>
          <w:rFonts w:ascii="Calibri Light" w:eastAsia="Calibri" w:hAnsi="Calibri Light" w:cs="Calibri Light"/>
        </w:rPr>
        <w:t xml:space="preserve"> RGEC.</w:t>
      </w:r>
    </w:p>
    <w:p w14:paraId="09B9354E" w14:textId="213E95C1" w:rsidR="00741414" w:rsidRDefault="00741414" w:rsidP="00741414">
      <w:pPr>
        <w:pStyle w:val="ListParagraph"/>
        <w:spacing w:after="0"/>
        <w:ind w:left="284"/>
        <w:contextualSpacing w:val="0"/>
        <w:jc w:val="both"/>
        <w:rPr>
          <w:rFonts w:ascii="Calibri Light" w:hAnsi="Calibri Light" w:cs="Calibri Light"/>
          <w:sz w:val="24"/>
          <w:szCs w:val="24"/>
          <w:lang w:val="id-ID"/>
        </w:rPr>
      </w:pPr>
    </w:p>
    <w:p w14:paraId="0DC6B8C5" w14:textId="273CB2C3" w:rsidR="00F75134" w:rsidRDefault="00F75134" w:rsidP="007617D7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  <w:lang w:val="id-ID"/>
        </w:rPr>
      </w:pPr>
      <w:r w:rsidRPr="00643F8D">
        <w:rPr>
          <w:rFonts w:ascii="Calibri Light" w:hAnsi="Calibri Light" w:cs="Calibri Light"/>
          <w:b/>
          <w:sz w:val="24"/>
          <w:szCs w:val="24"/>
          <w:lang w:val="id-ID"/>
        </w:rPr>
        <w:t>DAFTAR PUSTAKA</w:t>
      </w:r>
    </w:p>
    <w:p w14:paraId="5EA2B868" w14:textId="77777777" w:rsidR="00DC2624" w:rsidRPr="00643F8D" w:rsidRDefault="00DC2624" w:rsidP="007617D7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C1ACFB" w14:textId="56950B5C" w:rsidR="00DC2624" w:rsidRDefault="00DC2624" w:rsidP="00DC2624">
      <w:p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proofErr w:type="spellStart"/>
      <w:r w:rsidRPr="00DC2624">
        <w:rPr>
          <w:rFonts w:ascii="Calibri Light" w:eastAsia="Calibri" w:hAnsi="Calibri Light" w:cs="Calibri Light"/>
        </w:rPr>
        <w:t>Kasmir</w:t>
      </w:r>
      <w:proofErr w:type="spellEnd"/>
      <w:r w:rsidRPr="00DC2624">
        <w:rPr>
          <w:rFonts w:ascii="Calibri Light" w:eastAsia="Calibri" w:hAnsi="Calibri Light" w:cs="Calibri Light"/>
        </w:rPr>
        <w:t xml:space="preserve">. 2012.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Analisis</w:t>
      </w:r>
      <w:proofErr w:type="spellEnd"/>
      <w:r w:rsidRPr="00DC2624">
        <w:rPr>
          <w:rFonts w:ascii="Calibri Light" w:eastAsia="Calibri" w:hAnsi="Calibri Light" w:cs="Calibri Light"/>
          <w:i/>
          <w:iCs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Laporan</w:t>
      </w:r>
      <w:proofErr w:type="spellEnd"/>
      <w:r w:rsidRPr="00DC2624">
        <w:rPr>
          <w:rFonts w:ascii="Calibri Light" w:eastAsia="Calibri" w:hAnsi="Calibri Light" w:cs="Calibri Light"/>
          <w:i/>
          <w:iCs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Keuangan</w:t>
      </w:r>
      <w:proofErr w:type="spellEnd"/>
      <w:r w:rsidRPr="00DC2624">
        <w:rPr>
          <w:rFonts w:ascii="Calibri Light" w:eastAsia="Calibri" w:hAnsi="Calibri Light" w:cs="Calibri Light"/>
        </w:rPr>
        <w:t xml:space="preserve">. Jakarta: PT. Raja </w:t>
      </w:r>
      <w:proofErr w:type="spellStart"/>
      <w:r w:rsidRPr="00DC2624">
        <w:rPr>
          <w:rFonts w:ascii="Calibri Light" w:eastAsia="Calibri" w:hAnsi="Calibri Light" w:cs="Calibri Light"/>
        </w:rPr>
        <w:t>Grafindo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Persada</w:t>
      </w:r>
      <w:proofErr w:type="spellEnd"/>
      <w:r w:rsidRPr="00DC2624">
        <w:rPr>
          <w:rFonts w:ascii="Calibri Light" w:eastAsia="Calibri" w:hAnsi="Calibri Light" w:cs="Calibri Light"/>
        </w:rPr>
        <w:t xml:space="preserve">. </w:t>
      </w:r>
    </w:p>
    <w:p w14:paraId="2EE1A3B0" w14:textId="77777777" w:rsidR="00DC2624" w:rsidRPr="00DC2624" w:rsidRDefault="00DC2624" w:rsidP="00DC2624">
      <w:p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</w:p>
    <w:p w14:paraId="6515E7C8" w14:textId="2151538F" w:rsidR="00DC2624" w:rsidRDefault="00DC2624" w:rsidP="00DC2624">
      <w:p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proofErr w:type="spellStart"/>
      <w:r w:rsidRPr="00DC2624">
        <w:rPr>
          <w:rFonts w:ascii="Calibri Light" w:eastAsia="Calibri" w:hAnsi="Calibri Light" w:cs="Calibri Light"/>
        </w:rPr>
        <w:t>Mudrajat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Kuncoro</w:t>
      </w:r>
      <w:proofErr w:type="spellEnd"/>
      <w:r w:rsidRPr="00DC2624">
        <w:rPr>
          <w:rFonts w:ascii="Calibri Light" w:eastAsia="Calibri" w:hAnsi="Calibri Light" w:cs="Calibri Light"/>
        </w:rPr>
        <w:t xml:space="preserve"> dan </w:t>
      </w:r>
      <w:proofErr w:type="spellStart"/>
      <w:r w:rsidRPr="00DC2624">
        <w:rPr>
          <w:rFonts w:ascii="Calibri Light" w:eastAsia="Calibri" w:hAnsi="Calibri Light" w:cs="Calibri Light"/>
        </w:rPr>
        <w:t>Suhardjono</w:t>
      </w:r>
      <w:proofErr w:type="spellEnd"/>
      <w:r w:rsidRPr="00DC2624">
        <w:rPr>
          <w:rFonts w:ascii="Calibri Light" w:eastAsia="Calibri" w:hAnsi="Calibri Light" w:cs="Calibri Light"/>
        </w:rPr>
        <w:t xml:space="preserve">. 2011.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Manajemen</w:t>
      </w:r>
      <w:proofErr w:type="spellEnd"/>
      <w:r w:rsidRPr="00DC2624">
        <w:rPr>
          <w:rFonts w:ascii="Calibri Light" w:eastAsia="Calibri" w:hAnsi="Calibri Light" w:cs="Calibri Light"/>
          <w:i/>
          <w:iCs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Perbankan</w:t>
      </w:r>
      <w:proofErr w:type="spellEnd"/>
      <w:r w:rsidRPr="00DC2624">
        <w:rPr>
          <w:rFonts w:ascii="Calibri Light" w:eastAsia="Calibri" w:hAnsi="Calibri Light" w:cs="Calibri Light"/>
          <w:i/>
          <w:iCs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Teori</w:t>
      </w:r>
      <w:proofErr w:type="spellEnd"/>
      <w:r w:rsidRPr="00DC2624">
        <w:rPr>
          <w:rFonts w:ascii="Calibri Light" w:eastAsia="Calibri" w:hAnsi="Calibri Light" w:cs="Calibri Light"/>
          <w:i/>
          <w:iCs/>
        </w:rPr>
        <w:t xml:space="preserve"> dan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Aplikasi</w:t>
      </w:r>
      <w:proofErr w:type="spellEnd"/>
      <w:r w:rsidRPr="00DC2624">
        <w:rPr>
          <w:rFonts w:ascii="Calibri Light" w:eastAsia="Calibri" w:hAnsi="Calibri Light" w:cs="Calibri Light"/>
          <w:i/>
          <w:iCs/>
        </w:rPr>
        <w:t xml:space="preserve">. </w:t>
      </w:r>
      <w:proofErr w:type="spellStart"/>
      <w:r w:rsidRPr="00DC2624">
        <w:rPr>
          <w:rFonts w:ascii="Calibri Light" w:eastAsia="Calibri" w:hAnsi="Calibri Light" w:cs="Calibri Light"/>
        </w:rPr>
        <w:t>Yogyakrta</w:t>
      </w:r>
      <w:proofErr w:type="spellEnd"/>
      <w:r w:rsidRPr="00DC2624">
        <w:rPr>
          <w:rFonts w:ascii="Calibri Light" w:eastAsia="Calibri" w:hAnsi="Calibri Light" w:cs="Calibri Light"/>
        </w:rPr>
        <w:t>: BPFE.</w:t>
      </w:r>
    </w:p>
    <w:p w14:paraId="47FF4667" w14:textId="77777777" w:rsidR="00DC2624" w:rsidRPr="00DC2624" w:rsidRDefault="00DC2624" w:rsidP="00DC2624">
      <w:p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</w:p>
    <w:p w14:paraId="1469D241" w14:textId="77777777" w:rsidR="00DC2624" w:rsidRPr="00DC2624" w:rsidRDefault="00DC2624" w:rsidP="00DC2624">
      <w:p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proofErr w:type="spellStart"/>
      <w:r w:rsidRPr="00DC2624">
        <w:rPr>
          <w:rFonts w:ascii="Calibri Light" w:eastAsia="Calibri" w:hAnsi="Calibri Light" w:cs="Calibri Light"/>
        </w:rPr>
        <w:t>Sigit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Triandaru</w:t>
      </w:r>
      <w:proofErr w:type="spellEnd"/>
      <w:r w:rsidRPr="00DC2624">
        <w:rPr>
          <w:rFonts w:ascii="Calibri Light" w:eastAsia="Calibri" w:hAnsi="Calibri Light" w:cs="Calibri Light"/>
        </w:rPr>
        <w:t xml:space="preserve"> dan </w:t>
      </w:r>
      <w:proofErr w:type="spellStart"/>
      <w:r w:rsidRPr="00DC2624">
        <w:rPr>
          <w:rFonts w:ascii="Calibri Light" w:eastAsia="Calibri" w:hAnsi="Calibri Light" w:cs="Calibri Light"/>
        </w:rPr>
        <w:t>Totok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Budisantoso</w:t>
      </w:r>
      <w:proofErr w:type="spellEnd"/>
      <w:r w:rsidRPr="00DC2624">
        <w:rPr>
          <w:rFonts w:ascii="Calibri Light" w:eastAsia="Calibri" w:hAnsi="Calibri Light" w:cs="Calibri Light"/>
        </w:rPr>
        <w:t xml:space="preserve">. 2006. </w:t>
      </w:r>
      <w:r w:rsidRPr="00DC2624">
        <w:rPr>
          <w:rFonts w:ascii="Calibri Light" w:eastAsia="Calibri" w:hAnsi="Calibri Light" w:cs="Calibri Light"/>
          <w:i/>
          <w:iCs/>
        </w:rPr>
        <w:t xml:space="preserve">Bank dan Lembaga </w:t>
      </w:r>
      <w:proofErr w:type="spellStart"/>
      <w:r w:rsidRPr="00DC2624">
        <w:rPr>
          <w:rFonts w:ascii="Calibri Light" w:eastAsia="Calibri" w:hAnsi="Calibri Light" w:cs="Calibri Light"/>
          <w:i/>
          <w:iCs/>
        </w:rPr>
        <w:t>Keuangan</w:t>
      </w:r>
      <w:proofErr w:type="spellEnd"/>
      <w:r w:rsidRPr="00DC2624">
        <w:rPr>
          <w:rFonts w:ascii="Calibri Light" w:eastAsia="Calibri" w:hAnsi="Calibri Light" w:cs="Calibri Light"/>
          <w:i/>
          <w:iCs/>
        </w:rPr>
        <w:t xml:space="preserve"> Lain</w:t>
      </w:r>
      <w:r w:rsidRPr="00DC2624">
        <w:rPr>
          <w:rFonts w:ascii="Calibri Light" w:eastAsia="Calibri" w:hAnsi="Calibri Light" w:cs="Calibri Light"/>
        </w:rPr>
        <w:t xml:space="preserve">. </w:t>
      </w:r>
      <w:proofErr w:type="spellStart"/>
      <w:r w:rsidRPr="00DC2624">
        <w:rPr>
          <w:rFonts w:ascii="Calibri Light" w:eastAsia="Calibri" w:hAnsi="Calibri Light" w:cs="Calibri Light"/>
        </w:rPr>
        <w:t>Edisi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Kedua</w:t>
      </w:r>
      <w:proofErr w:type="spellEnd"/>
      <w:r w:rsidRPr="00DC2624">
        <w:rPr>
          <w:rFonts w:ascii="Calibri Light" w:eastAsia="Calibri" w:hAnsi="Calibri Light" w:cs="Calibri Light"/>
        </w:rPr>
        <w:t xml:space="preserve">. Jakarta: </w:t>
      </w:r>
      <w:proofErr w:type="spellStart"/>
      <w:r w:rsidRPr="00DC2624">
        <w:rPr>
          <w:rFonts w:ascii="Calibri Light" w:eastAsia="Calibri" w:hAnsi="Calibri Light" w:cs="Calibri Light"/>
        </w:rPr>
        <w:t>Salemba</w:t>
      </w:r>
      <w:proofErr w:type="spellEnd"/>
      <w:r w:rsidRPr="00DC2624">
        <w:rPr>
          <w:rFonts w:ascii="Calibri Light" w:eastAsia="Calibri" w:hAnsi="Calibri Light" w:cs="Calibri Light"/>
        </w:rPr>
        <w:t xml:space="preserve"> </w:t>
      </w:r>
      <w:proofErr w:type="spellStart"/>
      <w:r w:rsidRPr="00DC2624">
        <w:rPr>
          <w:rFonts w:ascii="Calibri Light" w:eastAsia="Calibri" w:hAnsi="Calibri Light" w:cs="Calibri Light"/>
        </w:rPr>
        <w:t>Empat</w:t>
      </w:r>
      <w:proofErr w:type="spellEnd"/>
      <w:r w:rsidRPr="00DC2624">
        <w:rPr>
          <w:rFonts w:ascii="Calibri Light" w:eastAsia="Calibri" w:hAnsi="Calibri Light" w:cs="Calibri Light"/>
        </w:rPr>
        <w:t xml:space="preserve">. </w:t>
      </w:r>
    </w:p>
    <w:p w14:paraId="4D7BEA99" w14:textId="77777777" w:rsidR="000D7D11" w:rsidRPr="00643F8D" w:rsidRDefault="000D7D11" w:rsidP="00DC2624">
      <w:pPr>
        <w:pStyle w:val="Default"/>
        <w:ind w:left="567" w:hanging="567"/>
        <w:jc w:val="both"/>
        <w:rPr>
          <w:rFonts w:ascii="Calibri Light" w:eastAsia="Times New Roman" w:hAnsi="Calibri Light" w:cs="Calibri Light"/>
          <w:lang w:val="id-ID"/>
        </w:rPr>
      </w:pPr>
    </w:p>
    <w:sectPr w:rsidR="000D7D11" w:rsidRPr="00643F8D" w:rsidSect="00C505DB">
      <w:footerReference w:type="default" r:id="rId15"/>
      <w:headerReference w:type="first" r:id="rId16"/>
      <w:footerReference w:type="first" r:id="rId17"/>
      <w:type w:val="continuous"/>
      <w:pgSz w:w="11906" w:h="16838"/>
      <w:pgMar w:top="2275" w:right="1699" w:bottom="1699" w:left="2275" w:header="706" w:footer="706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27FB" w14:textId="77777777" w:rsidR="00B517BB" w:rsidRDefault="00B517BB" w:rsidP="00F75134">
      <w:pPr>
        <w:spacing w:after="0" w:line="240" w:lineRule="auto"/>
      </w:pPr>
      <w:r>
        <w:separator/>
      </w:r>
    </w:p>
  </w:endnote>
  <w:endnote w:type="continuationSeparator" w:id="0">
    <w:p w14:paraId="62E78BD9" w14:textId="77777777" w:rsidR="00B517BB" w:rsidRDefault="00B517BB" w:rsidP="00F7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069922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  <w:sz w:val="24"/>
        <w:szCs w:val="24"/>
      </w:rPr>
    </w:sdtEndPr>
    <w:sdtContent>
      <w:p w14:paraId="5936D56B" w14:textId="77777777" w:rsidR="003468C9" w:rsidRPr="0017744A" w:rsidRDefault="003468C9">
        <w:pPr>
          <w:pStyle w:val="Footer"/>
          <w:jc w:val="center"/>
          <w:rPr>
            <w:rFonts w:ascii="Calibri Light" w:hAnsi="Calibri Light" w:cs="Calibri Light"/>
            <w:sz w:val="24"/>
            <w:szCs w:val="24"/>
          </w:rPr>
        </w:pPr>
        <w:r w:rsidRPr="0017744A">
          <w:rPr>
            <w:rFonts w:ascii="Calibri Light" w:hAnsi="Calibri Light" w:cs="Calibri Light"/>
            <w:sz w:val="24"/>
            <w:szCs w:val="24"/>
          </w:rPr>
          <w:fldChar w:fldCharType="begin"/>
        </w:r>
        <w:r w:rsidRPr="0017744A">
          <w:rPr>
            <w:rFonts w:ascii="Calibri Light" w:hAnsi="Calibri Light" w:cs="Calibri Light"/>
            <w:sz w:val="24"/>
            <w:szCs w:val="24"/>
          </w:rPr>
          <w:instrText xml:space="preserve"> PAGE   \* MERGEFORMAT </w:instrText>
        </w:r>
        <w:r w:rsidRPr="0017744A">
          <w:rPr>
            <w:rFonts w:ascii="Calibri Light" w:hAnsi="Calibri Light" w:cs="Calibri Light"/>
            <w:sz w:val="24"/>
            <w:szCs w:val="24"/>
          </w:rPr>
          <w:fldChar w:fldCharType="separate"/>
        </w:r>
        <w:r w:rsidRPr="0017744A">
          <w:rPr>
            <w:rFonts w:ascii="Calibri Light" w:hAnsi="Calibri Light" w:cs="Calibri Light"/>
            <w:noProof/>
            <w:sz w:val="24"/>
            <w:szCs w:val="24"/>
          </w:rPr>
          <w:t>14</w:t>
        </w:r>
        <w:r w:rsidRPr="0017744A">
          <w:rPr>
            <w:rFonts w:ascii="Calibri Light" w:hAnsi="Calibri Light" w:cs="Calibri Light"/>
            <w:noProof/>
            <w:sz w:val="24"/>
            <w:szCs w:val="24"/>
          </w:rPr>
          <w:fldChar w:fldCharType="end"/>
        </w:r>
      </w:p>
    </w:sdtContent>
  </w:sdt>
  <w:p w14:paraId="27A63F24" w14:textId="77777777" w:rsidR="003468C9" w:rsidRDefault="0034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476098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  <w:sz w:val="24"/>
        <w:szCs w:val="24"/>
      </w:rPr>
    </w:sdtEndPr>
    <w:sdtContent>
      <w:p w14:paraId="035FD972" w14:textId="77777777" w:rsidR="003468C9" w:rsidRPr="00643F8D" w:rsidRDefault="003468C9">
        <w:pPr>
          <w:pStyle w:val="Footer"/>
          <w:jc w:val="center"/>
          <w:rPr>
            <w:rFonts w:ascii="Calibri Light" w:hAnsi="Calibri Light" w:cs="Calibri Light"/>
            <w:sz w:val="24"/>
            <w:szCs w:val="24"/>
          </w:rPr>
        </w:pPr>
        <w:r w:rsidRPr="00643F8D">
          <w:rPr>
            <w:rFonts w:ascii="Calibri Light" w:hAnsi="Calibri Light" w:cs="Calibri Light"/>
            <w:sz w:val="24"/>
            <w:szCs w:val="24"/>
          </w:rPr>
          <w:fldChar w:fldCharType="begin"/>
        </w:r>
        <w:r w:rsidRPr="00643F8D">
          <w:rPr>
            <w:rFonts w:ascii="Calibri Light" w:hAnsi="Calibri Light" w:cs="Calibri Light"/>
            <w:sz w:val="24"/>
            <w:szCs w:val="24"/>
          </w:rPr>
          <w:instrText xml:space="preserve"> PAGE   \* MERGEFORMAT </w:instrText>
        </w:r>
        <w:r w:rsidRPr="00643F8D">
          <w:rPr>
            <w:rFonts w:ascii="Calibri Light" w:hAnsi="Calibri Light" w:cs="Calibri Light"/>
            <w:sz w:val="24"/>
            <w:szCs w:val="24"/>
          </w:rPr>
          <w:fldChar w:fldCharType="separate"/>
        </w:r>
        <w:r w:rsidRPr="00643F8D">
          <w:rPr>
            <w:rFonts w:ascii="Calibri Light" w:hAnsi="Calibri Light" w:cs="Calibri Light"/>
            <w:noProof/>
            <w:sz w:val="24"/>
            <w:szCs w:val="24"/>
          </w:rPr>
          <w:t>15</w:t>
        </w:r>
        <w:r w:rsidRPr="00643F8D">
          <w:rPr>
            <w:rFonts w:ascii="Calibri Light" w:hAnsi="Calibri Light" w:cs="Calibri Light"/>
            <w:noProof/>
            <w:sz w:val="24"/>
            <w:szCs w:val="24"/>
          </w:rPr>
          <w:fldChar w:fldCharType="end"/>
        </w:r>
      </w:p>
    </w:sdtContent>
  </w:sdt>
  <w:p w14:paraId="0F25A1CA" w14:textId="77777777" w:rsidR="003468C9" w:rsidRDefault="00346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359858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  <w:sz w:val="24"/>
        <w:szCs w:val="24"/>
      </w:rPr>
    </w:sdtEndPr>
    <w:sdtContent>
      <w:p w14:paraId="6E73BB8A" w14:textId="77777777" w:rsidR="003468C9" w:rsidRPr="0017744A" w:rsidRDefault="003468C9">
        <w:pPr>
          <w:pStyle w:val="Footer"/>
          <w:jc w:val="center"/>
          <w:rPr>
            <w:rFonts w:ascii="Calibri Light" w:hAnsi="Calibri Light" w:cs="Calibri Light"/>
            <w:sz w:val="24"/>
            <w:szCs w:val="24"/>
          </w:rPr>
        </w:pPr>
        <w:r w:rsidRPr="0017744A">
          <w:rPr>
            <w:rFonts w:ascii="Calibri Light" w:hAnsi="Calibri Light" w:cs="Calibri Light"/>
            <w:sz w:val="24"/>
            <w:szCs w:val="24"/>
          </w:rPr>
          <w:fldChar w:fldCharType="begin"/>
        </w:r>
        <w:r w:rsidRPr="0017744A">
          <w:rPr>
            <w:rFonts w:ascii="Calibri Light" w:hAnsi="Calibri Light" w:cs="Calibri Light"/>
            <w:sz w:val="24"/>
            <w:szCs w:val="24"/>
          </w:rPr>
          <w:instrText xml:space="preserve"> PAGE   \* MERGEFORMAT </w:instrText>
        </w:r>
        <w:r w:rsidRPr="0017744A">
          <w:rPr>
            <w:rFonts w:ascii="Calibri Light" w:hAnsi="Calibri Light" w:cs="Calibri Light"/>
            <w:sz w:val="24"/>
            <w:szCs w:val="24"/>
          </w:rPr>
          <w:fldChar w:fldCharType="separate"/>
        </w:r>
        <w:r w:rsidRPr="0017744A">
          <w:rPr>
            <w:rFonts w:ascii="Calibri Light" w:hAnsi="Calibri Light" w:cs="Calibri Light"/>
            <w:noProof/>
            <w:sz w:val="24"/>
            <w:szCs w:val="24"/>
          </w:rPr>
          <w:t>1</w:t>
        </w:r>
        <w:r w:rsidRPr="0017744A">
          <w:rPr>
            <w:rFonts w:ascii="Calibri Light" w:hAnsi="Calibri Light" w:cs="Calibri Light"/>
            <w:noProof/>
            <w:sz w:val="24"/>
            <w:szCs w:val="24"/>
          </w:rPr>
          <w:fldChar w:fldCharType="end"/>
        </w:r>
      </w:p>
    </w:sdtContent>
  </w:sdt>
  <w:p w14:paraId="68EE9D2F" w14:textId="77777777" w:rsidR="003468C9" w:rsidRDefault="003468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59425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14:paraId="71876A50" w14:textId="5AE5AA1B" w:rsidR="00C505DB" w:rsidRPr="00C505DB" w:rsidRDefault="00C505DB">
        <w:pPr>
          <w:pStyle w:val="Footer"/>
          <w:jc w:val="center"/>
          <w:rPr>
            <w:rFonts w:ascii="Calibri Light" w:hAnsi="Calibri Light" w:cs="Calibri Light"/>
          </w:rPr>
        </w:pPr>
        <w:r w:rsidRPr="00C505DB">
          <w:rPr>
            <w:rFonts w:ascii="Calibri Light" w:hAnsi="Calibri Light" w:cs="Calibri Light"/>
          </w:rPr>
          <w:fldChar w:fldCharType="begin"/>
        </w:r>
        <w:r w:rsidRPr="00C505DB">
          <w:rPr>
            <w:rFonts w:ascii="Calibri Light" w:hAnsi="Calibri Light" w:cs="Calibri Light"/>
          </w:rPr>
          <w:instrText xml:space="preserve"> PAGE   \* MERGEFORMAT </w:instrText>
        </w:r>
        <w:r w:rsidRPr="00C505DB">
          <w:rPr>
            <w:rFonts w:ascii="Calibri Light" w:hAnsi="Calibri Light" w:cs="Calibri Light"/>
          </w:rPr>
          <w:fldChar w:fldCharType="separate"/>
        </w:r>
        <w:r w:rsidRPr="00C505DB">
          <w:rPr>
            <w:rFonts w:ascii="Calibri Light" w:hAnsi="Calibri Light" w:cs="Calibri Light"/>
            <w:noProof/>
          </w:rPr>
          <w:t>2</w:t>
        </w:r>
        <w:r w:rsidRPr="00C505DB">
          <w:rPr>
            <w:rFonts w:ascii="Calibri Light" w:hAnsi="Calibri Light" w:cs="Calibri Light"/>
            <w:noProof/>
          </w:rPr>
          <w:fldChar w:fldCharType="end"/>
        </w:r>
      </w:p>
    </w:sdtContent>
  </w:sdt>
  <w:p w14:paraId="62BB2187" w14:textId="77777777" w:rsidR="003468C9" w:rsidRDefault="003468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691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2B55A35" w14:textId="77777777" w:rsidR="003468C9" w:rsidRPr="00067551" w:rsidRDefault="003468C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75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75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75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59</w:t>
        </w:r>
        <w:r w:rsidRPr="0006755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2527E10" w14:textId="77777777" w:rsidR="003468C9" w:rsidRDefault="003468C9">
    <w:pPr>
      <w:pStyle w:val="Footer"/>
    </w:pPr>
  </w:p>
  <w:p w14:paraId="3F36E5D7" w14:textId="77777777" w:rsidR="003468C9" w:rsidRDefault="003468C9"/>
  <w:p w14:paraId="6F32ECF9" w14:textId="77777777" w:rsidR="003468C9" w:rsidRDefault="003468C9"/>
  <w:p w14:paraId="16EB049F" w14:textId="77777777" w:rsidR="003468C9" w:rsidRDefault="003468C9"/>
  <w:p w14:paraId="7B0E3023" w14:textId="77777777" w:rsidR="003468C9" w:rsidRDefault="00346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87AE6" w14:textId="77777777" w:rsidR="00B517BB" w:rsidRDefault="00B517BB" w:rsidP="00F75134">
      <w:pPr>
        <w:spacing w:after="0" w:line="240" w:lineRule="auto"/>
      </w:pPr>
      <w:r>
        <w:separator/>
      </w:r>
    </w:p>
  </w:footnote>
  <w:footnote w:type="continuationSeparator" w:id="0">
    <w:p w14:paraId="4D26DD99" w14:textId="77777777" w:rsidR="00B517BB" w:rsidRDefault="00B517BB" w:rsidP="00F7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2720"/>
      <w:docPartObj>
        <w:docPartGallery w:val="Page Numbers (Top of Page)"/>
        <w:docPartUnique/>
      </w:docPartObj>
    </w:sdtPr>
    <w:sdtEndPr/>
    <w:sdtContent>
      <w:p w14:paraId="73045356" w14:textId="78AC047B" w:rsidR="003468C9" w:rsidRDefault="003468C9" w:rsidP="00174995"/>
      <w:p w14:paraId="07FDF7CB" w14:textId="4B60B5DF" w:rsidR="003468C9" w:rsidRDefault="003468C9" w:rsidP="008D2570">
        <w:pPr>
          <w:pStyle w:val="Header"/>
          <w:jc w:val="center"/>
        </w:pPr>
      </w:p>
      <w:p w14:paraId="3517C970" w14:textId="77777777" w:rsidR="003468C9" w:rsidRDefault="00B517BB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D95F" w14:textId="77777777" w:rsidR="003468C9" w:rsidRDefault="003468C9">
    <w:pPr>
      <w:pStyle w:val="Header"/>
      <w:jc w:val="right"/>
    </w:pPr>
  </w:p>
  <w:p w14:paraId="0080D374" w14:textId="77777777" w:rsidR="003468C9" w:rsidRDefault="0034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3EC5" w14:textId="77777777" w:rsidR="003468C9" w:rsidRDefault="003468C9">
    <w:pPr>
      <w:pStyle w:val="Header"/>
    </w:pPr>
  </w:p>
  <w:p w14:paraId="76EAD228" w14:textId="77777777" w:rsidR="003468C9" w:rsidRDefault="003468C9"/>
  <w:p w14:paraId="3F00343E" w14:textId="77777777" w:rsidR="003468C9" w:rsidRDefault="003468C9"/>
  <w:p w14:paraId="42F87EE8" w14:textId="77777777" w:rsidR="003468C9" w:rsidRDefault="003468C9"/>
  <w:p w14:paraId="6E7C70BC" w14:textId="77777777" w:rsidR="003468C9" w:rsidRDefault="003468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C42"/>
    <w:multiLevelType w:val="hybridMultilevel"/>
    <w:tmpl w:val="76DA29AE"/>
    <w:lvl w:ilvl="0" w:tplc="60D41C30">
      <w:start w:val="1"/>
      <w:numFmt w:val="decimal"/>
      <w:lvlText w:val="%1."/>
      <w:lvlJc w:val="left"/>
      <w:pPr>
        <w:ind w:left="1854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4376BA7"/>
    <w:multiLevelType w:val="hybridMultilevel"/>
    <w:tmpl w:val="151C2730"/>
    <w:lvl w:ilvl="0" w:tplc="E7AAE68E">
      <w:start w:val="1"/>
      <w:numFmt w:val="decimal"/>
      <w:lvlText w:val="%1."/>
      <w:lvlJc w:val="left"/>
      <w:pPr>
        <w:ind w:left="1507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25653C57"/>
    <w:multiLevelType w:val="hybridMultilevel"/>
    <w:tmpl w:val="ACCA6726"/>
    <w:lvl w:ilvl="0" w:tplc="A73E9078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  <w:b w:val="0"/>
        <w:b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1" w:tplc="8BBAE402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bCs/>
        <w:caps w:val="0"/>
        <w:strike w:val="0"/>
        <w:dstrike w:val="0"/>
        <w:color w:val="000000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3" w15:restartNumberingAfterBreak="0">
    <w:nsid w:val="26CF0210"/>
    <w:multiLevelType w:val="hybridMultilevel"/>
    <w:tmpl w:val="65B670D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DF07F2E"/>
    <w:multiLevelType w:val="hybridMultilevel"/>
    <w:tmpl w:val="0DD4E7F2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46240CAF"/>
    <w:multiLevelType w:val="hybridMultilevel"/>
    <w:tmpl w:val="848A3974"/>
    <w:lvl w:ilvl="0" w:tplc="64928BEC">
      <w:start w:val="1"/>
      <w:numFmt w:val="lowerLetter"/>
      <w:lvlText w:val="%1."/>
      <w:lvlJc w:val="left"/>
      <w:pPr>
        <w:ind w:left="1854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7D86D06"/>
    <w:multiLevelType w:val="hybridMultilevel"/>
    <w:tmpl w:val="0334360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1856A45"/>
    <w:multiLevelType w:val="hybridMultilevel"/>
    <w:tmpl w:val="3654C0CC"/>
    <w:lvl w:ilvl="0" w:tplc="0BBEDA3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985F1A"/>
    <w:multiLevelType w:val="hybridMultilevel"/>
    <w:tmpl w:val="1D56B1AC"/>
    <w:lvl w:ilvl="0" w:tplc="BFB87CB0">
      <w:start w:val="1"/>
      <w:numFmt w:val="lowerLetter"/>
      <w:lvlText w:val="%1."/>
      <w:lvlJc w:val="left"/>
      <w:pPr>
        <w:tabs>
          <w:tab w:val="num" w:pos="1272"/>
        </w:tabs>
        <w:ind w:left="1272" w:hanging="360"/>
      </w:pPr>
      <w:rPr>
        <w:rFonts w:cs="Times New Roman" w:hint="default"/>
        <w:b/>
        <w:bCs/>
        <w:caps w:val="0"/>
        <w:strike w:val="0"/>
        <w:dstrike w:val="0"/>
        <w:color w:val="000000"/>
        <w:sz w:val="24"/>
        <w:szCs w:val="24"/>
        <w:vertAlign w:val="baseline"/>
      </w:rPr>
    </w:lvl>
    <w:lvl w:ilvl="1" w:tplc="8BBAE402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bCs/>
        <w:caps w:val="0"/>
        <w:strike w:val="0"/>
        <w:dstrike w:val="0"/>
        <w:color w:val="000000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9" w15:restartNumberingAfterBreak="0">
    <w:nsid w:val="62C67E99"/>
    <w:multiLevelType w:val="hybridMultilevel"/>
    <w:tmpl w:val="E0EAFE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C37045"/>
    <w:multiLevelType w:val="hybridMultilevel"/>
    <w:tmpl w:val="20F4AF2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C2C1F94"/>
    <w:multiLevelType w:val="hybridMultilevel"/>
    <w:tmpl w:val="37344592"/>
    <w:lvl w:ilvl="0" w:tplc="5EA68FDA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25"/>
    <w:rsid w:val="00001DFC"/>
    <w:rsid w:val="00003831"/>
    <w:rsid w:val="00005FA0"/>
    <w:rsid w:val="000077C8"/>
    <w:rsid w:val="00007C8A"/>
    <w:rsid w:val="00010AEF"/>
    <w:rsid w:val="00010D6B"/>
    <w:rsid w:val="00014490"/>
    <w:rsid w:val="000153A0"/>
    <w:rsid w:val="00020066"/>
    <w:rsid w:val="0002232F"/>
    <w:rsid w:val="000231F4"/>
    <w:rsid w:val="00024F42"/>
    <w:rsid w:val="00037AE9"/>
    <w:rsid w:val="00040E85"/>
    <w:rsid w:val="00041D6B"/>
    <w:rsid w:val="00050D97"/>
    <w:rsid w:val="00060D39"/>
    <w:rsid w:val="00061DE8"/>
    <w:rsid w:val="00062C14"/>
    <w:rsid w:val="000630B0"/>
    <w:rsid w:val="00065AF5"/>
    <w:rsid w:val="00067360"/>
    <w:rsid w:val="00070123"/>
    <w:rsid w:val="00070C1B"/>
    <w:rsid w:val="000753A0"/>
    <w:rsid w:val="00075C95"/>
    <w:rsid w:val="00076738"/>
    <w:rsid w:val="00076774"/>
    <w:rsid w:val="000768A1"/>
    <w:rsid w:val="00081959"/>
    <w:rsid w:val="00082CE4"/>
    <w:rsid w:val="00087A00"/>
    <w:rsid w:val="00090482"/>
    <w:rsid w:val="00091612"/>
    <w:rsid w:val="0009252D"/>
    <w:rsid w:val="00092F59"/>
    <w:rsid w:val="000942EA"/>
    <w:rsid w:val="0009490C"/>
    <w:rsid w:val="00096565"/>
    <w:rsid w:val="000A06C2"/>
    <w:rsid w:val="000A2645"/>
    <w:rsid w:val="000A5CC4"/>
    <w:rsid w:val="000B0E1A"/>
    <w:rsid w:val="000B19B2"/>
    <w:rsid w:val="000B1D94"/>
    <w:rsid w:val="000B4D8B"/>
    <w:rsid w:val="000B5688"/>
    <w:rsid w:val="000C2393"/>
    <w:rsid w:val="000C3ED4"/>
    <w:rsid w:val="000C523C"/>
    <w:rsid w:val="000C543F"/>
    <w:rsid w:val="000C580A"/>
    <w:rsid w:val="000D16B9"/>
    <w:rsid w:val="000D1E84"/>
    <w:rsid w:val="000D5749"/>
    <w:rsid w:val="000D5878"/>
    <w:rsid w:val="000D76E3"/>
    <w:rsid w:val="000D7D11"/>
    <w:rsid w:val="000E49F1"/>
    <w:rsid w:val="000E5189"/>
    <w:rsid w:val="000F0930"/>
    <w:rsid w:val="000F218D"/>
    <w:rsid w:val="000F3766"/>
    <w:rsid w:val="000F52D9"/>
    <w:rsid w:val="000F5EF4"/>
    <w:rsid w:val="000F7DCA"/>
    <w:rsid w:val="000F7EF2"/>
    <w:rsid w:val="000F7F60"/>
    <w:rsid w:val="00104723"/>
    <w:rsid w:val="0011069D"/>
    <w:rsid w:val="001125BB"/>
    <w:rsid w:val="00113B9E"/>
    <w:rsid w:val="001161F8"/>
    <w:rsid w:val="001167D5"/>
    <w:rsid w:val="00120684"/>
    <w:rsid w:val="00120BC5"/>
    <w:rsid w:val="0012426B"/>
    <w:rsid w:val="001269CB"/>
    <w:rsid w:val="001273C4"/>
    <w:rsid w:val="001333BC"/>
    <w:rsid w:val="00136B5D"/>
    <w:rsid w:val="00136D4A"/>
    <w:rsid w:val="001421F3"/>
    <w:rsid w:val="00144AB5"/>
    <w:rsid w:val="0014756C"/>
    <w:rsid w:val="00150854"/>
    <w:rsid w:val="00153F6D"/>
    <w:rsid w:val="00154EF7"/>
    <w:rsid w:val="001552F2"/>
    <w:rsid w:val="001571E6"/>
    <w:rsid w:val="001607EF"/>
    <w:rsid w:val="00161167"/>
    <w:rsid w:val="0016152A"/>
    <w:rsid w:val="0016190C"/>
    <w:rsid w:val="00162B0C"/>
    <w:rsid w:val="00174995"/>
    <w:rsid w:val="00176204"/>
    <w:rsid w:val="0017744A"/>
    <w:rsid w:val="00177CB0"/>
    <w:rsid w:val="0018144D"/>
    <w:rsid w:val="001909D3"/>
    <w:rsid w:val="0019409E"/>
    <w:rsid w:val="00194BD6"/>
    <w:rsid w:val="00196493"/>
    <w:rsid w:val="001966BB"/>
    <w:rsid w:val="00196721"/>
    <w:rsid w:val="00196838"/>
    <w:rsid w:val="001A10AA"/>
    <w:rsid w:val="001A413B"/>
    <w:rsid w:val="001A4679"/>
    <w:rsid w:val="001B06D4"/>
    <w:rsid w:val="001C42D7"/>
    <w:rsid w:val="001D0787"/>
    <w:rsid w:val="001D7BA9"/>
    <w:rsid w:val="001E1F36"/>
    <w:rsid w:val="001E2EAF"/>
    <w:rsid w:val="001E66C1"/>
    <w:rsid w:val="001E7923"/>
    <w:rsid w:val="001F2C2E"/>
    <w:rsid w:val="001F48B3"/>
    <w:rsid w:val="001F7549"/>
    <w:rsid w:val="0020052F"/>
    <w:rsid w:val="00203046"/>
    <w:rsid w:val="00205CFE"/>
    <w:rsid w:val="00206B6D"/>
    <w:rsid w:val="00210EDE"/>
    <w:rsid w:val="00212D12"/>
    <w:rsid w:val="00213C08"/>
    <w:rsid w:val="002162B1"/>
    <w:rsid w:val="002175E3"/>
    <w:rsid w:val="00220C52"/>
    <w:rsid w:val="0022119C"/>
    <w:rsid w:val="00221DB2"/>
    <w:rsid w:val="00223BF2"/>
    <w:rsid w:val="00231AF2"/>
    <w:rsid w:val="00234073"/>
    <w:rsid w:val="002355CD"/>
    <w:rsid w:val="00243976"/>
    <w:rsid w:val="00246CC9"/>
    <w:rsid w:val="002474CC"/>
    <w:rsid w:val="00250C9D"/>
    <w:rsid w:val="00254D23"/>
    <w:rsid w:val="0025602B"/>
    <w:rsid w:val="0025708A"/>
    <w:rsid w:val="002618D5"/>
    <w:rsid w:val="0026231D"/>
    <w:rsid w:val="00262534"/>
    <w:rsid w:val="00263032"/>
    <w:rsid w:val="00274747"/>
    <w:rsid w:val="00274884"/>
    <w:rsid w:val="00276650"/>
    <w:rsid w:val="00281C2C"/>
    <w:rsid w:val="00283D5D"/>
    <w:rsid w:val="00287379"/>
    <w:rsid w:val="00291267"/>
    <w:rsid w:val="002938DA"/>
    <w:rsid w:val="002A5A62"/>
    <w:rsid w:val="002A6D1C"/>
    <w:rsid w:val="002A6EFB"/>
    <w:rsid w:val="002B049E"/>
    <w:rsid w:val="002B2581"/>
    <w:rsid w:val="002B5F7C"/>
    <w:rsid w:val="002C175C"/>
    <w:rsid w:val="002C1D38"/>
    <w:rsid w:val="002C2859"/>
    <w:rsid w:val="002C29A6"/>
    <w:rsid w:val="002C449E"/>
    <w:rsid w:val="002C6145"/>
    <w:rsid w:val="002C626D"/>
    <w:rsid w:val="002D2F05"/>
    <w:rsid w:val="002D761B"/>
    <w:rsid w:val="002E026A"/>
    <w:rsid w:val="002E1B73"/>
    <w:rsid w:val="002E4FE6"/>
    <w:rsid w:val="002F42D0"/>
    <w:rsid w:val="002F65A1"/>
    <w:rsid w:val="002F75C1"/>
    <w:rsid w:val="003033BF"/>
    <w:rsid w:val="00304B0A"/>
    <w:rsid w:val="00305241"/>
    <w:rsid w:val="003055A5"/>
    <w:rsid w:val="003057C7"/>
    <w:rsid w:val="003175AF"/>
    <w:rsid w:val="00320530"/>
    <w:rsid w:val="00321171"/>
    <w:rsid w:val="003255D9"/>
    <w:rsid w:val="00325F89"/>
    <w:rsid w:val="00330926"/>
    <w:rsid w:val="00331DDB"/>
    <w:rsid w:val="003356EF"/>
    <w:rsid w:val="00335AAF"/>
    <w:rsid w:val="00336982"/>
    <w:rsid w:val="003416BB"/>
    <w:rsid w:val="0034376C"/>
    <w:rsid w:val="003468C9"/>
    <w:rsid w:val="003476DB"/>
    <w:rsid w:val="00350C21"/>
    <w:rsid w:val="00354415"/>
    <w:rsid w:val="00357540"/>
    <w:rsid w:val="003618E0"/>
    <w:rsid w:val="003703C6"/>
    <w:rsid w:val="00371C85"/>
    <w:rsid w:val="0037333C"/>
    <w:rsid w:val="0037403D"/>
    <w:rsid w:val="003742E9"/>
    <w:rsid w:val="003769B8"/>
    <w:rsid w:val="00382363"/>
    <w:rsid w:val="00384DD5"/>
    <w:rsid w:val="00385E28"/>
    <w:rsid w:val="0038762A"/>
    <w:rsid w:val="00390D42"/>
    <w:rsid w:val="00396D85"/>
    <w:rsid w:val="003A19D4"/>
    <w:rsid w:val="003A1B59"/>
    <w:rsid w:val="003A2ADD"/>
    <w:rsid w:val="003A2B6E"/>
    <w:rsid w:val="003A2F95"/>
    <w:rsid w:val="003A366A"/>
    <w:rsid w:val="003A40BC"/>
    <w:rsid w:val="003A63D4"/>
    <w:rsid w:val="003B0A47"/>
    <w:rsid w:val="003B1E62"/>
    <w:rsid w:val="003B38F7"/>
    <w:rsid w:val="003B43B6"/>
    <w:rsid w:val="003B6AF4"/>
    <w:rsid w:val="003B7390"/>
    <w:rsid w:val="003C0C48"/>
    <w:rsid w:val="003C6ACD"/>
    <w:rsid w:val="003D1334"/>
    <w:rsid w:val="003D1815"/>
    <w:rsid w:val="003D3A10"/>
    <w:rsid w:val="003E0110"/>
    <w:rsid w:val="003E0874"/>
    <w:rsid w:val="003E14D8"/>
    <w:rsid w:val="003E3EAC"/>
    <w:rsid w:val="003E53B0"/>
    <w:rsid w:val="003F17CC"/>
    <w:rsid w:val="003F225D"/>
    <w:rsid w:val="003F4CE8"/>
    <w:rsid w:val="003F558F"/>
    <w:rsid w:val="003F723D"/>
    <w:rsid w:val="003F795F"/>
    <w:rsid w:val="00401D9B"/>
    <w:rsid w:val="00402BF2"/>
    <w:rsid w:val="004041C7"/>
    <w:rsid w:val="00415DAC"/>
    <w:rsid w:val="00416997"/>
    <w:rsid w:val="00416A00"/>
    <w:rsid w:val="00416BB5"/>
    <w:rsid w:val="00420FC8"/>
    <w:rsid w:val="004263FB"/>
    <w:rsid w:val="00426E22"/>
    <w:rsid w:val="00426EA9"/>
    <w:rsid w:val="00431FB9"/>
    <w:rsid w:val="0043419F"/>
    <w:rsid w:val="00435D7C"/>
    <w:rsid w:val="00442DE1"/>
    <w:rsid w:val="00446448"/>
    <w:rsid w:val="00447236"/>
    <w:rsid w:val="00450AF5"/>
    <w:rsid w:val="00450CA8"/>
    <w:rsid w:val="00452699"/>
    <w:rsid w:val="0045272D"/>
    <w:rsid w:val="00454D7B"/>
    <w:rsid w:val="004623F9"/>
    <w:rsid w:val="0046502B"/>
    <w:rsid w:val="00467C64"/>
    <w:rsid w:val="00471E32"/>
    <w:rsid w:val="00472E5A"/>
    <w:rsid w:val="00473F7D"/>
    <w:rsid w:val="0047559C"/>
    <w:rsid w:val="00476D10"/>
    <w:rsid w:val="0047790C"/>
    <w:rsid w:val="00482767"/>
    <w:rsid w:val="00482A9D"/>
    <w:rsid w:val="004844D0"/>
    <w:rsid w:val="0048478A"/>
    <w:rsid w:val="00485045"/>
    <w:rsid w:val="00486F4F"/>
    <w:rsid w:val="00490A62"/>
    <w:rsid w:val="00490F8C"/>
    <w:rsid w:val="00492262"/>
    <w:rsid w:val="00492B47"/>
    <w:rsid w:val="00495EB9"/>
    <w:rsid w:val="004A0F14"/>
    <w:rsid w:val="004A0F73"/>
    <w:rsid w:val="004A3D6B"/>
    <w:rsid w:val="004A5F96"/>
    <w:rsid w:val="004B0315"/>
    <w:rsid w:val="004B2459"/>
    <w:rsid w:val="004B25A4"/>
    <w:rsid w:val="004B5450"/>
    <w:rsid w:val="004B5973"/>
    <w:rsid w:val="004B5AF3"/>
    <w:rsid w:val="004B6402"/>
    <w:rsid w:val="004B6D63"/>
    <w:rsid w:val="004C0812"/>
    <w:rsid w:val="004C508B"/>
    <w:rsid w:val="004C61DB"/>
    <w:rsid w:val="004D625F"/>
    <w:rsid w:val="004D7642"/>
    <w:rsid w:val="004E07E2"/>
    <w:rsid w:val="004E0962"/>
    <w:rsid w:val="004E1458"/>
    <w:rsid w:val="004E1659"/>
    <w:rsid w:val="004E1885"/>
    <w:rsid w:val="004E4D69"/>
    <w:rsid w:val="004F493C"/>
    <w:rsid w:val="004F716E"/>
    <w:rsid w:val="00505B2E"/>
    <w:rsid w:val="00505FD1"/>
    <w:rsid w:val="00506968"/>
    <w:rsid w:val="00507245"/>
    <w:rsid w:val="00510BAC"/>
    <w:rsid w:val="005110F0"/>
    <w:rsid w:val="0051186A"/>
    <w:rsid w:val="00512AA0"/>
    <w:rsid w:val="005139C6"/>
    <w:rsid w:val="005148CF"/>
    <w:rsid w:val="00520AAB"/>
    <w:rsid w:val="00521BCB"/>
    <w:rsid w:val="00522543"/>
    <w:rsid w:val="00525231"/>
    <w:rsid w:val="00525B5B"/>
    <w:rsid w:val="00526B34"/>
    <w:rsid w:val="0053008B"/>
    <w:rsid w:val="0053371D"/>
    <w:rsid w:val="00535565"/>
    <w:rsid w:val="00537AC1"/>
    <w:rsid w:val="00537F8D"/>
    <w:rsid w:val="00540503"/>
    <w:rsid w:val="0054200A"/>
    <w:rsid w:val="005453CD"/>
    <w:rsid w:val="0054654E"/>
    <w:rsid w:val="00546E8E"/>
    <w:rsid w:val="0054743E"/>
    <w:rsid w:val="0054786C"/>
    <w:rsid w:val="00554DDE"/>
    <w:rsid w:val="00561CB1"/>
    <w:rsid w:val="00562C86"/>
    <w:rsid w:val="00565296"/>
    <w:rsid w:val="0056662C"/>
    <w:rsid w:val="005708E4"/>
    <w:rsid w:val="00573917"/>
    <w:rsid w:val="005765F7"/>
    <w:rsid w:val="005804CB"/>
    <w:rsid w:val="005812B7"/>
    <w:rsid w:val="00581FA9"/>
    <w:rsid w:val="005825D4"/>
    <w:rsid w:val="00584346"/>
    <w:rsid w:val="00585C36"/>
    <w:rsid w:val="0059065D"/>
    <w:rsid w:val="00591E86"/>
    <w:rsid w:val="005953A5"/>
    <w:rsid w:val="00597BAD"/>
    <w:rsid w:val="005A02B7"/>
    <w:rsid w:val="005A25BF"/>
    <w:rsid w:val="005A279D"/>
    <w:rsid w:val="005A5A60"/>
    <w:rsid w:val="005A6671"/>
    <w:rsid w:val="005A754A"/>
    <w:rsid w:val="005B1F9C"/>
    <w:rsid w:val="005B58B7"/>
    <w:rsid w:val="005B791D"/>
    <w:rsid w:val="005B7C3B"/>
    <w:rsid w:val="005C2E56"/>
    <w:rsid w:val="005D243B"/>
    <w:rsid w:val="005D281F"/>
    <w:rsid w:val="005D3BDC"/>
    <w:rsid w:val="005D648C"/>
    <w:rsid w:val="005D6BB7"/>
    <w:rsid w:val="005E01C7"/>
    <w:rsid w:val="005E1144"/>
    <w:rsid w:val="005E6E31"/>
    <w:rsid w:val="005F2CAF"/>
    <w:rsid w:val="005F3AC2"/>
    <w:rsid w:val="00601685"/>
    <w:rsid w:val="00601E7C"/>
    <w:rsid w:val="00610271"/>
    <w:rsid w:val="00613574"/>
    <w:rsid w:val="00613C1E"/>
    <w:rsid w:val="00617AF5"/>
    <w:rsid w:val="00631DA4"/>
    <w:rsid w:val="006322BD"/>
    <w:rsid w:val="0063561E"/>
    <w:rsid w:val="00643E24"/>
    <w:rsid w:val="00643F8D"/>
    <w:rsid w:val="006459E7"/>
    <w:rsid w:val="00645E21"/>
    <w:rsid w:val="00646CD6"/>
    <w:rsid w:val="00652D40"/>
    <w:rsid w:val="006563F1"/>
    <w:rsid w:val="00657827"/>
    <w:rsid w:val="00663FD8"/>
    <w:rsid w:val="00666D6A"/>
    <w:rsid w:val="00666FB0"/>
    <w:rsid w:val="00670E78"/>
    <w:rsid w:val="006719DB"/>
    <w:rsid w:val="00674904"/>
    <w:rsid w:val="006771F2"/>
    <w:rsid w:val="00681609"/>
    <w:rsid w:val="0068517B"/>
    <w:rsid w:val="0068529A"/>
    <w:rsid w:val="006912D6"/>
    <w:rsid w:val="00694728"/>
    <w:rsid w:val="006955F9"/>
    <w:rsid w:val="006960BD"/>
    <w:rsid w:val="006960C3"/>
    <w:rsid w:val="00696CD4"/>
    <w:rsid w:val="006A211E"/>
    <w:rsid w:val="006A517B"/>
    <w:rsid w:val="006A5742"/>
    <w:rsid w:val="006B24AD"/>
    <w:rsid w:val="006B2761"/>
    <w:rsid w:val="006B2B70"/>
    <w:rsid w:val="006B531B"/>
    <w:rsid w:val="006B6BE5"/>
    <w:rsid w:val="006B78BB"/>
    <w:rsid w:val="006C04ED"/>
    <w:rsid w:val="006C105B"/>
    <w:rsid w:val="006C27C4"/>
    <w:rsid w:val="006C4BB1"/>
    <w:rsid w:val="006C4D50"/>
    <w:rsid w:val="006C50C2"/>
    <w:rsid w:val="006C512D"/>
    <w:rsid w:val="006C69C4"/>
    <w:rsid w:val="006D0931"/>
    <w:rsid w:val="006D1EAD"/>
    <w:rsid w:val="006D5C6E"/>
    <w:rsid w:val="006D675B"/>
    <w:rsid w:val="006E25B3"/>
    <w:rsid w:val="006E2F97"/>
    <w:rsid w:val="006E5A3B"/>
    <w:rsid w:val="006F2202"/>
    <w:rsid w:val="006F268F"/>
    <w:rsid w:val="006F5070"/>
    <w:rsid w:val="0070709C"/>
    <w:rsid w:val="007114C1"/>
    <w:rsid w:val="007129AF"/>
    <w:rsid w:val="007164A9"/>
    <w:rsid w:val="007202F0"/>
    <w:rsid w:val="00722E32"/>
    <w:rsid w:val="007270C1"/>
    <w:rsid w:val="007277AA"/>
    <w:rsid w:val="00727B2D"/>
    <w:rsid w:val="00730F88"/>
    <w:rsid w:val="00732134"/>
    <w:rsid w:val="00734B2D"/>
    <w:rsid w:val="0073737C"/>
    <w:rsid w:val="00741414"/>
    <w:rsid w:val="00741689"/>
    <w:rsid w:val="0074481A"/>
    <w:rsid w:val="00745C1E"/>
    <w:rsid w:val="007478BA"/>
    <w:rsid w:val="0075350F"/>
    <w:rsid w:val="00753BEC"/>
    <w:rsid w:val="00754FEE"/>
    <w:rsid w:val="00756219"/>
    <w:rsid w:val="0075758D"/>
    <w:rsid w:val="007617D7"/>
    <w:rsid w:val="00774213"/>
    <w:rsid w:val="007745A1"/>
    <w:rsid w:val="00776772"/>
    <w:rsid w:val="00776F74"/>
    <w:rsid w:val="00780903"/>
    <w:rsid w:val="00782C3D"/>
    <w:rsid w:val="00787AB3"/>
    <w:rsid w:val="00792F74"/>
    <w:rsid w:val="0079502A"/>
    <w:rsid w:val="007961C2"/>
    <w:rsid w:val="00797133"/>
    <w:rsid w:val="0079725A"/>
    <w:rsid w:val="00797B22"/>
    <w:rsid w:val="007A131D"/>
    <w:rsid w:val="007A2CB3"/>
    <w:rsid w:val="007A3991"/>
    <w:rsid w:val="007A4911"/>
    <w:rsid w:val="007A7067"/>
    <w:rsid w:val="007B1067"/>
    <w:rsid w:val="007B1CF7"/>
    <w:rsid w:val="007B1EE6"/>
    <w:rsid w:val="007B1F93"/>
    <w:rsid w:val="007B3F4D"/>
    <w:rsid w:val="007B72B0"/>
    <w:rsid w:val="007C1B0F"/>
    <w:rsid w:val="007C1D11"/>
    <w:rsid w:val="007C2CF6"/>
    <w:rsid w:val="007C5716"/>
    <w:rsid w:val="007D077A"/>
    <w:rsid w:val="007D1670"/>
    <w:rsid w:val="007D48BF"/>
    <w:rsid w:val="007D54EB"/>
    <w:rsid w:val="007D5E52"/>
    <w:rsid w:val="007D6CEE"/>
    <w:rsid w:val="007E0CBF"/>
    <w:rsid w:val="007E519F"/>
    <w:rsid w:val="007E6EE3"/>
    <w:rsid w:val="007F1DE1"/>
    <w:rsid w:val="007F576B"/>
    <w:rsid w:val="007F63C4"/>
    <w:rsid w:val="00802887"/>
    <w:rsid w:val="008147DF"/>
    <w:rsid w:val="00816135"/>
    <w:rsid w:val="008167E4"/>
    <w:rsid w:val="00817944"/>
    <w:rsid w:val="00820E44"/>
    <w:rsid w:val="00821520"/>
    <w:rsid w:val="00822B2B"/>
    <w:rsid w:val="00823CC6"/>
    <w:rsid w:val="00827934"/>
    <w:rsid w:val="008306AA"/>
    <w:rsid w:val="00830D58"/>
    <w:rsid w:val="0083481F"/>
    <w:rsid w:val="00834C37"/>
    <w:rsid w:val="0084690D"/>
    <w:rsid w:val="00846C93"/>
    <w:rsid w:val="00847DC3"/>
    <w:rsid w:val="00851B3C"/>
    <w:rsid w:val="00856A45"/>
    <w:rsid w:val="00860866"/>
    <w:rsid w:val="00861617"/>
    <w:rsid w:val="008657C5"/>
    <w:rsid w:val="0086652D"/>
    <w:rsid w:val="008700B0"/>
    <w:rsid w:val="00870EB8"/>
    <w:rsid w:val="008728AB"/>
    <w:rsid w:val="0087364E"/>
    <w:rsid w:val="00875C41"/>
    <w:rsid w:val="008764C9"/>
    <w:rsid w:val="00876E74"/>
    <w:rsid w:val="0088078D"/>
    <w:rsid w:val="008841D9"/>
    <w:rsid w:val="00884D4E"/>
    <w:rsid w:val="00884D84"/>
    <w:rsid w:val="00885EB7"/>
    <w:rsid w:val="008873A2"/>
    <w:rsid w:val="008877A4"/>
    <w:rsid w:val="00890FE7"/>
    <w:rsid w:val="00892437"/>
    <w:rsid w:val="0089311B"/>
    <w:rsid w:val="00894CB1"/>
    <w:rsid w:val="00895213"/>
    <w:rsid w:val="00896908"/>
    <w:rsid w:val="008A23BF"/>
    <w:rsid w:val="008A4068"/>
    <w:rsid w:val="008A5CF5"/>
    <w:rsid w:val="008A747A"/>
    <w:rsid w:val="008B2A06"/>
    <w:rsid w:val="008B4033"/>
    <w:rsid w:val="008B4670"/>
    <w:rsid w:val="008B61C7"/>
    <w:rsid w:val="008C420B"/>
    <w:rsid w:val="008C5C0E"/>
    <w:rsid w:val="008C6647"/>
    <w:rsid w:val="008C7C71"/>
    <w:rsid w:val="008D0787"/>
    <w:rsid w:val="008D2570"/>
    <w:rsid w:val="008D5441"/>
    <w:rsid w:val="008D54DD"/>
    <w:rsid w:val="008D7D47"/>
    <w:rsid w:val="008E140A"/>
    <w:rsid w:val="008E22E6"/>
    <w:rsid w:val="008E3F8A"/>
    <w:rsid w:val="008E4D6B"/>
    <w:rsid w:val="008F078B"/>
    <w:rsid w:val="008F2D3F"/>
    <w:rsid w:val="008F5285"/>
    <w:rsid w:val="008F58F7"/>
    <w:rsid w:val="00902C6C"/>
    <w:rsid w:val="0090325F"/>
    <w:rsid w:val="00903505"/>
    <w:rsid w:val="00903904"/>
    <w:rsid w:val="00905F4C"/>
    <w:rsid w:val="00906143"/>
    <w:rsid w:val="009112B2"/>
    <w:rsid w:val="00911432"/>
    <w:rsid w:val="00911883"/>
    <w:rsid w:val="009138F5"/>
    <w:rsid w:val="00915A84"/>
    <w:rsid w:val="009173FB"/>
    <w:rsid w:val="009209BE"/>
    <w:rsid w:val="0093038E"/>
    <w:rsid w:val="00930710"/>
    <w:rsid w:val="00931BBB"/>
    <w:rsid w:val="00932E0E"/>
    <w:rsid w:val="00932F20"/>
    <w:rsid w:val="00933FA4"/>
    <w:rsid w:val="0093546F"/>
    <w:rsid w:val="00937452"/>
    <w:rsid w:val="00944150"/>
    <w:rsid w:val="00944CED"/>
    <w:rsid w:val="00953ABF"/>
    <w:rsid w:val="00954765"/>
    <w:rsid w:val="00955DB6"/>
    <w:rsid w:val="009562AF"/>
    <w:rsid w:val="009604C8"/>
    <w:rsid w:val="00960C54"/>
    <w:rsid w:val="00961E30"/>
    <w:rsid w:val="00975FD6"/>
    <w:rsid w:val="00976440"/>
    <w:rsid w:val="00976D9F"/>
    <w:rsid w:val="0098038C"/>
    <w:rsid w:val="00982FB0"/>
    <w:rsid w:val="00983D22"/>
    <w:rsid w:val="0098447E"/>
    <w:rsid w:val="0098458A"/>
    <w:rsid w:val="009849AA"/>
    <w:rsid w:val="00990F12"/>
    <w:rsid w:val="00995E74"/>
    <w:rsid w:val="009A3110"/>
    <w:rsid w:val="009A32BF"/>
    <w:rsid w:val="009A58B2"/>
    <w:rsid w:val="009B12EB"/>
    <w:rsid w:val="009B7A11"/>
    <w:rsid w:val="009C05F2"/>
    <w:rsid w:val="009C3C57"/>
    <w:rsid w:val="009D19FA"/>
    <w:rsid w:val="009D21BA"/>
    <w:rsid w:val="009D3163"/>
    <w:rsid w:val="009D459D"/>
    <w:rsid w:val="009D6C79"/>
    <w:rsid w:val="009E118C"/>
    <w:rsid w:val="009E4674"/>
    <w:rsid w:val="009F5CFA"/>
    <w:rsid w:val="00A0179A"/>
    <w:rsid w:val="00A028FD"/>
    <w:rsid w:val="00A03393"/>
    <w:rsid w:val="00A03CDF"/>
    <w:rsid w:val="00A06440"/>
    <w:rsid w:val="00A153EB"/>
    <w:rsid w:val="00A21B7B"/>
    <w:rsid w:val="00A31D30"/>
    <w:rsid w:val="00A32111"/>
    <w:rsid w:val="00A3523D"/>
    <w:rsid w:val="00A378CD"/>
    <w:rsid w:val="00A41058"/>
    <w:rsid w:val="00A43B52"/>
    <w:rsid w:val="00A4485D"/>
    <w:rsid w:val="00A46299"/>
    <w:rsid w:val="00A5381F"/>
    <w:rsid w:val="00A53D3C"/>
    <w:rsid w:val="00A54F3F"/>
    <w:rsid w:val="00A6165F"/>
    <w:rsid w:val="00A62D95"/>
    <w:rsid w:val="00A664EE"/>
    <w:rsid w:val="00A70622"/>
    <w:rsid w:val="00A70CF4"/>
    <w:rsid w:val="00A71DCE"/>
    <w:rsid w:val="00A7621A"/>
    <w:rsid w:val="00A80DD6"/>
    <w:rsid w:val="00A8369D"/>
    <w:rsid w:val="00A83F1B"/>
    <w:rsid w:val="00A841CB"/>
    <w:rsid w:val="00A85FE9"/>
    <w:rsid w:val="00A8723D"/>
    <w:rsid w:val="00A921F5"/>
    <w:rsid w:val="00A938F7"/>
    <w:rsid w:val="00A968E1"/>
    <w:rsid w:val="00AA1907"/>
    <w:rsid w:val="00AA2F2F"/>
    <w:rsid w:val="00AA4083"/>
    <w:rsid w:val="00AB2273"/>
    <w:rsid w:val="00AB484D"/>
    <w:rsid w:val="00AB5B27"/>
    <w:rsid w:val="00AC25D3"/>
    <w:rsid w:val="00AC3C0E"/>
    <w:rsid w:val="00AC4AF0"/>
    <w:rsid w:val="00AC72AC"/>
    <w:rsid w:val="00AD000A"/>
    <w:rsid w:val="00AD2345"/>
    <w:rsid w:val="00AD32FF"/>
    <w:rsid w:val="00AD3A28"/>
    <w:rsid w:val="00AD646F"/>
    <w:rsid w:val="00AD6879"/>
    <w:rsid w:val="00AE35B4"/>
    <w:rsid w:val="00AE4728"/>
    <w:rsid w:val="00AE6206"/>
    <w:rsid w:val="00AF0E23"/>
    <w:rsid w:val="00AF4509"/>
    <w:rsid w:val="00AF5349"/>
    <w:rsid w:val="00AF7810"/>
    <w:rsid w:val="00B03FD0"/>
    <w:rsid w:val="00B067BC"/>
    <w:rsid w:val="00B1273A"/>
    <w:rsid w:val="00B1633E"/>
    <w:rsid w:val="00B16C27"/>
    <w:rsid w:val="00B17311"/>
    <w:rsid w:val="00B17BA3"/>
    <w:rsid w:val="00B22418"/>
    <w:rsid w:val="00B2377E"/>
    <w:rsid w:val="00B24EF6"/>
    <w:rsid w:val="00B26129"/>
    <w:rsid w:val="00B26643"/>
    <w:rsid w:val="00B2699F"/>
    <w:rsid w:val="00B32B30"/>
    <w:rsid w:val="00B36C78"/>
    <w:rsid w:val="00B41559"/>
    <w:rsid w:val="00B453F8"/>
    <w:rsid w:val="00B47699"/>
    <w:rsid w:val="00B478FB"/>
    <w:rsid w:val="00B517BB"/>
    <w:rsid w:val="00B5412D"/>
    <w:rsid w:val="00B5436C"/>
    <w:rsid w:val="00B6316B"/>
    <w:rsid w:val="00B663A1"/>
    <w:rsid w:val="00B66B49"/>
    <w:rsid w:val="00B6764D"/>
    <w:rsid w:val="00B677E5"/>
    <w:rsid w:val="00B80697"/>
    <w:rsid w:val="00B83D45"/>
    <w:rsid w:val="00B93F5C"/>
    <w:rsid w:val="00B942BC"/>
    <w:rsid w:val="00B9446D"/>
    <w:rsid w:val="00BA77C1"/>
    <w:rsid w:val="00BB17D3"/>
    <w:rsid w:val="00BB1EB9"/>
    <w:rsid w:val="00BB61C7"/>
    <w:rsid w:val="00BC2615"/>
    <w:rsid w:val="00BC2B15"/>
    <w:rsid w:val="00BC3698"/>
    <w:rsid w:val="00BD167B"/>
    <w:rsid w:val="00BD2D4F"/>
    <w:rsid w:val="00BD4256"/>
    <w:rsid w:val="00BD4E47"/>
    <w:rsid w:val="00BE11A4"/>
    <w:rsid w:val="00BE1526"/>
    <w:rsid w:val="00BE3E07"/>
    <w:rsid w:val="00BE417F"/>
    <w:rsid w:val="00BE4F9F"/>
    <w:rsid w:val="00BE51FB"/>
    <w:rsid w:val="00BE76A5"/>
    <w:rsid w:val="00BF0E81"/>
    <w:rsid w:val="00BF1ED3"/>
    <w:rsid w:val="00BF4FCD"/>
    <w:rsid w:val="00BF588A"/>
    <w:rsid w:val="00BF642D"/>
    <w:rsid w:val="00C03505"/>
    <w:rsid w:val="00C07C51"/>
    <w:rsid w:val="00C10294"/>
    <w:rsid w:val="00C12428"/>
    <w:rsid w:val="00C131DF"/>
    <w:rsid w:val="00C14F89"/>
    <w:rsid w:val="00C201D4"/>
    <w:rsid w:val="00C22002"/>
    <w:rsid w:val="00C25D8B"/>
    <w:rsid w:val="00C26A64"/>
    <w:rsid w:val="00C3221F"/>
    <w:rsid w:val="00C32D0F"/>
    <w:rsid w:val="00C34310"/>
    <w:rsid w:val="00C40ACD"/>
    <w:rsid w:val="00C43071"/>
    <w:rsid w:val="00C45010"/>
    <w:rsid w:val="00C505DB"/>
    <w:rsid w:val="00C51A59"/>
    <w:rsid w:val="00C60A2D"/>
    <w:rsid w:val="00C63918"/>
    <w:rsid w:val="00C639E5"/>
    <w:rsid w:val="00C645AD"/>
    <w:rsid w:val="00C64621"/>
    <w:rsid w:val="00C64D9C"/>
    <w:rsid w:val="00C70431"/>
    <w:rsid w:val="00C707AF"/>
    <w:rsid w:val="00C72768"/>
    <w:rsid w:val="00C729E8"/>
    <w:rsid w:val="00C74D2D"/>
    <w:rsid w:val="00C761C4"/>
    <w:rsid w:val="00C808D4"/>
    <w:rsid w:val="00C828B1"/>
    <w:rsid w:val="00C82A4A"/>
    <w:rsid w:val="00C843CA"/>
    <w:rsid w:val="00C87DBF"/>
    <w:rsid w:val="00C908A6"/>
    <w:rsid w:val="00C9111B"/>
    <w:rsid w:val="00C92551"/>
    <w:rsid w:val="00C94D51"/>
    <w:rsid w:val="00CA0AE9"/>
    <w:rsid w:val="00CA6743"/>
    <w:rsid w:val="00CA760A"/>
    <w:rsid w:val="00CB283F"/>
    <w:rsid w:val="00CB289A"/>
    <w:rsid w:val="00CB37C7"/>
    <w:rsid w:val="00CB5A1D"/>
    <w:rsid w:val="00CC3583"/>
    <w:rsid w:val="00CC4285"/>
    <w:rsid w:val="00CD092F"/>
    <w:rsid w:val="00CD162B"/>
    <w:rsid w:val="00CD30CD"/>
    <w:rsid w:val="00CD370C"/>
    <w:rsid w:val="00CD4DD1"/>
    <w:rsid w:val="00CD5B2A"/>
    <w:rsid w:val="00CD5E25"/>
    <w:rsid w:val="00CE54F5"/>
    <w:rsid w:val="00CE7DD1"/>
    <w:rsid w:val="00CF2789"/>
    <w:rsid w:val="00CF5947"/>
    <w:rsid w:val="00CF69C5"/>
    <w:rsid w:val="00D02A7C"/>
    <w:rsid w:val="00D07423"/>
    <w:rsid w:val="00D1055F"/>
    <w:rsid w:val="00D112D7"/>
    <w:rsid w:val="00D1143D"/>
    <w:rsid w:val="00D13CA4"/>
    <w:rsid w:val="00D149E9"/>
    <w:rsid w:val="00D174EA"/>
    <w:rsid w:val="00D2003A"/>
    <w:rsid w:val="00D26F90"/>
    <w:rsid w:val="00D34A6D"/>
    <w:rsid w:val="00D353CE"/>
    <w:rsid w:val="00D3610D"/>
    <w:rsid w:val="00D40693"/>
    <w:rsid w:val="00D45F2D"/>
    <w:rsid w:val="00D51268"/>
    <w:rsid w:val="00D608AE"/>
    <w:rsid w:val="00D60A8E"/>
    <w:rsid w:val="00D62C85"/>
    <w:rsid w:val="00D665BC"/>
    <w:rsid w:val="00D66744"/>
    <w:rsid w:val="00D66C55"/>
    <w:rsid w:val="00D71DB5"/>
    <w:rsid w:val="00D72458"/>
    <w:rsid w:val="00D72B61"/>
    <w:rsid w:val="00D7752F"/>
    <w:rsid w:val="00D810CB"/>
    <w:rsid w:val="00D81E25"/>
    <w:rsid w:val="00D83651"/>
    <w:rsid w:val="00D86CAD"/>
    <w:rsid w:val="00D9239F"/>
    <w:rsid w:val="00D93E52"/>
    <w:rsid w:val="00D9423D"/>
    <w:rsid w:val="00D94F8E"/>
    <w:rsid w:val="00D951A7"/>
    <w:rsid w:val="00D97914"/>
    <w:rsid w:val="00DA22B2"/>
    <w:rsid w:val="00DA35ED"/>
    <w:rsid w:val="00DB139E"/>
    <w:rsid w:val="00DB60FF"/>
    <w:rsid w:val="00DC2624"/>
    <w:rsid w:val="00DC3739"/>
    <w:rsid w:val="00DC4597"/>
    <w:rsid w:val="00DC64AD"/>
    <w:rsid w:val="00DC6848"/>
    <w:rsid w:val="00DC79B9"/>
    <w:rsid w:val="00DD3D95"/>
    <w:rsid w:val="00DD48C0"/>
    <w:rsid w:val="00DD4F0E"/>
    <w:rsid w:val="00DD548D"/>
    <w:rsid w:val="00DE06A1"/>
    <w:rsid w:val="00DE21EC"/>
    <w:rsid w:val="00DE2563"/>
    <w:rsid w:val="00DE3C16"/>
    <w:rsid w:val="00DF3908"/>
    <w:rsid w:val="00DF50C4"/>
    <w:rsid w:val="00DF554B"/>
    <w:rsid w:val="00E02098"/>
    <w:rsid w:val="00E071F8"/>
    <w:rsid w:val="00E1363F"/>
    <w:rsid w:val="00E1574D"/>
    <w:rsid w:val="00E175C8"/>
    <w:rsid w:val="00E209CD"/>
    <w:rsid w:val="00E21265"/>
    <w:rsid w:val="00E21708"/>
    <w:rsid w:val="00E21F07"/>
    <w:rsid w:val="00E228CA"/>
    <w:rsid w:val="00E240A3"/>
    <w:rsid w:val="00E31A59"/>
    <w:rsid w:val="00E34363"/>
    <w:rsid w:val="00E34A8A"/>
    <w:rsid w:val="00E3512F"/>
    <w:rsid w:val="00E35D87"/>
    <w:rsid w:val="00E36C5C"/>
    <w:rsid w:val="00E43478"/>
    <w:rsid w:val="00E44996"/>
    <w:rsid w:val="00E44A53"/>
    <w:rsid w:val="00E61185"/>
    <w:rsid w:val="00E62B86"/>
    <w:rsid w:val="00E67AB5"/>
    <w:rsid w:val="00E71DFB"/>
    <w:rsid w:val="00E71FC3"/>
    <w:rsid w:val="00E73828"/>
    <w:rsid w:val="00E74650"/>
    <w:rsid w:val="00E77B70"/>
    <w:rsid w:val="00E862D5"/>
    <w:rsid w:val="00E87730"/>
    <w:rsid w:val="00E92CBC"/>
    <w:rsid w:val="00E93CDD"/>
    <w:rsid w:val="00E950C8"/>
    <w:rsid w:val="00E9515F"/>
    <w:rsid w:val="00E96799"/>
    <w:rsid w:val="00E97C8D"/>
    <w:rsid w:val="00EA25BA"/>
    <w:rsid w:val="00EA48FD"/>
    <w:rsid w:val="00EA5791"/>
    <w:rsid w:val="00EB2CA0"/>
    <w:rsid w:val="00EB42E1"/>
    <w:rsid w:val="00EC1F0B"/>
    <w:rsid w:val="00EC2326"/>
    <w:rsid w:val="00EC397F"/>
    <w:rsid w:val="00EC3A9C"/>
    <w:rsid w:val="00EC4416"/>
    <w:rsid w:val="00EC76E0"/>
    <w:rsid w:val="00EC7B52"/>
    <w:rsid w:val="00ED0297"/>
    <w:rsid w:val="00ED14D5"/>
    <w:rsid w:val="00ED2239"/>
    <w:rsid w:val="00ED417A"/>
    <w:rsid w:val="00ED5124"/>
    <w:rsid w:val="00EE21D1"/>
    <w:rsid w:val="00EE4FB0"/>
    <w:rsid w:val="00EE5221"/>
    <w:rsid w:val="00EE7B30"/>
    <w:rsid w:val="00EF1577"/>
    <w:rsid w:val="00EF2242"/>
    <w:rsid w:val="00EF4469"/>
    <w:rsid w:val="00EF4CFA"/>
    <w:rsid w:val="00EF6136"/>
    <w:rsid w:val="00F00186"/>
    <w:rsid w:val="00F01CE5"/>
    <w:rsid w:val="00F03999"/>
    <w:rsid w:val="00F04F45"/>
    <w:rsid w:val="00F11673"/>
    <w:rsid w:val="00F12135"/>
    <w:rsid w:val="00F15FBE"/>
    <w:rsid w:val="00F17CD9"/>
    <w:rsid w:val="00F201FD"/>
    <w:rsid w:val="00F2232C"/>
    <w:rsid w:val="00F22B04"/>
    <w:rsid w:val="00F26291"/>
    <w:rsid w:val="00F265D8"/>
    <w:rsid w:val="00F33455"/>
    <w:rsid w:val="00F3580A"/>
    <w:rsid w:val="00F41415"/>
    <w:rsid w:val="00F45BBB"/>
    <w:rsid w:val="00F4676E"/>
    <w:rsid w:val="00F506D2"/>
    <w:rsid w:val="00F50ABB"/>
    <w:rsid w:val="00F52AC1"/>
    <w:rsid w:val="00F53298"/>
    <w:rsid w:val="00F5621E"/>
    <w:rsid w:val="00F56628"/>
    <w:rsid w:val="00F56914"/>
    <w:rsid w:val="00F6424A"/>
    <w:rsid w:val="00F64B3F"/>
    <w:rsid w:val="00F662BC"/>
    <w:rsid w:val="00F67461"/>
    <w:rsid w:val="00F7034A"/>
    <w:rsid w:val="00F75134"/>
    <w:rsid w:val="00F76A01"/>
    <w:rsid w:val="00F77724"/>
    <w:rsid w:val="00F8155B"/>
    <w:rsid w:val="00F8173C"/>
    <w:rsid w:val="00F84D38"/>
    <w:rsid w:val="00F90F62"/>
    <w:rsid w:val="00FA1DCD"/>
    <w:rsid w:val="00FB0202"/>
    <w:rsid w:val="00FB112C"/>
    <w:rsid w:val="00FB309E"/>
    <w:rsid w:val="00FB38EB"/>
    <w:rsid w:val="00FB4257"/>
    <w:rsid w:val="00FB4EF1"/>
    <w:rsid w:val="00FB58BF"/>
    <w:rsid w:val="00FB5D8C"/>
    <w:rsid w:val="00FC195E"/>
    <w:rsid w:val="00FD329B"/>
    <w:rsid w:val="00FD3C53"/>
    <w:rsid w:val="00FD668E"/>
    <w:rsid w:val="00FE4939"/>
    <w:rsid w:val="00FE56B9"/>
    <w:rsid w:val="00FF4212"/>
    <w:rsid w:val="00FF5166"/>
    <w:rsid w:val="00FF7539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FD60"/>
  <w15:docId w15:val="{C32F77DD-6418-4B19-927A-F22BBCF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25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6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1,heading 3,Heading 32,Paragraf ISI"/>
    <w:basedOn w:val="Normal"/>
    <w:link w:val="ListParagraphChar"/>
    <w:uiPriority w:val="34"/>
    <w:qFormat/>
    <w:rsid w:val="00D81E2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B43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B43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43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43B6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420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200A"/>
    <w:rPr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B0"/>
    <w:rPr>
      <w:rFonts w:ascii="Tahoma" w:hAnsi="Tahoma" w:cs="Tahoma"/>
      <w:sz w:val="16"/>
      <w:szCs w:val="16"/>
      <w:lang w:val="en-US"/>
    </w:rPr>
  </w:style>
  <w:style w:type="character" w:customStyle="1" w:styleId="longtext">
    <w:name w:val="long_text"/>
    <w:basedOn w:val="DefaultParagraphFont"/>
    <w:rsid w:val="00B83D45"/>
  </w:style>
  <w:style w:type="paragraph" w:styleId="Header">
    <w:name w:val="header"/>
    <w:basedOn w:val="Normal"/>
    <w:link w:val="HeaderChar"/>
    <w:uiPriority w:val="99"/>
    <w:unhideWhenUsed/>
    <w:rsid w:val="00F7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34"/>
    <w:rPr>
      <w:lang w:val="en-US"/>
    </w:rPr>
  </w:style>
  <w:style w:type="character" w:customStyle="1" w:styleId="ListParagraphChar">
    <w:name w:val="List Paragraph Char"/>
    <w:aliases w:val="Body of text Char,Heading 31 Char,heading 3 Char,Heading 32 Char,Paragraf ISI Char"/>
    <w:basedOn w:val="DefaultParagraphFont"/>
    <w:link w:val="ListParagraph"/>
    <w:uiPriority w:val="34"/>
    <w:qFormat/>
    <w:locked/>
    <w:rsid w:val="00EC2326"/>
    <w:rPr>
      <w:lang w:val="en-US"/>
    </w:rPr>
  </w:style>
  <w:style w:type="table" w:styleId="TableGrid">
    <w:name w:val="Table Grid"/>
    <w:basedOn w:val="TableNormal"/>
    <w:uiPriority w:val="59"/>
    <w:rsid w:val="00A70CF4"/>
    <w:pPr>
      <w:spacing w:after="0" w:line="240" w:lineRule="auto"/>
    </w:pPr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53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53CD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A21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C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46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">
    <w:name w:val="a"/>
    <w:basedOn w:val="DefaultParagraphFont"/>
    <w:rsid w:val="00AD32FF"/>
  </w:style>
  <w:style w:type="character" w:customStyle="1" w:styleId="newst">
    <w:name w:val="newst"/>
    <w:basedOn w:val="DefaultParagraphFont"/>
    <w:rsid w:val="009F5CFA"/>
  </w:style>
  <w:style w:type="character" w:styleId="Strong">
    <w:name w:val="Strong"/>
    <w:basedOn w:val="DefaultParagraphFont"/>
    <w:uiPriority w:val="22"/>
    <w:qFormat/>
    <w:rsid w:val="00B5412D"/>
    <w:rPr>
      <w:b/>
      <w:bCs/>
    </w:rPr>
  </w:style>
  <w:style w:type="paragraph" w:styleId="NoSpacing">
    <w:name w:val="No Spacing"/>
    <w:link w:val="NoSpacingChar"/>
    <w:uiPriority w:val="1"/>
    <w:qFormat/>
    <w:rsid w:val="00D5126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1268"/>
    <w:rPr>
      <w:rFonts w:eastAsiaTheme="minorEastAsia"/>
      <w:lang w:val="en-US" w:eastAsia="ja-JP"/>
    </w:rPr>
  </w:style>
  <w:style w:type="character" w:customStyle="1" w:styleId="hps">
    <w:name w:val="hps"/>
    <w:basedOn w:val="DefaultParagraphFont"/>
    <w:rsid w:val="00467C64"/>
  </w:style>
  <w:style w:type="paragraph" w:customStyle="1" w:styleId="Default">
    <w:name w:val="Default"/>
    <w:rsid w:val="00885E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ullpost">
    <w:name w:val="fullpost"/>
    <w:basedOn w:val="DefaultParagraphFont"/>
    <w:rsid w:val="00885EB7"/>
  </w:style>
  <w:style w:type="character" w:customStyle="1" w:styleId="st">
    <w:name w:val="st"/>
    <w:basedOn w:val="DefaultParagraphFont"/>
    <w:rsid w:val="00F8173C"/>
  </w:style>
  <w:style w:type="character" w:styleId="Emphasis">
    <w:name w:val="Emphasis"/>
    <w:basedOn w:val="DefaultParagraphFont"/>
    <w:uiPriority w:val="20"/>
    <w:qFormat/>
    <w:rsid w:val="00F8173C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561CB1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DefaultParagraphFont"/>
    <w:rsid w:val="0068517B"/>
  </w:style>
  <w:style w:type="character" w:customStyle="1" w:styleId="apple-converted-space">
    <w:name w:val="apple-converted-space"/>
    <w:basedOn w:val="DefaultParagraphFont"/>
    <w:rsid w:val="0046502B"/>
  </w:style>
  <w:style w:type="character" w:customStyle="1" w:styleId="personname">
    <w:name w:val="person_name"/>
    <w:basedOn w:val="DefaultParagraphFont"/>
    <w:rsid w:val="0046502B"/>
  </w:style>
  <w:style w:type="character" w:customStyle="1" w:styleId="CharacterStyle2">
    <w:name w:val="Character Style 2"/>
    <w:uiPriority w:val="99"/>
    <w:rsid w:val="00674904"/>
    <w:rPr>
      <w:rFonts w:ascii="Arial" w:hAnsi="Arial"/>
      <w:sz w:val="23"/>
    </w:rPr>
  </w:style>
  <w:style w:type="paragraph" w:customStyle="1" w:styleId="Normal1">
    <w:name w:val="Normal1"/>
    <w:rsid w:val="00B26129"/>
    <w:rPr>
      <w:rFonts w:ascii="Calibri" w:eastAsia="Calibri" w:hAnsi="Calibri" w:cs="Calibri"/>
      <w:color w:val="00000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E4FB0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t-edited">
    <w:name w:val="alt-edited"/>
    <w:basedOn w:val="DefaultParagraphFont"/>
    <w:rsid w:val="00153F6D"/>
  </w:style>
  <w:style w:type="character" w:customStyle="1" w:styleId="tlid-translation">
    <w:name w:val="tlid-translation"/>
    <w:basedOn w:val="DefaultParagraphFont"/>
    <w:rsid w:val="00153F6D"/>
  </w:style>
  <w:style w:type="character" w:customStyle="1" w:styleId="Heading3Char">
    <w:name w:val="Heading 3 Char"/>
    <w:basedOn w:val="DefaultParagraphFont"/>
    <w:link w:val="Heading3"/>
    <w:uiPriority w:val="9"/>
    <w:semiHidden/>
    <w:rsid w:val="001333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fs1">
    <w:name w:val="fs1"/>
    <w:basedOn w:val="DefaultParagraphFont"/>
    <w:rsid w:val="00780903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96493"/>
    <w:pPr>
      <w:spacing w:line="240" w:lineRule="auto"/>
    </w:pPr>
    <w:rPr>
      <w:i/>
      <w:iCs/>
      <w:color w:val="1F497D" w:themeColor="text2"/>
      <w:sz w:val="18"/>
      <w:szCs w:val="18"/>
      <w:lang w:val="en-ID"/>
    </w:rPr>
  </w:style>
  <w:style w:type="character" w:customStyle="1" w:styleId="CaptionChar">
    <w:name w:val="Caption Char"/>
    <w:basedOn w:val="DefaultParagraphFont"/>
    <w:link w:val="Caption"/>
    <w:uiPriority w:val="35"/>
    <w:rsid w:val="00196493"/>
    <w:rPr>
      <w:i/>
      <w:iCs/>
      <w:color w:val="1F497D" w:themeColor="text2"/>
      <w:sz w:val="18"/>
      <w:szCs w:val="18"/>
      <w:lang w:val="en-ID"/>
    </w:rPr>
  </w:style>
  <w:style w:type="table" w:customStyle="1" w:styleId="TableGrid13">
    <w:name w:val="Table Grid13"/>
    <w:basedOn w:val="TableNormal"/>
    <w:next w:val="TableGrid"/>
    <w:uiPriority w:val="59"/>
    <w:rsid w:val="00196493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96493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96493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C420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C420B"/>
  </w:style>
  <w:style w:type="character" w:customStyle="1" w:styleId="dropcaps5">
    <w:name w:val="dropcaps_5"/>
    <w:basedOn w:val="DefaultParagraphFont"/>
    <w:rsid w:val="008C420B"/>
  </w:style>
  <w:style w:type="table" w:customStyle="1" w:styleId="TableGrid2">
    <w:name w:val="Table Grid2"/>
    <w:basedOn w:val="TableNormal"/>
    <w:next w:val="TableGrid"/>
    <w:uiPriority w:val="59"/>
    <w:rsid w:val="008C420B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dx.co.i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dx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CB07-A66A-4BE3-A137-F032ACDE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7057</Words>
  <Characters>40228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Prestasi Belajar……(Yunianto)</vt:lpstr>
    </vt:vector>
  </TitlesOfParts>
  <Company/>
  <LinksUpToDate>false</LinksUpToDate>
  <CharactersWithSpaces>47191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Prestasi Belajar……(Yunianto)</dc:title>
  <dc:creator>compaq</dc:creator>
  <cp:lastModifiedBy>LENOVO</cp:lastModifiedBy>
  <cp:revision>60</cp:revision>
  <cp:lastPrinted>2020-02-06T06:33:00Z</cp:lastPrinted>
  <dcterms:created xsi:type="dcterms:W3CDTF">2018-02-04T08:28:00Z</dcterms:created>
  <dcterms:modified xsi:type="dcterms:W3CDTF">2020-02-06T06:33:00Z</dcterms:modified>
</cp:coreProperties>
</file>