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40" w:rsidRDefault="002C6FB5">
      <w:pPr>
        <w:pStyle w:val="Title"/>
      </w:pPr>
      <w:r>
        <w:t>PENGARUH KEPEMILIKAN MANAJERIAL, KEPEMILIKAN INSTITUSIONAL, EFEKTIVITAS DEWAN DAN PEMBIAYAAN EKSTERNAL TERHADAP MANAJEMEN LABA (STUDI KASUS PADA PERUSAHAANSEKTOR PERTANIAN YANG TERDAFTAR DI BURSA EFEK INDONESIA 2017-2019)</w:t>
      </w:r>
    </w:p>
    <w:p w:rsidR="007A2F40" w:rsidRDefault="007A2F40">
      <w:pPr>
        <w:pStyle w:val="BodyText"/>
        <w:rPr>
          <w:b/>
          <w:sz w:val="24"/>
        </w:rPr>
      </w:pPr>
    </w:p>
    <w:p w:rsidR="007A2F40" w:rsidRDefault="002C6FB5">
      <w:pPr>
        <w:ind w:left="222" w:right="225"/>
        <w:jc w:val="center"/>
        <w:rPr>
          <w:b/>
          <w:i/>
          <w:sz w:val="24"/>
        </w:rPr>
      </w:pPr>
      <w:r>
        <w:rPr>
          <w:b/>
          <w:i/>
          <w:sz w:val="24"/>
        </w:rPr>
        <w:t>THE EFFECT OF MANAGERIAL OWNERSHIP, INSTITUTIONAL OWNERSHIP, COUNCIL EFFECTIVENESS AND EXTERNAL FINANCING ON EARNING MANAGEMENT (CASE STUDY ON AGRICULTURE SECTOR COMPANIES LISTED IN INDONESIA STOCK EXCHANGE 2017-2019)</w:t>
      </w:r>
    </w:p>
    <w:p w:rsidR="007A2F40" w:rsidRDefault="007A2F40">
      <w:pPr>
        <w:pStyle w:val="BodyText"/>
        <w:rPr>
          <w:b/>
          <w:i/>
          <w:sz w:val="26"/>
        </w:rPr>
      </w:pPr>
    </w:p>
    <w:p w:rsidR="007A2F40" w:rsidRDefault="002C6FB5">
      <w:pPr>
        <w:pStyle w:val="Heading2"/>
        <w:spacing w:before="195"/>
        <w:ind w:left="74" w:right="126"/>
      </w:pPr>
      <w:r>
        <w:t>Meilda Dewi Murgari</w:t>
      </w:r>
    </w:p>
    <w:p w:rsidR="007A2F40" w:rsidRDefault="002C6FB5">
      <w:pPr>
        <w:pStyle w:val="BodyText"/>
        <w:spacing w:before="175" w:line="403" w:lineRule="auto"/>
        <w:ind w:left="2827" w:right="2878"/>
        <w:jc w:val="center"/>
      </w:pPr>
      <w:r>
        <w:t>Universitas Mercu</w:t>
      </w:r>
      <w:r>
        <w:t xml:space="preserve"> Buana Yogyakarta </w:t>
      </w:r>
      <w:hyperlink r:id="rId7">
        <w:r>
          <w:rPr>
            <w:color w:val="0000FF"/>
            <w:u w:val="single" w:color="0000FF"/>
          </w:rPr>
          <w:t>meildadeem@gmail.com</w:t>
        </w:r>
      </w:hyperlink>
    </w:p>
    <w:p w:rsidR="007A2F40" w:rsidRDefault="007A2F40">
      <w:pPr>
        <w:pStyle w:val="BodyText"/>
        <w:rPr>
          <w:sz w:val="20"/>
        </w:rPr>
      </w:pPr>
    </w:p>
    <w:p w:rsidR="007A2F40" w:rsidRDefault="007A2F40">
      <w:pPr>
        <w:pStyle w:val="BodyText"/>
      </w:pPr>
    </w:p>
    <w:p w:rsidR="007A2F40" w:rsidRDefault="002C6FB5">
      <w:pPr>
        <w:ind w:left="68" w:right="126"/>
        <w:jc w:val="center"/>
        <w:rPr>
          <w:b/>
          <w:sz w:val="20"/>
        </w:rPr>
      </w:pPr>
      <w:r>
        <w:rPr>
          <w:b/>
          <w:sz w:val="20"/>
        </w:rPr>
        <w:t>Abstrak</w:t>
      </w:r>
    </w:p>
    <w:p w:rsidR="007A2F40" w:rsidRDefault="002C6FB5">
      <w:pPr>
        <w:spacing w:before="1"/>
        <w:ind w:left="119" w:right="113" w:firstLine="719"/>
        <w:jc w:val="both"/>
        <w:rPr>
          <w:sz w:val="20"/>
        </w:rPr>
      </w:pPr>
      <w:r>
        <w:rPr>
          <w:sz w:val="20"/>
        </w:rPr>
        <w:t xml:space="preserve">Penelitian ini bertujuan untuk meneliti pengaruh Kepemilikan Manajerial, Kepemilikan  Institusional, Efektivitas Dewan dan Pembiyaan Eksternal terhadap Manajemen </w:t>
      </w:r>
      <w:r>
        <w:rPr>
          <w:sz w:val="20"/>
        </w:rPr>
        <w:t xml:space="preserve">Laba. Objek dalam  penelitian ini adalah Perusahaan Pertanian yang terdaftar di Bursa Efek Indonesia untuk periode 2017-2019. Jumlah sampel yang digunakan adalah 30 sampel. Metode pemilihan sampel dalam penelitian ini menggunakan </w:t>
      </w:r>
      <w:r>
        <w:rPr>
          <w:i/>
          <w:sz w:val="20"/>
        </w:rPr>
        <w:t xml:space="preserve">Purpose Sampling. </w:t>
      </w:r>
      <w:r>
        <w:rPr>
          <w:sz w:val="20"/>
        </w:rPr>
        <w:t>Variabel</w:t>
      </w:r>
      <w:r>
        <w:rPr>
          <w:sz w:val="20"/>
        </w:rPr>
        <w:t xml:space="preserve"> Dependen penelitian ini adalah Manajemen Laba yang diukur dengan </w:t>
      </w:r>
      <w:r>
        <w:rPr>
          <w:i/>
          <w:sz w:val="20"/>
        </w:rPr>
        <w:t xml:space="preserve">Modified Jones Model. </w:t>
      </w:r>
      <w:r>
        <w:rPr>
          <w:sz w:val="20"/>
        </w:rPr>
        <w:t>Variabel Independen penelitian ini adalah Kepemilikan Manajerial, Kepemilikan Institusional, Efektivitas Dewan dan Pembiayaan Eksternal. Hasil Penelitian menunjukkan ba</w:t>
      </w:r>
      <w:r>
        <w:rPr>
          <w:sz w:val="20"/>
        </w:rPr>
        <w:t>hwa Kepemilikan Manajerial berpengaruh negatif dan signifikan terhadap manajemen laba. Kepemilikan Institusional berpengaruh negatif dan tidak signifikan terhadap manajemen laba. Efektivitas Dewan berpengaruh negatif dan tidak signifikan terhadap manajemen</w:t>
      </w:r>
      <w:r>
        <w:rPr>
          <w:sz w:val="20"/>
        </w:rPr>
        <w:t xml:space="preserve"> laba. Pembiayaan Eksternal berpengaruh positif dan tidak signifikan terhadap manajemen laba.Implikasi dari penelitian ini adalah perusahaan lebih terbuka mengenai kinerja perusahaan kepada para pemegang saham, dan adanya peraturan yang lebih jelas mengena</w:t>
      </w:r>
      <w:r>
        <w:rPr>
          <w:sz w:val="20"/>
        </w:rPr>
        <w:t>i transaksi hubungan istimewa</w:t>
      </w:r>
      <w:r>
        <w:rPr>
          <w:spacing w:val="-5"/>
          <w:sz w:val="20"/>
        </w:rPr>
        <w:t xml:space="preserve"> </w:t>
      </w:r>
      <w:r>
        <w:rPr>
          <w:sz w:val="20"/>
        </w:rPr>
        <w:t>perusahaan.</w:t>
      </w:r>
    </w:p>
    <w:p w:rsidR="007A2F40" w:rsidRDefault="002C6FB5">
      <w:pPr>
        <w:spacing w:before="1"/>
        <w:ind w:left="119" w:right="121" w:firstLine="719"/>
        <w:jc w:val="both"/>
        <w:rPr>
          <w:b/>
          <w:sz w:val="20"/>
        </w:rPr>
      </w:pPr>
      <w:r>
        <w:rPr>
          <w:b/>
          <w:sz w:val="20"/>
        </w:rPr>
        <w:t>Kata kunci : Kepemilikan Manajerial, Kepemilikan Institusional, Efektivitas Dewan, Pembiayaan Eksternal, Manajemen Laba</w:t>
      </w:r>
    </w:p>
    <w:p w:rsidR="007A2F40" w:rsidRDefault="007A2F40">
      <w:pPr>
        <w:pStyle w:val="BodyText"/>
        <w:rPr>
          <w:b/>
        </w:rPr>
      </w:pPr>
    </w:p>
    <w:p w:rsidR="007A2F40" w:rsidRDefault="007A2F40">
      <w:pPr>
        <w:pStyle w:val="BodyText"/>
        <w:spacing w:before="9"/>
        <w:rPr>
          <w:b/>
          <w:sz w:val="18"/>
        </w:rPr>
      </w:pPr>
    </w:p>
    <w:p w:rsidR="007A2F40" w:rsidRDefault="002C6FB5">
      <w:pPr>
        <w:ind w:left="124" w:right="124"/>
        <w:jc w:val="center"/>
        <w:rPr>
          <w:b/>
          <w:i/>
          <w:sz w:val="20"/>
        </w:rPr>
      </w:pPr>
      <w:r>
        <w:rPr>
          <w:b/>
          <w:i/>
          <w:sz w:val="20"/>
        </w:rPr>
        <w:t>Abstract</w:t>
      </w:r>
    </w:p>
    <w:p w:rsidR="007A2F40" w:rsidRDefault="002C6FB5">
      <w:pPr>
        <w:ind w:left="119" w:right="115" w:firstLine="719"/>
        <w:jc w:val="both"/>
        <w:rPr>
          <w:sz w:val="20"/>
        </w:rPr>
      </w:pPr>
      <w:r>
        <w:rPr>
          <w:sz w:val="20"/>
        </w:rPr>
        <w:t>This study aims to examine the influence of Managerial Ownership, Institutional Ownership, Board Effectiveness and External Financing on Earnings Management. The objects in this study are agricultural companies listed on the Indonesia Stock Exchange for th</w:t>
      </w:r>
      <w:r>
        <w:rPr>
          <w:sz w:val="20"/>
        </w:rPr>
        <w:t>e 2017-2019 period. The number of samples used was 30 samples. The sample selection method in this study used purposive sampling. The dependent variable of this research is earnings management as measured by the Modified Jones Model. The independent variab</w:t>
      </w:r>
      <w:r>
        <w:rPr>
          <w:sz w:val="20"/>
        </w:rPr>
        <w:t>les of this study are Managerial Ownership, Institutional Ownership, Board Effectiveness and External Financing. The results showed that Managerial Ownership had a negative and significant effect on earnings management. Institutional ownership has a negati</w:t>
      </w:r>
      <w:r>
        <w:rPr>
          <w:sz w:val="20"/>
        </w:rPr>
        <w:t>ve and insignificant effect on earnings management. Board effectiveness has a negative and insignificant effect on earnings management. External Financing has a positive and insignificant effect on earnings management. The implication of this research is t</w:t>
      </w:r>
      <w:r>
        <w:rPr>
          <w:sz w:val="20"/>
        </w:rPr>
        <w:t>hat companies are more open about the company's performance to shareholders, and there are clearer regulations regarding company-related transactions.</w:t>
      </w:r>
    </w:p>
    <w:p w:rsidR="007A2F40" w:rsidRDefault="002C6FB5">
      <w:pPr>
        <w:spacing w:before="1"/>
        <w:ind w:left="119" w:right="120" w:firstLine="719"/>
        <w:jc w:val="both"/>
        <w:rPr>
          <w:b/>
          <w:sz w:val="20"/>
        </w:rPr>
      </w:pPr>
      <w:r>
        <w:rPr>
          <w:b/>
          <w:sz w:val="20"/>
        </w:rPr>
        <w:t>Keywords:Keywords Managerial Ownership, Institutional Ownership, Board Effectiveness, External Financing,</w:t>
      </w:r>
      <w:r>
        <w:rPr>
          <w:b/>
          <w:sz w:val="20"/>
        </w:rPr>
        <w:t xml:space="preserve"> Earnings Management</w:t>
      </w:r>
    </w:p>
    <w:p w:rsidR="007A2F40" w:rsidRDefault="007A2F40">
      <w:pPr>
        <w:pStyle w:val="BodyText"/>
        <w:rPr>
          <w:b/>
        </w:rPr>
      </w:pPr>
    </w:p>
    <w:p w:rsidR="007A2F40" w:rsidRDefault="007A2F40">
      <w:pPr>
        <w:pStyle w:val="BodyText"/>
        <w:spacing w:before="5"/>
        <w:rPr>
          <w:b/>
          <w:sz w:val="20"/>
        </w:rPr>
      </w:pPr>
    </w:p>
    <w:p w:rsidR="007A2F40" w:rsidRDefault="002C6FB5">
      <w:pPr>
        <w:pStyle w:val="Heading2"/>
        <w:spacing w:before="1"/>
        <w:ind w:left="239"/>
        <w:jc w:val="left"/>
      </w:pPr>
      <w:r>
        <w:t>PENDAHULUAN</w:t>
      </w:r>
    </w:p>
    <w:p w:rsidR="007A2F40" w:rsidRDefault="002C6FB5">
      <w:pPr>
        <w:pStyle w:val="BodyText"/>
        <w:spacing w:before="1"/>
        <w:ind w:left="119" w:right="113" w:firstLine="566"/>
        <w:jc w:val="both"/>
      </w:pPr>
      <w:r>
        <w:t>Pertumbuhan ekonomi di Indonesia tidak terlepas dari aktivitas bisnis yang dilakukan perusahaan. Aktivitas bisnis yang semakin berkembang membuat setiap perusahaan berusaha untuk bersaing agar semakin memajukan perusahaan</w:t>
      </w:r>
      <w:r>
        <w:t>nya. Perusahaan cenderung akan selalu menunjukkan kinerja yang baik, salah satunya dalam menyajikan laporan keuangan. Salah satu bagian penting yang ada pada laporan keuangan yang digunakan untuk melihat kinerja perusahaan adalah laba</w:t>
      </w:r>
    </w:p>
    <w:p w:rsidR="007A2F40" w:rsidRDefault="007A2F40">
      <w:pPr>
        <w:jc w:val="both"/>
        <w:sectPr w:rsidR="007A2F40">
          <w:headerReference w:type="even" r:id="rId8"/>
          <w:headerReference w:type="default" r:id="rId9"/>
          <w:footerReference w:type="even" r:id="rId10"/>
          <w:footerReference w:type="default" r:id="rId11"/>
          <w:type w:val="continuous"/>
          <w:pgSz w:w="11900" w:h="16850"/>
          <w:pgMar w:top="1480" w:right="1400" w:bottom="720" w:left="1460" w:header="409" w:footer="528" w:gutter="0"/>
          <w:pgNumType w:start="2"/>
          <w:cols w:space="720"/>
        </w:sectPr>
      </w:pPr>
    </w:p>
    <w:p w:rsidR="007A2F40" w:rsidRDefault="002C6FB5">
      <w:pPr>
        <w:pStyle w:val="BodyText"/>
        <w:spacing w:before="81"/>
        <w:ind w:left="119" w:right="117"/>
        <w:jc w:val="both"/>
      </w:pPr>
      <w:r>
        <w:lastRenderedPageBreak/>
        <w:t>(Yendrawati, 2015). Selain untuk melihat kinerja perusahaan, laba juga dapat digunakan untuk menilai kondisi perusahaan jangka panjang dan dapat dijadikan acuan atau dasar pengam</w:t>
      </w:r>
      <w:r>
        <w:t>bilan keputusan para investor. Informasi laba sering menjadi target rekayasa melalui tindakan oportunis manajemen untuk memaksimumkan kepuasaannya. Perilaku manajemen untuk mengatur laba sesuai keinginannya tersebut dikenal dengan istilah manajemen</w:t>
      </w:r>
      <w:r>
        <w:rPr>
          <w:spacing w:val="-6"/>
        </w:rPr>
        <w:t xml:space="preserve"> </w:t>
      </w:r>
      <w:r>
        <w:t>laba.</w:t>
      </w:r>
    </w:p>
    <w:p w:rsidR="007A2F40" w:rsidRDefault="002C6FB5">
      <w:pPr>
        <w:pStyle w:val="BodyText"/>
        <w:ind w:left="119" w:right="114" w:firstLine="566"/>
        <w:jc w:val="both"/>
      </w:pPr>
      <w:r>
        <w:t>Manajemen laba dapat disebabkan oleh beberapa faktor, salah satunya adalah efektivitas dewan sebagai peran dalam pengawasan perusahaan secara keseluruhan. Dengan adanya dewan yang melakukan pengawasan terhadap manajemen perusahaan maka dapat menurunkan tin</w:t>
      </w:r>
      <w:r>
        <w:t>gkat manajemen laba. Faktor lain yang mempengaruhi manajemen laba yaitu struktur pemegang saham yang memiliki kekuatan untuk mengontrol arahan perusahaan tidak hanya wewenang untuk mengontrol suara, tetapi juga mengontrol manajemen pimpinan perusahaan, dir</w:t>
      </w:r>
      <w:r>
        <w:t>ektur pelaksana atau staf. Faktor terakhir yaitu pembiayaan eksternal yang pada dasarnya harus memiliki insentif untuk mengelola pendapatan guna meningkatkan kondisi pembiayaan mereka. Manajer akan memberikan informasi yang baik kepada para investor atau p</w:t>
      </w:r>
      <w:r>
        <w:t>emegang saham agar pembiayaan eksternal perusahaan bertambah dan meningkat.</w:t>
      </w:r>
    </w:p>
    <w:p w:rsidR="007A2F40" w:rsidRDefault="002C6FB5">
      <w:pPr>
        <w:pStyle w:val="BodyText"/>
        <w:ind w:left="119" w:right="112" w:firstLine="566"/>
        <w:jc w:val="both"/>
      </w:pPr>
      <w:r>
        <w:t>Di Indonesia sektor pertanian mempunyai peran yang sangat penting karena sebagai pendorongdan mempunyai kontribusi terbesar kedua setelah industri manufaktur terhadap Produk Domest</w:t>
      </w:r>
      <w:r>
        <w:t>ik Bruto (PDB) dalam pertumbuhan ekonomi nasional. Selain itu sumber pendapatan rumah tangga pertanian (RTP) Indonesia hampir sekitar 76.3 persen berasal dari sektor pertanian, dan hanya 23.7 persen berasal dari non pertanian (</w:t>
      </w:r>
      <w:hyperlink r:id="rId12">
        <w:r>
          <w:rPr>
            <w:color w:val="0000FF"/>
            <w:u w:val="single" w:color="0000FF"/>
          </w:rPr>
          <w:t>epublikasi.setjen.pertanian.go.id/</w:t>
        </w:r>
      </w:hyperlink>
      <w:r>
        <w:t>diakses pada 21 Oktober 2020). Akan tetapi kapitalisasi pasar pada sektor pertanianselama tahun 2017-2019 sebagian besar menunjukan nilai yang paling rendah dibandingkan dengan sektor-sektor l</w:t>
      </w:r>
      <w:r>
        <w:t>ainnya di Bursa Efek Indonesia. Kondisi sektor pertanian yang semakin menurun tentu saja akan berdampak padalaporan keuangan yang disajikan, kondisi yang tidak menentu ini dapat memicu perusahaan melakukan tindakan untuk menciptakan laporan keuangan yang b</w:t>
      </w:r>
      <w:r>
        <w:t>agus dimata investor. Salah satu tindakan yang dapat dilakukan manajer adalah praktik manajemen laba</w:t>
      </w:r>
    </w:p>
    <w:p w:rsidR="007A2F40" w:rsidRDefault="007A2F40">
      <w:pPr>
        <w:pStyle w:val="BodyText"/>
        <w:spacing w:before="10"/>
        <w:rPr>
          <w:sz w:val="21"/>
        </w:rPr>
      </w:pPr>
    </w:p>
    <w:p w:rsidR="007A2F40" w:rsidRDefault="002C6FB5">
      <w:pPr>
        <w:pStyle w:val="Heading2"/>
        <w:jc w:val="left"/>
      </w:pPr>
      <w:r>
        <w:t>METODE</w:t>
      </w:r>
    </w:p>
    <w:p w:rsidR="007A2F40" w:rsidRDefault="002C6FB5">
      <w:pPr>
        <w:pStyle w:val="BodyText"/>
        <w:spacing w:before="2"/>
        <w:ind w:left="119" w:right="113" w:firstLine="566"/>
        <w:jc w:val="both"/>
      </w:pPr>
      <w:r>
        <w:t>Data-data yang digunakan dalam penelitian ini merupakan data sekunder yaitu data yang diperoleh secara tidak langsung dari sumber asli melainkan ha</w:t>
      </w:r>
      <w:r>
        <w:t xml:space="preserve">sil dari publikasi Bursa Efek Indonesia (BEI) yang berkaitan dengan penelitian. Sumber data penelitian yaitu </w:t>
      </w:r>
      <w:r>
        <w:rPr>
          <w:i/>
        </w:rPr>
        <w:t xml:space="preserve">annual report </w:t>
      </w:r>
      <w:r>
        <w:t>dan laporan keuangan Industri Pertanian yang terdaftar di Bursa Efek Indonesia (BEI) tahun 2017- 2019. Teknik pengambilan sampel pada</w:t>
      </w:r>
      <w:r>
        <w:t xml:space="preserve"> penelitian ini menggunakan metode </w:t>
      </w:r>
      <w:r>
        <w:rPr>
          <w:i/>
        </w:rPr>
        <w:t>purposive</w:t>
      </w:r>
      <w:r>
        <w:rPr>
          <w:i/>
          <w:spacing w:val="-16"/>
        </w:rPr>
        <w:t xml:space="preserve"> </w:t>
      </w:r>
      <w:r>
        <w:rPr>
          <w:i/>
        </w:rPr>
        <w:t>sampling</w:t>
      </w:r>
      <w:r>
        <w:t>.</w:t>
      </w:r>
    </w:p>
    <w:p w:rsidR="007A2F40" w:rsidRDefault="007A2F40">
      <w:pPr>
        <w:pStyle w:val="BodyText"/>
        <w:spacing w:before="3"/>
      </w:pPr>
    </w:p>
    <w:p w:rsidR="007A2F40" w:rsidRDefault="002C6FB5">
      <w:pPr>
        <w:pStyle w:val="Heading2"/>
        <w:jc w:val="left"/>
      </w:pPr>
      <w:r>
        <w:t>HASIL DAN PEMBAHASAN</w:t>
      </w:r>
    </w:p>
    <w:p w:rsidR="007A2F40" w:rsidRDefault="007A2F40">
      <w:pPr>
        <w:pStyle w:val="BodyText"/>
        <w:spacing w:before="7"/>
        <w:rPr>
          <w:b/>
          <w:sz w:val="21"/>
        </w:rPr>
      </w:pPr>
    </w:p>
    <w:p w:rsidR="007A2F40" w:rsidRDefault="002C6FB5">
      <w:pPr>
        <w:spacing w:line="252" w:lineRule="exact"/>
        <w:ind w:left="119"/>
        <w:jc w:val="both"/>
        <w:rPr>
          <w:b/>
        </w:rPr>
      </w:pPr>
      <w:r>
        <w:rPr>
          <w:b/>
        </w:rPr>
        <w:t>Uji Statistik Deskriptif</w:t>
      </w:r>
    </w:p>
    <w:p w:rsidR="007A2F40" w:rsidRDefault="002C6FB5">
      <w:pPr>
        <w:pStyle w:val="BodyText"/>
        <w:spacing w:before="2" w:line="237" w:lineRule="auto"/>
        <w:ind w:left="119" w:right="113"/>
        <w:jc w:val="both"/>
      </w:pPr>
      <w:r>
        <w:t>Uji statistik deskriptif ini dilakukan untuk mengetahui gambaran deskriptif dari variabel-variabel yang diteliti ditunjukkan dalam tabel deskriptif stati</w:t>
      </w:r>
      <w:r>
        <w:t xml:space="preserve">stik yang didalamnya menunjukkan angka minimum, maksimum, </w:t>
      </w:r>
      <w:r>
        <w:rPr>
          <w:i/>
        </w:rPr>
        <w:t xml:space="preserve">mean </w:t>
      </w:r>
      <w:r>
        <w:t xml:space="preserve">(rata-rata) dan standar deviasi. Data diolah menggunakan </w:t>
      </w:r>
      <w:r>
        <w:rPr>
          <w:i/>
        </w:rPr>
        <w:t xml:space="preserve">software </w:t>
      </w:r>
      <w:r>
        <w:t>pengolah data SPSS versi 16. Hasil uji statistik deskriptif dari variabel-variabel penelitian ini digambarkan melalui tabel ber</w:t>
      </w:r>
      <w:r>
        <w:t>ikut ini:</w:t>
      </w:r>
    </w:p>
    <w:p w:rsidR="007A2F40" w:rsidRDefault="007A2F40">
      <w:pPr>
        <w:pStyle w:val="BodyText"/>
        <w:spacing w:before="9"/>
        <w:rPr>
          <w:sz w:val="21"/>
        </w:rPr>
      </w:pPr>
    </w:p>
    <w:p w:rsidR="007A2F40" w:rsidRDefault="002C6FB5">
      <w:pPr>
        <w:pStyle w:val="Heading2"/>
        <w:spacing w:before="1"/>
        <w:ind w:left="3624" w:right="3605" w:firstLine="544"/>
        <w:jc w:val="left"/>
      </w:pPr>
      <w:r>
        <w:t>Tabel 1 Statistik Deskriptif</w:t>
      </w: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4"/>
        <w:gridCol w:w="874"/>
        <w:gridCol w:w="1136"/>
        <w:gridCol w:w="1275"/>
        <w:gridCol w:w="1136"/>
        <w:gridCol w:w="1560"/>
      </w:tblGrid>
      <w:tr w:rsidR="007A2F40">
        <w:trPr>
          <w:trHeight w:val="361"/>
        </w:trPr>
        <w:tc>
          <w:tcPr>
            <w:tcW w:w="1844" w:type="dxa"/>
          </w:tcPr>
          <w:p w:rsidR="007A2F40" w:rsidRDefault="007A2F40">
            <w:pPr>
              <w:pStyle w:val="TableParagraph"/>
              <w:rPr>
                <w:rFonts w:ascii="Times New Roman"/>
              </w:rPr>
            </w:pPr>
          </w:p>
        </w:tc>
        <w:tc>
          <w:tcPr>
            <w:tcW w:w="874" w:type="dxa"/>
            <w:tcBorders>
              <w:right w:val="single" w:sz="8" w:space="0" w:color="000000"/>
            </w:tcBorders>
          </w:tcPr>
          <w:p w:rsidR="007A2F40" w:rsidRDefault="002C6FB5">
            <w:pPr>
              <w:pStyle w:val="TableParagraph"/>
              <w:spacing w:before="39"/>
              <w:ind w:left="14"/>
              <w:jc w:val="center"/>
              <w:rPr>
                <w:rFonts w:ascii="Times New Roman"/>
                <w:sz w:val="24"/>
              </w:rPr>
            </w:pPr>
            <w:r>
              <w:rPr>
                <w:rFonts w:ascii="Times New Roman"/>
                <w:w w:val="99"/>
                <w:sz w:val="24"/>
              </w:rPr>
              <w:t>N</w:t>
            </w:r>
          </w:p>
        </w:tc>
        <w:tc>
          <w:tcPr>
            <w:tcW w:w="1136" w:type="dxa"/>
            <w:tcBorders>
              <w:top w:val="single" w:sz="18" w:space="0" w:color="FFFFFF"/>
              <w:left w:val="single" w:sz="8" w:space="0" w:color="000000"/>
              <w:right w:val="single" w:sz="8" w:space="0" w:color="000000"/>
            </w:tcBorders>
          </w:tcPr>
          <w:p w:rsidR="007A2F40" w:rsidRDefault="002C6FB5">
            <w:pPr>
              <w:pStyle w:val="TableParagraph"/>
              <w:spacing w:before="39"/>
              <w:ind w:left="80"/>
              <w:rPr>
                <w:rFonts w:ascii="Times New Roman"/>
                <w:sz w:val="24"/>
              </w:rPr>
            </w:pPr>
            <w:r>
              <w:rPr>
                <w:rFonts w:ascii="Times New Roman"/>
                <w:sz w:val="24"/>
              </w:rPr>
              <w:t>Minimum</w:t>
            </w:r>
          </w:p>
        </w:tc>
        <w:tc>
          <w:tcPr>
            <w:tcW w:w="1275" w:type="dxa"/>
            <w:tcBorders>
              <w:top w:val="single" w:sz="18" w:space="0" w:color="FFFFFF"/>
              <w:left w:val="single" w:sz="8" w:space="0" w:color="000000"/>
              <w:right w:val="single" w:sz="8" w:space="0" w:color="000000"/>
            </w:tcBorders>
          </w:tcPr>
          <w:p w:rsidR="007A2F40" w:rsidRDefault="002C6FB5">
            <w:pPr>
              <w:pStyle w:val="TableParagraph"/>
              <w:spacing w:before="39"/>
              <w:ind w:left="130"/>
              <w:rPr>
                <w:rFonts w:ascii="Times New Roman"/>
                <w:sz w:val="24"/>
              </w:rPr>
            </w:pPr>
            <w:r>
              <w:rPr>
                <w:rFonts w:ascii="Times New Roman"/>
                <w:sz w:val="24"/>
              </w:rPr>
              <w:t>Maximum</w:t>
            </w:r>
          </w:p>
        </w:tc>
        <w:tc>
          <w:tcPr>
            <w:tcW w:w="1136" w:type="dxa"/>
            <w:tcBorders>
              <w:top w:val="single" w:sz="18" w:space="0" w:color="FFFFFF"/>
              <w:left w:val="single" w:sz="8" w:space="0" w:color="000000"/>
              <w:right w:val="single" w:sz="8" w:space="0" w:color="000000"/>
            </w:tcBorders>
          </w:tcPr>
          <w:p w:rsidR="007A2F40" w:rsidRDefault="002C6FB5">
            <w:pPr>
              <w:pStyle w:val="TableParagraph"/>
              <w:spacing w:before="39"/>
              <w:ind w:left="286"/>
              <w:rPr>
                <w:rFonts w:ascii="Times New Roman"/>
                <w:sz w:val="24"/>
              </w:rPr>
            </w:pPr>
            <w:r>
              <w:rPr>
                <w:rFonts w:ascii="Times New Roman"/>
                <w:sz w:val="24"/>
              </w:rPr>
              <w:t>Mean</w:t>
            </w:r>
          </w:p>
        </w:tc>
        <w:tc>
          <w:tcPr>
            <w:tcW w:w="1560" w:type="dxa"/>
            <w:tcBorders>
              <w:top w:val="single" w:sz="18" w:space="0" w:color="FFFFFF"/>
              <w:left w:val="single" w:sz="8" w:space="0" w:color="000000"/>
            </w:tcBorders>
          </w:tcPr>
          <w:p w:rsidR="007A2F40" w:rsidRDefault="002C6FB5">
            <w:pPr>
              <w:pStyle w:val="TableParagraph"/>
              <w:spacing w:before="39"/>
              <w:ind w:right="79"/>
              <w:jc w:val="right"/>
              <w:rPr>
                <w:rFonts w:ascii="Times New Roman"/>
                <w:sz w:val="24"/>
              </w:rPr>
            </w:pPr>
            <w:r>
              <w:rPr>
                <w:rFonts w:ascii="Times New Roman"/>
                <w:sz w:val="24"/>
              </w:rPr>
              <w:t>Std. Deviation</w:t>
            </w:r>
          </w:p>
        </w:tc>
      </w:tr>
      <w:tr w:rsidR="007A2F40">
        <w:trPr>
          <w:trHeight w:val="381"/>
        </w:trPr>
        <w:tc>
          <w:tcPr>
            <w:tcW w:w="1844" w:type="dxa"/>
          </w:tcPr>
          <w:p w:rsidR="007A2F40" w:rsidRDefault="002C6FB5">
            <w:pPr>
              <w:pStyle w:val="TableParagraph"/>
              <w:spacing w:before="59"/>
              <w:ind w:left="30"/>
              <w:rPr>
                <w:rFonts w:ascii="Times New Roman"/>
                <w:sz w:val="24"/>
              </w:rPr>
            </w:pPr>
            <w:r>
              <w:rPr>
                <w:rFonts w:ascii="Times New Roman"/>
                <w:sz w:val="24"/>
              </w:rPr>
              <w:t>X1</w:t>
            </w:r>
          </w:p>
        </w:tc>
        <w:tc>
          <w:tcPr>
            <w:tcW w:w="874" w:type="dxa"/>
            <w:tcBorders>
              <w:right w:val="single" w:sz="8" w:space="0" w:color="000000"/>
            </w:tcBorders>
          </w:tcPr>
          <w:p w:rsidR="007A2F40" w:rsidRDefault="002C6FB5">
            <w:pPr>
              <w:pStyle w:val="TableParagraph"/>
              <w:spacing w:before="59"/>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2C6FB5">
            <w:pPr>
              <w:pStyle w:val="TableParagraph"/>
              <w:spacing w:before="59"/>
              <w:ind w:right="15"/>
              <w:jc w:val="right"/>
              <w:rPr>
                <w:rFonts w:ascii="Times New Roman"/>
                <w:sz w:val="24"/>
              </w:rPr>
            </w:pPr>
            <w:r>
              <w:rPr>
                <w:rFonts w:ascii="Times New Roman"/>
                <w:sz w:val="24"/>
              </w:rPr>
              <w:t>.01</w:t>
            </w:r>
          </w:p>
        </w:tc>
        <w:tc>
          <w:tcPr>
            <w:tcW w:w="1275" w:type="dxa"/>
            <w:tcBorders>
              <w:left w:val="single" w:sz="8" w:space="0" w:color="000000"/>
              <w:right w:val="single" w:sz="8" w:space="0" w:color="000000"/>
            </w:tcBorders>
          </w:tcPr>
          <w:p w:rsidR="007A2F40" w:rsidRDefault="002C6FB5">
            <w:pPr>
              <w:pStyle w:val="TableParagraph"/>
              <w:spacing w:before="59"/>
              <w:ind w:right="13"/>
              <w:jc w:val="right"/>
              <w:rPr>
                <w:rFonts w:ascii="Times New Roman"/>
                <w:sz w:val="24"/>
              </w:rPr>
            </w:pPr>
            <w:r>
              <w:rPr>
                <w:rFonts w:ascii="Times New Roman"/>
                <w:sz w:val="24"/>
              </w:rPr>
              <w:t>.92</w:t>
            </w:r>
          </w:p>
        </w:tc>
        <w:tc>
          <w:tcPr>
            <w:tcW w:w="1136" w:type="dxa"/>
            <w:tcBorders>
              <w:left w:val="single" w:sz="8" w:space="0" w:color="000000"/>
              <w:right w:val="single" w:sz="8" w:space="0" w:color="000000"/>
            </w:tcBorders>
          </w:tcPr>
          <w:p w:rsidR="007A2F40" w:rsidRDefault="002C6FB5">
            <w:pPr>
              <w:pStyle w:val="TableParagraph"/>
              <w:spacing w:before="59"/>
              <w:ind w:right="16"/>
              <w:jc w:val="right"/>
              <w:rPr>
                <w:rFonts w:ascii="Times New Roman"/>
                <w:sz w:val="24"/>
              </w:rPr>
            </w:pPr>
            <w:r>
              <w:rPr>
                <w:rFonts w:ascii="Times New Roman"/>
                <w:sz w:val="24"/>
              </w:rPr>
              <w:t>.5690</w:t>
            </w:r>
          </w:p>
        </w:tc>
        <w:tc>
          <w:tcPr>
            <w:tcW w:w="1560" w:type="dxa"/>
            <w:tcBorders>
              <w:left w:val="single" w:sz="8" w:space="0" w:color="000000"/>
            </w:tcBorders>
          </w:tcPr>
          <w:p w:rsidR="007A2F40" w:rsidRDefault="002C6FB5">
            <w:pPr>
              <w:pStyle w:val="TableParagraph"/>
              <w:spacing w:before="59"/>
              <w:ind w:right="21"/>
              <w:jc w:val="right"/>
              <w:rPr>
                <w:rFonts w:ascii="Times New Roman"/>
                <w:sz w:val="24"/>
              </w:rPr>
            </w:pPr>
            <w:r>
              <w:rPr>
                <w:rFonts w:ascii="Times New Roman"/>
                <w:sz w:val="24"/>
              </w:rPr>
              <w:t>.28763</w:t>
            </w:r>
          </w:p>
        </w:tc>
      </w:tr>
      <w:tr w:rsidR="007A2F40">
        <w:trPr>
          <w:trHeight w:val="378"/>
        </w:trPr>
        <w:tc>
          <w:tcPr>
            <w:tcW w:w="1844" w:type="dxa"/>
          </w:tcPr>
          <w:p w:rsidR="007A2F40" w:rsidRDefault="002C6FB5">
            <w:pPr>
              <w:pStyle w:val="TableParagraph"/>
              <w:spacing w:before="57"/>
              <w:ind w:left="30"/>
              <w:rPr>
                <w:rFonts w:ascii="Times New Roman"/>
                <w:sz w:val="24"/>
              </w:rPr>
            </w:pPr>
            <w:r>
              <w:rPr>
                <w:rFonts w:ascii="Times New Roman"/>
                <w:sz w:val="24"/>
              </w:rPr>
              <w:t>X2</w:t>
            </w:r>
          </w:p>
        </w:tc>
        <w:tc>
          <w:tcPr>
            <w:tcW w:w="874" w:type="dxa"/>
            <w:tcBorders>
              <w:right w:val="single" w:sz="8" w:space="0" w:color="000000"/>
            </w:tcBorders>
          </w:tcPr>
          <w:p w:rsidR="007A2F40" w:rsidRDefault="002C6FB5">
            <w:pPr>
              <w:pStyle w:val="TableParagraph"/>
              <w:spacing w:before="57"/>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2C6FB5">
            <w:pPr>
              <w:pStyle w:val="TableParagraph"/>
              <w:spacing w:before="57"/>
              <w:ind w:right="15"/>
              <w:jc w:val="right"/>
              <w:rPr>
                <w:rFonts w:ascii="Times New Roman"/>
                <w:sz w:val="24"/>
              </w:rPr>
            </w:pPr>
            <w:r>
              <w:rPr>
                <w:rFonts w:ascii="Times New Roman"/>
                <w:sz w:val="24"/>
              </w:rPr>
              <w:t>.08</w:t>
            </w:r>
          </w:p>
        </w:tc>
        <w:tc>
          <w:tcPr>
            <w:tcW w:w="1275" w:type="dxa"/>
            <w:tcBorders>
              <w:left w:val="single" w:sz="8" w:space="0" w:color="000000"/>
              <w:right w:val="single" w:sz="8" w:space="0" w:color="000000"/>
            </w:tcBorders>
          </w:tcPr>
          <w:p w:rsidR="007A2F40" w:rsidRDefault="002C6FB5">
            <w:pPr>
              <w:pStyle w:val="TableParagraph"/>
              <w:spacing w:before="57"/>
              <w:ind w:right="13"/>
              <w:jc w:val="right"/>
              <w:rPr>
                <w:rFonts w:ascii="Times New Roman"/>
                <w:sz w:val="24"/>
              </w:rPr>
            </w:pPr>
            <w:r>
              <w:rPr>
                <w:rFonts w:ascii="Times New Roman"/>
                <w:sz w:val="24"/>
              </w:rPr>
              <w:t>.68</w:t>
            </w:r>
          </w:p>
        </w:tc>
        <w:tc>
          <w:tcPr>
            <w:tcW w:w="1136" w:type="dxa"/>
            <w:tcBorders>
              <w:left w:val="single" w:sz="8" w:space="0" w:color="000000"/>
              <w:right w:val="single" w:sz="8" w:space="0" w:color="000000"/>
            </w:tcBorders>
          </w:tcPr>
          <w:p w:rsidR="007A2F40" w:rsidRDefault="002C6FB5">
            <w:pPr>
              <w:pStyle w:val="TableParagraph"/>
              <w:spacing w:before="57"/>
              <w:ind w:right="16"/>
              <w:jc w:val="right"/>
              <w:rPr>
                <w:rFonts w:ascii="Times New Roman"/>
                <w:sz w:val="24"/>
              </w:rPr>
            </w:pPr>
            <w:r>
              <w:rPr>
                <w:rFonts w:ascii="Times New Roman"/>
                <w:sz w:val="24"/>
              </w:rPr>
              <w:t>.3027</w:t>
            </w:r>
          </w:p>
        </w:tc>
        <w:tc>
          <w:tcPr>
            <w:tcW w:w="1560" w:type="dxa"/>
            <w:tcBorders>
              <w:left w:val="single" w:sz="8" w:space="0" w:color="000000"/>
            </w:tcBorders>
          </w:tcPr>
          <w:p w:rsidR="007A2F40" w:rsidRDefault="002C6FB5">
            <w:pPr>
              <w:pStyle w:val="TableParagraph"/>
              <w:spacing w:before="57"/>
              <w:ind w:right="21"/>
              <w:jc w:val="right"/>
              <w:rPr>
                <w:rFonts w:ascii="Times New Roman"/>
                <w:sz w:val="24"/>
              </w:rPr>
            </w:pPr>
            <w:r>
              <w:rPr>
                <w:rFonts w:ascii="Times New Roman"/>
                <w:sz w:val="24"/>
              </w:rPr>
              <w:t>.17718</w:t>
            </w:r>
          </w:p>
        </w:tc>
      </w:tr>
      <w:tr w:rsidR="007A2F40">
        <w:trPr>
          <w:trHeight w:val="381"/>
        </w:trPr>
        <w:tc>
          <w:tcPr>
            <w:tcW w:w="1844" w:type="dxa"/>
          </w:tcPr>
          <w:p w:rsidR="007A2F40" w:rsidRDefault="002C6FB5">
            <w:pPr>
              <w:pStyle w:val="TableParagraph"/>
              <w:spacing w:before="59"/>
              <w:ind w:left="30"/>
              <w:rPr>
                <w:rFonts w:ascii="Times New Roman"/>
                <w:sz w:val="24"/>
              </w:rPr>
            </w:pPr>
            <w:r>
              <w:rPr>
                <w:rFonts w:ascii="Times New Roman"/>
                <w:sz w:val="24"/>
              </w:rPr>
              <w:t>X3</w:t>
            </w:r>
          </w:p>
        </w:tc>
        <w:tc>
          <w:tcPr>
            <w:tcW w:w="874" w:type="dxa"/>
            <w:tcBorders>
              <w:right w:val="single" w:sz="8" w:space="0" w:color="000000"/>
            </w:tcBorders>
          </w:tcPr>
          <w:p w:rsidR="007A2F40" w:rsidRDefault="002C6FB5">
            <w:pPr>
              <w:pStyle w:val="TableParagraph"/>
              <w:spacing w:before="59"/>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2C6FB5">
            <w:pPr>
              <w:pStyle w:val="TableParagraph"/>
              <w:spacing w:before="59"/>
              <w:ind w:right="15"/>
              <w:jc w:val="right"/>
              <w:rPr>
                <w:rFonts w:ascii="Times New Roman"/>
                <w:sz w:val="24"/>
              </w:rPr>
            </w:pPr>
            <w:r>
              <w:rPr>
                <w:rFonts w:ascii="Times New Roman"/>
                <w:sz w:val="24"/>
              </w:rPr>
              <w:t>.30</w:t>
            </w:r>
          </w:p>
        </w:tc>
        <w:tc>
          <w:tcPr>
            <w:tcW w:w="1275" w:type="dxa"/>
            <w:tcBorders>
              <w:left w:val="single" w:sz="8" w:space="0" w:color="000000"/>
              <w:right w:val="single" w:sz="8" w:space="0" w:color="000000"/>
            </w:tcBorders>
          </w:tcPr>
          <w:p w:rsidR="007A2F40" w:rsidRDefault="002C6FB5">
            <w:pPr>
              <w:pStyle w:val="TableParagraph"/>
              <w:spacing w:before="59"/>
              <w:ind w:right="13"/>
              <w:jc w:val="right"/>
              <w:rPr>
                <w:rFonts w:ascii="Times New Roman"/>
                <w:sz w:val="24"/>
              </w:rPr>
            </w:pPr>
            <w:r>
              <w:rPr>
                <w:rFonts w:ascii="Times New Roman"/>
                <w:sz w:val="24"/>
              </w:rPr>
              <w:t>.50</w:t>
            </w:r>
          </w:p>
        </w:tc>
        <w:tc>
          <w:tcPr>
            <w:tcW w:w="1136" w:type="dxa"/>
            <w:tcBorders>
              <w:left w:val="single" w:sz="8" w:space="0" w:color="000000"/>
              <w:right w:val="single" w:sz="8" w:space="0" w:color="000000"/>
            </w:tcBorders>
          </w:tcPr>
          <w:p w:rsidR="007A2F40" w:rsidRDefault="002C6FB5">
            <w:pPr>
              <w:pStyle w:val="TableParagraph"/>
              <w:spacing w:before="59"/>
              <w:ind w:right="16"/>
              <w:jc w:val="right"/>
              <w:rPr>
                <w:rFonts w:ascii="Times New Roman"/>
                <w:sz w:val="24"/>
              </w:rPr>
            </w:pPr>
            <w:r>
              <w:rPr>
                <w:rFonts w:ascii="Times New Roman"/>
                <w:sz w:val="24"/>
              </w:rPr>
              <w:t>.3837</w:t>
            </w:r>
          </w:p>
        </w:tc>
        <w:tc>
          <w:tcPr>
            <w:tcW w:w="1560" w:type="dxa"/>
            <w:tcBorders>
              <w:left w:val="single" w:sz="8" w:space="0" w:color="000000"/>
            </w:tcBorders>
          </w:tcPr>
          <w:p w:rsidR="007A2F40" w:rsidRDefault="002C6FB5">
            <w:pPr>
              <w:pStyle w:val="TableParagraph"/>
              <w:spacing w:before="59"/>
              <w:ind w:right="21"/>
              <w:jc w:val="right"/>
              <w:rPr>
                <w:rFonts w:ascii="Times New Roman"/>
                <w:sz w:val="24"/>
              </w:rPr>
            </w:pPr>
            <w:r>
              <w:rPr>
                <w:rFonts w:ascii="Times New Roman"/>
                <w:sz w:val="24"/>
              </w:rPr>
              <w:t>.06881</w:t>
            </w:r>
          </w:p>
        </w:tc>
      </w:tr>
      <w:tr w:rsidR="007A2F40">
        <w:trPr>
          <w:trHeight w:val="378"/>
        </w:trPr>
        <w:tc>
          <w:tcPr>
            <w:tcW w:w="1844" w:type="dxa"/>
          </w:tcPr>
          <w:p w:rsidR="007A2F40" w:rsidRDefault="002C6FB5">
            <w:pPr>
              <w:pStyle w:val="TableParagraph"/>
              <w:spacing w:before="57"/>
              <w:ind w:left="30"/>
              <w:rPr>
                <w:rFonts w:ascii="Times New Roman"/>
                <w:sz w:val="24"/>
              </w:rPr>
            </w:pPr>
            <w:r>
              <w:rPr>
                <w:rFonts w:ascii="Times New Roman"/>
                <w:sz w:val="24"/>
              </w:rPr>
              <w:t>X4</w:t>
            </w:r>
          </w:p>
        </w:tc>
        <w:tc>
          <w:tcPr>
            <w:tcW w:w="874" w:type="dxa"/>
            <w:tcBorders>
              <w:right w:val="single" w:sz="8" w:space="0" w:color="000000"/>
            </w:tcBorders>
          </w:tcPr>
          <w:p w:rsidR="007A2F40" w:rsidRDefault="002C6FB5">
            <w:pPr>
              <w:pStyle w:val="TableParagraph"/>
              <w:spacing w:before="57"/>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2C6FB5">
            <w:pPr>
              <w:pStyle w:val="TableParagraph"/>
              <w:spacing w:before="57"/>
              <w:ind w:right="15"/>
              <w:jc w:val="right"/>
              <w:rPr>
                <w:rFonts w:ascii="Times New Roman"/>
                <w:sz w:val="24"/>
              </w:rPr>
            </w:pPr>
            <w:r>
              <w:rPr>
                <w:rFonts w:ascii="Times New Roman"/>
                <w:sz w:val="24"/>
              </w:rPr>
              <w:t>-.49</w:t>
            </w:r>
          </w:p>
        </w:tc>
        <w:tc>
          <w:tcPr>
            <w:tcW w:w="1275" w:type="dxa"/>
            <w:tcBorders>
              <w:left w:val="single" w:sz="8" w:space="0" w:color="000000"/>
              <w:right w:val="single" w:sz="8" w:space="0" w:color="000000"/>
            </w:tcBorders>
          </w:tcPr>
          <w:p w:rsidR="007A2F40" w:rsidRDefault="002C6FB5">
            <w:pPr>
              <w:pStyle w:val="TableParagraph"/>
              <w:spacing w:before="57"/>
              <w:ind w:right="13"/>
              <w:jc w:val="right"/>
              <w:rPr>
                <w:rFonts w:ascii="Times New Roman"/>
                <w:sz w:val="24"/>
              </w:rPr>
            </w:pPr>
            <w:r>
              <w:rPr>
                <w:rFonts w:ascii="Times New Roman"/>
                <w:sz w:val="24"/>
              </w:rPr>
              <w:t>1015.56</w:t>
            </w:r>
          </w:p>
        </w:tc>
        <w:tc>
          <w:tcPr>
            <w:tcW w:w="1136" w:type="dxa"/>
            <w:tcBorders>
              <w:left w:val="single" w:sz="8" w:space="0" w:color="000000"/>
              <w:right w:val="single" w:sz="8" w:space="0" w:color="000000"/>
            </w:tcBorders>
          </w:tcPr>
          <w:p w:rsidR="007A2F40" w:rsidRDefault="002C6FB5">
            <w:pPr>
              <w:pStyle w:val="TableParagraph"/>
              <w:spacing w:before="57"/>
              <w:ind w:right="16"/>
              <w:jc w:val="right"/>
              <w:rPr>
                <w:rFonts w:ascii="Times New Roman"/>
                <w:sz w:val="24"/>
              </w:rPr>
            </w:pPr>
            <w:r>
              <w:rPr>
                <w:rFonts w:ascii="Times New Roman"/>
                <w:sz w:val="24"/>
              </w:rPr>
              <w:t>2.4737E2</w:t>
            </w:r>
          </w:p>
        </w:tc>
        <w:tc>
          <w:tcPr>
            <w:tcW w:w="1560" w:type="dxa"/>
            <w:tcBorders>
              <w:left w:val="single" w:sz="8" w:space="0" w:color="000000"/>
            </w:tcBorders>
          </w:tcPr>
          <w:p w:rsidR="007A2F40" w:rsidRDefault="002C6FB5">
            <w:pPr>
              <w:pStyle w:val="TableParagraph"/>
              <w:spacing w:before="57"/>
              <w:ind w:right="21"/>
              <w:jc w:val="right"/>
              <w:rPr>
                <w:rFonts w:ascii="Times New Roman"/>
                <w:sz w:val="24"/>
              </w:rPr>
            </w:pPr>
            <w:r>
              <w:rPr>
                <w:rFonts w:ascii="Times New Roman"/>
                <w:sz w:val="24"/>
              </w:rPr>
              <w:t>360.63775</w:t>
            </w:r>
          </w:p>
        </w:tc>
      </w:tr>
      <w:tr w:rsidR="007A2F40">
        <w:trPr>
          <w:trHeight w:val="381"/>
        </w:trPr>
        <w:tc>
          <w:tcPr>
            <w:tcW w:w="1844" w:type="dxa"/>
          </w:tcPr>
          <w:p w:rsidR="007A2F40" w:rsidRDefault="002C6FB5">
            <w:pPr>
              <w:pStyle w:val="TableParagraph"/>
              <w:spacing w:before="60"/>
              <w:ind w:left="30"/>
              <w:rPr>
                <w:rFonts w:ascii="Times New Roman"/>
                <w:sz w:val="24"/>
              </w:rPr>
            </w:pPr>
            <w:r>
              <w:rPr>
                <w:rFonts w:ascii="Times New Roman"/>
                <w:w w:val="99"/>
                <w:sz w:val="24"/>
              </w:rPr>
              <w:t>Y</w:t>
            </w:r>
          </w:p>
        </w:tc>
        <w:tc>
          <w:tcPr>
            <w:tcW w:w="874" w:type="dxa"/>
            <w:tcBorders>
              <w:right w:val="single" w:sz="8" w:space="0" w:color="000000"/>
            </w:tcBorders>
          </w:tcPr>
          <w:p w:rsidR="007A2F40" w:rsidRDefault="002C6FB5">
            <w:pPr>
              <w:pStyle w:val="TableParagraph"/>
              <w:spacing w:before="60"/>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2C6FB5">
            <w:pPr>
              <w:pStyle w:val="TableParagraph"/>
              <w:spacing w:before="60"/>
              <w:ind w:right="15"/>
              <w:jc w:val="right"/>
              <w:rPr>
                <w:rFonts w:ascii="Times New Roman"/>
                <w:sz w:val="24"/>
              </w:rPr>
            </w:pPr>
            <w:r>
              <w:rPr>
                <w:rFonts w:ascii="Times New Roman"/>
                <w:sz w:val="24"/>
              </w:rPr>
              <w:t>-3.24</w:t>
            </w:r>
          </w:p>
        </w:tc>
        <w:tc>
          <w:tcPr>
            <w:tcW w:w="1275" w:type="dxa"/>
            <w:tcBorders>
              <w:left w:val="single" w:sz="8" w:space="0" w:color="000000"/>
              <w:right w:val="single" w:sz="8" w:space="0" w:color="000000"/>
            </w:tcBorders>
          </w:tcPr>
          <w:p w:rsidR="007A2F40" w:rsidRDefault="002C6FB5">
            <w:pPr>
              <w:pStyle w:val="TableParagraph"/>
              <w:spacing w:before="60"/>
              <w:ind w:right="13"/>
              <w:jc w:val="right"/>
              <w:rPr>
                <w:rFonts w:ascii="Times New Roman"/>
                <w:sz w:val="24"/>
              </w:rPr>
            </w:pPr>
            <w:r>
              <w:rPr>
                <w:rFonts w:ascii="Times New Roman"/>
                <w:sz w:val="24"/>
              </w:rPr>
              <w:t>.54</w:t>
            </w:r>
          </w:p>
        </w:tc>
        <w:tc>
          <w:tcPr>
            <w:tcW w:w="1136" w:type="dxa"/>
            <w:tcBorders>
              <w:left w:val="single" w:sz="8" w:space="0" w:color="000000"/>
              <w:right w:val="single" w:sz="8" w:space="0" w:color="000000"/>
            </w:tcBorders>
          </w:tcPr>
          <w:p w:rsidR="007A2F40" w:rsidRDefault="002C6FB5">
            <w:pPr>
              <w:pStyle w:val="TableParagraph"/>
              <w:spacing w:before="60"/>
              <w:ind w:right="16"/>
              <w:jc w:val="right"/>
              <w:rPr>
                <w:rFonts w:ascii="Times New Roman"/>
                <w:sz w:val="24"/>
              </w:rPr>
            </w:pPr>
            <w:r>
              <w:rPr>
                <w:rFonts w:ascii="Times New Roman"/>
                <w:sz w:val="24"/>
              </w:rPr>
              <w:t>-.8752</w:t>
            </w:r>
          </w:p>
        </w:tc>
        <w:tc>
          <w:tcPr>
            <w:tcW w:w="1560" w:type="dxa"/>
            <w:tcBorders>
              <w:left w:val="single" w:sz="8" w:space="0" w:color="000000"/>
            </w:tcBorders>
          </w:tcPr>
          <w:p w:rsidR="007A2F40" w:rsidRDefault="002C6FB5">
            <w:pPr>
              <w:pStyle w:val="TableParagraph"/>
              <w:spacing w:before="60"/>
              <w:ind w:right="21"/>
              <w:jc w:val="right"/>
              <w:rPr>
                <w:rFonts w:ascii="Times New Roman"/>
                <w:sz w:val="24"/>
              </w:rPr>
            </w:pPr>
            <w:r>
              <w:rPr>
                <w:rFonts w:ascii="Times New Roman"/>
                <w:sz w:val="24"/>
              </w:rPr>
              <w:t>.90870</w:t>
            </w:r>
          </w:p>
        </w:tc>
      </w:tr>
      <w:tr w:rsidR="007A2F40">
        <w:trPr>
          <w:trHeight w:val="378"/>
        </w:trPr>
        <w:tc>
          <w:tcPr>
            <w:tcW w:w="1844" w:type="dxa"/>
          </w:tcPr>
          <w:p w:rsidR="007A2F40" w:rsidRDefault="002C6FB5">
            <w:pPr>
              <w:pStyle w:val="TableParagraph"/>
              <w:spacing w:before="57"/>
              <w:ind w:left="30"/>
              <w:rPr>
                <w:rFonts w:ascii="Times New Roman"/>
                <w:sz w:val="24"/>
              </w:rPr>
            </w:pPr>
            <w:r>
              <w:rPr>
                <w:rFonts w:ascii="Times New Roman"/>
                <w:sz w:val="24"/>
              </w:rPr>
              <w:t>Valid N (listwise)</w:t>
            </w:r>
          </w:p>
        </w:tc>
        <w:tc>
          <w:tcPr>
            <w:tcW w:w="874" w:type="dxa"/>
            <w:tcBorders>
              <w:right w:val="single" w:sz="8" w:space="0" w:color="000000"/>
            </w:tcBorders>
          </w:tcPr>
          <w:p w:rsidR="007A2F40" w:rsidRDefault="002C6FB5">
            <w:pPr>
              <w:pStyle w:val="TableParagraph"/>
              <w:spacing w:before="57"/>
              <w:ind w:right="12"/>
              <w:jc w:val="right"/>
              <w:rPr>
                <w:rFonts w:ascii="Times New Roman"/>
                <w:sz w:val="24"/>
              </w:rPr>
            </w:pPr>
            <w:r>
              <w:rPr>
                <w:rFonts w:ascii="Times New Roman"/>
                <w:sz w:val="24"/>
              </w:rPr>
              <w:t>30</w:t>
            </w:r>
          </w:p>
        </w:tc>
        <w:tc>
          <w:tcPr>
            <w:tcW w:w="1136" w:type="dxa"/>
            <w:tcBorders>
              <w:left w:val="single" w:sz="8" w:space="0" w:color="000000"/>
              <w:right w:val="single" w:sz="8" w:space="0" w:color="000000"/>
            </w:tcBorders>
          </w:tcPr>
          <w:p w:rsidR="007A2F40" w:rsidRDefault="007A2F40">
            <w:pPr>
              <w:pStyle w:val="TableParagraph"/>
              <w:rPr>
                <w:rFonts w:ascii="Times New Roman"/>
              </w:rPr>
            </w:pPr>
          </w:p>
        </w:tc>
        <w:tc>
          <w:tcPr>
            <w:tcW w:w="1275" w:type="dxa"/>
            <w:tcBorders>
              <w:left w:val="single" w:sz="8" w:space="0" w:color="000000"/>
              <w:right w:val="single" w:sz="8" w:space="0" w:color="000000"/>
            </w:tcBorders>
          </w:tcPr>
          <w:p w:rsidR="007A2F40" w:rsidRDefault="007A2F40">
            <w:pPr>
              <w:pStyle w:val="TableParagraph"/>
              <w:rPr>
                <w:rFonts w:ascii="Times New Roman"/>
              </w:rPr>
            </w:pPr>
          </w:p>
        </w:tc>
        <w:tc>
          <w:tcPr>
            <w:tcW w:w="1136" w:type="dxa"/>
            <w:tcBorders>
              <w:left w:val="single" w:sz="8" w:space="0" w:color="000000"/>
              <w:right w:val="single" w:sz="8" w:space="0" w:color="000000"/>
            </w:tcBorders>
          </w:tcPr>
          <w:p w:rsidR="007A2F40" w:rsidRDefault="007A2F40">
            <w:pPr>
              <w:pStyle w:val="TableParagraph"/>
              <w:rPr>
                <w:rFonts w:ascii="Times New Roman"/>
              </w:rPr>
            </w:pPr>
          </w:p>
        </w:tc>
        <w:tc>
          <w:tcPr>
            <w:tcW w:w="1560" w:type="dxa"/>
            <w:tcBorders>
              <w:left w:val="single" w:sz="8" w:space="0" w:color="000000"/>
            </w:tcBorders>
          </w:tcPr>
          <w:p w:rsidR="007A2F40" w:rsidRDefault="007A2F40">
            <w:pPr>
              <w:pStyle w:val="TableParagraph"/>
              <w:rPr>
                <w:rFonts w:ascii="Times New Roman"/>
              </w:rPr>
            </w:pPr>
          </w:p>
        </w:tc>
      </w:tr>
    </w:tbl>
    <w:p w:rsidR="007A2F40" w:rsidRDefault="007A2F40">
      <w:pPr>
        <w:sectPr w:rsidR="007A2F40">
          <w:pgSz w:w="11900" w:h="16850"/>
          <w:pgMar w:top="1480" w:right="1400" w:bottom="720" w:left="1460" w:header="333" w:footer="528" w:gutter="0"/>
          <w:cols w:space="720"/>
        </w:sectPr>
      </w:pPr>
    </w:p>
    <w:p w:rsidR="007A2F40" w:rsidRDefault="002C6FB5">
      <w:pPr>
        <w:pStyle w:val="BodyText"/>
        <w:spacing w:before="81"/>
        <w:ind w:left="119"/>
        <w:jc w:val="both"/>
      </w:pPr>
      <w:r>
        <w:lastRenderedPageBreak/>
        <w:t>Berdasarkan tabel diatas diketahui bahwa :</w:t>
      </w:r>
    </w:p>
    <w:p w:rsidR="007A2F40" w:rsidRDefault="002C6FB5">
      <w:pPr>
        <w:pStyle w:val="BodyText"/>
        <w:spacing w:before="1"/>
        <w:ind w:left="119" w:right="111" w:firstLine="566"/>
        <w:jc w:val="both"/>
      </w:pPr>
      <w:r>
        <w:t xml:space="preserve">Variabel Kepemilikan Manajerial mempunyai nilai rata-rata sebesar 0.5690 (56.90%) dengan standar deviasi sebesar 0.28763 (28.763%). Nilai minimum untuk variabel kepemilikan manajerial sebesar 0.01 (1%). Sedangkan nilai maximum sebesar 0.92 (92%). Variabel </w:t>
      </w:r>
      <w:r>
        <w:t>Kepemilikan Institusional mempunyai nilai rata-rata sebesar 0.3027 (30.27%) dengan standar deviasi sebesar 0.17718 (17.718%). Nilai minimum untuk variabel Kepemilikan Institusional sebesar 0.08 (8%). Sedangkan nilai maximum sebesar 0.68 (68%). Variabel Efe</w:t>
      </w:r>
      <w:r>
        <w:t xml:space="preserve">ktivitas Dewan mempunyai nilai rata- rata sebesar 0.3837 (38.37%) dengan standar deviasi sebesar 0.06881 (6.881%). Nilai minimum untuk variabel Efektivitas Dewan sebesar 0.30 (30%). Sedangkan nilai maximum sebesar 0.50 (50%). Variabel Pembiayaan Eksternal </w:t>
      </w:r>
      <w:r>
        <w:t>mempunyai nilai rata-rata sebesar 2.4737 dengan standar deviasi sebesar 360.63775. Nilai minimum untuk variabel Efektivitas Dewan sebesar -0.49. Sedangkan nilai maximum sebesar 1015.56. Variabel Manajemen Laba mempunyai nilai rata-rata sebesar -0.8752 deng</w:t>
      </w:r>
      <w:r>
        <w:t>an standar deviasi sebesar 0.90870. Nilai minimum untuk variabel Manajemen Laba sebesar -3.24. Sedangkan nilai maximum sebesar 0.54.</w:t>
      </w:r>
    </w:p>
    <w:p w:rsidR="007A2F40" w:rsidRDefault="007A2F40">
      <w:pPr>
        <w:pStyle w:val="BodyText"/>
        <w:spacing w:before="6"/>
        <w:rPr>
          <w:sz w:val="21"/>
        </w:rPr>
      </w:pPr>
    </w:p>
    <w:p w:rsidR="007A2F40" w:rsidRDefault="002C6FB5">
      <w:pPr>
        <w:pStyle w:val="Heading2"/>
        <w:ind w:right="7204"/>
        <w:jc w:val="both"/>
      </w:pPr>
      <w:r>
        <w:t>Uji Asumsi Klasik Uji Normalitas</w:t>
      </w:r>
    </w:p>
    <w:p w:rsidR="007A2F40" w:rsidRDefault="002C6FB5">
      <w:pPr>
        <w:pStyle w:val="BodyText"/>
        <w:spacing w:before="1"/>
        <w:ind w:left="119" w:right="112" w:firstLine="566"/>
        <w:jc w:val="both"/>
      </w:pPr>
      <w:r>
        <w:t>Uji normalitas bertujuan untuk menguji apakah pada model regresi, penelitian memiliki dis</w:t>
      </w:r>
      <w:r>
        <w:t>tribusi yang normal atau tidak. Pengambilan keputusan untuk menentukan apakah data terdistribusi secara normal atau tidak adalah sebagai berikut:</w:t>
      </w:r>
    </w:p>
    <w:p w:rsidR="007A2F40" w:rsidRDefault="002C6FB5">
      <w:pPr>
        <w:pStyle w:val="ListParagraph"/>
        <w:numPr>
          <w:ilvl w:val="0"/>
          <w:numId w:val="2"/>
        </w:numPr>
        <w:tabs>
          <w:tab w:val="left" w:pos="1627"/>
        </w:tabs>
        <w:spacing w:line="252" w:lineRule="exact"/>
        <w:ind w:hanging="361"/>
        <w:jc w:val="both"/>
      </w:pPr>
      <w:r>
        <w:t>Nilai Asymp. Sig. (2-tailed) &gt; 0.05 maka data terdistribusi</w:t>
      </w:r>
      <w:r>
        <w:rPr>
          <w:spacing w:val="-5"/>
        </w:rPr>
        <w:t xml:space="preserve"> </w:t>
      </w:r>
      <w:r>
        <w:t>normal</w:t>
      </w:r>
    </w:p>
    <w:p w:rsidR="007A2F40" w:rsidRDefault="002C6FB5">
      <w:pPr>
        <w:pStyle w:val="ListParagraph"/>
        <w:numPr>
          <w:ilvl w:val="0"/>
          <w:numId w:val="2"/>
        </w:numPr>
        <w:tabs>
          <w:tab w:val="left" w:pos="1253"/>
        </w:tabs>
        <w:ind w:left="1252" w:right="1470" w:hanging="425"/>
        <w:jc w:val="both"/>
      </w:pPr>
      <w:r>
        <w:t>Nilai Asymp. Sig. (2-tailed) &lt; 0.05 maka da</w:t>
      </w:r>
      <w:r>
        <w:t>ta tidak terdistribusi normal Hasil Uji Normalitas data yang diperoleh sebagai</w:t>
      </w:r>
      <w:r>
        <w:rPr>
          <w:spacing w:val="-8"/>
        </w:rPr>
        <w:t xml:space="preserve"> </w:t>
      </w:r>
      <w:r>
        <w:t>berikut:</w:t>
      </w:r>
    </w:p>
    <w:p w:rsidR="007A2F40" w:rsidRDefault="007A2F40">
      <w:pPr>
        <w:pStyle w:val="BodyText"/>
        <w:spacing w:before="1"/>
      </w:pPr>
    </w:p>
    <w:p w:rsidR="007A2F40" w:rsidRDefault="002C6FB5">
      <w:pPr>
        <w:pStyle w:val="Heading2"/>
        <w:ind w:left="3821" w:right="3817" w:firstLine="348"/>
        <w:jc w:val="left"/>
      </w:pPr>
      <w:r>
        <w:t>Tabel  2 Uji</w:t>
      </w:r>
      <w:r>
        <w:rPr>
          <w:spacing w:val="9"/>
        </w:rPr>
        <w:t xml:space="preserve"> </w:t>
      </w:r>
      <w:r>
        <w:rPr>
          <w:spacing w:val="-3"/>
        </w:rPr>
        <w:t>Normalitas</w:t>
      </w:r>
    </w:p>
    <w:tbl>
      <w:tblPr>
        <w:tblW w:w="0" w:type="auto"/>
        <w:tblInd w:w="1388" w:type="dxa"/>
        <w:tblLayout w:type="fixed"/>
        <w:tblCellMar>
          <w:left w:w="0" w:type="dxa"/>
          <w:right w:w="0" w:type="dxa"/>
        </w:tblCellMar>
        <w:tblLook w:val="01E0"/>
      </w:tblPr>
      <w:tblGrid>
        <w:gridCol w:w="2232"/>
        <w:gridCol w:w="2490"/>
        <w:gridCol w:w="1592"/>
      </w:tblGrid>
      <w:tr w:rsidR="007A2F40">
        <w:trPr>
          <w:trHeight w:val="697"/>
        </w:trPr>
        <w:tc>
          <w:tcPr>
            <w:tcW w:w="4722" w:type="dxa"/>
            <w:gridSpan w:val="2"/>
            <w:tcBorders>
              <w:top w:val="single" w:sz="18" w:space="0" w:color="000000"/>
              <w:left w:val="single" w:sz="18" w:space="0" w:color="000000"/>
              <w:bottom w:val="single" w:sz="18" w:space="0" w:color="000000"/>
              <w:right w:val="single" w:sz="18" w:space="0" w:color="000000"/>
            </w:tcBorders>
          </w:tcPr>
          <w:p w:rsidR="007A2F40" w:rsidRDefault="007A2F40">
            <w:pPr>
              <w:pStyle w:val="TableParagraph"/>
              <w:rPr>
                <w:rFonts w:ascii="Times New Roman"/>
                <w:sz w:val="20"/>
              </w:rPr>
            </w:pPr>
          </w:p>
        </w:tc>
        <w:tc>
          <w:tcPr>
            <w:tcW w:w="1592" w:type="dxa"/>
            <w:tcBorders>
              <w:top w:val="single" w:sz="18" w:space="0" w:color="000000"/>
              <w:left w:val="single" w:sz="18" w:space="0" w:color="000000"/>
              <w:bottom w:val="single" w:sz="18" w:space="0" w:color="000000"/>
              <w:right w:val="single" w:sz="18" w:space="0" w:color="000000"/>
            </w:tcBorders>
          </w:tcPr>
          <w:p w:rsidR="007A2F40" w:rsidRDefault="002C6FB5">
            <w:pPr>
              <w:pStyle w:val="TableParagraph"/>
              <w:spacing w:before="29" w:line="320" w:lineRule="atLeast"/>
              <w:ind w:left="440" w:right="107" w:hanging="281"/>
              <w:rPr>
                <w:sz w:val="18"/>
              </w:rPr>
            </w:pPr>
            <w:r>
              <w:rPr>
                <w:sz w:val="18"/>
              </w:rPr>
              <w:t>Unstandardized Residual</w:t>
            </w:r>
          </w:p>
        </w:tc>
      </w:tr>
      <w:tr w:rsidR="007A2F40">
        <w:trPr>
          <w:trHeight w:val="433"/>
        </w:trPr>
        <w:tc>
          <w:tcPr>
            <w:tcW w:w="2232" w:type="dxa"/>
            <w:tcBorders>
              <w:top w:val="single" w:sz="18" w:space="0" w:color="000000"/>
              <w:left w:val="single" w:sz="18" w:space="0" w:color="000000"/>
            </w:tcBorders>
          </w:tcPr>
          <w:p w:rsidR="007A2F40" w:rsidRDefault="002C6FB5">
            <w:pPr>
              <w:pStyle w:val="TableParagraph"/>
              <w:spacing w:before="140"/>
              <w:ind w:left="27"/>
              <w:rPr>
                <w:sz w:val="18"/>
              </w:rPr>
            </w:pPr>
            <w:r>
              <w:rPr>
                <w:w w:val="99"/>
                <w:sz w:val="18"/>
              </w:rPr>
              <w:t>N</w:t>
            </w:r>
          </w:p>
        </w:tc>
        <w:tc>
          <w:tcPr>
            <w:tcW w:w="2490" w:type="dxa"/>
            <w:tcBorders>
              <w:top w:val="single" w:sz="18" w:space="0" w:color="000000"/>
              <w:right w:val="single" w:sz="18" w:space="0" w:color="000000"/>
            </w:tcBorders>
          </w:tcPr>
          <w:p w:rsidR="007A2F40" w:rsidRDefault="007A2F40">
            <w:pPr>
              <w:pStyle w:val="TableParagraph"/>
              <w:rPr>
                <w:rFonts w:ascii="Times New Roman"/>
                <w:sz w:val="20"/>
              </w:rPr>
            </w:pPr>
          </w:p>
        </w:tc>
        <w:tc>
          <w:tcPr>
            <w:tcW w:w="1592" w:type="dxa"/>
            <w:tcBorders>
              <w:top w:val="single" w:sz="18" w:space="0" w:color="000000"/>
              <w:left w:val="single" w:sz="18" w:space="0" w:color="000000"/>
              <w:right w:val="single" w:sz="18" w:space="0" w:color="000000"/>
            </w:tcBorders>
          </w:tcPr>
          <w:p w:rsidR="007A2F40" w:rsidRDefault="002C6FB5">
            <w:pPr>
              <w:pStyle w:val="TableParagraph"/>
              <w:spacing w:before="140"/>
              <w:ind w:left="346" w:right="306"/>
              <w:jc w:val="center"/>
              <w:rPr>
                <w:sz w:val="18"/>
              </w:rPr>
            </w:pPr>
            <w:r>
              <w:rPr>
                <w:sz w:val="18"/>
              </w:rPr>
              <w:t>30</w:t>
            </w:r>
          </w:p>
        </w:tc>
      </w:tr>
      <w:tr w:rsidR="007A2F40">
        <w:trPr>
          <w:trHeight w:val="383"/>
        </w:trPr>
        <w:tc>
          <w:tcPr>
            <w:tcW w:w="2232" w:type="dxa"/>
            <w:tcBorders>
              <w:left w:val="single" w:sz="18" w:space="0" w:color="000000"/>
            </w:tcBorders>
          </w:tcPr>
          <w:p w:rsidR="007A2F40" w:rsidRDefault="002C6FB5">
            <w:pPr>
              <w:pStyle w:val="TableParagraph"/>
              <w:spacing w:before="82"/>
              <w:ind w:left="27"/>
              <w:rPr>
                <w:sz w:val="12"/>
              </w:rPr>
            </w:pPr>
            <w:r>
              <w:rPr>
                <w:sz w:val="18"/>
              </w:rPr>
              <w:t>Normal Parameters</w:t>
            </w:r>
            <w:r>
              <w:rPr>
                <w:position w:val="6"/>
                <w:sz w:val="12"/>
              </w:rPr>
              <w:t>a</w:t>
            </w:r>
          </w:p>
        </w:tc>
        <w:tc>
          <w:tcPr>
            <w:tcW w:w="2490" w:type="dxa"/>
            <w:tcBorders>
              <w:right w:val="single" w:sz="18" w:space="0" w:color="000000"/>
            </w:tcBorders>
          </w:tcPr>
          <w:p w:rsidR="007A2F40" w:rsidRDefault="002C6FB5">
            <w:pPr>
              <w:pStyle w:val="TableParagraph"/>
              <w:spacing w:before="86"/>
              <w:ind w:left="149"/>
              <w:rPr>
                <w:sz w:val="18"/>
              </w:rPr>
            </w:pPr>
            <w:r>
              <w:rPr>
                <w:sz w:val="18"/>
              </w:rPr>
              <w:t>Mean</w:t>
            </w:r>
          </w:p>
        </w:tc>
        <w:tc>
          <w:tcPr>
            <w:tcW w:w="1592" w:type="dxa"/>
            <w:tcBorders>
              <w:left w:val="single" w:sz="18" w:space="0" w:color="000000"/>
              <w:right w:val="single" w:sz="18" w:space="0" w:color="000000"/>
            </w:tcBorders>
          </w:tcPr>
          <w:p w:rsidR="007A2F40" w:rsidRDefault="002C6FB5">
            <w:pPr>
              <w:pStyle w:val="TableParagraph"/>
              <w:spacing w:before="86"/>
              <w:ind w:left="346" w:right="308"/>
              <w:jc w:val="center"/>
              <w:rPr>
                <w:sz w:val="18"/>
              </w:rPr>
            </w:pPr>
            <w:r>
              <w:rPr>
                <w:sz w:val="18"/>
              </w:rPr>
              <w:t>.0000000</w:t>
            </w:r>
          </w:p>
        </w:tc>
      </w:tr>
      <w:tr w:rsidR="007A2F40">
        <w:trPr>
          <w:trHeight w:val="380"/>
        </w:trPr>
        <w:tc>
          <w:tcPr>
            <w:tcW w:w="2232" w:type="dxa"/>
            <w:tcBorders>
              <w:left w:val="single" w:sz="18" w:space="0" w:color="000000"/>
            </w:tcBorders>
          </w:tcPr>
          <w:p w:rsidR="007A2F40" w:rsidRDefault="007A2F40">
            <w:pPr>
              <w:pStyle w:val="TableParagraph"/>
              <w:rPr>
                <w:rFonts w:ascii="Times New Roman"/>
                <w:sz w:val="20"/>
              </w:rPr>
            </w:pPr>
          </w:p>
        </w:tc>
        <w:tc>
          <w:tcPr>
            <w:tcW w:w="2490" w:type="dxa"/>
            <w:tcBorders>
              <w:right w:val="single" w:sz="18" w:space="0" w:color="000000"/>
            </w:tcBorders>
          </w:tcPr>
          <w:p w:rsidR="007A2F40" w:rsidRDefault="002C6FB5">
            <w:pPr>
              <w:pStyle w:val="TableParagraph"/>
              <w:spacing w:before="84"/>
              <w:ind w:left="149"/>
              <w:rPr>
                <w:sz w:val="18"/>
              </w:rPr>
            </w:pPr>
            <w:r>
              <w:rPr>
                <w:sz w:val="18"/>
              </w:rPr>
              <w:t>Std. Deviation</w:t>
            </w:r>
          </w:p>
        </w:tc>
        <w:tc>
          <w:tcPr>
            <w:tcW w:w="1592" w:type="dxa"/>
            <w:tcBorders>
              <w:left w:val="single" w:sz="18" w:space="0" w:color="000000"/>
              <w:right w:val="single" w:sz="18" w:space="0" w:color="000000"/>
            </w:tcBorders>
          </w:tcPr>
          <w:p w:rsidR="007A2F40" w:rsidRDefault="002C6FB5">
            <w:pPr>
              <w:pStyle w:val="TableParagraph"/>
              <w:spacing w:before="84"/>
              <w:ind w:left="346" w:right="309"/>
              <w:jc w:val="center"/>
              <w:rPr>
                <w:sz w:val="18"/>
              </w:rPr>
            </w:pPr>
            <w:r>
              <w:rPr>
                <w:sz w:val="18"/>
              </w:rPr>
              <w:t>.70444704</w:t>
            </w:r>
          </w:p>
        </w:tc>
      </w:tr>
      <w:tr w:rsidR="007A2F40">
        <w:trPr>
          <w:trHeight w:val="379"/>
        </w:trPr>
        <w:tc>
          <w:tcPr>
            <w:tcW w:w="2232" w:type="dxa"/>
            <w:tcBorders>
              <w:left w:val="single" w:sz="18" w:space="0" w:color="000000"/>
            </w:tcBorders>
          </w:tcPr>
          <w:p w:rsidR="007A2F40" w:rsidRDefault="002C6FB5">
            <w:pPr>
              <w:pStyle w:val="TableParagraph"/>
              <w:spacing w:before="83"/>
              <w:ind w:left="27"/>
              <w:rPr>
                <w:sz w:val="18"/>
              </w:rPr>
            </w:pPr>
            <w:r>
              <w:rPr>
                <w:sz w:val="18"/>
              </w:rPr>
              <w:t>Most Extreme Differences</w:t>
            </w:r>
          </w:p>
        </w:tc>
        <w:tc>
          <w:tcPr>
            <w:tcW w:w="2490" w:type="dxa"/>
            <w:tcBorders>
              <w:right w:val="single" w:sz="18" w:space="0" w:color="000000"/>
            </w:tcBorders>
          </w:tcPr>
          <w:p w:rsidR="007A2F40" w:rsidRDefault="002C6FB5">
            <w:pPr>
              <w:pStyle w:val="TableParagraph"/>
              <w:spacing w:before="83"/>
              <w:ind w:left="149"/>
              <w:rPr>
                <w:sz w:val="18"/>
              </w:rPr>
            </w:pPr>
            <w:r>
              <w:rPr>
                <w:sz w:val="18"/>
              </w:rPr>
              <w:t>Absolute</w:t>
            </w:r>
          </w:p>
        </w:tc>
        <w:tc>
          <w:tcPr>
            <w:tcW w:w="1592" w:type="dxa"/>
            <w:tcBorders>
              <w:left w:val="single" w:sz="18" w:space="0" w:color="000000"/>
              <w:right w:val="single" w:sz="18" w:space="0" w:color="000000"/>
            </w:tcBorders>
          </w:tcPr>
          <w:p w:rsidR="007A2F40" w:rsidRDefault="002C6FB5">
            <w:pPr>
              <w:pStyle w:val="TableParagraph"/>
              <w:spacing w:before="83"/>
              <w:ind w:left="346" w:right="309"/>
              <w:jc w:val="center"/>
              <w:rPr>
                <w:sz w:val="18"/>
              </w:rPr>
            </w:pPr>
            <w:r>
              <w:rPr>
                <w:sz w:val="18"/>
              </w:rPr>
              <w:t>.117</w:t>
            </w:r>
          </w:p>
        </w:tc>
      </w:tr>
      <w:tr w:rsidR="007A2F40">
        <w:trPr>
          <w:trHeight w:val="380"/>
        </w:trPr>
        <w:tc>
          <w:tcPr>
            <w:tcW w:w="2232" w:type="dxa"/>
            <w:tcBorders>
              <w:left w:val="single" w:sz="18" w:space="0" w:color="000000"/>
            </w:tcBorders>
          </w:tcPr>
          <w:p w:rsidR="007A2F40" w:rsidRDefault="007A2F40">
            <w:pPr>
              <w:pStyle w:val="TableParagraph"/>
              <w:rPr>
                <w:rFonts w:ascii="Times New Roman"/>
                <w:sz w:val="20"/>
              </w:rPr>
            </w:pPr>
          </w:p>
        </w:tc>
        <w:tc>
          <w:tcPr>
            <w:tcW w:w="2490" w:type="dxa"/>
            <w:tcBorders>
              <w:right w:val="single" w:sz="18" w:space="0" w:color="000000"/>
            </w:tcBorders>
          </w:tcPr>
          <w:p w:rsidR="007A2F40" w:rsidRDefault="002C6FB5">
            <w:pPr>
              <w:pStyle w:val="TableParagraph"/>
              <w:spacing w:before="83"/>
              <w:ind w:left="149"/>
              <w:rPr>
                <w:sz w:val="18"/>
              </w:rPr>
            </w:pPr>
            <w:r>
              <w:rPr>
                <w:sz w:val="18"/>
              </w:rPr>
              <w:t>Positive</w:t>
            </w:r>
          </w:p>
        </w:tc>
        <w:tc>
          <w:tcPr>
            <w:tcW w:w="1592" w:type="dxa"/>
            <w:tcBorders>
              <w:left w:val="single" w:sz="18" w:space="0" w:color="000000"/>
              <w:right w:val="single" w:sz="18" w:space="0" w:color="000000"/>
            </w:tcBorders>
          </w:tcPr>
          <w:p w:rsidR="007A2F40" w:rsidRDefault="002C6FB5">
            <w:pPr>
              <w:pStyle w:val="TableParagraph"/>
              <w:spacing w:before="83"/>
              <w:ind w:left="346" w:right="309"/>
              <w:jc w:val="center"/>
              <w:rPr>
                <w:sz w:val="18"/>
              </w:rPr>
            </w:pPr>
            <w:r>
              <w:rPr>
                <w:sz w:val="18"/>
              </w:rPr>
              <w:t>.104</w:t>
            </w:r>
          </w:p>
        </w:tc>
      </w:tr>
      <w:tr w:rsidR="007A2F40">
        <w:trPr>
          <w:trHeight w:val="380"/>
        </w:trPr>
        <w:tc>
          <w:tcPr>
            <w:tcW w:w="2232" w:type="dxa"/>
            <w:tcBorders>
              <w:left w:val="single" w:sz="18" w:space="0" w:color="000000"/>
            </w:tcBorders>
          </w:tcPr>
          <w:p w:rsidR="007A2F40" w:rsidRDefault="007A2F40">
            <w:pPr>
              <w:pStyle w:val="TableParagraph"/>
              <w:rPr>
                <w:rFonts w:ascii="Times New Roman"/>
                <w:sz w:val="20"/>
              </w:rPr>
            </w:pPr>
          </w:p>
        </w:tc>
        <w:tc>
          <w:tcPr>
            <w:tcW w:w="2490" w:type="dxa"/>
            <w:tcBorders>
              <w:right w:val="single" w:sz="18" w:space="0" w:color="000000"/>
            </w:tcBorders>
          </w:tcPr>
          <w:p w:rsidR="007A2F40" w:rsidRDefault="002C6FB5">
            <w:pPr>
              <w:pStyle w:val="TableParagraph"/>
              <w:spacing w:before="84"/>
              <w:ind w:left="149"/>
              <w:rPr>
                <w:sz w:val="18"/>
              </w:rPr>
            </w:pPr>
            <w:r>
              <w:rPr>
                <w:sz w:val="18"/>
              </w:rPr>
              <w:t>Negatif</w:t>
            </w:r>
          </w:p>
        </w:tc>
        <w:tc>
          <w:tcPr>
            <w:tcW w:w="1592" w:type="dxa"/>
            <w:tcBorders>
              <w:left w:val="single" w:sz="18" w:space="0" w:color="000000"/>
              <w:right w:val="single" w:sz="18" w:space="0" w:color="000000"/>
            </w:tcBorders>
          </w:tcPr>
          <w:p w:rsidR="007A2F40" w:rsidRDefault="002C6FB5">
            <w:pPr>
              <w:pStyle w:val="TableParagraph"/>
              <w:spacing w:before="84"/>
              <w:ind w:left="346" w:right="307"/>
              <w:jc w:val="center"/>
              <w:rPr>
                <w:sz w:val="18"/>
              </w:rPr>
            </w:pPr>
            <w:r>
              <w:rPr>
                <w:sz w:val="18"/>
              </w:rPr>
              <w:t>-.117</w:t>
            </w:r>
          </w:p>
        </w:tc>
      </w:tr>
      <w:tr w:rsidR="007A2F40">
        <w:trPr>
          <w:trHeight w:val="379"/>
        </w:trPr>
        <w:tc>
          <w:tcPr>
            <w:tcW w:w="2232" w:type="dxa"/>
            <w:tcBorders>
              <w:left w:val="single" w:sz="18" w:space="0" w:color="000000"/>
            </w:tcBorders>
          </w:tcPr>
          <w:p w:rsidR="007A2F40" w:rsidRDefault="002C6FB5">
            <w:pPr>
              <w:pStyle w:val="TableParagraph"/>
              <w:spacing w:before="83"/>
              <w:ind w:left="27"/>
              <w:rPr>
                <w:sz w:val="18"/>
              </w:rPr>
            </w:pPr>
            <w:r>
              <w:rPr>
                <w:sz w:val="18"/>
              </w:rPr>
              <w:t>Kolmogorov-Smirnov Z</w:t>
            </w:r>
          </w:p>
        </w:tc>
        <w:tc>
          <w:tcPr>
            <w:tcW w:w="2490" w:type="dxa"/>
            <w:tcBorders>
              <w:right w:val="single" w:sz="18" w:space="0" w:color="000000"/>
            </w:tcBorders>
          </w:tcPr>
          <w:p w:rsidR="007A2F40" w:rsidRDefault="007A2F40">
            <w:pPr>
              <w:pStyle w:val="TableParagraph"/>
              <w:rPr>
                <w:rFonts w:ascii="Times New Roman"/>
                <w:sz w:val="20"/>
              </w:rPr>
            </w:pPr>
          </w:p>
        </w:tc>
        <w:tc>
          <w:tcPr>
            <w:tcW w:w="1592" w:type="dxa"/>
            <w:tcBorders>
              <w:left w:val="single" w:sz="18" w:space="0" w:color="000000"/>
              <w:right w:val="single" w:sz="18" w:space="0" w:color="000000"/>
            </w:tcBorders>
          </w:tcPr>
          <w:p w:rsidR="007A2F40" w:rsidRDefault="002C6FB5">
            <w:pPr>
              <w:pStyle w:val="TableParagraph"/>
              <w:spacing w:before="83"/>
              <w:ind w:left="346" w:right="309"/>
              <w:jc w:val="center"/>
              <w:rPr>
                <w:sz w:val="18"/>
              </w:rPr>
            </w:pPr>
            <w:r>
              <w:rPr>
                <w:sz w:val="18"/>
              </w:rPr>
              <w:t>.640</w:t>
            </w:r>
          </w:p>
        </w:tc>
      </w:tr>
      <w:tr w:rsidR="007A2F40">
        <w:trPr>
          <w:trHeight w:val="318"/>
        </w:trPr>
        <w:tc>
          <w:tcPr>
            <w:tcW w:w="2232" w:type="dxa"/>
            <w:tcBorders>
              <w:left w:val="single" w:sz="18" w:space="0" w:color="000000"/>
              <w:bottom w:val="single" w:sz="18" w:space="0" w:color="000000"/>
            </w:tcBorders>
          </w:tcPr>
          <w:p w:rsidR="007A2F40" w:rsidRDefault="002C6FB5">
            <w:pPr>
              <w:pStyle w:val="TableParagraph"/>
              <w:spacing w:before="83"/>
              <w:ind w:left="27"/>
              <w:rPr>
                <w:sz w:val="18"/>
              </w:rPr>
            </w:pPr>
            <w:r>
              <w:rPr>
                <w:sz w:val="18"/>
              </w:rPr>
              <w:t>Asymp. Sig. (2-tailed)</w:t>
            </w:r>
          </w:p>
        </w:tc>
        <w:tc>
          <w:tcPr>
            <w:tcW w:w="2490" w:type="dxa"/>
            <w:tcBorders>
              <w:bottom w:val="single" w:sz="18" w:space="0" w:color="000000"/>
              <w:right w:val="single" w:sz="18" w:space="0" w:color="000000"/>
            </w:tcBorders>
          </w:tcPr>
          <w:p w:rsidR="007A2F40" w:rsidRDefault="007A2F40">
            <w:pPr>
              <w:pStyle w:val="TableParagraph"/>
              <w:rPr>
                <w:rFonts w:ascii="Times New Roman"/>
                <w:sz w:val="20"/>
              </w:rPr>
            </w:pPr>
          </w:p>
        </w:tc>
        <w:tc>
          <w:tcPr>
            <w:tcW w:w="1592" w:type="dxa"/>
            <w:tcBorders>
              <w:left w:val="single" w:sz="18" w:space="0" w:color="000000"/>
              <w:bottom w:val="single" w:sz="18" w:space="0" w:color="000000"/>
              <w:right w:val="single" w:sz="18" w:space="0" w:color="000000"/>
            </w:tcBorders>
          </w:tcPr>
          <w:p w:rsidR="007A2F40" w:rsidRDefault="002C6FB5">
            <w:pPr>
              <w:pStyle w:val="TableParagraph"/>
              <w:spacing w:before="83"/>
              <w:ind w:left="346" w:right="309"/>
              <w:jc w:val="center"/>
              <w:rPr>
                <w:sz w:val="18"/>
              </w:rPr>
            </w:pPr>
            <w:r>
              <w:rPr>
                <w:sz w:val="18"/>
              </w:rPr>
              <w:t>.807</w:t>
            </w:r>
          </w:p>
        </w:tc>
      </w:tr>
    </w:tbl>
    <w:p w:rsidR="007A2F40" w:rsidRDefault="002C6FB5">
      <w:pPr>
        <w:spacing w:before="1"/>
        <w:ind w:left="1393"/>
        <w:rPr>
          <w:rFonts w:ascii="Arial"/>
          <w:sz w:val="18"/>
        </w:rPr>
      </w:pPr>
      <w:r>
        <w:rPr>
          <w:rFonts w:ascii="Arial"/>
          <w:sz w:val="18"/>
        </w:rPr>
        <w:t>a. Test distribution is Normal.</w:t>
      </w:r>
    </w:p>
    <w:p w:rsidR="007A2F40" w:rsidRDefault="007A2F40">
      <w:pPr>
        <w:pStyle w:val="BodyText"/>
        <w:spacing w:before="6"/>
        <w:rPr>
          <w:rFonts w:ascii="Arial"/>
          <w:sz w:val="16"/>
        </w:rPr>
      </w:pPr>
    </w:p>
    <w:p w:rsidR="007A2F40" w:rsidRDefault="002C6FB5">
      <w:pPr>
        <w:pStyle w:val="BodyText"/>
        <w:spacing w:before="92"/>
        <w:ind w:left="119" w:right="114" w:firstLine="566"/>
        <w:jc w:val="both"/>
      </w:pPr>
      <w:r>
        <w:t>Berdasarkan tabel 4.3 menunjukkan nilai Asympotic Significance (2-tailed) sebesar 0.807 lebih besar dari 0.05. Hal tersebut menunjukkan bahwa data pada penelitian ini terdistribusi secara normal.</w:t>
      </w:r>
    </w:p>
    <w:p w:rsidR="007A2F40" w:rsidRDefault="007A2F40">
      <w:pPr>
        <w:pStyle w:val="BodyText"/>
        <w:spacing w:before="1"/>
      </w:pPr>
    </w:p>
    <w:p w:rsidR="007A2F40" w:rsidRDefault="002C6FB5">
      <w:pPr>
        <w:pStyle w:val="Heading2"/>
        <w:spacing w:line="252" w:lineRule="exact"/>
        <w:jc w:val="both"/>
      </w:pPr>
      <w:r>
        <w:t>Uji Multikolinearitas</w:t>
      </w:r>
    </w:p>
    <w:p w:rsidR="007A2F40" w:rsidRDefault="002C6FB5">
      <w:pPr>
        <w:pStyle w:val="BodyText"/>
        <w:ind w:left="119" w:right="113" w:firstLine="566"/>
        <w:jc w:val="both"/>
      </w:pPr>
      <w:r>
        <w:t>Uji multikolinearitas bertujuan untuk</w:t>
      </w:r>
      <w:r>
        <w:t xml:space="preserve"> melihat apakah model regresi yang telah digunakan ditemukan adanya korelasi antar variabel independen. Model regresi dikatakan bebas dari multikolinearitas adalah apabila nilai tolerance diatas 0.10 dan nilai VIF (Variance Inflation Factor)dibawah 10. Ber</w:t>
      </w:r>
      <w:r>
        <w:t>ikut hasil uji multikolinearitas :</w:t>
      </w:r>
    </w:p>
    <w:p w:rsidR="007A2F40" w:rsidRDefault="007A2F40">
      <w:pPr>
        <w:jc w:val="both"/>
        <w:sectPr w:rsidR="007A2F40">
          <w:pgSz w:w="11900" w:h="16850"/>
          <w:pgMar w:top="1480" w:right="1400" w:bottom="720" w:left="1460" w:header="409" w:footer="528" w:gutter="0"/>
          <w:cols w:space="720"/>
        </w:sectPr>
      </w:pPr>
    </w:p>
    <w:p w:rsidR="007A2F40" w:rsidRDefault="002C6FB5">
      <w:pPr>
        <w:pStyle w:val="Heading2"/>
        <w:spacing w:before="81"/>
        <w:ind w:left="124" w:right="120"/>
      </w:pPr>
      <w:r>
        <w:lastRenderedPageBreak/>
        <w:t>Tabel 3</w:t>
      </w:r>
    </w:p>
    <w:p w:rsidR="007A2F40" w:rsidRDefault="002C6FB5">
      <w:pPr>
        <w:spacing w:before="1"/>
        <w:ind w:left="124" w:right="124"/>
        <w:jc w:val="center"/>
        <w:rPr>
          <w:b/>
        </w:rPr>
      </w:pPr>
      <w:r>
        <w:rPr>
          <w:b/>
        </w:rPr>
        <w:t>Uji Multikolinearitas</w:t>
      </w:r>
    </w:p>
    <w:tbl>
      <w:tblPr>
        <w:tblW w:w="0" w:type="auto"/>
        <w:tblInd w:w="11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78"/>
        <w:gridCol w:w="1091"/>
        <w:gridCol w:w="839"/>
        <w:gridCol w:w="991"/>
        <w:gridCol w:w="1276"/>
        <w:gridCol w:w="1135"/>
        <w:gridCol w:w="990"/>
      </w:tblGrid>
      <w:tr w:rsidR="007A2F40">
        <w:trPr>
          <w:trHeight w:val="684"/>
        </w:trPr>
        <w:tc>
          <w:tcPr>
            <w:tcW w:w="1569" w:type="dxa"/>
            <w:gridSpan w:val="2"/>
            <w:vMerge w:val="restart"/>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7"/>
              <w:rPr>
                <w:rFonts w:ascii="Times New Roman"/>
                <w:b/>
                <w:sz w:val="16"/>
              </w:rPr>
            </w:pPr>
          </w:p>
          <w:p w:rsidR="007A2F40" w:rsidRDefault="002C6FB5">
            <w:pPr>
              <w:pStyle w:val="TableParagraph"/>
              <w:ind w:left="27"/>
              <w:rPr>
                <w:sz w:val="18"/>
              </w:rPr>
            </w:pPr>
            <w:r>
              <w:rPr>
                <w:sz w:val="18"/>
              </w:rPr>
              <w:t>Model</w:t>
            </w:r>
          </w:p>
        </w:tc>
        <w:tc>
          <w:tcPr>
            <w:tcW w:w="1830" w:type="dxa"/>
            <w:gridSpan w:val="2"/>
            <w:tcBorders>
              <w:bottom w:val="single" w:sz="8" w:space="0" w:color="000000"/>
              <w:right w:val="single" w:sz="8" w:space="0" w:color="000000"/>
            </w:tcBorders>
          </w:tcPr>
          <w:p w:rsidR="007A2F40" w:rsidRDefault="002C6FB5">
            <w:pPr>
              <w:pStyle w:val="TableParagraph"/>
              <w:spacing w:before="27" w:line="320" w:lineRule="atLeast"/>
              <w:ind w:left="439" w:right="238" w:hanging="161"/>
              <w:rPr>
                <w:sz w:val="18"/>
              </w:rPr>
            </w:pPr>
            <w:r>
              <w:rPr>
                <w:sz w:val="18"/>
              </w:rPr>
              <w:t>Unstandardized Coefficients</w:t>
            </w:r>
          </w:p>
        </w:tc>
        <w:tc>
          <w:tcPr>
            <w:tcW w:w="1276" w:type="dxa"/>
            <w:tcBorders>
              <w:left w:val="single" w:sz="8" w:space="0" w:color="000000"/>
              <w:bottom w:val="single" w:sz="8" w:space="0" w:color="000000"/>
              <w:right w:val="single" w:sz="8" w:space="0" w:color="000000"/>
            </w:tcBorders>
          </w:tcPr>
          <w:p w:rsidR="007A2F40" w:rsidRDefault="002C6FB5">
            <w:pPr>
              <w:pStyle w:val="TableParagraph"/>
              <w:spacing w:before="27" w:line="320" w:lineRule="atLeast"/>
              <w:ind w:left="180" w:right="55" w:hanging="60"/>
              <w:rPr>
                <w:sz w:val="18"/>
              </w:rPr>
            </w:pPr>
            <w:r>
              <w:rPr>
                <w:sz w:val="18"/>
              </w:rPr>
              <w:t>Standardized Coefficients</w:t>
            </w:r>
          </w:p>
        </w:tc>
        <w:tc>
          <w:tcPr>
            <w:tcW w:w="2125" w:type="dxa"/>
            <w:gridSpan w:val="2"/>
            <w:tcBorders>
              <w:left w:val="single" w:sz="8" w:space="0" w:color="000000"/>
              <w:bottom w:val="single" w:sz="8" w:space="0" w:color="000000"/>
            </w:tcBorders>
          </w:tcPr>
          <w:p w:rsidR="007A2F40" w:rsidRDefault="007A2F40">
            <w:pPr>
              <w:pStyle w:val="TableParagraph"/>
              <w:rPr>
                <w:rFonts w:ascii="Times New Roman"/>
                <w:b/>
                <w:sz w:val="20"/>
              </w:rPr>
            </w:pPr>
          </w:p>
          <w:p w:rsidR="007A2F40" w:rsidRDefault="007A2F40">
            <w:pPr>
              <w:pStyle w:val="TableParagraph"/>
              <w:spacing w:before="1"/>
              <w:rPr>
                <w:rFonts w:ascii="Times New Roman"/>
                <w:b/>
                <w:sz w:val="20"/>
              </w:rPr>
            </w:pPr>
          </w:p>
          <w:p w:rsidR="007A2F40" w:rsidRDefault="002C6FB5">
            <w:pPr>
              <w:pStyle w:val="TableParagraph"/>
              <w:spacing w:line="203" w:lineRule="exact"/>
              <w:ind w:left="245"/>
              <w:rPr>
                <w:sz w:val="18"/>
              </w:rPr>
            </w:pPr>
            <w:r>
              <w:rPr>
                <w:sz w:val="18"/>
              </w:rPr>
              <w:t>Collinearity Statistics</w:t>
            </w:r>
          </w:p>
        </w:tc>
      </w:tr>
      <w:tr w:rsidR="007A2F40">
        <w:trPr>
          <w:trHeight w:val="384"/>
        </w:trPr>
        <w:tc>
          <w:tcPr>
            <w:tcW w:w="1569" w:type="dxa"/>
            <w:gridSpan w:val="2"/>
            <w:vMerge/>
            <w:tcBorders>
              <w:top w:val="nil"/>
            </w:tcBorders>
          </w:tcPr>
          <w:p w:rsidR="007A2F40" w:rsidRDefault="007A2F40">
            <w:pPr>
              <w:rPr>
                <w:sz w:val="2"/>
                <w:szCs w:val="2"/>
              </w:rPr>
            </w:pPr>
          </w:p>
        </w:tc>
        <w:tc>
          <w:tcPr>
            <w:tcW w:w="839" w:type="dxa"/>
            <w:tcBorders>
              <w:top w:val="single" w:sz="8" w:space="0" w:color="000000"/>
              <w:right w:val="single" w:sz="8" w:space="0" w:color="000000"/>
            </w:tcBorders>
          </w:tcPr>
          <w:p w:rsidR="007A2F40" w:rsidRDefault="002C6FB5">
            <w:pPr>
              <w:pStyle w:val="TableParagraph"/>
              <w:spacing w:before="152"/>
              <w:ind w:left="19"/>
              <w:jc w:val="center"/>
              <w:rPr>
                <w:sz w:val="18"/>
              </w:rPr>
            </w:pPr>
            <w:r>
              <w:rPr>
                <w:sz w:val="18"/>
              </w:rPr>
              <w:t>B</w:t>
            </w:r>
          </w:p>
        </w:tc>
        <w:tc>
          <w:tcPr>
            <w:tcW w:w="991" w:type="dxa"/>
            <w:tcBorders>
              <w:top w:val="single" w:sz="8" w:space="0" w:color="000000"/>
              <w:left w:val="single" w:sz="8" w:space="0" w:color="000000"/>
              <w:right w:val="single" w:sz="8" w:space="0" w:color="000000"/>
            </w:tcBorders>
          </w:tcPr>
          <w:p w:rsidR="007A2F40" w:rsidRDefault="002C6FB5">
            <w:pPr>
              <w:pStyle w:val="TableParagraph"/>
              <w:spacing w:before="152"/>
              <w:ind w:left="121"/>
              <w:rPr>
                <w:sz w:val="18"/>
              </w:rPr>
            </w:pPr>
            <w:r>
              <w:rPr>
                <w:sz w:val="18"/>
              </w:rPr>
              <w:t>Std. Error</w:t>
            </w:r>
          </w:p>
        </w:tc>
        <w:tc>
          <w:tcPr>
            <w:tcW w:w="1276" w:type="dxa"/>
            <w:tcBorders>
              <w:top w:val="single" w:sz="8" w:space="0" w:color="000000"/>
              <w:left w:val="single" w:sz="8" w:space="0" w:color="000000"/>
              <w:right w:val="single" w:sz="8" w:space="0" w:color="000000"/>
            </w:tcBorders>
          </w:tcPr>
          <w:p w:rsidR="007A2F40" w:rsidRDefault="002C6FB5">
            <w:pPr>
              <w:pStyle w:val="TableParagraph"/>
              <w:spacing w:before="152"/>
              <w:ind w:left="445" w:right="399"/>
              <w:jc w:val="center"/>
              <w:rPr>
                <w:sz w:val="18"/>
              </w:rPr>
            </w:pPr>
            <w:r>
              <w:rPr>
                <w:sz w:val="18"/>
              </w:rPr>
              <w:t>Beta</w:t>
            </w:r>
          </w:p>
        </w:tc>
        <w:tc>
          <w:tcPr>
            <w:tcW w:w="1135" w:type="dxa"/>
            <w:tcBorders>
              <w:top w:val="single" w:sz="8" w:space="0" w:color="000000"/>
              <w:left w:val="single" w:sz="8" w:space="0" w:color="000000"/>
              <w:right w:val="single" w:sz="8" w:space="0" w:color="000000"/>
            </w:tcBorders>
          </w:tcPr>
          <w:p w:rsidR="007A2F40" w:rsidRDefault="002C6FB5">
            <w:pPr>
              <w:pStyle w:val="TableParagraph"/>
              <w:spacing w:before="152"/>
              <w:ind w:left="178"/>
              <w:rPr>
                <w:sz w:val="18"/>
              </w:rPr>
            </w:pPr>
            <w:r>
              <w:rPr>
                <w:sz w:val="18"/>
              </w:rPr>
              <w:t>Tolerance</w:t>
            </w:r>
          </w:p>
        </w:tc>
        <w:tc>
          <w:tcPr>
            <w:tcW w:w="990" w:type="dxa"/>
            <w:tcBorders>
              <w:top w:val="single" w:sz="8" w:space="0" w:color="000000"/>
              <w:left w:val="single" w:sz="8" w:space="0" w:color="000000"/>
            </w:tcBorders>
          </w:tcPr>
          <w:p w:rsidR="007A2F40" w:rsidRDefault="002C6FB5">
            <w:pPr>
              <w:pStyle w:val="TableParagraph"/>
              <w:spacing w:before="152"/>
              <w:ind w:left="366"/>
              <w:rPr>
                <w:sz w:val="18"/>
              </w:rPr>
            </w:pPr>
            <w:r>
              <w:rPr>
                <w:sz w:val="18"/>
              </w:rPr>
              <w:t>VIF</w:t>
            </w:r>
          </w:p>
        </w:tc>
      </w:tr>
      <w:tr w:rsidR="007A2F40">
        <w:trPr>
          <w:trHeight w:val="777"/>
        </w:trPr>
        <w:tc>
          <w:tcPr>
            <w:tcW w:w="478" w:type="dxa"/>
            <w:tcBorders>
              <w:bottom w:val="nil"/>
              <w:right w:val="nil"/>
            </w:tcBorders>
          </w:tcPr>
          <w:p w:rsidR="007A2F40" w:rsidRDefault="002C6FB5">
            <w:pPr>
              <w:pStyle w:val="TableParagraph"/>
              <w:spacing w:before="142"/>
              <w:ind w:left="27"/>
              <w:rPr>
                <w:sz w:val="18"/>
              </w:rPr>
            </w:pPr>
            <w:r>
              <w:rPr>
                <w:w w:val="99"/>
                <w:sz w:val="18"/>
              </w:rPr>
              <w:t>1</w:t>
            </w:r>
          </w:p>
        </w:tc>
        <w:tc>
          <w:tcPr>
            <w:tcW w:w="1091" w:type="dxa"/>
            <w:tcBorders>
              <w:left w:val="nil"/>
              <w:bottom w:val="nil"/>
            </w:tcBorders>
          </w:tcPr>
          <w:p w:rsidR="007A2F40" w:rsidRDefault="002C6FB5">
            <w:pPr>
              <w:pStyle w:val="TableParagraph"/>
              <w:spacing w:before="29" w:line="320" w:lineRule="atLeast"/>
              <w:ind w:left="366" w:right="52"/>
              <w:rPr>
                <w:sz w:val="18"/>
              </w:rPr>
            </w:pPr>
            <w:r>
              <w:rPr>
                <w:sz w:val="18"/>
              </w:rPr>
              <w:t>(Consta nt)</w:t>
            </w:r>
          </w:p>
        </w:tc>
        <w:tc>
          <w:tcPr>
            <w:tcW w:w="839" w:type="dxa"/>
            <w:tcBorders>
              <w:bottom w:val="nil"/>
              <w:right w:val="single" w:sz="8" w:space="0" w:color="000000"/>
            </w:tcBorders>
          </w:tcPr>
          <w:p w:rsidR="007A2F40" w:rsidRDefault="007A2F40">
            <w:pPr>
              <w:pStyle w:val="TableParagraph"/>
              <w:spacing w:before="1"/>
              <w:rPr>
                <w:rFonts w:ascii="Times New Roman"/>
                <w:b/>
                <w:sz w:val="26"/>
              </w:rPr>
            </w:pPr>
          </w:p>
          <w:p w:rsidR="007A2F40" w:rsidRDefault="002C6FB5">
            <w:pPr>
              <w:pStyle w:val="TableParagraph"/>
              <w:ind w:right="-15"/>
              <w:jc w:val="right"/>
              <w:rPr>
                <w:sz w:val="18"/>
              </w:rPr>
            </w:pPr>
            <w:r>
              <w:rPr>
                <w:w w:val="95"/>
                <w:sz w:val="18"/>
              </w:rPr>
              <w:t>1.147</w:t>
            </w:r>
          </w:p>
        </w:tc>
        <w:tc>
          <w:tcPr>
            <w:tcW w:w="991" w:type="dxa"/>
            <w:tcBorders>
              <w:left w:val="single" w:sz="8" w:space="0" w:color="000000"/>
              <w:bottom w:val="nil"/>
              <w:right w:val="single" w:sz="8" w:space="0" w:color="000000"/>
            </w:tcBorders>
          </w:tcPr>
          <w:p w:rsidR="007A2F40" w:rsidRDefault="007A2F40">
            <w:pPr>
              <w:pStyle w:val="TableParagraph"/>
              <w:spacing w:before="1"/>
              <w:rPr>
                <w:rFonts w:ascii="Times New Roman"/>
                <w:b/>
                <w:sz w:val="26"/>
              </w:rPr>
            </w:pPr>
          </w:p>
          <w:p w:rsidR="007A2F40" w:rsidRDefault="002C6FB5">
            <w:pPr>
              <w:pStyle w:val="TableParagraph"/>
              <w:ind w:right="-15"/>
              <w:jc w:val="right"/>
              <w:rPr>
                <w:sz w:val="18"/>
              </w:rPr>
            </w:pPr>
            <w:r>
              <w:rPr>
                <w:w w:val="95"/>
                <w:sz w:val="18"/>
              </w:rPr>
              <w:t>1.082</w:t>
            </w:r>
          </w:p>
        </w:tc>
        <w:tc>
          <w:tcPr>
            <w:tcW w:w="1276" w:type="dxa"/>
            <w:tcBorders>
              <w:left w:val="single" w:sz="8" w:space="0" w:color="000000"/>
              <w:bottom w:val="nil"/>
              <w:right w:val="single" w:sz="8" w:space="0" w:color="000000"/>
            </w:tcBorders>
          </w:tcPr>
          <w:p w:rsidR="007A2F40" w:rsidRDefault="007A2F40">
            <w:pPr>
              <w:pStyle w:val="TableParagraph"/>
              <w:rPr>
                <w:rFonts w:ascii="Times New Roman"/>
                <w:sz w:val="20"/>
              </w:rPr>
            </w:pPr>
          </w:p>
        </w:tc>
        <w:tc>
          <w:tcPr>
            <w:tcW w:w="1135" w:type="dxa"/>
            <w:tcBorders>
              <w:left w:val="single" w:sz="8" w:space="0" w:color="000000"/>
              <w:bottom w:val="nil"/>
              <w:right w:val="single" w:sz="8" w:space="0" w:color="000000"/>
            </w:tcBorders>
          </w:tcPr>
          <w:p w:rsidR="007A2F40" w:rsidRDefault="007A2F40">
            <w:pPr>
              <w:pStyle w:val="TableParagraph"/>
              <w:rPr>
                <w:rFonts w:ascii="Times New Roman"/>
                <w:sz w:val="20"/>
              </w:rPr>
            </w:pPr>
          </w:p>
        </w:tc>
        <w:tc>
          <w:tcPr>
            <w:tcW w:w="990" w:type="dxa"/>
            <w:tcBorders>
              <w:left w:val="single" w:sz="8" w:space="0" w:color="000000"/>
              <w:bottom w:val="nil"/>
            </w:tcBorders>
          </w:tcPr>
          <w:p w:rsidR="007A2F40" w:rsidRDefault="007A2F40">
            <w:pPr>
              <w:pStyle w:val="TableParagraph"/>
              <w:rPr>
                <w:rFonts w:ascii="Times New Roman"/>
                <w:sz w:val="20"/>
              </w:rPr>
            </w:pPr>
          </w:p>
        </w:tc>
      </w:tr>
      <w:tr w:rsidR="007A2F40">
        <w:trPr>
          <w:trHeight w:val="420"/>
        </w:trPr>
        <w:tc>
          <w:tcPr>
            <w:tcW w:w="478"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3"/>
              <w:ind w:left="366"/>
              <w:rPr>
                <w:sz w:val="18"/>
              </w:rPr>
            </w:pPr>
            <w:r>
              <w:rPr>
                <w:sz w:val="18"/>
              </w:rPr>
              <w:t>X1</w:t>
            </w:r>
          </w:p>
        </w:tc>
        <w:tc>
          <w:tcPr>
            <w:tcW w:w="839" w:type="dxa"/>
            <w:tcBorders>
              <w:top w:val="nil"/>
              <w:bottom w:val="nil"/>
              <w:right w:val="single" w:sz="8" w:space="0" w:color="000000"/>
            </w:tcBorders>
          </w:tcPr>
          <w:p w:rsidR="007A2F40" w:rsidRDefault="002C6FB5">
            <w:pPr>
              <w:pStyle w:val="TableParagraph"/>
              <w:spacing w:before="103"/>
              <w:ind w:right="-15"/>
              <w:jc w:val="right"/>
              <w:rPr>
                <w:sz w:val="18"/>
              </w:rPr>
            </w:pPr>
            <w:r>
              <w:rPr>
                <w:w w:val="95"/>
                <w:sz w:val="18"/>
              </w:rPr>
              <w:t>-1.987</w:t>
            </w:r>
          </w:p>
        </w:tc>
        <w:tc>
          <w:tcPr>
            <w:tcW w:w="991"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.573</w:t>
            </w:r>
          </w:p>
        </w:tc>
        <w:tc>
          <w:tcPr>
            <w:tcW w:w="1276"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-.629</w:t>
            </w:r>
          </w:p>
        </w:tc>
        <w:tc>
          <w:tcPr>
            <w:tcW w:w="1135"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.730</w:t>
            </w:r>
          </w:p>
        </w:tc>
        <w:tc>
          <w:tcPr>
            <w:tcW w:w="990" w:type="dxa"/>
            <w:tcBorders>
              <w:top w:val="nil"/>
              <w:left w:val="single" w:sz="8" w:space="0" w:color="000000"/>
              <w:bottom w:val="nil"/>
            </w:tcBorders>
          </w:tcPr>
          <w:p w:rsidR="007A2F40" w:rsidRDefault="002C6FB5">
            <w:pPr>
              <w:pStyle w:val="TableParagraph"/>
              <w:spacing w:before="103"/>
              <w:ind w:right="-29"/>
              <w:jc w:val="right"/>
              <w:rPr>
                <w:sz w:val="18"/>
              </w:rPr>
            </w:pPr>
            <w:r>
              <w:rPr>
                <w:w w:val="95"/>
                <w:sz w:val="18"/>
              </w:rPr>
              <w:t>1.371</w:t>
            </w:r>
          </w:p>
        </w:tc>
      </w:tr>
      <w:tr w:rsidR="007A2F40">
        <w:trPr>
          <w:trHeight w:val="420"/>
        </w:trPr>
        <w:tc>
          <w:tcPr>
            <w:tcW w:w="478"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3"/>
              <w:ind w:left="366"/>
              <w:rPr>
                <w:sz w:val="18"/>
              </w:rPr>
            </w:pPr>
            <w:r>
              <w:rPr>
                <w:sz w:val="18"/>
              </w:rPr>
              <w:t>X2</w:t>
            </w:r>
          </w:p>
        </w:tc>
        <w:tc>
          <w:tcPr>
            <w:tcW w:w="839" w:type="dxa"/>
            <w:tcBorders>
              <w:top w:val="nil"/>
              <w:bottom w:val="nil"/>
              <w:right w:val="single" w:sz="8" w:space="0" w:color="000000"/>
            </w:tcBorders>
          </w:tcPr>
          <w:p w:rsidR="007A2F40" w:rsidRDefault="002C6FB5">
            <w:pPr>
              <w:pStyle w:val="TableParagraph"/>
              <w:spacing w:before="103"/>
              <w:ind w:right="-15"/>
              <w:jc w:val="right"/>
              <w:rPr>
                <w:sz w:val="18"/>
              </w:rPr>
            </w:pPr>
            <w:r>
              <w:rPr>
                <w:w w:val="95"/>
                <w:sz w:val="18"/>
              </w:rPr>
              <w:t>-.857</w:t>
            </w:r>
          </w:p>
        </w:tc>
        <w:tc>
          <w:tcPr>
            <w:tcW w:w="991"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.972</w:t>
            </w:r>
          </w:p>
        </w:tc>
        <w:tc>
          <w:tcPr>
            <w:tcW w:w="1276"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-.167</w:t>
            </w:r>
          </w:p>
        </w:tc>
        <w:tc>
          <w:tcPr>
            <w:tcW w:w="1135"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.669</w:t>
            </w:r>
          </w:p>
        </w:tc>
        <w:tc>
          <w:tcPr>
            <w:tcW w:w="990" w:type="dxa"/>
            <w:tcBorders>
              <w:top w:val="nil"/>
              <w:left w:val="single" w:sz="8" w:space="0" w:color="000000"/>
              <w:bottom w:val="nil"/>
            </w:tcBorders>
          </w:tcPr>
          <w:p w:rsidR="007A2F40" w:rsidRDefault="002C6FB5">
            <w:pPr>
              <w:pStyle w:val="TableParagraph"/>
              <w:spacing w:before="103"/>
              <w:ind w:right="-29"/>
              <w:jc w:val="right"/>
              <w:rPr>
                <w:sz w:val="18"/>
              </w:rPr>
            </w:pPr>
            <w:r>
              <w:rPr>
                <w:w w:val="95"/>
                <w:sz w:val="18"/>
              </w:rPr>
              <w:t>1.495</w:t>
            </w:r>
          </w:p>
        </w:tc>
      </w:tr>
      <w:tr w:rsidR="007A2F40">
        <w:trPr>
          <w:trHeight w:val="420"/>
        </w:trPr>
        <w:tc>
          <w:tcPr>
            <w:tcW w:w="478"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4"/>
              <w:ind w:left="366"/>
              <w:rPr>
                <w:sz w:val="18"/>
              </w:rPr>
            </w:pPr>
            <w:r>
              <w:rPr>
                <w:sz w:val="18"/>
              </w:rPr>
              <w:t>X3</w:t>
            </w:r>
          </w:p>
        </w:tc>
        <w:tc>
          <w:tcPr>
            <w:tcW w:w="839" w:type="dxa"/>
            <w:tcBorders>
              <w:top w:val="nil"/>
              <w:bottom w:val="nil"/>
              <w:right w:val="single" w:sz="8" w:space="0" w:color="000000"/>
            </w:tcBorders>
          </w:tcPr>
          <w:p w:rsidR="007A2F40" w:rsidRDefault="002C6FB5">
            <w:pPr>
              <w:pStyle w:val="TableParagraph"/>
              <w:spacing w:before="104"/>
              <w:ind w:right="-15"/>
              <w:jc w:val="right"/>
              <w:rPr>
                <w:sz w:val="18"/>
              </w:rPr>
            </w:pPr>
            <w:r>
              <w:rPr>
                <w:w w:val="95"/>
                <w:sz w:val="18"/>
              </w:rPr>
              <w:t>-2.170</w:t>
            </w:r>
          </w:p>
        </w:tc>
        <w:tc>
          <w:tcPr>
            <w:tcW w:w="991" w:type="dxa"/>
            <w:tcBorders>
              <w:top w:val="nil"/>
              <w:left w:val="single" w:sz="8" w:space="0" w:color="000000"/>
              <w:bottom w:val="nil"/>
              <w:right w:val="single" w:sz="8" w:space="0" w:color="000000"/>
            </w:tcBorders>
          </w:tcPr>
          <w:p w:rsidR="007A2F40" w:rsidRDefault="002C6FB5">
            <w:pPr>
              <w:pStyle w:val="TableParagraph"/>
              <w:spacing w:before="104"/>
              <w:ind w:right="-15"/>
              <w:jc w:val="right"/>
              <w:rPr>
                <w:sz w:val="18"/>
              </w:rPr>
            </w:pPr>
            <w:r>
              <w:rPr>
                <w:w w:val="95"/>
                <w:sz w:val="18"/>
              </w:rPr>
              <w:t>2.335</w:t>
            </w:r>
          </w:p>
        </w:tc>
        <w:tc>
          <w:tcPr>
            <w:tcW w:w="1276" w:type="dxa"/>
            <w:tcBorders>
              <w:top w:val="nil"/>
              <w:left w:val="single" w:sz="8" w:space="0" w:color="000000"/>
              <w:bottom w:val="nil"/>
              <w:right w:val="single" w:sz="8" w:space="0" w:color="000000"/>
            </w:tcBorders>
          </w:tcPr>
          <w:p w:rsidR="007A2F40" w:rsidRDefault="002C6FB5">
            <w:pPr>
              <w:pStyle w:val="TableParagraph"/>
              <w:spacing w:before="104"/>
              <w:ind w:right="-15"/>
              <w:jc w:val="right"/>
              <w:rPr>
                <w:sz w:val="18"/>
              </w:rPr>
            </w:pPr>
            <w:r>
              <w:rPr>
                <w:w w:val="95"/>
                <w:sz w:val="18"/>
              </w:rPr>
              <w:t>-.164</w:t>
            </w:r>
          </w:p>
        </w:tc>
        <w:tc>
          <w:tcPr>
            <w:tcW w:w="1135" w:type="dxa"/>
            <w:tcBorders>
              <w:top w:val="nil"/>
              <w:left w:val="single" w:sz="8" w:space="0" w:color="000000"/>
              <w:bottom w:val="nil"/>
              <w:right w:val="single" w:sz="8" w:space="0" w:color="000000"/>
            </w:tcBorders>
          </w:tcPr>
          <w:p w:rsidR="007A2F40" w:rsidRDefault="002C6FB5">
            <w:pPr>
              <w:pStyle w:val="TableParagraph"/>
              <w:spacing w:before="104"/>
              <w:ind w:right="-15"/>
              <w:jc w:val="right"/>
              <w:rPr>
                <w:sz w:val="18"/>
              </w:rPr>
            </w:pPr>
            <w:r>
              <w:rPr>
                <w:w w:val="95"/>
                <w:sz w:val="18"/>
              </w:rPr>
              <w:t>.769</w:t>
            </w:r>
          </w:p>
        </w:tc>
        <w:tc>
          <w:tcPr>
            <w:tcW w:w="990" w:type="dxa"/>
            <w:tcBorders>
              <w:top w:val="nil"/>
              <w:left w:val="single" w:sz="8" w:space="0" w:color="000000"/>
              <w:bottom w:val="nil"/>
            </w:tcBorders>
          </w:tcPr>
          <w:p w:rsidR="007A2F40" w:rsidRDefault="002C6FB5">
            <w:pPr>
              <w:pStyle w:val="TableParagraph"/>
              <w:spacing w:before="104"/>
              <w:ind w:right="-29"/>
              <w:jc w:val="right"/>
              <w:rPr>
                <w:sz w:val="18"/>
              </w:rPr>
            </w:pPr>
            <w:r>
              <w:rPr>
                <w:w w:val="95"/>
                <w:sz w:val="18"/>
              </w:rPr>
              <w:t>1.300</w:t>
            </w:r>
          </w:p>
        </w:tc>
      </w:tr>
      <w:tr w:rsidR="007A2F40">
        <w:trPr>
          <w:trHeight w:val="338"/>
        </w:trPr>
        <w:tc>
          <w:tcPr>
            <w:tcW w:w="478" w:type="dxa"/>
            <w:tcBorders>
              <w:top w:val="nil"/>
              <w:right w:val="nil"/>
            </w:tcBorders>
          </w:tcPr>
          <w:p w:rsidR="007A2F40" w:rsidRDefault="007A2F40">
            <w:pPr>
              <w:pStyle w:val="TableParagraph"/>
              <w:rPr>
                <w:rFonts w:ascii="Times New Roman"/>
                <w:sz w:val="20"/>
              </w:rPr>
            </w:pPr>
          </w:p>
        </w:tc>
        <w:tc>
          <w:tcPr>
            <w:tcW w:w="1091" w:type="dxa"/>
            <w:tcBorders>
              <w:top w:val="nil"/>
              <w:left w:val="nil"/>
            </w:tcBorders>
          </w:tcPr>
          <w:p w:rsidR="007A2F40" w:rsidRDefault="002C6FB5">
            <w:pPr>
              <w:pStyle w:val="TableParagraph"/>
              <w:spacing w:before="103"/>
              <w:ind w:left="366"/>
              <w:rPr>
                <w:sz w:val="18"/>
              </w:rPr>
            </w:pPr>
            <w:r>
              <w:rPr>
                <w:sz w:val="18"/>
              </w:rPr>
              <w:t>X4</w:t>
            </w:r>
          </w:p>
        </w:tc>
        <w:tc>
          <w:tcPr>
            <w:tcW w:w="839" w:type="dxa"/>
            <w:tcBorders>
              <w:top w:val="nil"/>
              <w:right w:val="single" w:sz="8" w:space="0" w:color="000000"/>
            </w:tcBorders>
          </w:tcPr>
          <w:p w:rsidR="007A2F40" w:rsidRDefault="002C6FB5">
            <w:pPr>
              <w:pStyle w:val="TableParagraph"/>
              <w:spacing w:before="103"/>
              <w:ind w:right="-15"/>
              <w:jc w:val="right"/>
              <w:rPr>
                <w:sz w:val="18"/>
              </w:rPr>
            </w:pPr>
            <w:r>
              <w:rPr>
                <w:w w:val="95"/>
                <w:sz w:val="18"/>
              </w:rPr>
              <w:t>.001</w:t>
            </w:r>
          </w:p>
        </w:tc>
        <w:tc>
          <w:tcPr>
            <w:tcW w:w="991"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.000</w:t>
            </w:r>
          </w:p>
        </w:tc>
        <w:tc>
          <w:tcPr>
            <w:tcW w:w="1276"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.321</w:t>
            </w:r>
          </w:p>
        </w:tc>
        <w:tc>
          <w:tcPr>
            <w:tcW w:w="1135"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.905</w:t>
            </w:r>
          </w:p>
        </w:tc>
        <w:tc>
          <w:tcPr>
            <w:tcW w:w="990" w:type="dxa"/>
            <w:tcBorders>
              <w:top w:val="nil"/>
              <w:left w:val="single" w:sz="8" w:space="0" w:color="000000"/>
            </w:tcBorders>
          </w:tcPr>
          <w:p w:rsidR="007A2F40" w:rsidRDefault="002C6FB5">
            <w:pPr>
              <w:pStyle w:val="TableParagraph"/>
              <w:spacing w:before="103"/>
              <w:ind w:right="-29"/>
              <w:jc w:val="right"/>
              <w:rPr>
                <w:sz w:val="18"/>
              </w:rPr>
            </w:pPr>
            <w:r>
              <w:rPr>
                <w:w w:val="95"/>
                <w:sz w:val="18"/>
              </w:rPr>
              <w:t>1.105</w:t>
            </w:r>
          </w:p>
        </w:tc>
      </w:tr>
    </w:tbl>
    <w:p w:rsidR="007A2F40" w:rsidRDefault="002C6FB5">
      <w:pPr>
        <w:spacing w:before="112"/>
        <w:ind w:left="1149"/>
        <w:rPr>
          <w:rFonts w:ascii="Arial"/>
          <w:sz w:val="18"/>
        </w:rPr>
      </w:pPr>
      <w:r>
        <w:rPr>
          <w:rFonts w:ascii="Arial"/>
          <w:sz w:val="18"/>
        </w:rPr>
        <w:t>a. Dependent Variable: Y</w:t>
      </w:r>
    </w:p>
    <w:p w:rsidR="007A2F40" w:rsidRDefault="007A2F40">
      <w:pPr>
        <w:pStyle w:val="BodyText"/>
        <w:spacing w:before="9"/>
        <w:rPr>
          <w:rFonts w:ascii="Arial"/>
          <w:sz w:val="16"/>
        </w:rPr>
      </w:pPr>
    </w:p>
    <w:p w:rsidR="007A2F40" w:rsidRDefault="002C6FB5">
      <w:pPr>
        <w:pStyle w:val="BodyText"/>
        <w:spacing w:before="91"/>
        <w:ind w:left="119" w:right="120" w:firstLine="566"/>
        <w:jc w:val="both"/>
      </w:pPr>
      <w:r>
        <w:t xml:space="preserve">Hasil uji multikolinearitas pada tabel diatas menunjukkan bahwa semua variabel memiliki nilai </w:t>
      </w:r>
      <w:r>
        <w:rPr>
          <w:i/>
        </w:rPr>
        <w:t xml:space="preserve">tolerance </w:t>
      </w:r>
      <w:r>
        <w:t>diatas 0.10 dan nilai VIF dibawah 10. Maka tidak terdapat multikolinearitas diantara variabel independen dalam model regresi.</w:t>
      </w:r>
    </w:p>
    <w:p w:rsidR="007A2F40" w:rsidRDefault="007A2F40">
      <w:pPr>
        <w:pStyle w:val="BodyText"/>
        <w:spacing w:before="10"/>
        <w:rPr>
          <w:sz w:val="21"/>
        </w:rPr>
      </w:pPr>
    </w:p>
    <w:p w:rsidR="007A2F40" w:rsidRDefault="002C6FB5">
      <w:pPr>
        <w:pStyle w:val="Heading2"/>
        <w:jc w:val="both"/>
      </w:pPr>
      <w:r>
        <w:t>Uji Autokorelasi</w:t>
      </w:r>
    </w:p>
    <w:p w:rsidR="007A2F40" w:rsidRDefault="002C6FB5">
      <w:pPr>
        <w:pStyle w:val="BodyText"/>
        <w:spacing w:before="2"/>
        <w:ind w:left="119" w:right="117" w:firstLine="566"/>
        <w:jc w:val="both"/>
      </w:pPr>
      <w:r>
        <w:t xml:space="preserve">Uji autokorelasi bertujuan untuk melihat adanya korelasi antara satu pengamatan dengan pengamatan lainnya, namun dalam suatu model regresi hal ini tidak boleh terjadi.Syarat untuk tidak terjadi autokorelasi adalah jika DW berada di antara -2 sampai dengan </w:t>
      </w:r>
      <w:r>
        <w:t>2, maka data dinyatakan bebas dari masalah autokorelasi. Berikut hasil uji autokorelasi :</w:t>
      </w:r>
    </w:p>
    <w:p w:rsidR="007A2F40" w:rsidRDefault="007A2F40">
      <w:pPr>
        <w:pStyle w:val="BodyText"/>
      </w:pPr>
    </w:p>
    <w:p w:rsidR="007A2F40" w:rsidRDefault="002C6FB5">
      <w:pPr>
        <w:pStyle w:val="Heading2"/>
        <w:spacing w:line="252" w:lineRule="exact"/>
        <w:ind w:left="124" w:right="120"/>
      </w:pPr>
      <w:r>
        <w:t>Tabel 4</w:t>
      </w:r>
    </w:p>
    <w:p w:rsidR="007A2F40" w:rsidRDefault="002C6FB5">
      <w:pPr>
        <w:spacing w:after="3" w:line="252" w:lineRule="exact"/>
        <w:ind w:left="124" w:right="122"/>
        <w:jc w:val="center"/>
        <w:rPr>
          <w:b/>
        </w:rPr>
      </w:pPr>
      <w:r>
        <w:rPr>
          <w:b/>
        </w:rPr>
        <w:t>Uji Autokorelasi</w:t>
      </w:r>
    </w:p>
    <w:tbl>
      <w:tblPr>
        <w:tblW w:w="0" w:type="auto"/>
        <w:tblInd w:w="121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566"/>
        <w:gridCol w:w="711"/>
        <w:gridCol w:w="991"/>
        <w:gridCol w:w="1560"/>
        <w:gridCol w:w="1560"/>
        <w:gridCol w:w="1265"/>
      </w:tblGrid>
      <w:tr w:rsidR="007A2F40">
        <w:trPr>
          <w:trHeight w:val="694"/>
        </w:trPr>
        <w:tc>
          <w:tcPr>
            <w:tcW w:w="566" w:type="dxa"/>
          </w:tcPr>
          <w:p w:rsidR="007A2F40" w:rsidRDefault="007A2F40">
            <w:pPr>
              <w:pStyle w:val="TableParagraph"/>
              <w:rPr>
                <w:rFonts w:ascii="Times New Roman"/>
                <w:b/>
                <w:sz w:val="20"/>
              </w:rPr>
            </w:pPr>
          </w:p>
          <w:p w:rsidR="007A2F40" w:rsidRDefault="007A2F40">
            <w:pPr>
              <w:pStyle w:val="TableParagraph"/>
              <w:spacing w:before="10"/>
              <w:rPr>
                <w:rFonts w:ascii="Times New Roman"/>
                <w:b/>
                <w:sz w:val="19"/>
              </w:rPr>
            </w:pPr>
          </w:p>
          <w:p w:rsidR="007A2F40" w:rsidRDefault="002C6FB5">
            <w:pPr>
              <w:pStyle w:val="TableParagraph"/>
              <w:ind w:left="27"/>
              <w:rPr>
                <w:sz w:val="18"/>
              </w:rPr>
            </w:pPr>
            <w:r>
              <w:rPr>
                <w:sz w:val="18"/>
              </w:rPr>
              <w:t>Model</w:t>
            </w:r>
          </w:p>
        </w:tc>
        <w:tc>
          <w:tcPr>
            <w:tcW w:w="711" w:type="dxa"/>
            <w:tcBorders>
              <w:right w:val="single" w:sz="8" w:space="0" w:color="000000"/>
            </w:tcBorders>
          </w:tcPr>
          <w:p w:rsidR="007A2F40" w:rsidRDefault="007A2F40">
            <w:pPr>
              <w:pStyle w:val="TableParagraph"/>
              <w:rPr>
                <w:rFonts w:ascii="Times New Roman"/>
                <w:b/>
                <w:sz w:val="20"/>
              </w:rPr>
            </w:pPr>
          </w:p>
          <w:p w:rsidR="007A2F40" w:rsidRDefault="007A2F40">
            <w:pPr>
              <w:pStyle w:val="TableParagraph"/>
              <w:spacing w:before="10"/>
              <w:rPr>
                <w:rFonts w:ascii="Times New Roman"/>
                <w:b/>
                <w:sz w:val="19"/>
              </w:rPr>
            </w:pPr>
          </w:p>
          <w:p w:rsidR="007A2F40" w:rsidRDefault="002C6FB5">
            <w:pPr>
              <w:pStyle w:val="TableParagraph"/>
              <w:ind w:left="288"/>
              <w:rPr>
                <w:sz w:val="18"/>
              </w:rPr>
            </w:pPr>
            <w:r>
              <w:rPr>
                <w:w w:val="99"/>
                <w:sz w:val="18"/>
              </w:rPr>
              <w:t>R</w:t>
            </w:r>
          </w:p>
        </w:tc>
        <w:tc>
          <w:tcPr>
            <w:tcW w:w="991" w:type="dxa"/>
            <w:tcBorders>
              <w:left w:val="single" w:sz="8" w:space="0" w:color="000000"/>
              <w:right w:val="single" w:sz="8" w:space="0" w:color="000000"/>
            </w:tcBorders>
          </w:tcPr>
          <w:p w:rsidR="007A2F40" w:rsidRDefault="007A2F40">
            <w:pPr>
              <w:pStyle w:val="TableParagraph"/>
              <w:rPr>
                <w:rFonts w:ascii="Times New Roman"/>
                <w:b/>
                <w:sz w:val="20"/>
              </w:rPr>
            </w:pPr>
          </w:p>
          <w:p w:rsidR="007A2F40" w:rsidRDefault="007A2F40">
            <w:pPr>
              <w:pStyle w:val="TableParagraph"/>
              <w:spacing w:before="10"/>
              <w:rPr>
                <w:rFonts w:ascii="Times New Roman"/>
                <w:b/>
                <w:sz w:val="19"/>
              </w:rPr>
            </w:pPr>
          </w:p>
          <w:p w:rsidR="007A2F40" w:rsidRDefault="002C6FB5">
            <w:pPr>
              <w:pStyle w:val="TableParagraph"/>
              <w:ind w:left="124"/>
              <w:rPr>
                <w:sz w:val="18"/>
              </w:rPr>
            </w:pPr>
            <w:r>
              <w:rPr>
                <w:sz w:val="18"/>
              </w:rPr>
              <w:t>R Square</w:t>
            </w:r>
          </w:p>
        </w:tc>
        <w:tc>
          <w:tcPr>
            <w:tcW w:w="1560" w:type="dxa"/>
            <w:tcBorders>
              <w:left w:val="single" w:sz="8" w:space="0" w:color="000000"/>
              <w:right w:val="single" w:sz="8" w:space="0" w:color="000000"/>
            </w:tcBorders>
          </w:tcPr>
          <w:p w:rsidR="007A2F40" w:rsidRDefault="002C6FB5">
            <w:pPr>
              <w:pStyle w:val="TableParagraph"/>
              <w:spacing w:before="27" w:line="320" w:lineRule="atLeast"/>
              <w:ind w:left="499" w:right="292" w:hanging="152"/>
              <w:rPr>
                <w:sz w:val="18"/>
              </w:rPr>
            </w:pPr>
            <w:r>
              <w:rPr>
                <w:sz w:val="18"/>
              </w:rPr>
              <w:t>Adjusted R Square</w:t>
            </w:r>
          </w:p>
        </w:tc>
        <w:tc>
          <w:tcPr>
            <w:tcW w:w="1560" w:type="dxa"/>
            <w:tcBorders>
              <w:left w:val="single" w:sz="8" w:space="0" w:color="000000"/>
              <w:right w:val="single" w:sz="8" w:space="0" w:color="000000"/>
            </w:tcBorders>
          </w:tcPr>
          <w:p w:rsidR="007A2F40" w:rsidRDefault="002C6FB5">
            <w:pPr>
              <w:pStyle w:val="TableParagraph"/>
              <w:spacing w:before="27" w:line="320" w:lineRule="atLeast"/>
              <w:ind w:left="439" w:right="96" w:hanging="286"/>
              <w:rPr>
                <w:sz w:val="18"/>
              </w:rPr>
            </w:pPr>
            <w:r>
              <w:rPr>
                <w:sz w:val="18"/>
              </w:rPr>
              <w:t>Std. Error of the Estimate</w:t>
            </w:r>
          </w:p>
        </w:tc>
        <w:tc>
          <w:tcPr>
            <w:tcW w:w="1265" w:type="dxa"/>
            <w:tcBorders>
              <w:left w:val="single" w:sz="8" w:space="0" w:color="000000"/>
            </w:tcBorders>
          </w:tcPr>
          <w:p w:rsidR="007A2F40" w:rsidRDefault="007A2F40">
            <w:pPr>
              <w:pStyle w:val="TableParagraph"/>
              <w:rPr>
                <w:rFonts w:ascii="Times New Roman"/>
                <w:b/>
                <w:sz w:val="20"/>
              </w:rPr>
            </w:pPr>
          </w:p>
          <w:p w:rsidR="007A2F40" w:rsidRDefault="007A2F40">
            <w:pPr>
              <w:pStyle w:val="TableParagraph"/>
              <w:spacing w:before="10"/>
              <w:rPr>
                <w:rFonts w:ascii="Times New Roman"/>
                <w:b/>
                <w:sz w:val="19"/>
              </w:rPr>
            </w:pPr>
          </w:p>
          <w:p w:rsidR="007A2F40" w:rsidRDefault="002C6FB5">
            <w:pPr>
              <w:pStyle w:val="TableParagraph"/>
              <w:ind w:right="-15"/>
              <w:jc w:val="right"/>
              <w:rPr>
                <w:sz w:val="18"/>
              </w:rPr>
            </w:pPr>
            <w:r>
              <w:rPr>
                <w:sz w:val="18"/>
              </w:rPr>
              <w:t>Durbin-Watson</w:t>
            </w:r>
          </w:p>
        </w:tc>
      </w:tr>
      <w:tr w:rsidR="007A2F40">
        <w:trPr>
          <w:trHeight w:val="375"/>
        </w:trPr>
        <w:tc>
          <w:tcPr>
            <w:tcW w:w="566" w:type="dxa"/>
          </w:tcPr>
          <w:p w:rsidR="007A2F40" w:rsidRDefault="002C6FB5">
            <w:pPr>
              <w:pStyle w:val="TableParagraph"/>
              <w:spacing w:before="140"/>
              <w:ind w:left="27"/>
              <w:rPr>
                <w:sz w:val="18"/>
              </w:rPr>
            </w:pPr>
            <w:r>
              <w:rPr>
                <w:w w:val="99"/>
                <w:sz w:val="18"/>
              </w:rPr>
              <w:t>1</w:t>
            </w:r>
          </w:p>
        </w:tc>
        <w:tc>
          <w:tcPr>
            <w:tcW w:w="711" w:type="dxa"/>
            <w:tcBorders>
              <w:right w:val="single" w:sz="8" w:space="0" w:color="000000"/>
            </w:tcBorders>
          </w:tcPr>
          <w:p w:rsidR="007A2F40" w:rsidRDefault="002C6FB5">
            <w:pPr>
              <w:pStyle w:val="TableParagraph"/>
              <w:spacing w:before="136"/>
              <w:ind w:left="259" w:right="-15"/>
              <w:rPr>
                <w:sz w:val="12"/>
              </w:rPr>
            </w:pPr>
            <w:r>
              <w:rPr>
                <w:sz w:val="18"/>
              </w:rPr>
              <w:t>.632</w:t>
            </w:r>
            <w:r>
              <w:rPr>
                <w:position w:val="6"/>
                <w:sz w:val="12"/>
              </w:rPr>
              <w:t>a</w:t>
            </w:r>
          </w:p>
        </w:tc>
        <w:tc>
          <w:tcPr>
            <w:tcW w:w="991" w:type="dxa"/>
            <w:tcBorders>
              <w:left w:val="single" w:sz="8" w:space="0" w:color="000000"/>
              <w:right w:val="single" w:sz="8" w:space="0" w:color="000000"/>
            </w:tcBorders>
          </w:tcPr>
          <w:p w:rsidR="007A2F40" w:rsidRDefault="002C6FB5">
            <w:pPr>
              <w:pStyle w:val="TableParagraph"/>
              <w:spacing w:before="140"/>
              <w:ind w:left="621" w:right="-15"/>
              <w:rPr>
                <w:sz w:val="18"/>
              </w:rPr>
            </w:pPr>
            <w:r>
              <w:rPr>
                <w:sz w:val="18"/>
              </w:rPr>
              <w:t>.399</w:t>
            </w:r>
          </w:p>
        </w:tc>
        <w:tc>
          <w:tcPr>
            <w:tcW w:w="1560" w:type="dxa"/>
            <w:tcBorders>
              <w:left w:val="single" w:sz="8" w:space="0" w:color="000000"/>
              <w:right w:val="single" w:sz="8" w:space="0" w:color="000000"/>
            </w:tcBorders>
          </w:tcPr>
          <w:p w:rsidR="007A2F40" w:rsidRDefault="002C6FB5">
            <w:pPr>
              <w:pStyle w:val="TableParagraph"/>
              <w:spacing w:before="140"/>
              <w:ind w:right="-15"/>
              <w:jc w:val="right"/>
              <w:rPr>
                <w:sz w:val="18"/>
              </w:rPr>
            </w:pPr>
            <w:r>
              <w:rPr>
                <w:w w:val="95"/>
                <w:sz w:val="18"/>
              </w:rPr>
              <w:t>.303</w:t>
            </w:r>
          </w:p>
        </w:tc>
        <w:tc>
          <w:tcPr>
            <w:tcW w:w="1560" w:type="dxa"/>
            <w:tcBorders>
              <w:left w:val="single" w:sz="8" w:space="0" w:color="000000"/>
              <w:right w:val="single" w:sz="8" w:space="0" w:color="000000"/>
            </w:tcBorders>
          </w:tcPr>
          <w:p w:rsidR="007A2F40" w:rsidRDefault="002C6FB5">
            <w:pPr>
              <w:pStyle w:val="TableParagraph"/>
              <w:spacing w:before="140"/>
              <w:ind w:left="991" w:right="-15"/>
              <w:rPr>
                <w:sz w:val="18"/>
              </w:rPr>
            </w:pPr>
            <w:r>
              <w:rPr>
                <w:sz w:val="18"/>
              </w:rPr>
              <w:t>.75871</w:t>
            </w:r>
          </w:p>
        </w:tc>
        <w:tc>
          <w:tcPr>
            <w:tcW w:w="1265" w:type="dxa"/>
            <w:tcBorders>
              <w:left w:val="single" w:sz="8" w:space="0" w:color="000000"/>
            </w:tcBorders>
          </w:tcPr>
          <w:p w:rsidR="007A2F40" w:rsidRDefault="002C6FB5">
            <w:pPr>
              <w:pStyle w:val="TableParagraph"/>
              <w:spacing w:before="140"/>
              <w:ind w:right="-29"/>
              <w:jc w:val="right"/>
              <w:rPr>
                <w:sz w:val="18"/>
              </w:rPr>
            </w:pPr>
            <w:r>
              <w:rPr>
                <w:w w:val="95"/>
                <w:sz w:val="18"/>
              </w:rPr>
              <w:t>.694</w:t>
            </w:r>
          </w:p>
        </w:tc>
      </w:tr>
    </w:tbl>
    <w:p w:rsidR="007A2F40" w:rsidRDefault="002C6FB5">
      <w:pPr>
        <w:pStyle w:val="ListParagraph"/>
        <w:numPr>
          <w:ilvl w:val="0"/>
          <w:numId w:val="1"/>
        </w:numPr>
        <w:tabs>
          <w:tab w:val="left" w:pos="1425"/>
        </w:tabs>
        <w:spacing w:before="114"/>
        <w:rPr>
          <w:rFonts w:ascii="Arial"/>
          <w:sz w:val="18"/>
        </w:rPr>
      </w:pPr>
      <w:r>
        <w:rPr>
          <w:rFonts w:ascii="Arial"/>
          <w:sz w:val="18"/>
        </w:rPr>
        <w:t>Predictors: (Constant), X4, X3, X1,</w:t>
      </w:r>
      <w:r>
        <w:rPr>
          <w:rFonts w:ascii="Arial"/>
          <w:spacing w:val="-3"/>
          <w:sz w:val="18"/>
        </w:rPr>
        <w:t xml:space="preserve"> </w:t>
      </w:r>
      <w:r>
        <w:rPr>
          <w:rFonts w:ascii="Arial"/>
          <w:sz w:val="18"/>
        </w:rPr>
        <w:t>X2</w:t>
      </w:r>
    </w:p>
    <w:p w:rsidR="007A2F40" w:rsidRDefault="002C6FB5">
      <w:pPr>
        <w:pStyle w:val="ListParagraph"/>
        <w:numPr>
          <w:ilvl w:val="0"/>
          <w:numId w:val="1"/>
        </w:numPr>
        <w:tabs>
          <w:tab w:val="left" w:pos="1426"/>
        </w:tabs>
        <w:spacing w:before="172"/>
        <w:ind w:left="1425" w:hanging="203"/>
        <w:rPr>
          <w:rFonts w:ascii="Arial"/>
          <w:sz w:val="18"/>
        </w:rPr>
      </w:pPr>
      <w:r>
        <w:rPr>
          <w:rFonts w:ascii="Arial"/>
          <w:sz w:val="18"/>
        </w:rPr>
        <w:t>Dependent Variable:</w:t>
      </w:r>
      <w:r>
        <w:rPr>
          <w:rFonts w:ascii="Arial"/>
          <w:spacing w:val="-1"/>
          <w:sz w:val="18"/>
        </w:rPr>
        <w:t xml:space="preserve"> </w:t>
      </w:r>
      <w:r>
        <w:rPr>
          <w:rFonts w:ascii="Arial"/>
          <w:sz w:val="18"/>
        </w:rPr>
        <w:t>Y</w:t>
      </w:r>
    </w:p>
    <w:p w:rsidR="007A2F40" w:rsidRDefault="002C6FB5">
      <w:pPr>
        <w:pStyle w:val="Heading1"/>
        <w:spacing w:before="31"/>
        <w:ind w:left="119" w:right="117" w:firstLine="566"/>
        <w:rPr>
          <w:sz w:val="22"/>
        </w:rPr>
      </w:pPr>
      <w:r>
        <w:t xml:space="preserve">Hasil uji autokorelasi pada tabel 4.5 diatas menunjukkan bahwa nilai DW sebesar 0.694. Batasan terjadinya autokorelasi adalah angka DW berada antara -2 dan 2. Jika nilai DW sebesar 0.694 maka -2 </w:t>
      </w:r>
      <w:r>
        <w:t>&lt; 0.694 &lt; 2, maka tidak ditemukannya autokorelasi dalam model regresi</w:t>
      </w:r>
      <w:r>
        <w:rPr>
          <w:sz w:val="22"/>
        </w:rPr>
        <w:t>.</w:t>
      </w:r>
    </w:p>
    <w:p w:rsidR="007A2F40" w:rsidRDefault="007A2F40">
      <w:pPr>
        <w:pStyle w:val="BodyText"/>
        <w:spacing w:before="10"/>
        <w:rPr>
          <w:sz w:val="21"/>
        </w:rPr>
      </w:pPr>
    </w:p>
    <w:p w:rsidR="007A2F40" w:rsidRDefault="002C6FB5">
      <w:pPr>
        <w:pStyle w:val="Heading2"/>
        <w:spacing w:before="1"/>
        <w:jc w:val="both"/>
      </w:pPr>
      <w:r>
        <w:t>Uji Heteroskedastisitas</w:t>
      </w:r>
    </w:p>
    <w:p w:rsidR="007A2F40" w:rsidRDefault="002C6FB5">
      <w:pPr>
        <w:pStyle w:val="BodyText"/>
        <w:spacing w:before="1"/>
        <w:ind w:left="119" w:right="119" w:firstLine="566"/>
        <w:jc w:val="both"/>
      </w:pPr>
      <w:r>
        <w:t>Uji Heteroskedastisitas dilakukan untuk menguji apakah di dalam model regresi terdapat ketidaksamaan varians dari satu pengamatan ke pengamatan lain. Model regr</w:t>
      </w:r>
      <w:r>
        <w:t>esi yang baik diharapkan yang homoskedastisitas atau dengan kata lain tidak terjadi heteroskedastisitas.</w:t>
      </w:r>
    </w:p>
    <w:p w:rsidR="007A2F40" w:rsidRDefault="002C6FB5">
      <w:pPr>
        <w:pStyle w:val="BodyText"/>
        <w:spacing w:line="252" w:lineRule="exact"/>
        <w:ind w:left="119"/>
      </w:pPr>
      <w:r>
        <w:t>Hipotesis:</w:t>
      </w:r>
    </w:p>
    <w:p w:rsidR="007A2F40" w:rsidRDefault="002C6FB5">
      <w:pPr>
        <w:pStyle w:val="BodyText"/>
        <w:tabs>
          <w:tab w:val="left" w:pos="839"/>
        </w:tabs>
        <w:ind w:left="119" w:right="5446"/>
      </w:pPr>
      <w:r>
        <w:t>Ho</w:t>
      </w:r>
      <w:r>
        <w:tab/>
        <w:t>: Tidak ada heteroskedastisitas. Ha</w:t>
      </w:r>
      <w:r>
        <w:tab/>
        <w:t>: Ada</w:t>
      </w:r>
      <w:r>
        <w:rPr>
          <w:spacing w:val="-1"/>
        </w:rPr>
        <w:t xml:space="preserve"> </w:t>
      </w:r>
      <w:r>
        <w:t>heteroskedastisitas.</w:t>
      </w:r>
    </w:p>
    <w:p w:rsidR="007A2F40" w:rsidRDefault="002C6FB5">
      <w:pPr>
        <w:pStyle w:val="BodyText"/>
        <w:spacing w:line="252" w:lineRule="exact"/>
        <w:ind w:left="119"/>
      </w:pPr>
      <w:r>
        <w:t>Dasar pengambilan keputusan:</w:t>
      </w:r>
    </w:p>
    <w:p w:rsidR="007A2F40" w:rsidRDefault="002C6FB5">
      <w:pPr>
        <w:pStyle w:val="BodyText"/>
        <w:ind w:left="119"/>
      </w:pPr>
      <w:r>
        <w:t xml:space="preserve">Jika sig &lt; 0,05 maka Ho ditolak, Ha diterima </w:t>
      </w:r>
      <w:r>
        <w:t>(ada heterokedastisitas). Jika sig &gt; 0,05 maka Ho diterima, Ha ditolak (tidak ada heterokedastisitas). Berikut hasil uji heteroskedastisitas:</w:t>
      </w:r>
    </w:p>
    <w:p w:rsidR="007A2F40" w:rsidRDefault="007A2F40">
      <w:pPr>
        <w:sectPr w:rsidR="007A2F40">
          <w:pgSz w:w="11900" w:h="16850"/>
          <w:pgMar w:top="1480" w:right="1400" w:bottom="720" w:left="1460" w:header="333" w:footer="528" w:gutter="0"/>
          <w:cols w:space="720"/>
        </w:sectPr>
      </w:pPr>
    </w:p>
    <w:p w:rsidR="007A2F40" w:rsidRDefault="002C6FB5">
      <w:pPr>
        <w:pStyle w:val="Heading2"/>
        <w:spacing w:before="81"/>
        <w:ind w:left="124" w:right="124"/>
      </w:pPr>
      <w:r>
        <w:lastRenderedPageBreak/>
        <w:t>Tabel 5</w:t>
      </w:r>
    </w:p>
    <w:p w:rsidR="007A2F40" w:rsidRDefault="002C6FB5">
      <w:pPr>
        <w:spacing w:before="1"/>
        <w:ind w:left="124" w:right="124"/>
        <w:jc w:val="center"/>
        <w:rPr>
          <w:b/>
        </w:rPr>
      </w:pPr>
      <w:r>
        <w:rPr>
          <w:b/>
        </w:rPr>
        <w:t>Uji Heteroskedastisitas</w:t>
      </w:r>
    </w:p>
    <w:tbl>
      <w:tblPr>
        <w:tblW w:w="0" w:type="auto"/>
        <w:tblInd w:w="11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0"/>
        <w:gridCol w:w="1091"/>
        <w:gridCol w:w="840"/>
        <w:gridCol w:w="992"/>
        <w:gridCol w:w="1131"/>
        <w:gridCol w:w="1139"/>
        <w:gridCol w:w="1136"/>
      </w:tblGrid>
      <w:tr w:rsidR="007A2F40">
        <w:trPr>
          <w:trHeight w:val="684"/>
        </w:trPr>
        <w:tc>
          <w:tcPr>
            <w:tcW w:w="1571" w:type="dxa"/>
            <w:gridSpan w:val="2"/>
            <w:vMerge w:val="restart"/>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7"/>
              <w:rPr>
                <w:rFonts w:ascii="Times New Roman"/>
                <w:b/>
                <w:sz w:val="16"/>
              </w:rPr>
            </w:pPr>
          </w:p>
          <w:p w:rsidR="007A2F40" w:rsidRDefault="002C6FB5">
            <w:pPr>
              <w:pStyle w:val="TableParagraph"/>
              <w:ind w:left="27"/>
              <w:rPr>
                <w:sz w:val="18"/>
              </w:rPr>
            </w:pPr>
            <w:r>
              <w:rPr>
                <w:sz w:val="18"/>
              </w:rPr>
              <w:t>Model</w:t>
            </w:r>
          </w:p>
        </w:tc>
        <w:tc>
          <w:tcPr>
            <w:tcW w:w="1832" w:type="dxa"/>
            <w:gridSpan w:val="2"/>
            <w:tcBorders>
              <w:bottom w:val="single" w:sz="8" w:space="0" w:color="000000"/>
              <w:right w:val="single" w:sz="8" w:space="0" w:color="000000"/>
            </w:tcBorders>
          </w:tcPr>
          <w:p w:rsidR="007A2F40" w:rsidRDefault="002C6FB5">
            <w:pPr>
              <w:pStyle w:val="TableParagraph"/>
              <w:spacing w:before="27" w:line="320" w:lineRule="atLeast"/>
              <w:ind w:left="437" w:right="242" w:hanging="161"/>
              <w:rPr>
                <w:sz w:val="18"/>
              </w:rPr>
            </w:pPr>
            <w:r>
              <w:rPr>
                <w:sz w:val="18"/>
              </w:rPr>
              <w:t>Unstandardized Coefficients</w:t>
            </w:r>
          </w:p>
        </w:tc>
        <w:tc>
          <w:tcPr>
            <w:tcW w:w="1131" w:type="dxa"/>
            <w:tcBorders>
              <w:left w:val="single" w:sz="8" w:space="0" w:color="000000"/>
              <w:bottom w:val="single" w:sz="8" w:space="0" w:color="000000"/>
              <w:right w:val="single" w:sz="8" w:space="0" w:color="000000"/>
            </w:tcBorders>
          </w:tcPr>
          <w:p w:rsidR="007A2F40" w:rsidRDefault="002C6FB5">
            <w:pPr>
              <w:pStyle w:val="TableParagraph"/>
              <w:spacing w:before="27" w:line="320" w:lineRule="atLeast"/>
              <w:ind w:left="104" w:right="-14" w:hanging="60"/>
              <w:rPr>
                <w:sz w:val="18"/>
              </w:rPr>
            </w:pPr>
            <w:r>
              <w:rPr>
                <w:sz w:val="18"/>
              </w:rPr>
              <w:t>Standardized Coefficients</w:t>
            </w:r>
          </w:p>
        </w:tc>
        <w:tc>
          <w:tcPr>
            <w:tcW w:w="1139" w:type="dxa"/>
            <w:vMerge w:val="restart"/>
            <w:tcBorders>
              <w:left w:val="single" w:sz="8" w:space="0" w:color="000000"/>
              <w:righ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7"/>
              <w:rPr>
                <w:rFonts w:ascii="Times New Roman"/>
                <w:b/>
                <w:sz w:val="16"/>
              </w:rPr>
            </w:pPr>
          </w:p>
          <w:p w:rsidR="007A2F40" w:rsidRDefault="002C6FB5">
            <w:pPr>
              <w:pStyle w:val="TableParagraph"/>
              <w:ind w:left="37"/>
              <w:jc w:val="center"/>
              <w:rPr>
                <w:sz w:val="18"/>
              </w:rPr>
            </w:pPr>
            <w:r>
              <w:rPr>
                <w:sz w:val="18"/>
              </w:rPr>
              <w:t>T</w:t>
            </w:r>
          </w:p>
        </w:tc>
        <w:tc>
          <w:tcPr>
            <w:tcW w:w="1136" w:type="dxa"/>
            <w:vMerge w:val="restart"/>
            <w:tcBorders>
              <w:lef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7"/>
              <w:rPr>
                <w:rFonts w:ascii="Times New Roman"/>
                <w:b/>
                <w:sz w:val="16"/>
              </w:rPr>
            </w:pPr>
          </w:p>
          <w:p w:rsidR="007A2F40" w:rsidRDefault="002C6FB5">
            <w:pPr>
              <w:pStyle w:val="TableParagraph"/>
              <w:ind w:left="399" w:right="353"/>
              <w:jc w:val="center"/>
              <w:rPr>
                <w:sz w:val="18"/>
              </w:rPr>
            </w:pPr>
            <w:r>
              <w:rPr>
                <w:sz w:val="18"/>
              </w:rPr>
              <w:t>Sig.</w:t>
            </w:r>
          </w:p>
        </w:tc>
      </w:tr>
      <w:tr w:rsidR="007A2F40">
        <w:trPr>
          <w:trHeight w:val="384"/>
        </w:trPr>
        <w:tc>
          <w:tcPr>
            <w:tcW w:w="1571" w:type="dxa"/>
            <w:gridSpan w:val="2"/>
            <w:vMerge/>
            <w:tcBorders>
              <w:top w:val="nil"/>
            </w:tcBorders>
          </w:tcPr>
          <w:p w:rsidR="007A2F40" w:rsidRDefault="007A2F40">
            <w:pPr>
              <w:rPr>
                <w:sz w:val="2"/>
                <w:szCs w:val="2"/>
              </w:rPr>
            </w:pPr>
          </w:p>
        </w:tc>
        <w:tc>
          <w:tcPr>
            <w:tcW w:w="840" w:type="dxa"/>
            <w:tcBorders>
              <w:top w:val="single" w:sz="8" w:space="0" w:color="000000"/>
              <w:right w:val="single" w:sz="8" w:space="0" w:color="000000"/>
            </w:tcBorders>
          </w:tcPr>
          <w:p w:rsidR="007A2F40" w:rsidRDefault="002C6FB5">
            <w:pPr>
              <w:pStyle w:val="TableParagraph"/>
              <w:spacing w:before="152"/>
              <w:ind w:left="14"/>
              <w:jc w:val="center"/>
              <w:rPr>
                <w:sz w:val="18"/>
              </w:rPr>
            </w:pPr>
            <w:r>
              <w:rPr>
                <w:sz w:val="18"/>
              </w:rPr>
              <w:t>B</w:t>
            </w:r>
          </w:p>
        </w:tc>
        <w:tc>
          <w:tcPr>
            <w:tcW w:w="992" w:type="dxa"/>
            <w:tcBorders>
              <w:top w:val="single" w:sz="8" w:space="0" w:color="000000"/>
              <w:left w:val="single" w:sz="8" w:space="0" w:color="000000"/>
              <w:right w:val="single" w:sz="8" w:space="0" w:color="000000"/>
            </w:tcBorders>
          </w:tcPr>
          <w:p w:rsidR="007A2F40" w:rsidRDefault="002C6FB5">
            <w:pPr>
              <w:pStyle w:val="TableParagraph"/>
              <w:spacing w:before="152"/>
              <w:ind w:left="118"/>
              <w:rPr>
                <w:sz w:val="18"/>
              </w:rPr>
            </w:pPr>
            <w:r>
              <w:rPr>
                <w:sz w:val="18"/>
              </w:rPr>
              <w:t>Std. Error</w:t>
            </w:r>
          </w:p>
        </w:tc>
        <w:tc>
          <w:tcPr>
            <w:tcW w:w="1131" w:type="dxa"/>
            <w:tcBorders>
              <w:top w:val="single" w:sz="8" w:space="0" w:color="000000"/>
              <w:left w:val="single" w:sz="8" w:space="0" w:color="000000"/>
              <w:right w:val="single" w:sz="8" w:space="0" w:color="000000"/>
            </w:tcBorders>
          </w:tcPr>
          <w:p w:rsidR="007A2F40" w:rsidRDefault="002C6FB5">
            <w:pPr>
              <w:pStyle w:val="TableParagraph"/>
              <w:spacing w:before="152"/>
              <w:ind w:left="389"/>
              <w:rPr>
                <w:sz w:val="18"/>
              </w:rPr>
            </w:pPr>
            <w:r>
              <w:rPr>
                <w:sz w:val="18"/>
              </w:rPr>
              <w:t>Beta</w:t>
            </w:r>
          </w:p>
        </w:tc>
        <w:tc>
          <w:tcPr>
            <w:tcW w:w="1139" w:type="dxa"/>
            <w:vMerge/>
            <w:tcBorders>
              <w:top w:val="nil"/>
              <w:left w:val="single" w:sz="8" w:space="0" w:color="000000"/>
              <w:right w:val="single" w:sz="8" w:space="0" w:color="000000"/>
            </w:tcBorders>
          </w:tcPr>
          <w:p w:rsidR="007A2F40" w:rsidRDefault="007A2F40">
            <w:pPr>
              <w:rPr>
                <w:sz w:val="2"/>
                <w:szCs w:val="2"/>
              </w:rPr>
            </w:pPr>
          </w:p>
        </w:tc>
        <w:tc>
          <w:tcPr>
            <w:tcW w:w="1136" w:type="dxa"/>
            <w:vMerge/>
            <w:tcBorders>
              <w:top w:val="nil"/>
              <w:left w:val="single" w:sz="8" w:space="0" w:color="000000"/>
            </w:tcBorders>
          </w:tcPr>
          <w:p w:rsidR="007A2F40" w:rsidRDefault="007A2F40">
            <w:pPr>
              <w:rPr>
                <w:sz w:val="2"/>
                <w:szCs w:val="2"/>
              </w:rPr>
            </w:pPr>
          </w:p>
        </w:tc>
      </w:tr>
      <w:tr w:rsidR="007A2F40">
        <w:trPr>
          <w:trHeight w:val="777"/>
        </w:trPr>
        <w:tc>
          <w:tcPr>
            <w:tcW w:w="480" w:type="dxa"/>
            <w:tcBorders>
              <w:bottom w:val="nil"/>
              <w:right w:val="nil"/>
            </w:tcBorders>
          </w:tcPr>
          <w:p w:rsidR="007A2F40" w:rsidRDefault="002C6FB5">
            <w:pPr>
              <w:pStyle w:val="TableParagraph"/>
              <w:spacing w:before="142"/>
              <w:ind w:left="27"/>
              <w:rPr>
                <w:sz w:val="18"/>
              </w:rPr>
            </w:pPr>
            <w:r>
              <w:rPr>
                <w:w w:val="99"/>
                <w:sz w:val="18"/>
              </w:rPr>
              <w:t>1</w:t>
            </w:r>
          </w:p>
        </w:tc>
        <w:tc>
          <w:tcPr>
            <w:tcW w:w="1091" w:type="dxa"/>
            <w:tcBorders>
              <w:left w:val="nil"/>
              <w:bottom w:val="nil"/>
            </w:tcBorders>
          </w:tcPr>
          <w:p w:rsidR="007A2F40" w:rsidRDefault="002C6FB5">
            <w:pPr>
              <w:pStyle w:val="TableParagraph"/>
              <w:spacing w:before="29" w:line="320" w:lineRule="atLeast"/>
              <w:ind w:left="367" w:right="51"/>
              <w:rPr>
                <w:sz w:val="18"/>
              </w:rPr>
            </w:pPr>
            <w:r>
              <w:rPr>
                <w:sz w:val="18"/>
              </w:rPr>
              <w:t>(Consta nt)</w:t>
            </w:r>
          </w:p>
        </w:tc>
        <w:tc>
          <w:tcPr>
            <w:tcW w:w="840" w:type="dxa"/>
            <w:tcBorders>
              <w:bottom w:val="nil"/>
              <w:right w:val="single" w:sz="8" w:space="0" w:color="000000"/>
            </w:tcBorders>
          </w:tcPr>
          <w:p w:rsidR="007A2F40" w:rsidRDefault="007A2F40">
            <w:pPr>
              <w:pStyle w:val="TableParagraph"/>
              <w:spacing w:before="1"/>
              <w:rPr>
                <w:rFonts w:ascii="Times New Roman"/>
                <w:b/>
                <w:sz w:val="26"/>
              </w:rPr>
            </w:pPr>
          </w:p>
          <w:p w:rsidR="007A2F40" w:rsidRDefault="002C6FB5">
            <w:pPr>
              <w:pStyle w:val="TableParagraph"/>
              <w:ind w:right="-15"/>
              <w:jc w:val="right"/>
              <w:rPr>
                <w:sz w:val="18"/>
              </w:rPr>
            </w:pPr>
            <w:r>
              <w:rPr>
                <w:w w:val="95"/>
                <w:sz w:val="18"/>
              </w:rPr>
              <w:t>-.004</w:t>
            </w:r>
          </w:p>
        </w:tc>
        <w:tc>
          <w:tcPr>
            <w:tcW w:w="992" w:type="dxa"/>
            <w:tcBorders>
              <w:left w:val="single" w:sz="8" w:space="0" w:color="000000"/>
              <w:bottom w:val="nil"/>
              <w:right w:val="single" w:sz="8" w:space="0" w:color="000000"/>
            </w:tcBorders>
          </w:tcPr>
          <w:p w:rsidR="007A2F40" w:rsidRDefault="007A2F40">
            <w:pPr>
              <w:pStyle w:val="TableParagraph"/>
              <w:spacing w:before="1"/>
              <w:rPr>
                <w:rFonts w:ascii="Times New Roman"/>
                <w:b/>
                <w:sz w:val="26"/>
              </w:rPr>
            </w:pPr>
          </w:p>
          <w:p w:rsidR="007A2F40" w:rsidRDefault="002C6FB5">
            <w:pPr>
              <w:pStyle w:val="TableParagraph"/>
              <w:ind w:right="-15"/>
              <w:jc w:val="right"/>
              <w:rPr>
                <w:sz w:val="18"/>
              </w:rPr>
            </w:pPr>
            <w:r>
              <w:rPr>
                <w:w w:val="95"/>
                <w:sz w:val="18"/>
              </w:rPr>
              <w:t>.566</w:t>
            </w:r>
          </w:p>
        </w:tc>
        <w:tc>
          <w:tcPr>
            <w:tcW w:w="1131" w:type="dxa"/>
            <w:tcBorders>
              <w:left w:val="single" w:sz="8" w:space="0" w:color="000000"/>
              <w:bottom w:val="nil"/>
              <w:right w:val="single" w:sz="8" w:space="0" w:color="000000"/>
            </w:tcBorders>
          </w:tcPr>
          <w:p w:rsidR="007A2F40" w:rsidRDefault="007A2F40">
            <w:pPr>
              <w:pStyle w:val="TableParagraph"/>
              <w:rPr>
                <w:rFonts w:ascii="Times New Roman"/>
                <w:sz w:val="20"/>
              </w:rPr>
            </w:pPr>
          </w:p>
        </w:tc>
        <w:tc>
          <w:tcPr>
            <w:tcW w:w="1139" w:type="dxa"/>
            <w:tcBorders>
              <w:left w:val="single" w:sz="8" w:space="0" w:color="000000"/>
              <w:bottom w:val="nil"/>
              <w:right w:val="single" w:sz="8" w:space="0" w:color="000000"/>
            </w:tcBorders>
          </w:tcPr>
          <w:p w:rsidR="007A2F40" w:rsidRDefault="007A2F40">
            <w:pPr>
              <w:pStyle w:val="TableParagraph"/>
              <w:spacing w:before="1"/>
              <w:rPr>
                <w:rFonts w:ascii="Times New Roman"/>
                <w:b/>
                <w:sz w:val="26"/>
              </w:rPr>
            </w:pPr>
          </w:p>
          <w:p w:rsidR="007A2F40" w:rsidRDefault="002C6FB5">
            <w:pPr>
              <w:pStyle w:val="TableParagraph"/>
              <w:ind w:right="1"/>
              <w:jc w:val="right"/>
              <w:rPr>
                <w:sz w:val="18"/>
              </w:rPr>
            </w:pPr>
            <w:r>
              <w:rPr>
                <w:w w:val="95"/>
                <w:sz w:val="18"/>
              </w:rPr>
              <w:t>-.007</w:t>
            </w:r>
          </w:p>
        </w:tc>
        <w:tc>
          <w:tcPr>
            <w:tcW w:w="1136" w:type="dxa"/>
            <w:tcBorders>
              <w:left w:val="single" w:sz="8" w:space="0" w:color="000000"/>
              <w:bottom w:val="nil"/>
            </w:tcBorders>
          </w:tcPr>
          <w:p w:rsidR="007A2F40" w:rsidRDefault="007A2F40">
            <w:pPr>
              <w:pStyle w:val="TableParagraph"/>
              <w:spacing w:before="1"/>
              <w:rPr>
                <w:rFonts w:ascii="Times New Roman"/>
                <w:b/>
                <w:sz w:val="26"/>
              </w:rPr>
            </w:pPr>
          </w:p>
          <w:p w:rsidR="007A2F40" w:rsidRDefault="002C6FB5">
            <w:pPr>
              <w:pStyle w:val="TableParagraph"/>
              <w:ind w:right="-15"/>
              <w:jc w:val="right"/>
              <w:rPr>
                <w:sz w:val="18"/>
              </w:rPr>
            </w:pPr>
            <w:r>
              <w:rPr>
                <w:w w:val="95"/>
                <w:sz w:val="18"/>
              </w:rPr>
              <w:t>.995</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3"/>
              <w:ind w:left="367"/>
              <w:rPr>
                <w:sz w:val="18"/>
              </w:rPr>
            </w:pPr>
            <w:r>
              <w:rPr>
                <w:sz w:val="18"/>
              </w:rPr>
              <w:t>X1</w:t>
            </w:r>
          </w:p>
        </w:tc>
        <w:tc>
          <w:tcPr>
            <w:tcW w:w="840" w:type="dxa"/>
            <w:tcBorders>
              <w:top w:val="nil"/>
              <w:bottom w:val="nil"/>
              <w:right w:val="single" w:sz="8" w:space="0" w:color="000000"/>
            </w:tcBorders>
          </w:tcPr>
          <w:p w:rsidR="007A2F40" w:rsidRDefault="002C6FB5">
            <w:pPr>
              <w:pStyle w:val="TableParagraph"/>
              <w:spacing w:before="103"/>
              <w:ind w:right="-15"/>
              <w:jc w:val="right"/>
              <w:rPr>
                <w:sz w:val="18"/>
              </w:rPr>
            </w:pPr>
            <w:r>
              <w:rPr>
                <w:w w:val="95"/>
                <w:sz w:val="18"/>
              </w:rPr>
              <w:t>.833</w:t>
            </w:r>
          </w:p>
        </w:tc>
        <w:tc>
          <w:tcPr>
            <w:tcW w:w="992"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.300</w:t>
            </w:r>
          </w:p>
        </w:tc>
        <w:tc>
          <w:tcPr>
            <w:tcW w:w="1131"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.512</w:t>
            </w:r>
          </w:p>
        </w:tc>
        <w:tc>
          <w:tcPr>
            <w:tcW w:w="1139"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2.775</w:t>
            </w:r>
          </w:p>
        </w:tc>
        <w:tc>
          <w:tcPr>
            <w:tcW w:w="1136"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.060</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3"/>
              <w:ind w:left="367"/>
              <w:rPr>
                <w:sz w:val="18"/>
              </w:rPr>
            </w:pPr>
            <w:r>
              <w:rPr>
                <w:sz w:val="18"/>
              </w:rPr>
              <w:t>X2</w:t>
            </w:r>
          </w:p>
        </w:tc>
        <w:tc>
          <w:tcPr>
            <w:tcW w:w="840" w:type="dxa"/>
            <w:tcBorders>
              <w:top w:val="nil"/>
              <w:bottom w:val="nil"/>
              <w:right w:val="single" w:sz="8" w:space="0" w:color="000000"/>
            </w:tcBorders>
          </w:tcPr>
          <w:p w:rsidR="007A2F40" w:rsidRDefault="002C6FB5">
            <w:pPr>
              <w:pStyle w:val="TableParagraph"/>
              <w:spacing w:before="103"/>
              <w:ind w:right="-15"/>
              <w:jc w:val="right"/>
              <w:rPr>
                <w:sz w:val="18"/>
              </w:rPr>
            </w:pPr>
            <w:r>
              <w:rPr>
                <w:w w:val="95"/>
                <w:sz w:val="18"/>
              </w:rPr>
              <w:t>.246</w:t>
            </w:r>
          </w:p>
        </w:tc>
        <w:tc>
          <w:tcPr>
            <w:tcW w:w="992"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.509</w:t>
            </w:r>
          </w:p>
        </w:tc>
        <w:tc>
          <w:tcPr>
            <w:tcW w:w="1131"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.093</w:t>
            </w:r>
          </w:p>
        </w:tc>
        <w:tc>
          <w:tcPr>
            <w:tcW w:w="1139"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.483</w:t>
            </w:r>
          </w:p>
        </w:tc>
        <w:tc>
          <w:tcPr>
            <w:tcW w:w="1136"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.633</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091" w:type="dxa"/>
            <w:tcBorders>
              <w:top w:val="nil"/>
              <w:left w:val="nil"/>
              <w:bottom w:val="nil"/>
            </w:tcBorders>
          </w:tcPr>
          <w:p w:rsidR="007A2F40" w:rsidRDefault="002C6FB5">
            <w:pPr>
              <w:pStyle w:val="TableParagraph"/>
              <w:spacing w:before="104"/>
              <w:ind w:left="367"/>
              <w:rPr>
                <w:sz w:val="18"/>
              </w:rPr>
            </w:pPr>
            <w:r>
              <w:rPr>
                <w:sz w:val="18"/>
              </w:rPr>
              <w:t>X3</w:t>
            </w:r>
          </w:p>
        </w:tc>
        <w:tc>
          <w:tcPr>
            <w:tcW w:w="840" w:type="dxa"/>
            <w:tcBorders>
              <w:top w:val="nil"/>
              <w:bottom w:val="nil"/>
              <w:right w:val="single" w:sz="8" w:space="0" w:color="000000"/>
            </w:tcBorders>
          </w:tcPr>
          <w:p w:rsidR="007A2F40" w:rsidRDefault="002C6FB5">
            <w:pPr>
              <w:pStyle w:val="TableParagraph"/>
              <w:spacing w:before="104"/>
              <w:ind w:right="-15"/>
              <w:jc w:val="right"/>
              <w:rPr>
                <w:sz w:val="18"/>
              </w:rPr>
            </w:pPr>
            <w:r>
              <w:rPr>
                <w:w w:val="95"/>
                <w:sz w:val="18"/>
              </w:rPr>
              <w:t>.358</w:t>
            </w:r>
          </w:p>
        </w:tc>
        <w:tc>
          <w:tcPr>
            <w:tcW w:w="992" w:type="dxa"/>
            <w:tcBorders>
              <w:top w:val="nil"/>
              <w:left w:val="single" w:sz="8" w:space="0" w:color="000000"/>
              <w:bottom w:val="nil"/>
              <w:right w:val="single" w:sz="8" w:space="0" w:color="000000"/>
            </w:tcBorders>
          </w:tcPr>
          <w:p w:rsidR="007A2F40" w:rsidRDefault="002C6FB5">
            <w:pPr>
              <w:pStyle w:val="TableParagraph"/>
              <w:spacing w:before="104"/>
              <w:jc w:val="right"/>
              <w:rPr>
                <w:sz w:val="18"/>
              </w:rPr>
            </w:pPr>
            <w:r>
              <w:rPr>
                <w:w w:val="95"/>
                <w:sz w:val="18"/>
              </w:rPr>
              <w:t>1.222</w:t>
            </w:r>
          </w:p>
        </w:tc>
        <w:tc>
          <w:tcPr>
            <w:tcW w:w="1131" w:type="dxa"/>
            <w:tcBorders>
              <w:top w:val="nil"/>
              <w:left w:val="single" w:sz="8" w:space="0" w:color="000000"/>
              <w:bottom w:val="nil"/>
              <w:right w:val="single" w:sz="8" w:space="0" w:color="000000"/>
            </w:tcBorders>
          </w:tcPr>
          <w:p w:rsidR="007A2F40" w:rsidRDefault="002C6FB5">
            <w:pPr>
              <w:pStyle w:val="TableParagraph"/>
              <w:spacing w:before="104"/>
              <w:ind w:right="-15"/>
              <w:jc w:val="right"/>
              <w:rPr>
                <w:sz w:val="18"/>
              </w:rPr>
            </w:pPr>
            <w:r>
              <w:rPr>
                <w:w w:val="95"/>
                <w:sz w:val="18"/>
              </w:rPr>
              <w:t>.053</w:t>
            </w:r>
          </w:p>
        </w:tc>
        <w:tc>
          <w:tcPr>
            <w:tcW w:w="1139" w:type="dxa"/>
            <w:tcBorders>
              <w:top w:val="nil"/>
              <w:left w:val="single" w:sz="8" w:space="0" w:color="000000"/>
              <w:bottom w:val="nil"/>
              <w:right w:val="single" w:sz="8" w:space="0" w:color="000000"/>
            </w:tcBorders>
          </w:tcPr>
          <w:p w:rsidR="007A2F40" w:rsidRDefault="002C6FB5">
            <w:pPr>
              <w:pStyle w:val="TableParagraph"/>
              <w:spacing w:before="104"/>
              <w:ind w:right="1"/>
              <w:jc w:val="right"/>
              <w:rPr>
                <w:sz w:val="18"/>
              </w:rPr>
            </w:pPr>
            <w:r>
              <w:rPr>
                <w:w w:val="95"/>
                <w:sz w:val="18"/>
              </w:rPr>
              <w:t>.293</w:t>
            </w:r>
          </w:p>
        </w:tc>
        <w:tc>
          <w:tcPr>
            <w:tcW w:w="1136" w:type="dxa"/>
            <w:tcBorders>
              <w:top w:val="nil"/>
              <w:left w:val="single" w:sz="8" w:space="0" w:color="000000"/>
              <w:bottom w:val="nil"/>
            </w:tcBorders>
          </w:tcPr>
          <w:p w:rsidR="007A2F40" w:rsidRDefault="002C6FB5">
            <w:pPr>
              <w:pStyle w:val="TableParagraph"/>
              <w:spacing w:before="104"/>
              <w:ind w:right="-15"/>
              <w:jc w:val="right"/>
              <w:rPr>
                <w:sz w:val="18"/>
              </w:rPr>
            </w:pPr>
            <w:r>
              <w:rPr>
                <w:w w:val="95"/>
                <w:sz w:val="18"/>
              </w:rPr>
              <w:t>.772</w:t>
            </w:r>
          </w:p>
        </w:tc>
      </w:tr>
      <w:tr w:rsidR="007A2F40">
        <w:trPr>
          <w:trHeight w:val="338"/>
        </w:trPr>
        <w:tc>
          <w:tcPr>
            <w:tcW w:w="480" w:type="dxa"/>
            <w:tcBorders>
              <w:top w:val="nil"/>
              <w:right w:val="nil"/>
            </w:tcBorders>
          </w:tcPr>
          <w:p w:rsidR="007A2F40" w:rsidRDefault="007A2F40">
            <w:pPr>
              <w:pStyle w:val="TableParagraph"/>
              <w:rPr>
                <w:rFonts w:ascii="Times New Roman"/>
                <w:sz w:val="20"/>
              </w:rPr>
            </w:pPr>
          </w:p>
        </w:tc>
        <w:tc>
          <w:tcPr>
            <w:tcW w:w="1091" w:type="dxa"/>
            <w:tcBorders>
              <w:top w:val="nil"/>
              <w:left w:val="nil"/>
            </w:tcBorders>
          </w:tcPr>
          <w:p w:rsidR="007A2F40" w:rsidRDefault="002C6FB5">
            <w:pPr>
              <w:pStyle w:val="TableParagraph"/>
              <w:spacing w:before="103"/>
              <w:ind w:left="367"/>
              <w:rPr>
                <w:sz w:val="18"/>
              </w:rPr>
            </w:pPr>
            <w:r>
              <w:rPr>
                <w:sz w:val="18"/>
              </w:rPr>
              <w:t>X4</w:t>
            </w:r>
          </w:p>
        </w:tc>
        <w:tc>
          <w:tcPr>
            <w:tcW w:w="840" w:type="dxa"/>
            <w:tcBorders>
              <w:top w:val="nil"/>
              <w:right w:val="single" w:sz="8" w:space="0" w:color="000000"/>
            </w:tcBorders>
          </w:tcPr>
          <w:p w:rsidR="007A2F40" w:rsidRDefault="002C6FB5">
            <w:pPr>
              <w:pStyle w:val="TableParagraph"/>
              <w:spacing w:before="103"/>
              <w:ind w:right="-15"/>
              <w:jc w:val="right"/>
              <w:rPr>
                <w:sz w:val="18"/>
              </w:rPr>
            </w:pPr>
            <w:r>
              <w:rPr>
                <w:w w:val="95"/>
                <w:sz w:val="18"/>
              </w:rPr>
              <w:t>.000</w:t>
            </w:r>
          </w:p>
        </w:tc>
        <w:tc>
          <w:tcPr>
            <w:tcW w:w="992"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.000</w:t>
            </w:r>
          </w:p>
        </w:tc>
        <w:tc>
          <w:tcPr>
            <w:tcW w:w="1131"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-.513</w:t>
            </w:r>
          </w:p>
        </w:tc>
        <w:tc>
          <w:tcPr>
            <w:tcW w:w="1139" w:type="dxa"/>
            <w:tcBorders>
              <w:top w:val="nil"/>
              <w:left w:val="single" w:sz="8" w:space="0" w:color="000000"/>
              <w:right w:val="single" w:sz="8" w:space="0" w:color="000000"/>
            </w:tcBorders>
          </w:tcPr>
          <w:p w:rsidR="007A2F40" w:rsidRDefault="002C6FB5">
            <w:pPr>
              <w:pStyle w:val="TableParagraph"/>
              <w:spacing w:before="103"/>
              <w:ind w:right="1"/>
              <w:jc w:val="right"/>
              <w:rPr>
                <w:sz w:val="18"/>
              </w:rPr>
            </w:pPr>
            <w:r>
              <w:rPr>
                <w:w w:val="95"/>
                <w:sz w:val="18"/>
              </w:rPr>
              <w:t>-3.101</w:t>
            </w:r>
          </w:p>
        </w:tc>
        <w:tc>
          <w:tcPr>
            <w:tcW w:w="1136" w:type="dxa"/>
            <w:tcBorders>
              <w:top w:val="nil"/>
              <w:left w:val="single" w:sz="8" w:space="0" w:color="000000"/>
            </w:tcBorders>
          </w:tcPr>
          <w:p w:rsidR="007A2F40" w:rsidRDefault="002C6FB5">
            <w:pPr>
              <w:pStyle w:val="TableParagraph"/>
              <w:spacing w:before="103"/>
              <w:ind w:right="-15"/>
              <w:jc w:val="right"/>
              <w:rPr>
                <w:sz w:val="18"/>
              </w:rPr>
            </w:pPr>
            <w:r>
              <w:rPr>
                <w:w w:val="95"/>
                <w:sz w:val="18"/>
              </w:rPr>
              <w:t>.065</w:t>
            </w:r>
          </w:p>
        </w:tc>
      </w:tr>
    </w:tbl>
    <w:p w:rsidR="007A2F40" w:rsidRDefault="002C6FB5">
      <w:pPr>
        <w:spacing w:before="112"/>
        <w:ind w:left="1149"/>
        <w:rPr>
          <w:rFonts w:ascii="Arial"/>
          <w:sz w:val="18"/>
        </w:rPr>
      </w:pPr>
      <w:r>
        <w:rPr>
          <w:rFonts w:ascii="Arial"/>
          <w:sz w:val="18"/>
        </w:rPr>
        <w:t>a. Dependent Variable: Abs_RES</w:t>
      </w:r>
    </w:p>
    <w:p w:rsidR="007A2F40" w:rsidRDefault="002C6FB5">
      <w:pPr>
        <w:pStyle w:val="BodyText"/>
        <w:spacing w:before="30"/>
        <w:ind w:left="119" w:right="119" w:firstLine="566"/>
        <w:jc w:val="both"/>
      </w:pPr>
      <w:r>
        <w:t>Hasil uji heteroskedastisitas pada tabel diatas menunjukkan bahwa semua variabel memiliki nilai sig &gt; 0.05. Maka tidak terjadi heteroskedastisitas didalam model regresi.</w:t>
      </w:r>
    </w:p>
    <w:p w:rsidR="007A2F40" w:rsidRDefault="007A2F40">
      <w:pPr>
        <w:pStyle w:val="BodyText"/>
        <w:spacing w:before="1"/>
      </w:pPr>
    </w:p>
    <w:p w:rsidR="007A2F40" w:rsidRDefault="002C6FB5">
      <w:pPr>
        <w:pStyle w:val="Heading2"/>
        <w:spacing w:before="1" w:line="252" w:lineRule="exact"/>
        <w:jc w:val="both"/>
      </w:pPr>
      <w:r>
        <w:t>Uji Hipotesis</w:t>
      </w:r>
    </w:p>
    <w:p w:rsidR="007A2F40" w:rsidRDefault="002C6FB5">
      <w:pPr>
        <w:spacing w:line="252" w:lineRule="exact"/>
        <w:ind w:left="119"/>
        <w:jc w:val="both"/>
        <w:rPr>
          <w:b/>
        </w:rPr>
      </w:pPr>
      <w:r>
        <w:rPr>
          <w:b/>
        </w:rPr>
        <w:t>Regresi Linear</w:t>
      </w:r>
      <w:r>
        <w:rPr>
          <w:b/>
          <w:spacing w:val="-2"/>
        </w:rPr>
        <w:t xml:space="preserve"> </w:t>
      </w:r>
      <w:r>
        <w:rPr>
          <w:b/>
        </w:rPr>
        <w:t>Berganda</w:t>
      </w:r>
    </w:p>
    <w:p w:rsidR="007A2F40" w:rsidRDefault="002C6FB5">
      <w:pPr>
        <w:pStyle w:val="BodyText"/>
        <w:ind w:left="119" w:right="116" w:firstLine="566"/>
        <w:jc w:val="both"/>
      </w:pPr>
      <w:r>
        <w:t>Analisis regresi berganda digunakan untuk menguji pengaruh antara variabel bebas (independen) dengan variabel terikat (dependen). Hasil uji regresi linear berganda pada penelitian ini adalah sebagai berikut</w:t>
      </w:r>
      <w:r>
        <w:rPr>
          <w:spacing w:val="-4"/>
        </w:rPr>
        <w:t xml:space="preserve"> </w:t>
      </w:r>
      <w:r>
        <w:t>:</w:t>
      </w:r>
    </w:p>
    <w:p w:rsidR="007A2F40" w:rsidRDefault="007A2F40">
      <w:pPr>
        <w:pStyle w:val="BodyText"/>
      </w:pPr>
    </w:p>
    <w:p w:rsidR="007A2F40" w:rsidRDefault="002C6FB5">
      <w:pPr>
        <w:pStyle w:val="Heading2"/>
        <w:spacing w:line="252" w:lineRule="exact"/>
        <w:ind w:left="124" w:right="120"/>
      </w:pPr>
      <w:r>
        <w:t>Tabel 6</w:t>
      </w:r>
    </w:p>
    <w:p w:rsidR="007A2F40" w:rsidRDefault="002C6FB5">
      <w:pPr>
        <w:spacing w:after="4" w:line="252" w:lineRule="exact"/>
        <w:ind w:left="124" w:right="124"/>
        <w:jc w:val="center"/>
        <w:rPr>
          <w:b/>
        </w:rPr>
      </w:pPr>
      <w:r>
        <w:rPr>
          <w:b/>
        </w:rPr>
        <w:t>Uji Regresi Linear Berganda</w:t>
      </w:r>
    </w:p>
    <w:tbl>
      <w:tblPr>
        <w:tblW w:w="0" w:type="auto"/>
        <w:tblInd w:w="7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80"/>
        <w:gridCol w:w="1233"/>
        <w:gridCol w:w="1124"/>
        <w:gridCol w:w="1136"/>
        <w:gridCol w:w="1556"/>
        <w:gridCol w:w="997"/>
        <w:gridCol w:w="992"/>
      </w:tblGrid>
      <w:tr w:rsidR="007A2F40">
        <w:trPr>
          <w:trHeight w:val="684"/>
        </w:trPr>
        <w:tc>
          <w:tcPr>
            <w:tcW w:w="1713" w:type="dxa"/>
            <w:gridSpan w:val="2"/>
            <w:vMerge w:val="restart"/>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27"/>
              <w:rPr>
                <w:sz w:val="18"/>
              </w:rPr>
            </w:pPr>
            <w:r>
              <w:rPr>
                <w:sz w:val="18"/>
              </w:rPr>
              <w:t>Model</w:t>
            </w:r>
          </w:p>
        </w:tc>
        <w:tc>
          <w:tcPr>
            <w:tcW w:w="2260" w:type="dxa"/>
            <w:gridSpan w:val="2"/>
            <w:tcBorders>
              <w:bottom w:val="single" w:sz="8" w:space="0" w:color="000000"/>
              <w:right w:val="single" w:sz="8" w:space="0" w:color="000000"/>
            </w:tcBorders>
          </w:tcPr>
          <w:p w:rsidR="007A2F40" w:rsidRDefault="002C6FB5">
            <w:pPr>
              <w:pStyle w:val="TableParagraph"/>
              <w:spacing w:before="27" w:line="320" w:lineRule="atLeast"/>
              <w:ind w:left="648" w:right="459" w:hanging="161"/>
              <w:rPr>
                <w:sz w:val="18"/>
              </w:rPr>
            </w:pPr>
            <w:r>
              <w:rPr>
                <w:sz w:val="18"/>
              </w:rPr>
              <w:t>Unstandardized Coefficients</w:t>
            </w:r>
          </w:p>
        </w:tc>
        <w:tc>
          <w:tcPr>
            <w:tcW w:w="1556" w:type="dxa"/>
            <w:tcBorders>
              <w:left w:val="single" w:sz="8" w:space="0" w:color="000000"/>
              <w:bottom w:val="single" w:sz="8" w:space="0" w:color="000000"/>
              <w:right w:val="single" w:sz="8" w:space="0" w:color="000000"/>
            </w:tcBorders>
          </w:tcPr>
          <w:p w:rsidR="007A2F40" w:rsidRDefault="002C6FB5">
            <w:pPr>
              <w:pStyle w:val="TableParagraph"/>
              <w:spacing w:before="27" w:line="320" w:lineRule="atLeast"/>
              <w:ind w:left="316" w:right="199" w:hanging="60"/>
              <w:rPr>
                <w:sz w:val="18"/>
              </w:rPr>
            </w:pPr>
            <w:r>
              <w:rPr>
                <w:sz w:val="18"/>
              </w:rPr>
              <w:t>Standardized Coefficients</w:t>
            </w:r>
          </w:p>
        </w:tc>
        <w:tc>
          <w:tcPr>
            <w:tcW w:w="997" w:type="dxa"/>
            <w:vMerge w:val="restart"/>
            <w:tcBorders>
              <w:left w:val="single" w:sz="8" w:space="0" w:color="000000"/>
              <w:righ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38"/>
              <w:jc w:val="center"/>
              <w:rPr>
                <w:sz w:val="18"/>
              </w:rPr>
            </w:pPr>
            <w:r>
              <w:rPr>
                <w:sz w:val="18"/>
              </w:rPr>
              <w:t>T</w:t>
            </w:r>
          </w:p>
        </w:tc>
        <w:tc>
          <w:tcPr>
            <w:tcW w:w="992" w:type="dxa"/>
            <w:vMerge w:val="restart"/>
            <w:tcBorders>
              <w:lef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346"/>
              <w:rPr>
                <w:sz w:val="18"/>
              </w:rPr>
            </w:pPr>
            <w:r>
              <w:rPr>
                <w:sz w:val="18"/>
              </w:rPr>
              <w:t>Sig.</w:t>
            </w:r>
          </w:p>
        </w:tc>
      </w:tr>
      <w:tr w:rsidR="007A2F40">
        <w:trPr>
          <w:trHeight w:val="384"/>
        </w:trPr>
        <w:tc>
          <w:tcPr>
            <w:tcW w:w="1713" w:type="dxa"/>
            <w:gridSpan w:val="2"/>
            <w:vMerge/>
            <w:tcBorders>
              <w:top w:val="nil"/>
            </w:tcBorders>
          </w:tcPr>
          <w:p w:rsidR="007A2F40" w:rsidRDefault="007A2F40">
            <w:pPr>
              <w:rPr>
                <w:sz w:val="2"/>
                <w:szCs w:val="2"/>
              </w:rPr>
            </w:pPr>
          </w:p>
        </w:tc>
        <w:tc>
          <w:tcPr>
            <w:tcW w:w="1124" w:type="dxa"/>
            <w:tcBorders>
              <w:top w:val="single" w:sz="8" w:space="0" w:color="000000"/>
              <w:right w:val="single" w:sz="8" w:space="0" w:color="000000"/>
            </w:tcBorders>
          </w:tcPr>
          <w:p w:rsidR="007A2F40" w:rsidRDefault="002C6FB5">
            <w:pPr>
              <w:pStyle w:val="TableParagraph"/>
              <w:spacing w:before="149"/>
              <w:ind w:left="8"/>
              <w:jc w:val="center"/>
              <w:rPr>
                <w:sz w:val="18"/>
              </w:rPr>
            </w:pPr>
            <w:r>
              <w:rPr>
                <w:sz w:val="18"/>
              </w:rPr>
              <w:t>B</w:t>
            </w:r>
          </w:p>
        </w:tc>
        <w:tc>
          <w:tcPr>
            <w:tcW w:w="1136" w:type="dxa"/>
            <w:tcBorders>
              <w:top w:val="single" w:sz="8" w:space="0" w:color="000000"/>
              <w:left w:val="single" w:sz="8" w:space="0" w:color="000000"/>
              <w:right w:val="single" w:sz="8" w:space="0" w:color="000000"/>
            </w:tcBorders>
          </w:tcPr>
          <w:p w:rsidR="007A2F40" w:rsidRDefault="002C6FB5">
            <w:pPr>
              <w:pStyle w:val="TableParagraph"/>
              <w:spacing w:before="149"/>
              <w:ind w:left="189"/>
              <w:rPr>
                <w:sz w:val="18"/>
              </w:rPr>
            </w:pPr>
            <w:r>
              <w:rPr>
                <w:sz w:val="18"/>
              </w:rPr>
              <w:t>Std. Error</w:t>
            </w:r>
          </w:p>
        </w:tc>
        <w:tc>
          <w:tcPr>
            <w:tcW w:w="1556" w:type="dxa"/>
            <w:tcBorders>
              <w:top w:val="single" w:sz="8" w:space="0" w:color="000000"/>
              <w:left w:val="single" w:sz="8" w:space="0" w:color="000000"/>
              <w:right w:val="single" w:sz="8" w:space="0" w:color="000000"/>
            </w:tcBorders>
          </w:tcPr>
          <w:p w:rsidR="007A2F40" w:rsidRDefault="002C6FB5">
            <w:pPr>
              <w:pStyle w:val="TableParagraph"/>
              <w:spacing w:before="149"/>
              <w:ind w:left="581" w:right="543"/>
              <w:jc w:val="center"/>
              <w:rPr>
                <w:sz w:val="18"/>
              </w:rPr>
            </w:pPr>
            <w:r>
              <w:rPr>
                <w:sz w:val="18"/>
              </w:rPr>
              <w:t>Beta</w:t>
            </w:r>
          </w:p>
        </w:tc>
        <w:tc>
          <w:tcPr>
            <w:tcW w:w="997" w:type="dxa"/>
            <w:vMerge/>
            <w:tcBorders>
              <w:top w:val="nil"/>
              <w:left w:val="single" w:sz="8" w:space="0" w:color="000000"/>
              <w:right w:val="single" w:sz="8" w:space="0" w:color="000000"/>
            </w:tcBorders>
          </w:tcPr>
          <w:p w:rsidR="007A2F40" w:rsidRDefault="007A2F40">
            <w:pPr>
              <w:rPr>
                <w:sz w:val="2"/>
                <w:szCs w:val="2"/>
              </w:rPr>
            </w:pPr>
          </w:p>
        </w:tc>
        <w:tc>
          <w:tcPr>
            <w:tcW w:w="992" w:type="dxa"/>
            <w:vMerge/>
            <w:tcBorders>
              <w:top w:val="nil"/>
              <w:left w:val="single" w:sz="8" w:space="0" w:color="000000"/>
            </w:tcBorders>
          </w:tcPr>
          <w:p w:rsidR="007A2F40" w:rsidRDefault="007A2F40">
            <w:pPr>
              <w:rPr>
                <w:sz w:val="2"/>
                <w:szCs w:val="2"/>
              </w:rPr>
            </w:pPr>
          </w:p>
        </w:tc>
      </w:tr>
      <w:tr w:rsidR="007A2F40">
        <w:trPr>
          <w:trHeight w:val="456"/>
        </w:trPr>
        <w:tc>
          <w:tcPr>
            <w:tcW w:w="480" w:type="dxa"/>
            <w:tcBorders>
              <w:bottom w:val="nil"/>
              <w:right w:val="nil"/>
            </w:tcBorders>
          </w:tcPr>
          <w:p w:rsidR="007A2F40" w:rsidRDefault="002C6FB5">
            <w:pPr>
              <w:pStyle w:val="TableParagraph"/>
              <w:spacing w:before="140"/>
              <w:ind w:left="27"/>
              <w:rPr>
                <w:sz w:val="18"/>
              </w:rPr>
            </w:pPr>
            <w:r>
              <w:rPr>
                <w:w w:val="99"/>
                <w:sz w:val="18"/>
              </w:rPr>
              <w:t>1</w:t>
            </w:r>
          </w:p>
        </w:tc>
        <w:tc>
          <w:tcPr>
            <w:tcW w:w="1233" w:type="dxa"/>
            <w:tcBorders>
              <w:left w:val="nil"/>
              <w:bottom w:val="nil"/>
            </w:tcBorders>
          </w:tcPr>
          <w:p w:rsidR="007A2F40" w:rsidRDefault="002C6FB5">
            <w:pPr>
              <w:pStyle w:val="TableParagraph"/>
              <w:spacing w:before="140"/>
              <w:ind w:left="367"/>
              <w:rPr>
                <w:sz w:val="18"/>
              </w:rPr>
            </w:pPr>
            <w:r>
              <w:rPr>
                <w:sz w:val="18"/>
              </w:rPr>
              <w:t>(Constant)</w:t>
            </w:r>
          </w:p>
        </w:tc>
        <w:tc>
          <w:tcPr>
            <w:tcW w:w="1124" w:type="dxa"/>
            <w:tcBorders>
              <w:bottom w:val="nil"/>
              <w:right w:val="single" w:sz="8" w:space="0" w:color="000000"/>
            </w:tcBorders>
          </w:tcPr>
          <w:p w:rsidR="007A2F40" w:rsidRDefault="002C6FB5">
            <w:pPr>
              <w:pStyle w:val="TableParagraph"/>
              <w:spacing w:before="140"/>
              <w:jc w:val="right"/>
              <w:rPr>
                <w:sz w:val="18"/>
              </w:rPr>
            </w:pPr>
            <w:r>
              <w:rPr>
                <w:w w:val="95"/>
                <w:sz w:val="18"/>
              </w:rPr>
              <w:t>1.147</w:t>
            </w:r>
          </w:p>
        </w:tc>
        <w:tc>
          <w:tcPr>
            <w:tcW w:w="1136" w:type="dxa"/>
            <w:tcBorders>
              <w:left w:val="single" w:sz="8" w:space="0" w:color="000000"/>
              <w:bottom w:val="nil"/>
              <w:right w:val="single" w:sz="8" w:space="0" w:color="000000"/>
            </w:tcBorders>
          </w:tcPr>
          <w:p w:rsidR="007A2F40" w:rsidRDefault="002C6FB5">
            <w:pPr>
              <w:pStyle w:val="TableParagraph"/>
              <w:spacing w:before="140"/>
              <w:ind w:right="1"/>
              <w:jc w:val="right"/>
              <w:rPr>
                <w:sz w:val="18"/>
              </w:rPr>
            </w:pPr>
            <w:r>
              <w:rPr>
                <w:w w:val="95"/>
                <w:sz w:val="18"/>
              </w:rPr>
              <w:t>1.082</w:t>
            </w:r>
          </w:p>
        </w:tc>
        <w:tc>
          <w:tcPr>
            <w:tcW w:w="1556" w:type="dxa"/>
            <w:tcBorders>
              <w:left w:val="single" w:sz="8" w:space="0" w:color="000000"/>
              <w:bottom w:val="nil"/>
              <w:right w:val="single" w:sz="8" w:space="0" w:color="000000"/>
            </w:tcBorders>
          </w:tcPr>
          <w:p w:rsidR="007A2F40" w:rsidRDefault="007A2F40">
            <w:pPr>
              <w:pStyle w:val="TableParagraph"/>
              <w:rPr>
                <w:rFonts w:ascii="Times New Roman"/>
                <w:sz w:val="20"/>
              </w:rPr>
            </w:pPr>
          </w:p>
        </w:tc>
        <w:tc>
          <w:tcPr>
            <w:tcW w:w="997" w:type="dxa"/>
            <w:tcBorders>
              <w:left w:val="single" w:sz="8" w:space="0" w:color="000000"/>
              <w:bottom w:val="nil"/>
              <w:right w:val="single" w:sz="8" w:space="0" w:color="000000"/>
            </w:tcBorders>
          </w:tcPr>
          <w:p w:rsidR="007A2F40" w:rsidRDefault="002C6FB5">
            <w:pPr>
              <w:pStyle w:val="TableParagraph"/>
              <w:spacing w:before="140"/>
              <w:jc w:val="right"/>
              <w:rPr>
                <w:sz w:val="18"/>
              </w:rPr>
            </w:pPr>
            <w:r>
              <w:rPr>
                <w:w w:val="95"/>
                <w:sz w:val="18"/>
              </w:rPr>
              <w:t>1.060</w:t>
            </w:r>
          </w:p>
        </w:tc>
        <w:tc>
          <w:tcPr>
            <w:tcW w:w="992" w:type="dxa"/>
            <w:tcBorders>
              <w:left w:val="single" w:sz="8" w:space="0" w:color="000000"/>
              <w:bottom w:val="nil"/>
            </w:tcBorders>
          </w:tcPr>
          <w:p w:rsidR="007A2F40" w:rsidRDefault="002C6FB5">
            <w:pPr>
              <w:pStyle w:val="TableParagraph"/>
              <w:spacing w:before="140"/>
              <w:ind w:right="-15"/>
              <w:jc w:val="right"/>
              <w:rPr>
                <w:sz w:val="18"/>
              </w:rPr>
            </w:pPr>
            <w:r>
              <w:rPr>
                <w:w w:val="95"/>
                <w:sz w:val="18"/>
              </w:rPr>
              <w:t>.299</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233" w:type="dxa"/>
            <w:tcBorders>
              <w:top w:val="nil"/>
              <w:left w:val="nil"/>
              <w:bottom w:val="nil"/>
            </w:tcBorders>
          </w:tcPr>
          <w:p w:rsidR="007A2F40" w:rsidRDefault="002C6FB5">
            <w:pPr>
              <w:pStyle w:val="TableParagraph"/>
              <w:spacing w:before="103"/>
              <w:ind w:left="367"/>
              <w:rPr>
                <w:sz w:val="18"/>
              </w:rPr>
            </w:pPr>
            <w:r>
              <w:rPr>
                <w:sz w:val="18"/>
              </w:rPr>
              <w:t>X1</w:t>
            </w:r>
          </w:p>
        </w:tc>
        <w:tc>
          <w:tcPr>
            <w:tcW w:w="1124" w:type="dxa"/>
            <w:tcBorders>
              <w:top w:val="nil"/>
              <w:bottom w:val="nil"/>
              <w:right w:val="single" w:sz="8" w:space="0" w:color="000000"/>
            </w:tcBorders>
          </w:tcPr>
          <w:p w:rsidR="007A2F40" w:rsidRDefault="002C6FB5">
            <w:pPr>
              <w:pStyle w:val="TableParagraph"/>
              <w:spacing w:before="103"/>
              <w:jc w:val="right"/>
              <w:rPr>
                <w:sz w:val="18"/>
              </w:rPr>
            </w:pPr>
            <w:r>
              <w:rPr>
                <w:w w:val="95"/>
                <w:sz w:val="18"/>
              </w:rPr>
              <w:t>-1.987</w:t>
            </w:r>
          </w:p>
        </w:tc>
        <w:tc>
          <w:tcPr>
            <w:tcW w:w="1136"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.573</w:t>
            </w:r>
          </w:p>
        </w:tc>
        <w:tc>
          <w:tcPr>
            <w:tcW w:w="1556"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-.629</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jc w:val="right"/>
              <w:rPr>
                <w:sz w:val="18"/>
              </w:rPr>
            </w:pPr>
            <w:r>
              <w:rPr>
                <w:w w:val="95"/>
                <w:sz w:val="18"/>
              </w:rPr>
              <w:t>-3.464</w:t>
            </w:r>
          </w:p>
        </w:tc>
        <w:tc>
          <w:tcPr>
            <w:tcW w:w="992"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.002</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233" w:type="dxa"/>
            <w:tcBorders>
              <w:top w:val="nil"/>
              <w:left w:val="nil"/>
              <w:bottom w:val="nil"/>
            </w:tcBorders>
          </w:tcPr>
          <w:p w:rsidR="007A2F40" w:rsidRDefault="002C6FB5">
            <w:pPr>
              <w:pStyle w:val="TableParagraph"/>
              <w:spacing w:before="103"/>
              <w:ind w:left="367"/>
              <w:rPr>
                <w:sz w:val="18"/>
              </w:rPr>
            </w:pPr>
            <w:r>
              <w:rPr>
                <w:sz w:val="18"/>
              </w:rPr>
              <w:t>X2</w:t>
            </w:r>
          </w:p>
        </w:tc>
        <w:tc>
          <w:tcPr>
            <w:tcW w:w="1124" w:type="dxa"/>
            <w:tcBorders>
              <w:top w:val="nil"/>
              <w:bottom w:val="nil"/>
              <w:right w:val="single" w:sz="8" w:space="0" w:color="000000"/>
            </w:tcBorders>
          </w:tcPr>
          <w:p w:rsidR="007A2F40" w:rsidRDefault="002C6FB5">
            <w:pPr>
              <w:pStyle w:val="TableParagraph"/>
              <w:spacing w:before="103"/>
              <w:jc w:val="right"/>
              <w:rPr>
                <w:sz w:val="18"/>
              </w:rPr>
            </w:pPr>
            <w:r>
              <w:rPr>
                <w:w w:val="95"/>
                <w:sz w:val="18"/>
              </w:rPr>
              <w:t>-.857</w:t>
            </w:r>
          </w:p>
        </w:tc>
        <w:tc>
          <w:tcPr>
            <w:tcW w:w="1136"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.972</w:t>
            </w:r>
          </w:p>
        </w:tc>
        <w:tc>
          <w:tcPr>
            <w:tcW w:w="1556"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-.167</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-.881</w:t>
            </w:r>
          </w:p>
        </w:tc>
        <w:tc>
          <w:tcPr>
            <w:tcW w:w="992"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.387</w:t>
            </w:r>
          </w:p>
        </w:tc>
      </w:tr>
      <w:tr w:rsidR="007A2F40">
        <w:trPr>
          <w:trHeight w:val="420"/>
        </w:trPr>
        <w:tc>
          <w:tcPr>
            <w:tcW w:w="480" w:type="dxa"/>
            <w:tcBorders>
              <w:top w:val="nil"/>
              <w:bottom w:val="nil"/>
              <w:right w:val="nil"/>
            </w:tcBorders>
          </w:tcPr>
          <w:p w:rsidR="007A2F40" w:rsidRDefault="007A2F40">
            <w:pPr>
              <w:pStyle w:val="TableParagraph"/>
              <w:rPr>
                <w:rFonts w:ascii="Times New Roman"/>
                <w:sz w:val="20"/>
              </w:rPr>
            </w:pPr>
          </w:p>
        </w:tc>
        <w:tc>
          <w:tcPr>
            <w:tcW w:w="1233" w:type="dxa"/>
            <w:tcBorders>
              <w:top w:val="nil"/>
              <w:left w:val="nil"/>
              <w:bottom w:val="nil"/>
            </w:tcBorders>
          </w:tcPr>
          <w:p w:rsidR="007A2F40" w:rsidRDefault="002C6FB5">
            <w:pPr>
              <w:pStyle w:val="TableParagraph"/>
              <w:spacing w:before="103"/>
              <w:ind w:left="367"/>
              <w:rPr>
                <w:sz w:val="18"/>
              </w:rPr>
            </w:pPr>
            <w:r>
              <w:rPr>
                <w:sz w:val="18"/>
              </w:rPr>
              <w:t>X3</w:t>
            </w:r>
          </w:p>
        </w:tc>
        <w:tc>
          <w:tcPr>
            <w:tcW w:w="1124" w:type="dxa"/>
            <w:tcBorders>
              <w:top w:val="nil"/>
              <w:bottom w:val="nil"/>
              <w:right w:val="single" w:sz="8" w:space="0" w:color="000000"/>
            </w:tcBorders>
          </w:tcPr>
          <w:p w:rsidR="007A2F40" w:rsidRDefault="002C6FB5">
            <w:pPr>
              <w:pStyle w:val="TableParagraph"/>
              <w:spacing w:before="103"/>
              <w:jc w:val="right"/>
              <w:rPr>
                <w:sz w:val="18"/>
              </w:rPr>
            </w:pPr>
            <w:r>
              <w:rPr>
                <w:w w:val="95"/>
                <w:sz w:val="18"/>
              </w:rPr>
              <w:t>-2.170</w:t>
            </w:r>
          </w:p>
        </w:tc>
        <w:tc>
          <w:tcPr>
            <w:tcW w:w="1136"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2.335</w:t>
            </w:r>
          </w:p>
        </w:tc>
        <w:tc>
          <w:tcPr>
            <w:tcW w:w="1556"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-.164</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ind w:right="1"/>
              <w:jc w:val="right"/>
              <w:rPr>
                <w:sz w:val="18"/>
              </w:rPr>
            </w:pPr>
            <w:r>
              <w:rPr>
                <w:w w:val="95"/>
                <w:sz w:val="18"/>
              </w:rPr>
              <w:t>-.929</w:t>
            </w:r>
          </w:p>
        </w:tc>
        <w:tc>
          <w:tcPr>
            <w:tcW w:w="992"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.362</w:t>
            </w:r>
          </w:p>
        </w:tc>
      </w:tr>
      <w:tr w:rsidR="007A2F40">
        <w:trPr>
          <w:trHeight w:val="339"/>
        </w:trPr>
        <w:tc>
          <w:tcPr>
            <w:tcW w:w="480" w:type="dxa"/>
            <w:tcBorders>
              <w:top w:val="nil"/>
              <w:right w:val="nil"/>
            </w:tcBorders>
          </w:tcPr>
          <w:p w:rsidR="007A2F40" w:rsidRDefault="007A2F40">
            <w:pPr>
              <w:pStyle w:val="TableParagraph"/>
              <w:rPr>
                <w:rFonts w:ascii="Times New Roman"/>
                <w:sz w:val="20"/>
              </w:rPr>
            </w:pPr>
          </w:p>
        </w:tc>
        <w:tc>
          <w:tcPr>
            <w:tcW w:w="1233" w:type="dxa"/>
            <w:tcBorders>
              <w:top w:val="nil"/>
              <w:left w:val="nil"/>
            </w:tcBorders>
          </w:tcPr>
          <w:p w:rsidR="007A2F40" w:rsidRDefault="002C6FB5">
            <w:pPr>
              <w:pStyle w:val="TableParagraph"/>
              <w:spacing w:before="104"/>
              <w:ind w:left="367"/>
              <w:rPr>
                <w:sz w:val="18"/>
              </w:rPr>
            </w:pPr>
            <w:r>
              <w:rPr>
                <w:sz w:val="18"/>
              </w:rPr>
              <w:t>X4</w:t>
            </w:r>
          </w:p>
        </w:tc>
        <w:tc>
          <w:tcPr>
            <w:tcW w:w="1124" w:type="dxa"/>
            <w:tcBorders>
              <w:top w:val="nil"/>
              <w:right w:val="single" w:sz="8" w:space="0" w:color="000000"/>
            </w:tcBorders>
          </w:tcPr>
          <w:p w:rsidR="007A2F40" w:rsidRDefault="002C6FB5">
            <w:pPr>
              <w:pStyle w:val="TableParagraph"/>
              <w:spacing w:before="104"/>
              <w:jc w:val="right"/>
              <w:rPr>
                <w:sz w:val="18"/>
              </w:rPr>
            </w:pPr>
            <w:r>
              <w:rPr>
                <w:w w:val="95"/>
                <w:sz w:val="18"/>
              </w:rPr>
              <w:t>.001</w:t>
            </w:r>
          </w:p>
        </w:tc>
        <w:tc>
          <w:tcPr>
            <w:tcW w:w="1136" w:type="dxa"/>
            <w:tcBorders>
              <w:top w:val="nil"/>
              <w:left w:val="single" w:sz="8" w:space="0" w:color="000000"/>
              <w:right w:val="single" w:sz="8" w:space="0" w:color="000000"/>
            </w:tcBorders>
          </w:tcPr>
          <w:p w:rsidR="007A2F40" w:rsidRDefault="002C6FB5">
            <w:pPr>
              <w:pStyle w:val="TableParagraph"/>
              <w:spacing w:before="104"/>
              <w:ind w:right="1"/>
              <w:jc w:val="right"/>
              <w:rPr>
                <w:sz w:val="18"/>
              </w:rPr>
            </w:pPr>
            <w:r>
              <w:rPr>
                <w:w w:val="95"/>
                <w:sz w:val="18"/>
              </w:rPr>
              <w:t>.000</w:t>
            </w:r>
          </w:p>
        </w:tc>
        <w:tc>
          <w:tcPr>
            <w:tcW w:w="1556" w:type="dxa"/>
            <w:tcBorders>
              <w:top w:val="nil"/>
              <w:left w:val="single" w:sz="8" w:space="0" w:color="000000"/>
              <w:right w:val="single" w:sz="8" w:space="0" w:color="000000"/>
            </w:tcBorders>
          </w:tcPr>
          <w:p w:rsidR="007A2F40" w:rsidRDefault="002C6FB5">
            <w:pPr>
              <w:pStyle w:val="TableParagraph"/>
              <w:spacing w:before="104"/>
              <w:ind w:right="-15"/>
              <w:jc w:val="right"/>
              <w:rPr>
                <w:sz w:val="18"/>
              </w:rPr>
            </w:pPr>
            <w:r>
              <w:rPr>
                <w:w w:val="95"/>
                <w:sz w:val="18"/>
              </w:rPr>
              <w:t>.321</w:t>
            </w:r>
          </w:p>
        </w:tc>
        <w:tc>
          <w:tcPr>
            <w:tcW w:w="997" w:type="dxa"/>
            <w:tcBorders>
              <w:top w:val="nil"/>
              <w:left w:val="single" w:sz="8" w:space="0" w:color="000000"/>
              <w:right w:val="single" w:sz="8" w:space="0" w:color="000000"/>
            </w:tcBorders>
          </w:tcPr>
          <w:p w:rsidR="007A2F40" w:rsidRDefault="002C6FB5">
            <w:pPr>
              <w:pStyle w:val="TableParagraph"/>
              <w:spacing w:before="104"/>
              <w:jc w:val="right"/>
              <w:rPr>
                <w:sz w:val="18"/>
              </w:rPr>
            </w:pPr>
            <w:r>
              <w:rPr>
                <w:w w:val="95"/>
                <w:sz w:val="18"/>
              </w:rPr>
              <w:t>1.971</w:t>
            </w:r>
          </w:p>
        </w:tc>
        <w:tc>
          <w:tcPr>
            <w:tcW w:w="992" w:type="dxa"/>
            <w:tcBorders>
              <w:top w:val="nil"/>
              <w:left w:val="single" w:sz="8" w:space="0" w:color="000000"/>
            </w:tcBorders>
          </w:tcPr>
          <w:p w:rsidR="007A2F40" w:rsidRDefault="002C6FB5">
            <w:pPr>
              <w:pStyle w:val="TableParagraph"/>
              <w:spacing w:before="104"/>
              <w:ind w:right="-15"/>
              <w:jc w:val="right"/>
              <w:rPr>
                <w:sz w:val="18"/>
              </w:rPr>
            </w:pPr>
            <w:r>
              <w:rPr>
                <w:w w:val="95"/>
                <w:sz w:val="18"/>
              </w:rPr>
              <w:t>.060</w:t>
            </w:r>
          </w:p>
        </w:tc>
      </w:tr>
    </w:tbl>
    <w:p w:rsidR="007A2F40" w:rsidRDefault="002C6FB5">
      <w:pPr>
        <w:spacing w:before="114"/>
        <w:ind w:left="794"/>
        <w:rPr>
          <w:rFonts w:ascii="Arial"/>
          <w:sz w:val="18"/>
        </w:rPr>
      </w:pPr>
      <w:r>
        <w:rPr>
          <w:rFonts w:ascii="Arial"/>
          <w:sz w:val="18"/>
        </w:rPr>
        <w:t>a. Dependent Variable: Y</w:t>
      </w:r>
    </w:p>
    <w:p w:rsidR="007A2F40" w:rsidRDefault="007A2F40">
      <w:pPr>
        <w:pStyle w:val="BodyText"/>
        <w:spacing w:before="7"/>
        <w:rPr>
          <w:rFonts w:ascii="Arial"/>
          <w:sz w:val="16"/>
        </w:rPr>
      </w:pPr>
    </w:p>
    <w:p w:rsidR="007A2F40" w:rsidRDefault="002C6FB5">
      <w:pPr>
        <w:pStyle w:val="BodyText"/>
        <w:spacing w:before="91" w:line="252" w:lineRule="exact"/>
        <w:ind w:left="119"/>
        <w:jc w:val="both"/>
      </w:pPr>
      <w:r>
        <w:t>Persamaan regresi dalam penelitian ini adalah :</w:t>
      </w:r>
    </w:p>
    <w:p w:rsidR="007A2F40" w:rsidRDefault="002C6FB5">
      <w:pPr>
        <w:pStyle w:val="BodyText"/>
        <w:spacing w:line="252" w:lineRule="exact"/>
        <w:ind w:left="1826"/>
        <w:jc w:val="both"/>
      </w:pPr>
      <w:r>
        <w:t>Y = 1.147 – 1.987 X1 – 0.857 X2 – 2.170 X3 + 0.001 X4 + e</w:t>
      </w:r>
    </w:p>
    <w:p w:rsidR="007A2F40" w:rsidRDefault="002C6FB5">
      <w:pPr>
        <w:pStyle w:val="BodyText"/>
        <w:spacing w:before="2" w:line="252" w:lineRule="exact"/>
        <w:ind w:left="119"/>
        <w:jc w:val="both"/>
      </w:pPr>
      <w:r>
        <w:t>Dari hasil regresi tersebut dapat disimpulkan bahwa :</w:t>
      </w:r>
    </w:p>
    <w:p w:rsidR="007A2F40" w:rsidRDefault="002C6FB5">
      <w:pPr>
        <w:pStyle w:val="BodyText"/>
        <w:ind w:left="119" w:right="113" w:firstLine="566"/>
        <w:jc w:val="both"/>
      </w:pPr>
      <w:r>
        <w:t>Nilai konstanta sebesar 1.147. Hal ini mengindikasikan jika variabel Kepemilikan Manajerial, Kepemilikan Institusional, Efektivitas Dewan dan Pembiayaan Eksternal bernilai 0 maka akan menaikkan Manajemen Laba sebesar 1.147. Hubungan antara variabel Kepemil</w:t>
      </w:r>
      <w:r>
        <w:t>ikan Manajerial dan Manajemen Laba adalah negatif, hal ini menunjukkan dengan semakin besarnya Kepemilikan Manajerial maka akan menurunkan Manajemen Laba yang dilakukan perusahaan sebesar -1.987. Hubungan antara variabel Kepemilikan Institusional dan Manaj</w:t>
      </w:r>
      <w:r>
        <w:t>emen Laba adalah negatif, hal ini menunjukkan dengan semakin besarnya Kepemilikan Institusional maka akan menurunkan Manajemen Laba yang dilakukan perusahaan sebesar – 0.857. Hubungan antara variabel Efektivitas Dewan dan Manajemen Laba adalah negatif, hal</w:t>
      </w:r>
      <w:r>
        <w:t xml:space="preserve"> ini menunjukkan dengan semakin</w:t>
      </w:r>
      <w:r>
        <w:rPr>
          <w:spacing w:val="37"/>
        </w:rPr>
        <w:t xml:space="preserve"> </w:t>
      </w:r>
      <w:r>
        <w:t>besarnya</w:t>
      </w:r>
      <w:r>
        <w:rPr>
          <w:spacing w:val="37"/>
        </w:rPr>
        <w:t xml:space="preserve"> </w:t>
      </w:r>
      <w:r>
        <w:t>Efektivitas</w:t>
      </w:r>
      <w:r>
        <w:rPr>
          <w:spacing w:val="39"/>
        </w:rPr>
        <w:t xml:space="preserve"> </w:t>
      </w:r>
      <w:r>
        <w:t>Dewan</w:t>
      </w:r>
      <w:r>
        <w:rPr>
          <w:spacing w:val="34"/>
        </w:rPr>
        <w:t xml:space="preserve"> </w:t>
      </w:r>
      <w:r>
        <w:t>maka</w:t>
      </w:r>
      <w:r>
        <w:rPr>
          <w:spacing w:val="37"/>
        </w:rPr>
        <w:t xml:space="preserve"> </w:t>
      </w:r>
      <w:r>
        <w:t>akan</w:t>
      </w:r>
      <w:r>
        <w:rPr>
          <w:spacing w:val="38"/>
        </w:rPr>
        <w:t xml:space="preserve"> </w:t>
      </w:r>
      <w:r>
        <w:t>menurunkan</w:t>
      </w:r>
      <w:r>
        <w:rPr>
          <w:spacing w:val="37"/>
        </w:rPr>
        <w:t xml:space="preserve"> </w:t>
      </w:r>
      <w:r>
        <w:t>Manajemen</w:t>
      </w:r>
      <w:r>
        <w:rPr>
          <w:spacing w:val="37"/>
        </w:rPr>
        <w:t xml:space="preserve"> </w:t>
      </w:r>
      <w:r>
        <w:t>Laba</w:t>
      </w:r>
      <w:r>
        <w:rPr>
          <w:spacing w:val="38"/>
        </w:rPr>
        <w:t xml:space="preserve"> </w:t>
      </w:r>
      <w:r>
        <w:t>yang</w:t>
      </w:r>
      <w:r>
        <w:rPr>
          <w:spacing w:val="37"/>
        </w:rPr>
        <w:t xml:space="preserve"> </w:t>
      </w:r>
      <w:r>
        <w:t>dilakukan</w:t>
      </w:r>
    </w:p>
    <w:p w:rsidR="007A2F40" w:rsidRDefault="007A2F40">
      <w:pPr>
        <w:jc w:val="both"/>
        <w:sectPr w:rsidR="007A2F40">
          <w:pgSz w:w="11900" w:h="16850"/>
          <w:pgMar w:top="1480" w:right="1400" w:bottom="720" w:left="1460" w:header="409" w:footer="528" w:gutter="0"/>
          <w:cols w:space="720"/>
        </w:sectPr>
      </w:pPr>
    </w:p>
    <w:p w:rsidR="007A2F40" w:rsidRDefault="002C6FB5">
      <w:pPr>
        <w:pStyle w:val="BodyText"/>
        <w:spacing w:before="81"/>
        <w:ind w:left="119" w:right="118"/>
        <w:jc w:val="both"/>
      </w:pPr>
      <w:r>
        <w:lastRenderedPageBreak/>
        <w:t xml:space="preserve">perusahaan sebesar -2.170. Hubungan antara variabel Pembiayaan Eksternal dan Manajemen Laba adalah positif, hal ini menunjukkan </w:t>
      </w:r>
      <w:r>
        <w:t>dengan semakin besarnya Pembiayaan Eksternal maka akan menaikan Manajemen Laba yang dilakukan perusahaan sebesar 0.001.</w:t>
      </w:r>
    </w:p>
    <w:p w:rsidR="007A2F40" w:rsidRDefault="007A2F40">
      <w:pPr>
        <w:pStyle w:val="BodyText"/>
        <w:spacing w:before="1"/>
      </w:pPr>
    </w:p>
    <w:p w:rsidR="007A2F40" w:rsidRDefault="002C6FB5">
      <w:pPr>
        <w:pStyle w:val="Heading2"/>
        <w:spacing w:line="252" w:lineRule="exact"/>
        <w:jc w:val="both"/>
      </w:pPr>
      <w:r>
        <w:t>Uji Parsial (Uji t)</w:t>
      </w:r>
    </w:p>
    <w:p w:rsidR="007A2F40" w:rsidRDefault="002C6FB5">
      <w:pPr>
        <w:pStyle w:val="BodyText"/>
        <w:ind w:left="119" w:right="122" w:firstLine="566"/>
        <w:jc w:val="both"/>
      </w:pPr>
      <w:r>
        <w:t>Uji statistik t menunjukkan seberapa jauh pengaruh satu variabel independen secara individual dalam menerangkan var</w:t>
      </w:r>
      <w:r>
        <w:t>iasi variabel dependen. Hasil uji parsial t dalam penelitian ini adalah sebagai berikut :</w:t>
      </w:r>
    </w:p>
    <w:p w:rsidR="007A2F40" w:rsidRDefault="007A2F40">
      <w:pPr>
        <w:pStyle w:val="BodyText"/>
      </w:pPr>
    </w:p>
    <w:p w:rsidR="007A2F40" w:rsidRDefault="002C6FB5">
      <w:pPr>
        <w:pStyle w:val="Heading2"/>
        <w:spacing w:after="2"/>
        <w:ind w:left="4169" w:right="4162"/>
      </w:pPr>
      <w:r>
        <w:t>Tabel 7 Uji t</w:t>
      </w:r>
    </w:p>
    <w:tbl>
      <w:tblPr>
        <w:tblW w:w="0" w:type="auto"/>
        <w:tblInd w:w="8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478"/>
        <w:gridCol w:w="1231"/>
        <w:gridCol w:w="1126"/>
        <w:gridCol w:w="1134"/>
        <w:gridCol w:w="1414"/>
        <w:gridCol w:w="997"/>
        <w:gridCol w:w="994"/>
      </w:tblGrid>
      <w:tr w:rsidR="007A2F40">
        <w:trPr>
          <w:trHeight w:val="685"/>
        </w:trPr>
        <w:tc>
          <w:tcPr>
            <w:tcW w:w="1709" w:type="dxa"/>
            <w:gridSpan w:val="2"/>
            <w:vMerge w:val="restart"/>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25"/>
              <w:rPr>
                <w:sz w:val="18"/>
              </w:rPr>
            </w:pPr>
            <w:r>
              <w:rPr>
                <w:sz w:val="18"/>
              </w:rPr>
              <w:t>Model</w:t>
            </w:r>
          </w:p>
        </w:tc>
        <w:tc>
          <w:tcPr>
            <w:tcW w:w="2260" w:type="dxa"/>
            <w:gridSpan w:val="2"/>
            <w:tcBorders>
              <w:bottom w:val="single" w:sz="8" w:space="0" w:color="000000"/>
              <w:right w:val="single" w:sz="8" w:space="0" w:color="000000"/>
            </w:tcBorders>
          </w:tcPr>
          <w:p w:rsidR="007A2F40" w:rsidRDefault="002C6FB5">
            <w:pPr>
              <w:pStyle w:val="TableParagraph"/>
              <w:spacing w:before="27" w:line="320" w:lineRule="atLeast"/>
              <w:ind w:left="652" w:right="455" w:hanging="161"/>
              <w:rPr>
                <w:sz w:val="18"/>
              </w:rPr>
            </w:pPr>
            <w:r>
              <w:rPr>
                <w:sz w:val="18"/>
              </w:rPr>
              <w:t>Unstandardized Coefficients</w:t>
            </w:r>
          </w:p>
        </w:tc>
        <w:tc>
          <w:tcPr>
            <w:tcW w:w="1414" w:type="dxa"/>
            <w:tcBorders>
              <w:left w:val="single" w:sz="8" w:space="0" w:color="000000"/>
              <w:bottom w:val="single" w:sz="8" w:space="0" w:color="000000"/>
              <w:right w:val="single" w:sz="8" w:space="0" w:color="000000"/>
            </w:tcBorders>
          </w:tcPr>
          <w:p w:rsidR="007A2F40" w:rsidRDefault="002C6FB5">
            <w:pPr>
              <w:pStyle w:val="TableParagraph"/>
              <w:spacing w:before="27" w:line="320" w:lineRule="atLeast"/>
              <w:ind w:left="248" w:right="128" w:hanging="63"/>
              <w:rPr>
                <w:sz w:val="18"/>
              </w:rPr>
            </w:pPr>
            <w:r>
              <w:rPr>
                <w:sz w:val="18"/>
              </w:rPr>
              <w:t>Standardized Coefficients</w:t>
            </w:r>
          </w:p>
        </w:tc>
        <w:tc>
          <w:tcPr>
            <w:tcW w:w="997" w:type="dxa"/>
            <w:vMerge w:val="restart"/>
            <w:tcBorders>
              <w:left w:val="single" w:sz="8" w:space="0" w:color="000000"/>
              <w:righ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41"/>
              <w:jc w:val="center"/>
              <w:rPr>
                <w:sz w:val="18"/>
              </w:rPr>
            </w:pPr>
            <w:r>
              <w:rPr>
                <w:sz w:val="18"/>
              </w:rPr>
              <w:t>T</w:t>
            </w:r>
          </w:p>
        </w:tc>
        <w:tc>
          <w:tcPr>
            <w:tcW w:w="994" w:type="dxa"/>
            <w:vMerge w:val="restart"/>
            <w:tcBorders>
              <w:left w:val="single" w:sz="8" w:space="0" w:color="000000"/>
            </w:tcBorders>
          </w:tcPr>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rPr>
                <w:rFonts w:ascii="Times New Roman"/>
                <w:b/>
                <w:sz w:val="20"/>
              </w:rPr>
            </w:pPr>
          </w:p>
          <w:p w:rsidR="007A2F40" w:rsidRDefault="007A2F40">
            <w:pPr>
              <w:pStyle w:val="TableParagraph"/>
              <w:spacing w:before="5"/>
              <w:rPr>
                <w:rFonts w:ascii="Times New Roman"/>
                <w:b/>
                <w:sz w:val="16"/>
              </w:rPr>
            </w:pPr>
          </w:p>
          <w:p w:rsidR="007A2F40" w:rsidRDefault="002C6FB5">
            <w:pPr>
              <w:pStyle w:val="TableParagraph"/>
              <w:ind w:left="348"/>
              <w:rPr>
                <w:sz w:val="18"/>
              </w:rPr>
            </w:pPr>
            <w:r>
              <w:rPr>
                <w:sz w:val="18"/>
              </w:rPr>
              <w:t>Sig.</w:t>
            </w:r>
          </w:p>
        </w:tc>
      </w:tr>
      <w:tr w:rsidR="007A2F40">
        <w:trPr>
          <w:trHeight w:val="384"/>
        </w:trPr>
        <w:tc>
          <w:tcPr>
            <w:tcW w:w="1709" w:type="dxa"/>
            <w:gridSpan w:val="2"/>
            <w:vMerge/>
            <w:tcBorders>
              <w:top w:val="nil"/>
            </w:tcBorders>
          </w:tcPr>
          <w:p w:rsidR="007A2F40" w:rsidRDefault="007A2F40">
            <w:pPr>
              <w:rPr>
                <w:sz w:val="2"/>
                <w:szCs w:val="2"/>
              </w:rPr>
            </w:pPr>
          </w:p>
        </w:tc>
        <w:tc>
          <w:tcPr>
            <w:tcW w:w="1126" w:type="dxa"/>
            <w:tcBorders>
              <w:top w:val="single" w:sz="8" w:space="0" w:color="000000"/>
              <w:right w:val="single" w:sz="8" w:space="0" w:color="000000"/>
            </w:tcBorders>
          </w:tcPr>
          <w:p w:rsidR="007A2F40" w:rsidRDefault="002C6FB5">
            <w:pPr>
              <w:pStyle w:val="TableParagraph"/>
              <w:spacing w:before="149"/>
              <w:ind w:left="14"/>
              <w:jc w:val="center"/>
              <w:rPr>
                <w:sz w:val="18"/>
              </w:rPr>
            </w:pPr>
            <w:r>
              <w:rPr>
                <w:sz w:val="18"/>
              </w:rPr>
              <w:t>B</w:t>
            </w:r>
          </w:p>
        </w:tc>
        <w:tc>
          <w:tcPr>
            <w:tcW w:w="1134" w:type="dxa"/>
            <w:tcBorders>
              <w:top w:val="single" w:sz="8" w:space="0" w:color="000000"/>
              <w:left w:val="single" w:sz="8" w:space="0" w:color="000000"/>
              <w:right w:val="single" w:sz="8" w:space="0" w:color="000000"/>
            </w:tcBorders>
          </w:tcPr>
          <w:p w:rsidR="007A2F40" w:rsidRDefault="002C6FB5">
            <w:pPr>
              <w:pStyle w:val="TableParagraph"/>
              <w:spacing w:before="149"/>
              <w:ind w:left="191"/>
              <w:rPr>
                <w:sz w:val="18"/>
              </w:rPr>
            </w:pPr>
            <w:r>
              <w:rPr>
                <w:sz w:val="18"/>
              </w:rPr>
              <w:t>Std. Error</w:t>
            </w:r>
          </w:p>
        </w:tc>
        <w:tc>
          <w:tcPr>
            <w:tcW w:w="1414" w:type="dxa"/>
            <w:tcBorders>
              <w:top w:val="single" w:sz="8" w:space="0" w:color="000000"/>
              <w:left w:val="single" w:sz="8" w:space="0" w:color="000000"/>
              <w:right w:val="single" w:sz="8" w:space="0" w:color="000000"/>
            </w:tcBorders>
          </w:tcPr>
          <w:p w:rsidR="007A2F40" w:rsidRDefault="002C6FB5">
            <w:pPr>
              <w:pStyle w:val="TableParagraph"/>
              <w:spacing w:before="149"/>
              <w:ind w:left="513" w:right="469"/>
              <w:jc w:val="center"/>
              <w:rPr>
                <w:sz w:val="18"/>
              </w:rPr>
            </w:pPr>
            <w:r>
              <w:rPr>
                <w:sz w:val="18"/>
              </w:rPr>
              <w:t>Beta</w:t>
            </w:r>
          </w:p>
        </w:tc>
        <w:tc>
          <w:tcPr>
            <w:tcW w:w="997" w:type="dxa"/>
            <w:vMerge/>
            <w:tcBorders>
              <w:top w:val="nil"/>
              <w:left w:val="single" w:sz="8" w:space="0" w:color="000000"/>
              <w:right w:val="single" w:sz="8" w:space="0" w:color="000000"/>
            </w:tcBorders>
          </w:tcPr>
          <w:p w:rsidR="007A2F40" w:rsidRDefault="007A2F40">
            <w:pPr>
              <w:rPr>
                <w:sz w:val="2"/>
                <w:szCs w:val="2"/>
              </w:rPr>
            </w:pPr>
          </w:p>
        </w:tc>
        <w:tc>
          <w:tcPr>
            <w:tcW w:w="994" w:type="dxa"/>
            <w:vMerge/>
            <w:tcBorders>
              <w:top w:val="nil"/>
              <w:left w:val="single" w:sz="8" w:space="0" w:color="000000"/>
            </w:tcBorders>
          </w:tcPr>
          <w:p w:rsidR="007A2F40" w:rsidRDefault="007A2F40">
            <w:pPr>
              <w:rPr>
                <w:sz w:val="2"/>
                <w:szCs w:val="2"/>
              </w:rPr>
            </w:pPr>
          </w:p>
        </w:tc>
      </w:tr>
      <w:tr w:rsidR="007A2F40">
        <w:trPr>
          <w:trHeight w:val="456"/>
        </w:trPr>
        <w:tc>
          <w:tcPr>
            <w:tcW w:w="478" w:type="dxa"/>
            <w:tcBorders>
              <w:bottom w:val="nil"/>
              <w:right w:val="nil"/>
            </w:tcBorders>
          </w:tcPr>
          <w:p w:rsidR="007A2F40" w:rsidRDefault="002C6FB5">
            <w:pPr>
              <w:pStyle w:val="TableParagraph"/>
              <w:spacing w:before="140"/>
              <w:ind w:left="25"/>
              <w:rPr>
                <w:sz w:val="18"/>
              </w:rPr>
            </w:pPr>
            <w:r>
              <w:rPr>
                <w:w w:val="99"/>
                <w:sz w:val="18"/>
              </w:rPr>
              <w:t>1</w:t>
            </w:r>
          </w:p>
        </w:tc>
        <w:tc>
          <w:tcPr>
            <w:tcW w:w="1231" w:type="dxa"/>
            <w:tcBorders>
              <w:left w:val="nil"/>
              <w:bottom w:val="nil"/>
            </w:tcBorders>
          </w:tcPr>
          <w:p w:rsidR="007A2F40" w:rsidRDefault="002C6FB5">
            <w:pPr>
              <w:pStyle w:val="TableParagraph"/>
              <w:spacing w:before="140"/>
              <w:ind w:left="369" w:right="-15"/>
              <w:rPr>
                <w:sz w:val="18"/>
              </w:rPr>
            </w:pPr>
            <w:r>
              <w:rPr>
                <w:sz w:val="18"/>
              </w:rPr>
              <w:t>(Constant)</w:t>
            </w:r>
          </w:p>
        </w:tc>
        <w:tc>
          <w:tcPr>
            <w:tcW w:w="1126" w:type="dxa"/>
            <w:tcBorders>
              <w:bottom w:val="nil"/>
              <w:right w:val="single" w:sz="8" w:space="0" w:color="000000"/>
            </w:tcBorders>
          </w:tcPr>
          <w:p w:rsidR="007A2F40" w:rsidRDefault="002C6FB5">
            <w:pPr>
              <w:pStyle w:val="TableParagraph"/>
              <w:spacing w:before="140"/>
              <w:jc w:val="right"/>
              <w:rPr>
                <w:sz w:val="18"/>
              </w:rPr>
            </w:pPr>
            <w:r>
              <w:rPr>
                <w:w w:val="95"/>
                <w:sz w:val="18"/>
              </w:rPr>
              <w:t>1.147</w:t>
            </w:r>
          </w:p>
        </w:tc>
        <w:tc>
          <w:tcPr>
            <w:tcW w:w="1134" w:type="dxa"/>
            <w:tcBorders>
              <w:left w:val="single" w:sz="8" w:space="0" w:color="000000"/>
              <w:bottom w:val="nil"/>
              <w:right w:val="single" w:sz="8" w:space="0" w:color="000000"/>
            </w:tcBorders>
          </w:tcPr>
          <w:p w:rsidR="007A2F40" w:rsidRDefault="002C6FB5">
            <w:pPr>
              <w:pStyle w:val="TableParagraph"/>
              <w:spacing w:before="140"/>
              <w:ind w:right="-15"/>
              <w:jc w:val="right"/>
              <w:rPr>
                <w:sz w:val="18"/>
              </w:rPr>
            </w:pPr>
            <w:r>
              <w:rPr>
                <w:w w:val="95"/>
                <w:sz w:val="18"/>
              </w:rPr>
              <w:t>1.082</w:t>
            </w:r>
          </w:p>
        </w:tc>
        <w:tc>
          <w:tcPr>
            <w:tcW w:w="1414" w:type="dxa"/>
            <w:tcBorders>
              <w:left w:val="single" w:sz="8" w:space="0" w:color="000000"/>
              <w:bottom w:val="nil"/>
              <w:right w:val="single" w:sz="8" w:space="0" w:color="000000"/>
            </w:tcBorders>
          </w:tcPr>
          <w:p w:rsidR="007A2F40" w:rsidRDefault="007A2F40">
            <w:pPr>
              <w:pStyle w:val="TableParagraph"/>
              <w:rPr>
                <w:rFonts w:ascii="Times New Roman"/>
              </w:rPr>
            </w:pPr>
          </w:p>
        </w:tc>
        <w:tc>
          <w:tcPr>
            <w:tcW w:w="997" w:type="dxa"/>
            <w:tcBorders>
              <w:left w:val="single" w:sz="8" w:space="0" w:color="000000"/>
              <w:bottom w:val="nil"/>
              <w:right w:val="single" w:sz="8" w:space="0" w:color="000000"/>
            </w:tcBorders>
          </w:tcPr>
          <w:p w:rsidR="007A2F40" w:rsidRDefault="002C6FB5">
            <w:pPr>
              <w:pStyle w:val="TableParagraph"/>
              <w:spacing w:before="140"/>
              <w:jc w:val="right"/>
              <w:rPr>
                <w:sz w:val="18"/>
              </w:rPr>
            </w:pPr>
            <w:r>
              <w:rPr>
                <w:w w:val="95"/>
                <w:sz w:val="18"/>
              </w:rPr>
              <w:t>1.060</w:t>
            </w:r>
          </w:p>
        </w:tc>
        <w:tc>
          <w:tcPr>
            <w:tcW w:w="994" w:type="dxa"/>
            <w:tcBorders>
              <w:left w:val="single" w:sz="8" w:space="0" w:color="000000"/>
              <w:bottom w:val="nil"/>
            </w:tcBorders>
          </w:tcPr>
          <w:p w:rsidR="007A2F40" w:rsidRDefault="002C6FB5">
            <w:pPr>
              <w:pStyle w:val="TableParagraph"/>
              <w:spacing w:before="140"/>
              <w:ind w:right="-15"/>
              <w:jc w:val="right"/>
              <w:rPr>
                <w:sz w:val="18"/>
              </w:rPr>
            </w:pPr>
            <w:r>
              <w:rPr>
                <w:w w:val="95"/>
                <w:sz w:val="18"/>
              </w:rPr>
              <w:t>.299</w:t>
            </w:r>
          </w:p>
        </w:tc>
      </w:tr>
      <w:tr w:rsidR="007A2F40">
        <w:trPr>
          <w:trHeight w:val="420"/>
        </w:trPr>
        <w:tc>
          <w:tcPr>
            <w:tcW w:w="478" w:type="dxa"/>
            <w:tcBorders>
              <w:top w:val="nil"/>
              <w:bottom w:val="nil"/>
              <w:right w:val="nil"/>
            </w:tcBorders>
          </w:tcPr>
          <w:p w:rsidR="007A2F40" w:rsidRDefault="007A2F40">
            <w:pPr>
              <w:pStyle w:val="TableParagraph"/>
              <w:rPr>
                <w:rFonts w:ascii="Times New Roman"/>
              </w:rPr>
            </w:pPr>
          </w:p>
        </w:tc>
        <w:tc>
          <w:tcPr>
            <w:tcW w:w="1231" w:type="dxa"/>
            <w:tcBorders>
              <w:top w:val="nil"/>
              <w:left w:val="nil"/>
              <w:bottom w:val="nil"/>
            </w:tcBorders>
          </w:tcPr>
          <w:p w:rsidR="007A2F40" w:rsidRDefault="002C6FB5">
            <w:pPr>
              <w:pStyle w:val="TableParagraph"/>
              <w:spacing w:before="103"/>
              <w:ind w:left="369"/>
              <w:rPr>
                <w:sz w:val="18"/>
              </w:rPr>
            </w:pPr>
            <w:r>
              <w:rPr>
                <w:sz w:val="18"/>
              </w:rPr>
              <w:t>X1</w:t>
            </w:r>
          </w:p>
        </w:tc>
        <w:tc>
          <w:tcPr>
            <w:tcW w:w="1126" w:type="dxa"/>
            <w:tcBorders>
              <w:top w:val="nil"/>
              <w:bottom w:val="nil"/>
              <w:right w:val="single" w:sz="8" w:space="0" w:color="000000"/>
            </w:tcBorders>
          </w:tcPr>
          <w:p w:rsidR="007A2F40" w:rsidRDefault="002C6FB5">
            <w:pPr>
              <w:pStyle w:val="TableParagraph"/>
              <w:spacing w:before="103"/>
              <w:jc w:val="right"/>
              <w:rPr>
                <w:sz w:val="18"/>
              </w:rPr>
            </w:pPr>
            <w:r>
              <w:rPr>
                <w:w w:val="95"/>
                <w:sz w:val="18"/>
              </w:rPr>
              <w:t>-1.987</w:t>
            </w:r>
          </w:p>
        </w:tc>
        <w:tc>
          <w:tcPr>
            <w:tcW w:w="113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.573</w:t>
            </w:r>
          </w:p>
        </w:tc>
        <w:tc>
          <w:tcPr>
            <w:tcW w:w="141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-.629</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jc w:val="right"/>
              <w:rPr>
                <w:sz w:val="18"/>
              </w:rPr>
            </w:pPr>
            <w:r>
              <w:rPr>
                <w:w w:val="95"/>
                <w:sz w:val="18"/>
              </w:rPr>
              <w:t>-3.464</w:t>
            </w:r>
          </w:p>
        </w:tc>
        <w:tc>
          <w:tcPr>
            <w:tcW w:w="994"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.002</w:t>
            </w:r>
          </w:p>
        </w:tc>
      </w:tr>
      <w:tr w:rsidR="007A2F40">
        <w:trPr>
          <w:trHeight w:val="420"/>
        </w:trPr>
        <w:tc>
          <w:tcPr>
            <w:tcW w:w="478" w:type="dxa"/>
            <w:tcBorders>
              <w:top w:val="nil"/>
              <w:bottom w:val="nil"/>
              <w:right w:val="nil"/>
            </w:tcBorders>
          </w:tcPr>
          <w:p w:rsidR="007A2F40" w:rsidRDefault="007A2F40">
            <w:pPr>
              <w:pStyle w:val="TableParagraph"/>
              <w:rPr>
                <w:rFonts w:ascii="Times New Roman"/>
              </w:rPr>
            </w:pPr>
          </w:p>
        </w:tc>
        <w:tc>
          <w:tcPr>
            <w:tcW w:w="1231" w:type="dxa"/>
            <w:tcBorders>
              <w:top w:val="nil"/>
              <w:left w:val="nil"/>
              <w:bottom w:val="nil"/>
            </w:tcBorders>
          </w:tcPr>
          <w:p w:rsidR="007A2F40" w:rsidRDefault="002C6FB5">
            <w:pPr>
              <w:pStyle w:val="TableParagraph"/>
              <w:spacing w:before="103"/>
              <w:ind w:left="369"/>
              <w:rPr>
                <w:sz w:val="18"/>
              </w:rPr>
            </w:pPr>
            <w:r>
              <w:rPr>
                <w:sz w:val="18"/>
              </w:rPr>
              <w:t>X2</w:t>
            </w:r>
          </w:p>
        </w:tc>
        <w:tc>
          <w:tcPr>
            <w:tcW w:w="1126" w:type="dxa"/>
            <w:tcBorders>
              <w:top w:val="nil"/>
              <w:bottom w:val="nil"/>
              <w:right w:val="single" w:sz="8" w:space="0" w:color="000000"/>
            </w:tcBorders>
          </w:tcPr>
          <w:p w:rsidR="007A2F40" w:rsidRDefault="002C6FB5">
            <w:pPr>
              <w:pStyle w:val="TableParagraph"/>
              <w:spacing w:before="103"/>
              <w:jc w:val="right"/>
              <w:rPr>
                <w:sz w:val="18"/>
              </w:rPr>
            </w:pPr>
            <w:r>
              <w:rPr>
                <w:w w:val="95"/>
                <w:sz w:val="18"/>
              </w:rPr>
              <w:t>-.857</w:t>
            </w:r>
          </w:p>
        </w:tc>
        <w:tc>
          <w:tcPr>
            <w:tcW w:w="113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.972</w:t>
            </w:r>
          </w:p>
        </w:tc>
        <w:tc>
          <w:tcPr>
            <w:tcW w:w="141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-.167</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-.881</w:t>
            </w:r>
          </w:p>
        </w:tc>
        <w:tc>
          <w:tcPr>
            <w:tcW w:w="994"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.387</w:t>
            </w:r>
          </w:p>
        </w:tc>
      </w:tr>
      <w:tr w:rsidR="007A2F40">
        <w:trPr>
          <w:trHeight w:val="420"/>
        </w:trPr>
        <w:tc>
          <w:tcPr>
            <w:tcW w:w="478" w:type="dxa"/>
            <w:tcBorders>
              <w:top w:val="nil"/>
              <w:bottom w:val="nil"/>
              <w:right w:val="nil"/>
            </w:tcBorders>
          </w:tcPr>
          <w:p w:rsidR="007A2F40" w:rsidRDefault="007A2F40">
            <w:pPr>
              <w:pStyle w:val="TableParagraph"/>
              <w:rPr>
                <w:rFonts w:ascii="Times New Roman"/>
              </w:rPr>
            </w:pPr>
          </w:p>
        </w:tc>
        <w:tc>
          <w:tcPr>
            <w:tcW w:w="1231" w:type="dxa"/>
            <w:tcBorders>
              <w:top w:val="nil"/>
              <w:left w:val="nil"/>
              <w:bottom w:val="nil"/>
            </w:tcBorders>
          </w:tcPr>
          <w:p w:rsidR="007A2F40" w:rsidRDefault="002C6FB5">
            <w:pPr>
              <w:pStyle w:val="TableParagraph"/>
              <w:spacing w:before="103"/>
              <w:ind w:left="369"/>
              <w:rPr>
                <w:sz w:val="18"/>
              </w:rPr>
            </w:pPr>
            <w:r>
              <w:rPr>
                <w:sz w:val="18"/>
              </w:rPr>
              <w:t>X3</w:t>
            </w:r>
          </w:p>
        </w:tc>
        <w:tc>
          <w:tcPr>
            <w:tcW w:w="1126" w:type="dxa"/>
            <w:tcBorders>
              <w:top w:val="nil"/>
              <w:bottom w:val="nil"/>
              <w:right w:val="single" w:sz="8" w:space="0" w:color="000000"/>
            </w:tcBorders>
          </w:tcPr>
          <w:p w:rsidR="007A2F40" w:rsidRDefault="002C6FB5">
            <w:pPr>
              <w:pStyle w:val="TableParagraph"/>
              <w:spacing w:before="103"/>
              <w:jc w:val="right"/>
              <w:rPr>
                <w:sz w:val="18"/>
              </w:rPr>
            </w:pPr>
            <w:r>
              <w:rPr>
                <w:w w:val="95"/>
                <w:sz w:val="18"/>
              </w:rPr>
              <w:t>-2.170</w:t>
            </w:r>
          </w:p>
        </w:tc>
        <w:tc>
          <w:tcPr>
            <w:tcW w:w="113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2.335</w:t>
            </w:r>
          </w:p>
        </w:tc>
        <w:tc>
          <w:tcPr>
            <w:tcW w:w="1414"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-.164</w:t>
            </w:r>
          </w:p>
        </w:tc>
        <w:tc>
          <w:tcPr>
            <w:tcW w:w="997" w:type="dxa"/>
            <w:tcBorders>
              <w:top w:val="nil"/>
              <w:left w:val="single" w:sz="8" w:space="0" w:color="000000"/>
              <w:bottom w:val="nil"/>
              <w:right w:val="single" w:sz="8" w:space="0" w:color="000000"/>
            </w:tcBorders>
          </w:tcPr>
          <w:p w:rsidR="007A2F40" w:rsidRDefault="002C6FB5">
            <w:pPr>
              <w:pStyle w:val="TableParagraph"/>
              <w:spacing w:before="103"/>
              <w:ind w:right="-15"/>
              <w:jc w:val="right"/>
              <w:rPr>
                <w:sz w:val="18"/>
              </w:rPr>
            </w:pPr>
            <w:r>
              <w:rPr>
                <w:w w:val="95"/>
                <w:sz w:val="18"/>
              </w:rPr>
              <w:t>-.929</w:t>
            </w:r>
          </w:p>
        </w:tc>
        <w:tc>
          <w:tcPr>
            <w:tcW w:w="994" w:type="dxa"/>
            <w:tcBorders>
              <w:top w:val="nil"/>
              <w:left w:val="single" w:sz="8" w:space="0" w:color="000000"/>
              <w:bottom w:val="nil"/>
            </w:tcBorders>
          </w:tcPr>
          <w:p w:rsidR="007A2F40" w:rsidRDefault="002C6FB5">
            <w:pPr>
              <w:pStyle w:val="TableParagraph"/>
              <w:spacing w:before="103"/>
              <w:ind w:right="-15"/>
              <w:jc w:val="right"/>
              <w:rPr>
                <w:sz w:val="18"/>
              </w:rPr>
            </w:pPr>
            <w:r>
              <w:rPr>
                <w:w w:val="95"/>
                <w:sz w:val="18"/>
              </w:rPr>
              <w:t>.362</w:t>
            </w:r>
          </w:p>
        </w:tc>
      </w:tr>
      <w:tr w:rsidR="007A2F40">
        <w:trPr>
          <w:trHeight w:val="338"/>
        </w:trPr>
        <w:tc>
          <w:tcPr>
            <w:tcW w:w="478" w:type="dxa"/>
            <w:tcBorders>
              <w:top w:val="nil"/>
              <w:right w:val="nil"/>
            </w:tcBorders>
          </w:tcPr>
          <w:p w:rsidR="007A2F40" w:rsidRDefault="007A2F40">
            <w:pPr>
              <w:pStyle w:val="TableParagraph"/>
              <w:rPr>
                <w:rFonts w:ascii="Times New Roman"/>
              </w:rPr>
            </w:pPr>
          </w:p>
        </w:tc>
        <w:tc>
          <w:tcPr>
            <w:tcW w:w="1231" w:type="dxa"/>
            <w:tcBorders>
              <w:top w:val="nil"/>
              <w:left w:val="nil"/>
            </w:tcBorders>
          </w:tcPr>
          <w:p w:rsidR="007A2F40" w:rsidRDefault="002C6FB5">
            <w:pPr>
              <w:pStyle w:val="TableParagraph"/>
              <w:spacing w:before="103"/>
              <w:ind w:left="369"/>
              <w:rPr>
                <w:sz w:val="18"/>
              </w:rPr>
            </w:pPr>
            <w:r>
              <w:rPr>
                <w:sz w:val="18"/>
              </w:rPr>
              <w:t>X4</w:t>
            </w:r>
          </w:p>
        </w:tc>
        <w:tc>
          <w:tcPr>
            <w:tcW w:w="1126" w:type="dxa"/>
            <w:tcBorders>
              <w:top w:val="nil"/>
              <w:right w:val="single" w:sz="8" w:space="0" w:color="000000"/>
            </w:tcBorders>
          </w:tcPr>
          <w:p w:rsidR="007A2F40" w:rsidRDefault="002C6FB5">
            <w:pPr>
              <w:pStyle w:val="TableParagraph"/>
              <w:spacing w:before="103"/>
              <w:jc w:val="right"/>
              <w:rPr>
                <w:sz w:val="18"/>
              </w:rPr>
            </w:pPr>
            <w:r>
              <w:rPr>
                <w:w w:val="95"/>
                <w:sz w:val="18"/>
              </w:rPr>
              <w:t>.001</w:t>
            </w:r>
          </w:p>
        </w:tc>
        <w:tc>
          <w:tcPr>
            <w:tcW w:w="1134"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.000</w:t>
            </w:r>
          </w:p>
        </w:tc>
        <w:tc>
          <w:tcPr>
            <w:tcW w:w="1414" w:type="dxa"/>
            <w:tcBorders>
              <w:top w:val="nil"/>
              <w:left w:val="single" w:sz="8" w:space="0" w:color="000000"/>
              <w:right w:val="single" w:sz="8" w:space="0" w:color="000000"/>
            </w:tcBorders>
          </w:tcPr>
          <w:p w:rsidR="007A2F40" w:rsidRDefault="002C6FB5">
            <w:pPr>
              <w:pStyle w:val="TableParagraph"/>
              <w:spacing w:before="103"/>
              <w:ind w:right="-15"/>
              <w:jc w:val="right"/>
              <w:rPr>
                <w:sz w:val="18"/>
              </w:rPr>
            </w:pPr>
            <w:r>
              <w:rPr>
                <w:w w:val="95"/>
                <w:sz w:val="18"/>
              </w:rPr>
              <w:t>.321</w:t>
            </w:r>
          </w:p>
        </w:tc>
        <w:tc>
          <w:tcPr>
            <w:tcW w:w="997" w:type="dxa"/>
            <w:tcBorders>
              <w:top w:val="nil"/>
              <w:left w:val="single" w:sz="8" w:space="0" w:color="000000"/>
              <w:right w:val="single" w:sz="8" w:space="0" w:color="000000"/>
            </w:tcBorders>
          </w:tcPr>
          <w:p w:rsidR="007A2F40" w:rsidRDefault="002C6FB5">
            <w:pPr>
              <w:pStyle w:val="TableParagraph"/>
              <w:spacing w:before="103"/>
              <w:jc w:val="right"/>
              <w:rPr>
                <w:sz w:val="18"/>
              </w:rPr>
            </w:pPr>
            <w:r>
              <w:rPr>
                <w:w w:val="95"/>
                <w:sz w:val="18"/>
              </w:rPr>
              <w:t>1.971</w:t>
            </w:r>
          </w:p>
        </w:tc>
        <w:tc>
          <w:tcPr>
            <w:tcW w:w="994" w:type="dxa"/>
            <w:tcBorders>
              <w:top w:val="nil"/>
              <w:left w:val="single" w:sz="8" w:space="0" w:color="000000"/>
            </w:tcBorders>
          </w:tcPr>
          <w:p w:rsidR="007A2F40" w:rsidRDefault="002C6FB5">
            <w:pPr>
              <w:pStyle w:val="TableParagraph"/>
              <w:spacing w:before="103"/>
              <w:ind w:right="-15"/>
              <w:jc w:val="right"/>
              <w:rPr>
                <w:sz w:val="18"/>
              </w:rPr>
            </w:pPr>
            <w:r>
              <w:rPr>
                <w:w w:val="95"/>
                <w:sz w:val="18"/>
              </w:rPr>
              <w:t>.060</w:t>
            </w:r>
          </w:p>
        </w:tc>
      </w:tr>
    </w:tbl>
    <w:p w:rsidR="007A2F40" w:rsidRDefault="002C6FB5">
      <w:pPr>
        <w:spacing w:before="114"/>
        <w:ind w:left="863"/>
        <w:rPr>
          <w:rFonts w:ascii="Arial"/>
          <w:sz w:val="18"/>
        </w:rPr>
      </w:pPr>
      <w:r>
        <w:rPr>
          <w:rFonts w:ascii="Arial"/>
          <w:sz w:val="18"/>
        </w:rPr>
        <w:t>a. Dependent Variable: Y</w:t>
      </w:r>
    </w:p>
    <w:p w:rsidR="007A2F40" w:rsidRDefault="007A2F40">
      <w:pPr>
        <w:pStyle w:val="BodyText"/>
        <w:spacing w:before="7"/>
        <w:rPr>
          <w:rFonts w:ascii="Arial"/>
          <w:sz w:val="16"/>
        </w:rPr>
      </w:pPr>
    </w:p>
    <w:p w:rsidR="007A2F40" w:rsidRDefault="002C6FB5">
      <w:pPr>
        <w:pStyle w:val="BodyText"/>
        <w:spacing w:before="92"/>
        <w:ind w:left="119" w:right="114" w:firstLine="566"/>
        <w:jc w:val="both"/>
      </w:pPr>
      <w:r>
        <w:t xml:space="preserve">Variabel Kepemilikan Manajerial (X1) memiliki nilai signifikan sebesar 0.002. Hal ini menujukkan bahwa nilai signifikan &lt; 0.05 yang artinya terdapat pengaruh negatif dan signifikan antara variabel kepemilikan manajerial dengan manajemen laba. Yang artinya </w:t>
      </w:r>
      <w:r>
        <w:t>H1 diterima. Variabel Kepemilikan Institusional (X2) memiliki nilai signifikan sebesar 0.387. Hal ini menunjukkan bahwa nilai signifikan &gt; 0.05 yang artinya terdapat pengaruh negatif dan tidak signifikan antara variabel kepemilkan institusional dengan mana</w:t>
      </w:r>
      <w:r>
        <w:t>jemen laba. Yang artinya H2 ditolak. Variabel Efektivitas Dewan (X3) memiliki nilai signifikan sebesar 0.362. Hal ini menunjukkan bahwa nilai signifikan &gt; 0.05 yang artinya terdapat pengaruh negatif dan tidak signifikan antara variabel efektivitas dewan de</w:t>
      </w:r>
      <w:r>
        <w:t>ngan manajemen laba. Yang artinya H3 ditolak. Variabel Pembiayaan Eksternal (X4) memiliki nilai signifikan sebesar 0.060. Hal ini menunjukkan bahwa nilai signifikan &gt; 0.05 yang artinya terdapat pengaruh positif dan tidak signifikan antara variabel pembiaya</w:t>
      </w:r>
      <w:r>
        <w:t>an eksternal dan manajemen laba. Yang artinya H4</w:t>
      </w:r>
      <w:r>
        <w:rPr>
          <w:spacing w:val="-4"/>
        </w:rPr>
        <w:t xml:space="preserve"> </w:t>
      </w:r>
      <w:r>
        <w:t>ditolak.</w:t>
      </w:r>
    </w:p>
    <w:p w:rsidR="007A2F40" w:rsidRDefault="002C6FB5">
      <w:pPr>
        <w:pStyle w:val="Heading2"/>
        <w:spacing w:before="200"/>
        <w:jc w:val="left"/>
      </w:pPr>
      <w:r>
        <w:t>KESIMPULAN</w:t>
      </w:r>
    </w:p>
    <w:p w:rsidR="007A2F40" w:rsidRDefault="002C6FB5">
      <w:pPr>
        <w:spacing w:before="2"/>
        <w:ind w:left="119" w:right="115" w:firstLine="566"/>
        <w:jc w:val="both"/>
        <w:rPr>
          <w:sz w:val="24"/>
        </w:rPr>
      </w:pPr>
      <w:r>
        <w:rPr>
          <w:sz w:val="24"/>
        </w:rPr>
        <w:t>Berdasarkan hasil analisis statistik yang dilakukan maka dapat ditarik kesimpulan bahwa:</w:t>
      </w:r>
    </w:p>
    <w:p w:rsidR="007A2F40" w:rsidRDefault="002C6FB5">
      <w:pPr>
        <w:ind w:left="119" w:right="117" w:firstLine="566"/>
        <w:jc w:val="both"/>
        <w:rPr>
          <w:sz w:val="24"/>
        </w:rPr>
      </w:pPr>
      <w:r>
        <w:rPr>
          <w:sz w:val="24"/>
        </w:rPr>
        <w:t>Kepemilikan Manajerial berpengaruh negatif signifikan terhadap Manajemen Laba pada Perusahaan Sektor Pertanian yang terdaftar di Bursa Efek Indonesia 2017-2019. Dengan adanya kepemilikan saham oleh manajemen dinilai dapat menyelaraskan potensi perbedaan ke</w:t>
      </w:r>
      <w:r>
        <w:rPr>
          <w:sz w:val="24"/>
        </w:rPr>
        <w:t>pentingan antara pemegang saham luar dengan pemegang saham manajemen (Jensen, 1976). Kepemilikan manajerial membuat posisi manajemen sama dengan pemilik saham lainnya, tidak adanya perbedaan kepentingan dapat menyelaraskan atau menyatukan kepentingan manaj</w:t>
      </w:r>
      <w:r>
        <w:rPr>
          <w:sz w:val="24"/>
        </w:rPr>
        <w:t>emen dengan pemegang saham. Sehingga manajemen akan bertindak sama seperti investor pada umumnya dan tidak akan melakukan tindakan manajemen laba (Aryanti &amp; Kristanti, 2017).</w:t>
      </w:r>
    </w:p>
    <w:p w:rsidR="007A2F40" w:rsidRDefault="002C6FB5">
      <w:pPr>
        <w:ind w:left="119" w:right="115" w:firstLine="626"/>
        <w:jc w:val="both"/>
        <w:rPr>
          <w:i/>
          <w:sz w:val="24"/>
        </w:rPr>
      </w:pPr>
      <w:r>
        <w:rPr>
          <w:sz w:val="24"/>
        </w:rPr>
        <w:t>Kepemilikan Institusional berpengaruh negatif tidak signifikan terhadap Manajemen</w:t>
      </w:r>
      <w:r>
        <w:rPr>
          <w:sz w:val="24"/>
        </w:rPr>
        <w:t xml:space="preserve"> Laba pada Perusahaan Sektor Pertanian yang terdaftar di Bursa Efek Indonesia 2017-2019. Besarnya kepemilikan institusional yang tidak dapat menurunkan tingkat manajemen laba ini dikarenakan adanya transaksi pihak yang punya hubungan istimewa (</w:t>
      </w:r>
      <w:r>
        <w:rPr>
          <w:i/>
          <w:sz w:val="24"/>
        </w:rPr>
        <w:t>related part</w:t>
      </w:r>
      <w:r>
        <w:rPr>
          <w:i/>
          <w:sz w:val="24"/>
        </w:rPr>
        <w:t>y</w:t>
      </w:r>
    </w:p>
    <w:p w:rsidR="007A2F40" w:rsidRDefault="007A2F40">
      <w:pPr>
        <w:jc w:val="both"/>
        <w:rPr>
          <w:sz w:val="24"/>
        </w:rPr>
        <w:sectPr w:rsidR="007A2F40">
          <w:pgSz w:w="11900" w:h="16850"/>
          <w:pgMar w:top="1480" w:right="1400" w:bottom="720" w:left="1460" w:header="333" w:footer="528" w:gutter="0"/>
          <w:cols w:space="720"/>
        </w:sectPr>
      </w:pPr>
    </w:p>
    <w:p w:rsidR="007A2F40" w:rsidRDefault="002C6FB5">
      <w:pPr>
        <w:spacing w:before="82"/>
        <w:ind w:left="119" w:right="118"/>
        <w:jc w:val="both"/>
        <w:rPr>
          <w:sz w:val="24"/>
        </w:rPr>
      </w:pPr>
      <w:r>
        <w:rPr>
          <w:i/>
          <w:sz w:val="24"/>
        </w:rPr>
        <w:lastRenderedPageBreak/>
        <w:t>transaction</w:t>
      </w:r>
      <w:r>
        <w:rPr>
          <w:sz w:val="24"/>
        </w:rPr>
        <w:t xml:space="preserve">), hal ini dikarenakan transaksi hubungan istimewa seringkali dipergunakan dalam penilaian kinerja perusahaan (Ardaninggar, 2019). Pentingnya penilaian atas kinerja dapat mempengaruhi keberlangsungan perusahaan karena dengan </w:t>
      </w:r>
      <w:r>
        <w:rPr>
          <w:sz w:val="24"/>
        </w:rPr>
        <w:t xml:space="preserve">semakin baiknya nilai perusahaan maka akan berdampak pada peningkatan kesejahteraan bagi para pemegang saham dan juga tentunya perusahaan (Horne, 2014). Transaksi hubungan istimewa dapat mengakibatkan </w:t>
      </w:r>
      <w:r>
        <w:rPr>
          <w:i/>
          <w:sz w:val="24"/>
        </w:rPr>
        <w:t xml:space="preserve">aggressive accounting </w:t>
      </w:r>
      <w:r>
        <w:rPr>
          <w:sz w:val="24"/>
        </w:rPr>
        <w:t>yang memungkinkan perusahaan mena</w:t>
      </w:r>
      <w:r>
        <w:rPr>
          <w:sz w:val="24"/>
        </w:rPr>
        <w:t>ikkan laba dengan sewenang-wenang (Sherman &amp;Young, 2001). Akan tetapi, di sisi lain transaksi hubungan istimewa tersebut dianggap dapat membantu operasional perusahaan secara efektif dan lebih efisien (Gordon &amp; Henry, 2011)</w:t>
      </w:r>
    </w:p>
    <w:p w:rsidR="007A2F40" w:rsidRDefault="002C6FB5">
      <w:pPr>
        <w:ind w:left="119" w:right="114" w:firstLine="566"/>
        <w:jc w:val="both"/>
        <w:rPr>
          <w:sz w:val="24"/>
        </w:rPr>
      </w:pPr>
      <w:r>
        <w:rPr>
          <w:sz w:val="24"/>
        </w:rPr>
        <w:t>Efektivitas Dewan berpengaruh ne</w:t>
      </w:r>
      <w:r>
        <w:rPr>
          <w:sz w:val="24"/>
        </w:rPr>
        <w:t>gatif tidak signifikan terhadap Manajemen Laba pada Perusahaan Sektor Pertanian yang terdaftar di Bursa Efek Indonesia 2017-2019. Proporsi komisaris independen yang tinggi tidak dapat membatasi manajemen laba yang dilakukan perusahaan</w:t>
      </w:r>
      <w:r>
        <w:t xml:space="preserve">. </w:t>
      </w:r>
      <w:r>
        <w:rPr>
          <w:sz w:val="24"/>
        </w:rPr>
        <w:t>Tidak adanya pengaru</w:t>
      </w:r>
      <w:r>
        <w:rPr>
          <w:sz w:val="24"/>
        </w:rPr>
        <w:t>h yang signifikan ini disebabkan  karena fungsi dewan komisaris independen sebagai pengawasan terhadap tindakan manajemen laba belum tercapai secara optimal. Hal ini didukung oleh penelitian yang dilakukan oleh (Marlisa &amp; Fuadati, 2016) yang menyatakan bah</w:t>
      </w:r>
      <w:r>
        <w:rPr>
          <w:sz w:val="24"/>
        </w:rPr>
        <w:t>wa komisaris independen tidak berpengaruh terhadap manajemen laba</w:t>
      </w:r>
      <w:r>
        <w:rPr>
          <w:i/>
          <w:sz w:val="24"/>
        </w:rPr>
        <w:t xml:space="preserve">, </w:t>
      </w:r>
      <w:r>
        <w:rPr>
          <w:sz w:val="24"/>
        </w:rPr>
        <w:t>hal ini menunjukkan bahwa keberadaan dewan komisaris independen telah gagal memberikan pengaruh terhadap praktik manajemen laba. Sedikit banyaknya jumlah dewan komisaris independen tidak me</w:t>
      </w:r>
      <w:r>
        <w:rPr>
          <w:sz w:val="24"/>
        </w:rPr>
        <w:t>mpengaruhi manajemen laba yang dilakukan perusahaan</w:t>
      </w:r>
      <w:r>
        <w:rPr>
          <w:i/>
          <w:sz w:val="24"/>
        </w:rPr>
        <w:t xml:space="preserve">. </w:t>
      </w:r>
      <w:r>
        <w:rPr>
          <w:sz w:val="24"/>
        </w:rPr>
        <w:t>Ada beberapa alasan yang mengakibatkan hal tersebut terjadi. Pertama, pengangkatan komisaris independen oleh perusahaan hanya dilakukan untuk pemenuhan regulasi saja tapi tidak dimaksudkan untuk menegakk</w:t>
      </w:r>
      <w:r>
        <w:rPr>
          <w:sz w:val="24"/>
        </w:rPr>
        <w:t xml:space="preserve">an </w:t>
      </w:r>
      <w:r>
        <w:rPr>
          <w:i/>
          <w:sz w:val="24"/>
        </w:rPr>
        <w:t xml:space="preserve">Good Corporate Governance </w:t>
      </w:r>
      <w:r>
        <w:rPr>
          <w:sz w:val="24"/>
        </w:rPr>
        <w:t xml:space="preserve">di dalam perusahaan. Kedua, ketentuan minimum dewan komisaris independen sebesar 30% belum cukup tinggi untuk menyebabkan para komisaris independen tersebut dapat mendominasi kebijakan yang diambil oleh dewan komisaris (Amalia </w:t>
      </w:r>
      <w:r>
        <w:rPr>
          <w:sz w:val="24"/>
        </w:rPr>
        <w:t>&amp; Didik,</w:t>
      </w:r>
      <w:r>
        <w:rPr>
          <w:spacing w:val="-1"/>
          <w:sz w:val="24"/>
        </w:rPr>
        <w:t xml:space="preserve"> </w:t>
      </w:r>
      <w:r>
        <w:rPr>
          <w:sz w:val="24"/>
        </w:rPr>
        <w:t>2017)</w:t>
      </w:r>
    </w:p>
    <w:p w:rsidR="007A2F40" w:rsidRDefault="002C6FB5">
      <w:pPr>
        <w:spacing w:before="1"/>
        <w:ind w:left="119" w:right="115" w:firstLine="566"/>
        <w:jc w:val="both"/>
        <w:rPr>
          <w:sz w:val="24"/>
        </w:rPr>
      </w:pPr>
      <w:r>
        <w:rPr>
          <w:sz w:val="24"/>
        </w:rPr>
        <w:t>Pembiayaan Eksternal berpengaruh positif tidak signifikan terhadap Manajemen Laba pada Perusahaan Sektor Pertanian yang terdaftar di Bursa Efek Indonesia 2017-2019. Keputusan pendanaan eksternal perusahaan sangat ditentukan oleh struktur ase</w:t>
      </w:r>
      <w:r>
        <w:rPr>
          <w:sz w:val="24"/>
        </w:rPr>
        <w:t>t perusahaan. Salah satu syarat untuk mengajukan pinjaman adalah adanya aset tetap, aset tetap yang dimiliki oleh perusahaan dapat dijadikan sebagai jaminan bagi pihak kreditur dalam pengajuan pinjaman (Manoppo, 2018). Artinya semakin besar jumlah aset tet</w:t>
      </w:r>
      <w:r>
        <w:rPr>
          <w:sz w:val="24"/>
        </w:rPr>
        <w:t xml:space="preserve">ap yang dimiliki oleh perusahaan maka akan semakin mudah perusahaan untuk mendapatakan hutang. Kebijakan hutang merupakan salah satu cara alternatif pendanaan perusahaan selain dari menjual saham di pasar modal. Hutang yang dipergunakan secara efektif dan </w:t>
      </w:r>
      <w:r>
        <w:rPr>
          <w:sz w:val="24"/>
        </w:rPr>
        <w:t>efisien akan mendapatkan nilai dari suatu perusahaan (Olifia Tala,</w:t>
      </w:r>
      <w:r>
        <w:rPr>
          <w:spacing w:val="-5"/>
          <w:sz w:val="24"/>
        </w:rPr>
        <w:t xml:space="preserve"> </w:t>
      </w:r>
      <w:r>
        <w:rPr>
          <w:sz w:val="24"/>
        </w:rPr>
        <w:t>2017).</w:t>
      </w:r>
    </w:p>
    <w:p w:rsidR="007A2F40" w:rsidRDefault="007A2F40">
      <w:pPr>
        <w:pStyle w:val="BodyText"/>
        <w:spacing w:before="6"/>
        <w:rPr>
          <w:sz w:val="21"/>
        </w:rPr>
      </w:pPr>
    </w:p>
    <w:p w:rsidR="007A2F40" w:rsidRDefault="002C6FB5">
      <w:pPr>
        <w:ind w:left="119"/>
        <w:jc w:val="both"/>
        <w:rPr>
          <w:b/>
        </w:rPr>
      </w:pPr>
      <w:r>
        <w:rPr>
          <w:b/>
        </w:rPr>
        <w:t>DAFTAR PUSTAKA</w:t>
      </w:r>
    </w:p>
    <w:p w:rsidR="007A2F40" w:rsidRDefault="002C6FB5">
      <w:pPr>
        <w:spacing w:before="2"/>
        <w:ind w:left="599" w:right="120" w:hanging="480"/>
        <w:jc w:val="both"/>
        <w:rPr>
          <w:sz w:val="24"/>
        </w:rPr>
      </w:pPr>
      <w:r>
        <w:rPr>
          <w:sz w:val="24"/>
        </w:rPr>
        <w:t xml:space="preserve">Aljana, T. dan A. P. (2017). Pengaruh Profitabilitas, Struktur Kepemilikan, Kualitas Audit terhadap Manajemen Laba. </w:t>
      </w:r>
      <w:r>
        <w:rPr>
          <w:i/>
          <w:sz w:val="24"/>
        </w:rPr>
        <w:t>Diponegoro Jurnal of Accounting</w:t>
      </w:r>
      <w:r>
        <w:rPr>
          <w:sz w:val="24"/>
        </w:rPr>
        <w:t xml:space="preserve">, </w:t>
      </w:r>
      <w:r>
        <w:rPr>
          <w:i/>
          <w:sz w:val="24"/>
        </w:rPr>
        <w:t>6</w:t>
      </w:r>
      <w:r>
        <w:rPr>
          <w:sz w:val="24"/>
        </w:rPr>
        <w:t>(3), 1–15.</w:t>
      </w:r>
    </w:p>
    <w:p w:rsidR="007A2F40" w:rsidRDefault="007A2F40">
      <w:pPr>
        <w:pStyle w:val="BodyText"/>
        <w:rPr>
          <w:sz w:val="24"/>
        </w:rPr>
      </w:pPr>
    </w:p>
    <w:p w:rsidR="007A2F40" w:rsidRDefault="002C6FB5">
      <w:pPr>
        <w:ind w:left="599" w:right="112" w:hanging="480"/>
        <w:jc w:val="both"/>
        <w:rPr>
          <w:sz w:val="24"/>
        </w:rPr>
      </w:pPr>
      <w:r>
        <w:rPr>
          <w:sz w:val="24"/>
        </w:rPr>
        <w:t xml:space="preserve">Alzoubi, E. S. S. (2018). Audit quality, debt financing, and earnings management: Evidence from Jordan. </w:t>
      </w:r>
      <w:r>
        <w:rPr>
          <w:i/>
          <w:sz w:val="24"/>
        </w:rPr>
        <w:t>Journal of International Accounting, Auditing and Taxation</w:t>
      </w:r>
      <w:r>
        <w:rPr>
          <w:sz w:val="24"/>
        </w:rPr>
        <w:t xml:space="preserve">, </w:t>
      </w:r>
      <w:r>
        <w:rPr>
          <w:i/>
          <w:sz w:val="24"/>
        </w:rPr>
        <w:t>30</w:t>
      </w:r>
      <w:r>
        <w:rPr>
          <w:sz w:val="24"/>
        </w:rPr>
        <w:t>, 69–84.</w:t>
      </w:r>
      <w:r>
        <w:rPr>
          <w:spacing w:val="-1"/>
          <w:sz w:val="24"/>
        </w:rPr>
        <w:t xml:space="preserve"> </w:t>
      </w:r>
      <w:r>
        <w:rPr>
          <w:sz w:val="24"/>
        </w:rPr>
        <w:t>https://doi.org/10.1016/j.intaccaudtax.2017.12.001</w:t>
      </w:r>
    </w:p>
    <w:p w:rsidR="007A2F40" w:rsidRDefault="007A2F40">
      <w:pPr>
        <w:pStyle w:val="BodyText"/>
        <w:rPr>
          <w:sz w:val="24"/>
        </w:rPr>
      </w:pPr>
    </w:p>
    <w:p w:rsidR="007A2F40" w:rsidRDefault="002C6FB5">
      <w:pPr>
        <w:pStyle w:val="Heading1"/>
        <w:ind w:right="112"/>
      </w:pPr>
      <w:r>
        <w:t>Amalia, B. Y., &amp; Didik, M. (2</w:t>
      </w:r>
      <w:r>
        <w:t xml:space="preserve">017). Pengaruh Konsentrasi Kepemilikan, Kepemilikan Institusiona, Proporsi Dewan Komisaris Independen, dan Frekuensi Rapat Komite Audit terhadap Praktik Manajemen Laba. </w:t>
      </w:r>
      <w:r>
        <w:rPr>
          <w:i/>
        </w:rPr>
        <w:t>Diponegoro Journal of Accounting</w:t>
      </w:r>
      <w:r>
        <w:t xml:space="preserve">, </w:t>
      </w:r>
      <w:r>
        <w:rPr>
          <w:i/>
        </w:rPr>
        <w:t>6</w:t>
      </w:r>
      <w:r>
        <w:t>(3), 393–406.</w:t>
      </w:r>
    </w:p>
    <w:p w:rsidR="007A2F40" w:rsidRDefault="007A2F40">
      <w:pPr>
        <w:sectPr w:rsidR="007A2F40">
          <w:pgSz w:w="11900" w:h="16850"/>
          <w:pgMar w:top="1480" w:right="1400" w:bottom="720" w:left="1460" w:header="409" w:footer="528" w:gutter="0"/>
          <w:cols w:space="720"/>
        </w:sectPr>
      </w:pPr>
    </w:p>
    <w:p w:rsidR="007A2F40" w:rsidRDefault="002C6FB5">
      <w:pPr>
        <w:spacing w:before="82"/>
        <w:ind w:left="599" w:right="120" w:hanging="480"/>
        <w:jc w:val="both"/>
        <w:rPr>
          <w:sz w:val="24"/>
        </w:rPr>
      </w:pPr>
      <w:r>
        <w:rPr>
          <w:sz w:val="24"/>
        </w:rPr>
        <w:lastRenderedPageBreak/>
        <w:t>Ardaninggar, S. S. (</w:t>
      </w:r>
      <w:r>
        <w:rPr>
          <w:sz w:val="24"/>
        </w:rPr>
        <w:t xml:space="preserve">2019). Pengaruh Transaksi Hubungan Istimewa, Tingkat Usaha, Dan Ukuran Perusahaan Terhadap Kinerja Perusahaan. </w:t>
      </w:r>
      <w:r>
        <w:rPr>
          <w:i/>
          <w:sz w:val="24"/>
        </w:rPr>
        <w:t>Jurnal Akuntansi Berkelanjutan Indonesia</w:t>
      </w:r>
      <w:r>
        <w:rPr>
          <w:sz w:val="24"/>
        </w:rPr>
        <w:t xml:space="preserve">, </w:t>
      </w:r>
      <w:r>
        <w:rPr>
          <w:i/>
          <w:sz w:val="24"/>
        </w:rPr>
        <w:t>2</w:t>
      </w:r>
      <w:r>
        <w:rPr>
          <w:sz w:val="24"/>
        </w:rPr>
        <w:t>(1), 001. https://doi.org/10.32493/jabi.v2i1.y2019.p001-016</w:t>
      </w:r>
    </w:p>
    <w:p w:rsidR="007A2F40" w:rsidRDefault="007A2F40">
      <w:pPr>
        <w:pStyle w:val="BodyText"/>
        <w:spacing w:before="11"/>
        <w:rPr>
          <w:sz w:val="23"/>
        </w:rPr>
      </w:pPr>
    </w:p>
    <w:p w:rsidR="007A2F40" w:rsidRDefault="002C6FB5">
      <w:pPr>
        <w:ind w:left="599" w:right="120" w:hanging="480"/>
        <w:jc w:val="both"/>
        <w:rPr>
          <w:sz w:val="24"/>
        </w:rPr>
      </w:pPr>
      <w:r>
        <w:rPr>
          <w:sz w:val="24"/>
        </w:rPr>
        <w:t>Aryanti, I., &amp; Kristanti, F. T. (2017). K</w:t>
      </w:r>
      <w:r>
        <w:rPr>
          <w:sz w:val="24"/>
        </w:rPr>
        <w:t xml:space="preserve">epemilikan institusional, kepemilikan manajerial, dan kualitas audit terhadap manajemen laba. </w:t>
      </w:r>
      <w:r>
        <w:rPr>
          <w:i/>
          <w:sz w:val="24"/>
        </w:rPr>
        <w:t>Jurnal Riset Akuntansi Kontemporer (JRAK)</w:t>
      </w:r>
      <w:r>
        <w:rPr>
          <w:sz w:val="24"/>
        </w:rPr>
        <w:t xml:space="preserve">, </w:t>
      </w:r>
      <w:r>
        <w:rPr>
          <w:i/>
          <w:sz w:val="24"/>
        </w:rPr>
        <w:t>9</w:t>
      </w:r>
      <w:r>
        <w:rPr>
          <w:sz w:val="24"/>
        </w:rPr>
        <w:t>(2), 66–70.</w:t>
      </w:r>
    </w:p>
    <w:p w:rsidR="007A2F40" w:rsidRDefault="007A2F40">
      <w:pPr>
        <w:pStyle w:val="BodyText"/>
        <w:rPr>
          <w:sz w:val="24"/>
        </w:rPr>
      </w:pPr>
    </w:p>
    <w:p w:rsidR="007A2F40" w:rsidRDefault="002C6FB5">
      <w:pPr>
        <w:pStyle w:val="Heading1"/>
        <w:ind w:right="116"/>
      </w:pPr>
      <w:r>
        <w:t xml:space="preserve">Astari, A. A. M. R. (2017). Faktor-Faktor Yang Mempengaruhi Manajemen Laba. </w:t>
      </w:r>
      <w:r>
        <w:rPr>
          <w:i/>
        </w:rPr>
        <w:t>E- Jurnal Akuntansi</w:t>
      </w:r>
      <w:r>
        <w:t xml:space="preserve">, </w:t>
      </w:r>
      <w:r>
        <w:rPr>
          <w:i/>
        </w:rPr>
        <w:t>20</w:t>
      </w:r>
      <w:r>
        <w:t>(1), 2</w:t>
      </w:r>
      <w:r>
        <w:t>90–319.</w:t>
      </w:r>
    </w:p>
    <w:p w:rsidR="007A2F40" w:rsidRDefault="007A2F40">
      <w:pPr>
        <w:pStyle w:val="BodyText"/>
        <w:rPr>
          <w:sz w:val="24"/>
        </w:rPr>
      </w:pPr>
    </w:p>
    <w:p w:rsidR="007A2F40" w:rsidRDefault="002C6FB5">
      <w:pPr>
        <w:ind w:left="599" w:right="112" w:hanging="480"/>
        <w:jc w:val="both"/>
        <w:rPr>
          <w:sz w:val="24"/>
        </w:rPr>
      </w:pPr>
      <w:r>
        <w:rPr>
          <w:sz w:val="24"/>
        </w:rPr>
        <w:t xml:space="preserve">Di Meo, F., García Lara, J. M., &amp; Surroca, J. A. (2017). Managerial entrenchment and earnings management. </w:t>
      </w:r>
      <w:r>
        <w:rPr>
          <w:i/>
          <w:sz w:val="24"/>
        </w:rPr>
        <w:t>Journal of Accounting and Public Policy</w:t>
      </w:r>
      <w:r>
        <w:rPr>
          <w:sz w:val="24"/>
        </w:rPr>
        <w:t xml:space="preserve">, </w:t>
      </w:r>
      <w:r>
        <w:rPr>
          <w:i/>
          <w:sz w:val="24"/>
        </w:rPr>
        <w:t>36</w:t>
      </w:r>
      <w:r>
        <w:rPr>
          <w:sz w:val="24"/>
        </w:rPr>
        <w:t>(5), 399–414. https://doi.org/10.1016/j.jaccpubpol.2017.07.003</w:t>
      </w:r>
    </w:p>
    <w:p w:rsidR="007A2F40" w:rsidRDefault="007A2F40">
      <w:pPr>
        <w:pStyle w:val="BodyText"/>
        <w:spacing w:before="1"/>
        <w:rPr>
          <w:sz w:val="24"/>
        </w:rPr>
      </w:pPr>
    </w:p>
    <w:p w:rsidR="007A2F40" w:rsidRDefault="002C6FB5">
      <w:pPr>
        <w:ind w:left="599" w:right="112" w:hanging="480"/>
        <w:jc w:val="both"/>
        <w:rPr>
          <w:sz w:val="24"/>
        </w:rPr>
      </w:pPr>
      <w:r>
        <w:rPr>
          <w:sz w:val="24"/>
        </w:rPr>
        <w:t>Eisenhardt, K. M. (1989). Building</w:t>
      </w:r>
      <w:r>
        <w:rPr>
          <w:sz w:val="24"/>
        </w:rPr>
        <w:t xml:space="preserve"> Theories from Case Study Reaearch. </w:t>
      </w:r>
      <w:r>
        <w:rPr>
          <w:i/>
          <w:sz w:val="24"/>
        </w:rPr>
        <w:t>Building Theories from Case Study Reaearch</w:t>
      </w:r>
      <w:r>
        <w:rPr>
          <w:sz w:val="24"/>
        </w:rPr>
        <w:t xml:space="preserve">, </w:t>
      </w:r>
      <w:r>
        <w:rPr>
          <w:i/>
          <w:sz w:val="24"/>
        </w:rPr>
        <w:t>14</w:t>
      </w:r>
      <w:r>
        <w:rPr>
          <w:sz w:val="24"/>
        </w:rPr>
        <w:t>, 532–550. https://doi.org/10.1016/s0140- 6736(16)30010-1</w:t>
      </w:r>
    </w:p>
    <w:p w:rsidR="007A2F40" w:rsidRDefault="007A2F40">
      <w:pPr>
        <w:pStyle w:val="BodyText"/>
        <w:rPr>
          <w:sz w:val="24"/>
        </w:rPr>
      </w:pPr>
    </w:p>
    <w:p w:rsidR="007A2F40" w:rsidRDefault="002C6FB5">
      <w:pPr>
        <w:pStyle w:val="Heading1"/>
      </w:pPr>
      <w:r>
        <w:t xml:space="preserve">Farida, L. Y. N., &amp; Kusumadewa, R. K. A. (2019). Pengaruh Struktur Kepemilikan Dan Komite Audit Terhadap Manajemen </w:t>
      </w:r>
      <w:r>
        <w:t xml:space="preserve">Laba. </w:t>
      </w:r>
      <w:r>
        <w:rPr>
          <w:i/>
        </w:rPr>
        <w:t>Diponegoro Journal of Accounting</w:t>
      </w:r>
      <w:r>
        <w:t xml:space="preserve">, </w:t>
      </w:r>
      <w:r>
        <w:rPr>
          <w:i/>
        </w:rPr>
        <w:t>8</w:t>
      </w:r>
      <w:r>
        <w:t>(3), 1–12.</w:t>
      </w:r>
    </w:p>
    <w:p w:rsidR="007A2F40" w:rsidRDefault="007A2F40">
      <w:pPr>
        <w:pStyle w:val="BodyText"/>
        <w:rPr>
          <w:sz w:val="24"/>
        </w:rPr>
      </w:pPr>
    </w:p>
    <w:p w:rsidR="007A2F40" w:rsidRDefault="002C6FB5">
      <w:pPr>
        <w:ind w:left="599" w:right="120" w:hanging="480"/>
        <w:jc w:val="both"/>
        <w:rPr>
          <w:sz w:val="24"/>
        </w:rPr>
      </w:pPr>
      <w:r>
        <w:rPr>
          <w:sz w:val="24"/>
        </w:rPr>
        <w:t>Ferial, F., Suhadak, S., &amp; Handayani, S. (2016). PENGARUH GOOD CORPORATE GOVERNANCE TERHADAP KINERJA KEUANGAN DAN</w:t>
      </w:r>
      <w:r>
        <w:rPr>
          <w:spacing w:val="54"/>
          <w:sz w:val="24"/>
        </w:rPr>
        <w:t xml:space="preserve"> </w:t>
      </w:r>
      <w:r>
        <w:rPr>
          <w:sz w:val="24"/>
        </w:rPr>
        <w:t>EFEKNYA</w:t>
      </w:r>
    </w:p>
    <w:p w:rsidR="007A2F40" w:rsidRDefault="002C6FB5">
      <w:pPr>
        <w:spacing w:before="1"/>
        <w:ind w:left="599" w:right="117"/>
        <w:jc w:val="both"/>
        <w:rPr>
          <w:sz w:val="24"/>
        </w:rPr>
      </w:pPr>
      <w:r>
        <w:rPr>
          <w:sz w:val="24"/>
        </w:rPr>
        <w:t xml:space="preserve">TERHADAP NILAI PERUSAHAAN (Studi Pada Badan Usaha Milik Negara yang Terdaftar di </w:t>
      </w:r>
      <w:r>
        <w:rPr>
          <w:sz w:val="24"/>
        </w:rPr>
        <w:t xml:space="preserve">Bursa Efek Indonesia Periode 2012-2014). </w:t>
      </w:r>
      <w:r>
        <w:rPr>
          <w:i/>
          <w:sz w:val="24"/>
        </w:rPr>
        <w:t>Jurnal Administrasi Bisnis S1 Universitas Brawijaya</w:t>
      </w:r>
      <w:r>
        <w:rPr>
          <w:sz w:val="24"/>
        </w:rPr>
        <w:t xml:space="preserve">, </w:t>
      </w:r>
      <w:r>
        <w:rPr>
          <w:i/>
          <w:sz w:val="24"/>
        </w:rPr>
        <w:t>33</w:t>
      </w:r>
      <w:r>
        <w:rPr>
          <w:sz w:val="24"/>
        </w:rPr>
        <w:t>(1), 146–153.</w:t>
      </w:r>
    </w:p>
    <w:p w:rsidR="007A2F40" w:rsidRDefault="007A2F40">
      <w:pPr>
        <w:pStyle w:val="BodyText"/>
        <w:rPr>
          <w:sz w:val="24"/>
        </w:rPr>
      </w:pPr>
    </w:p>
    <w:p w:rsidR="007A2F40" w:rsidRDefault="002C6FB5">
      <w:pPr>
        <w:ind w:left="119"/>
        <w:rPr>
          <w:sz w:val="24"/>
        </w:rPr>
      </w:pPr>
      <w:r>
        <w:rPr>
          <w:sz w:val="24"/>
        </w:rPr>
        <w:t xml:space="preserve">Ghozali, I. (2018). </w:t>
      </w:r>
      <w:r>
        <w:rPr>
          <w:i/>
          <w:sz w:val="24"/>
        </w:rPr>
        <w:t xml:space="preserve">Aplikasi Analisis Multivariete Dengan Program IBM SPSS 23 </w:t>
      </w:r>
      <w:r>
        <w:rPr>
          <w:sz w:val="24"/>
        </w:rPr>
        <w:t>(8th ed.).</w:t>
      </w:r>
    </w:p>
    <w:p w:rsidR="007A2F40" w:rsidRDefault="002C6FB5">
      <w:pPr>
        <w:pStyle w:val="Heading1"/>
        <w:ind w:right="0" w:firstLine="0"/>
      </w:pPr>
      <w:r>
        <w:t>Badan Penerbit Universitas Diponegoro.</w:t>
      </w:r>
    </w:p>
    <w:p w:rsidR="007A2F40" w:rsidRDefault="007A2F40">
      <w:pPr>
        <w:pStyle w:val="BodyText"/>
        <w:rPr>
          <w:sz w:val="24"/>
        </w:rPr>
      </w:pPr>
    </w:p>
    <w:p w:rsidR="007A2F40" w:rsidRDefault="002C6FB5">
      <w:pPr>
        <w:ind w:left="599" w:right="119" w:hanging="480"/>
        <w:jc w:val="both"/>
        <w:rPr>
          <w:sz w:val="24"/>
        </w:rPr>
      </w:pPr>
      <w:r>
        <w:rPr>
          <w:sz w:val="24"/>
        </w:rPr>
        <w:t xml:space="preserve">Gitman, L. J. (2015). </w:t>
      </w:r>
      <w:r>
        <w:rPr>
          <w:i/>
          <w:sz w:val="24"/>
        </w:rPr>
        <w:t xml:space="preserve">Principles of Management Finance </w:t>
      </w:r>
      <w:r>
        <w:rPr>
          <w:sz w:val="24"/>
        </w:rPr>
        <w:t>(12th ed.). Pearson Education, Inc.</w:t>
      </w:r>
    </w:p>
    <w:p w:rsidR="007A2F40" w:rsidRDefault="007A2F40">
      <w:pPr>
        <w:pStyle w:val="BodyText"/>
        <w:rPr>
          <w:sz w:val="24"/>
        </w:rPr>
      </w:pPr>
    </w:p>
    <w:p w:rsidR="007A2F40" w:rsidRDefault="002C6FB5">
      <w:pPr>
        <w:pStyle w:val="Heading1"/>
        <w:ind w:left="119" w:right="0" w:firstLine="0"/>
        <w:jc w:val="left"/>
      </w:pPr>
      <w:r>
        <w:t>Gordon, E. A., &amp; Henry, E. (2011). Related Party Transactions and Earnings Management.</w:t>
      </w:r>
    </w:p>
    <w:p w:rsidR="007A2F40" w:rsidRDefault="002C6FB5">
      <w:pPr>
        <w:spacing w:before="1"/>
        <w:ind w:left="599"/>
        <w:jc w:val="both"/>
        <w:rPr>
          <w:sz w:val="24"/>
        </w:rPr>
      </w:pPr>
      <w:r>
        <w:rPr>
          <w:i/>
          <w:sz w:val="24"/>
        </w:rPr>
        <w:t>SSRN Electronic Journal</w:t>
      </w:r>
      <w:r>
        <w:rPr>
          <w:sz w:val="24"/>
        </w:rPr>
        <w:t>. https://doi.org/10.2139/ssrn.612234</w:t>
      </w:r>
    </w:p>
    <w:p w:rsidR="007A2F40" w:rsidRDefault="007A2F40">
      <w:pPr>
        <w:pStyle w:val="BodyText"/>
        <w:spacing w:before="11"/>
        <w:rPr>
          <w:sz w:val="23"/>
        </w:rPr>
      </w:pPr>
    </w:p>
    <w:p w:rsidR="007A2F40" w:rsidRDefault="002C6FB5">
      <w:pPr>
        <w:ind w:left="599" w:right="120" w:hanging="480"/>
        <w:jc w:val="both"/>
        <w:rPr>
          <w:sz w:val="24"/>
        </w:rPr>
      </w:pPr>
      <w:r>
        <w:rPr>
          <w:sz w:val="24"/>
        </w:rPr>
        <w:t>Hermawan. (2019</w:t>
      </w:r>
      <w:r>
        <w:rPr>
          <w:sz w:val="24"/>
        </w:rPr>
        <w:t xml:space="preserve">). </w:t>
      </w:r>
      <w:r>
        <w:rPr>
          <w:i/>
          <w:sz w:val="24"/>
        </w:rPr>
        <w:t>Metodologi Penelitiab Pendidikan (Kualitatif, Kuantitatif, dan Mixed Method)</w:t>
      </w:r>
      <w:r>
        <w:rPr>
          <w:sz w:val="24"/>
        </w:rPr>
        <w:t>. Hadayatul Quran.</w:t>
      </w:r>
    </w:p>
    <w:p w:rsidR="007A2F40" w:rsidRDefault="007A2F40">
      <w:pPr>
        <w:pStyle w:val="BodyText"/>
        <w:rPr>
          <w:sz w:val="24"/>
        </w:rPr>
      </w:pPr>
    </w:p>
    <w:p w:rsidR="007A2F40" w:rsidRDefault="002C6FB5">
      <w:pPr>
        <w:ind w:left="599" w:right="118" w:hanging="480"/>
        <w:jc w:val="both"/>
        <w:rPr>
          <w:sz w:val="24"/>
        </w:rPr>
      </w:pPr>
      <w:r>
        <w:rPr>
          <w:sz w:val="24"/>
        </w:rPr>
        <w:t xml:space="preserve">Hery. (2015). </w:t>
      </w:r>
      <w:r>
        <w:rPr>
          <w:i/>
          <w:sz w:val="24"/>
        </w:rPr>
        <w:t xml:space="preserve">analisis laporan keuangan </w:t>
      </w:r>
      <w:r>
        <w:rPr>
          <w:sz w:val="24"/>
        </w:rPr>
        <w:t>(Hery (ed.)). CAPS (Center for Academic Publishing Service).</w:t>
      </w:r>
    </w:p>
    <w:p w:rsidR="007A2F40" w:rsidRDefault="007A2F40">
      <w:pPr>
        <w:pStyle w:val="BodyText"/>
        <w:rPr>
          <w:sz w:val="24"/>
        </w:rPr>
      </w:pPr>
    </w:p>
    <w:p w:rsidR="007A2F40" w:rsidRDefault="002C6FB5">
      <w:pPr>
        <w:ind w:left="599" w:right="116" w:hanging="480"/>
        <w:jc w:val="both"/>
        <w:rPr>
          <w:sz w:val="24"/>
        </w:rPr>
      </w:pPr>
      <w:r>
        <w:rPr>
          <w:sz w:val="24"/>
        </w:rPr>
        <w:t xml:space="preserve">Horne, J. C. V. dan J. M. W. J. (2014). </w:t>
      </w:r>
      <w:r>
        <w:rPr>
          <w:i/>
          <w:sz w:val="24"/>
        </w:rPr>
        <w:t xml:space="preserve">Fundament of Financial Management Prinsip- Prinsip Manajemen Keuangan </w:t>
      </w:r>
      <w:r>
        <w:rPr>
          <w:sz w:val="24"/>
        </w:rPr>
        <w:t>(12th ed.). Salemba Empat.</w:t>
      </w:r>
    </w:p>
    <w:p w:rsidR="007A2F40" w:rsidRDefault="007A2F40">
      <w:pPr>
        <w:pStyle w:val="BodyText"/>
        <w:rPr>
          <w:sz w:val="24"/>
        </w:rPr>
      </w:pPr>
    </w:p>
    <w:p w:rsidR="007A2F40" w:rsidRDefault="002C6FB5">
      <w:pPr>
        <w:pStyle w:val="Heading1"/>
        <w:ind w:right="125"/>
      </w:pPr>
      <w:r>
        <w:t xml:space="preserve">Jensen, M. C. and W. H. M. (1976). Theory of the Firm : Managerial Behavior, Agency Costs and Ownership Structure. </w:t>
      </w:r>
      <w:r>
        <w:rPr>
          <w:i/>
        </w:rPr>
        <w:t>Journal of Financial Economics</w:t>
      </w:r>
      <w:r>
        <w:t xml:space="preserve">, </w:t>
      </w:r>
      <w:r>
        <w:rPr>
          <w:i/>
        </w:rPr>
        <w:t>3</w:t>
      </w:r>
      <w:r>
        <w:t>, 305–306.</w:t>
      </w:r>
    </w:p>
    <w:p w:rsidR="007A2F40" w:rsidRDefault="007A2F40">
      <w:pPr>
        <w:sectPr w:rsidR="007A2F40">
          <w:pgSz w:w="11900" w:h="16850"/>
          <w:pgMar w:top="1480" w:right="1400" w:bottom="720" w:left="1460" w:header="333" w:footer="528" w:gutter="0"/>
          <w:cols w:space="720"/>
        </w:sectPr>
      </w:pPr>
    </w:p>
    <w:p w:rsidR="007A2F40" w:rsidRDefault="002C6FB5">
      <w:pPr>
        <w:tabs>
          <w:tab w:val="left" w:pos="1734"/>
          <w:tab w:val="left" w:pos="3409"/>
          <w:tab w:val="left" w:pos="4891"/>
          <w:tab w:val="left" w:pos="5734"/>
          <w:tab w:val="left" w:pos="7385"/>
        </w:tabs>
        <w:spacing w:before="82"/>
        <w:ind w:left="599" w:right="117" w:hanging="480"/>
        <w:jc w:val="both"/>
        <w:rPr>
          <w:sz w:val="24"/>
        </w:rPr>
      </w:pPr>
      <w:r>
        <w:rPr>
          <w:sz w:val="24"/>
        </w:rPr>
        <w:lastRenderedPageBreak/>
        <w:t xml:space="preserve">Lestari, E., &amp; Murtanto, M. (2018). Pengaruh Efektivitas Dewan Komisaris Dan Komite Audit, Struktur Kepemilikan, Dan Kualitas Audit Terhadap Manajemen Laba. </w:t>
      </w:r>
      <w:r>
        <w:rPr>
          <w:i/>
          <w:sz w:val="24"/>
        </w:rPr>
        <w:t>Media Riset</w:t>
      </w:r>
      <w:r>
        <w:rPr>
          <w:i/>
          <w:sz w:val="24"/>
        </w:rPr>
        <w:tab/>
        <w:t>Akuntansi,</w:t>
      </w:r>
      <w:r>
        <w:rPr>
          <w:i/>
          <w:sz w:val="24"/>
        </w:rPr>
        <w:tab/>
        <w:t>Auditing</w:t>
      </w:r>
      <w:r>
        <w:rPr>
          <w:i/>
          <w:sz w:val="24"/>
        </w:rPr>
        <w:tab/>
        <w:t>&amp;</w:t>
      </w:r>
      <w:r>
        <w:rPr>
          <w:i/>
          <w:sz w:val="24"/>
        </w:rPr>
        <w:tab/>
        <w:t>Informasi</w:t>
      </w:r>
      <w:r>
        <w:rPr>
          <w:sz w:val="24"/>
        </w:rPr>
        <w:t>,</w:t>
      </w:r>
      <w:r>
        <w:rPr>
          <w:sz w:val="24"/>
        </w:rPr>
        <w:tab/>
      </w:r>
      <w:r>
        <w:rPr>
          <w:i/>
          <w:sz w:val="24"/>
        </w:rPr>
        <w:t>17</w:t>
      </w:r>
      <w:r>
        <w:rPr>
          <w:sz w:val="24"/>
        </w:rPr>
        <w:t>(2),</w:t>
      </w:r>
      <w:r>
        <w:rPr>
          <w:spacing w:val="52"/>
          <w:sz w:val="24"/>
        </w:rPr>
        <w:t xml:space="preserve"> </w:t>
      </w:r>
      <w:r>
        <w:rPr>
          <w:spacing w:val="-5"/>
          <w:sz w:val="24"/>
        </w:rPr>
        <w:t>97.</w:t>
      </w:r>
    </w:p>
    <w:p w:rsidR="007A2F40" w:rsidRDefault="002C6FB5">
      <w:pPr>
        <w:pStyle w:val="Heading1"/>
        <w:ind w:right="0" w:firstLine="0"/>
        <w:jc w:val="left"/>
      </w:pPr>
      <w:r>
        <w:t>https://doi.org/10.25105</w:t>
      </w:r>
      <w:r>
        <w:t>/mraai.v17i2.2063</w:t>
      </w:r>
    </w:p>
    <w:p w:rsidR="007A2F40" w:rsidRDefault="007A2F40">
      <w:pPr>
        <w:pStyle w:val="BodyText"/>
        <w:rPr>
          <w:sz w:val="24"/>
        </w:rPr>
      </w:pPr>
    </w:p>
    <w:p w:rsidR="007A2F40" w:rsidRDefault="002C6FB5">
      <w:pPr>
        <w:ind w:left="599" w:right="117" w:hanging="480"/>
        <w:jc w:val="both"/>
        <w:rPr>
          <w:sz w:val="24"/>
        </w:rPr>
      </w:pPr>
      <w:r>
        <w:rPr>
          <w:sz w:val="24"/>
        </w:rPr>
        <w:t xml:space="preserve">M., D. P., Sloan, R. G., &amp; Sweeney, A. p. (1995). Detecting Earnings Management. </w:t>
      </w:r>
      <w:r>
        <w:rPr>
          <w:i/>
          <w:sz w:val="24"/>
        </w:rPr>
        <w:t>The Accountig Review</w:t>
      </w:r>
      <w:r>
        <w:rPr>
          <w:sz w:val="24"/>
        </w:rPr>
        <w:t xml:space="preserve">, </w:t>
      </w:r>
      <w:r>
        <w:rPr>
          <w:i/>
          <w:sz w:val="24"/>
        </w:rPr>
        <w:t>70</w:t>
      </w:r>
      <w:r>
        <w:rPr>
          <w:sz w:val="24"/>
        </w:rPr>
        <w:t>(2), 193–225.</w:t>
      </w:r>
    </w:p>
    <w:p w:rsidR="007A2F40" w:rsidRDefault="007A2F40">
      <w:pPr>
        <w:pStyle w:val="BodyText"/>
        <w:rPr>
          <w:sz w:val="24"/>
        </w:rPr>
      </w:pPr>
    </w:p>
    <w:p w:rsidR="007A2F40" w:rsidRDefault="002C6FB5">
      <w:pPr>
        <w:ind w:left="599" w:right="116" w:hanging="480"/>
        <w:jc w:val="both"/>
        <w:rPr>
          <w:sz w:val="24"/>
        </w:rPr>
      </w:pPr>
      <w:r>
        <w:rPr>
          <w:sz w:val="24"/>
        </w:rPr>
        <w:t>Mahariana &amp; Ramantha. (2014). Pengaruh Kepemilikan Manajerial Dan Kepemilikan Institusional Terhadap Manajemen Laba P</w:t>
      </w:r>
      <w:r>
        <w:rPr>
          <w:sz w:val="24"/>
        </w:rPr>
        <w:t xml:space="preserve">ada Perusahaan Manufaktur Di Bei. </w:t>
      </w:r>
      <w:r>
        <w:rPr>
          <w:i/>
          <w:sz w:val="24"/>
        </w:rPr>
        <w:t>E- Jurnal Akuntansi</w:t>
      </w:r>
      <w:r>
        <w:rPr>
          <w:sz w:val="24"/>
        </w:rPr>
        <w:t xml:space="preserve">, </w:t>
      </w:r>
      <w:r>
        <w:rPr>
          <w:i/>
          <w:sz w:val="24"/>
        </w:rPr>
        <w:t>7</w:t>
      </w:r>
      <w:r>
        <w:rPr>
          <w:sz w:val="24"/>
        </w:rPr>
        <w:t>(3), 688–699.</w:t>
      </w:r>
    </w:p>
    <w:p w:rsidR="007A2F40" w:rsidRDefault="007A2F40">
      <w:pPr>
        <w:pStyle w:val="BodyText"/>
        <w:rPr>
          <w:sz w:val="24"/>
        </w:rPr>
      </w:pPr>
    </w:p>
    <w:p w:rsidR="007A2F40" w:rsidRDefault="002C6FB5">
      <w:pPr>
        <w:ind w:left="599" w:right="115" w:hanging="480"/>
        <w:jc w:val="both"/>
        <w:rPr>
          <w:sz w:val="24"/>
        </w:rPr>
      </w:pPr>
      <w:r>
        <w:rPr>
          <w:sz w:val="24"/>
        </w:rPr>
        <w:t xml:space="preserve">Mahawyahrti, T., &amp; Budiasih, G. N. (2017). Asimetri Informasi, Leverage, dan Ukuran Perusahaan pada Manajemen Laba. </w:t>
      </w:r>
      <w:r>
        <w:rPr>
          <w:i/>
          <w:sz w:val="24"/>
        </w:rPr>
        <w:t>Jurnal Ilmiah Akuntansi Dan Bisnis</w:t>
      </w:r>
      <w:r>
        <w:rPr>
          <w:sz w:val="24"/>
        </w:rPr>
        <w:t xml:space="preserve">, </w:t>
      </w:r>
      <w:r>
        <w:rPr>
          <w:i/>
          <w:sz w:val="24"/>
        </w:rPr>
        <w:t>11</w:t>
      </w:r>
      <w:r>
        <w:rPr>
          <w:sz w:val="24"/>
        </w:rPr>
        <w:t>(2), 100. https://doi.org/10.24</w:t>
      </w:r>
      <w:r>
        <w:rPr>
          <w:sz w:val="24"/>
        </w:rPr>
        <w:t>843/jiab.2016.v11.i02.p05</w:t>
      </w:r>
    </w:p>
    <w:p w:rsidR="007A2F40" w:rsidRDefault="007A2F40">
      <w:pPr>
        <w:pStyle w:val="BodyText"/>
        <w:rPr>
          <w:sz w:val="24"/>
        </w:rPr>
      </w:pPr>
    </w:p>
    <w:p w:rsidR="007A2F40" w:rsidRDefault="002C6FB5">
      <w:pPr>
        <w:spacing w:before="1"/>
        <w:ind w:left="599" w:right="116" w:hanging="480"/>
        <w:jc w:val="both"/>
        <w:rPr>
          <w:sz w:val="24"/>
        </w:rPr>
      </w:pPr>
      <w:r>
        <w:rPr>
          <w:sz w:val="24"/>
        </w:rPr>
        <w:t xml:space="preserve">Marlisa, O., &amp; Fuadati, S. R. (2016). Analisis Faktor-Faktor yang mempengaruhi Manajemen Laba Perusahaan Properti dan Real Estate. </w:t>
      </w:r>
      <w:r>
        <w:rPr>
          <w:i/>
          <w:sz w:val="24"/>
        </w:rPr>
        <w:t>Jurnal Ilmu Dan Riset Manajemen</w:t>
      </w:r>
      <w:r>
        <w:rPr>
          <w:sz w:val="24"/>
        </w:rPr>
        <w:t xml:space="preserve">, </w:t>
      </w:r>
      <w:r>
        <w:rPr>
          <w:i/>
          <w:sz w:val="24"/>
        </w:rPr>
        <w:t>5</w:t>
      </w:r>
      <w:r>
        <w:rPr>
          <w:sz w:val="24"/>
        </w:rPr>
        <w:t>(7), 1–19.</w:t>
      </w:r>
    </w:p>
    <w:p w:rsidR="007A2F40" w:rsidRDefault="007A2F40">
      <w:pPr>
        <w:pStyle w:val="BodyText"/>
        <w:spacing w:before="11"/>
        <w:rPr>
          <w:sz w:val="23"/>
        </w:rPr>
      </w:pPr>
    </w:p>
    <w:p w:rsidR="007A2F40" w:rsidRDefault="002C6FB5">
      <w:pPr>
        <w:ind w:left="599" w:right="117" w:hanging="480"/>
        <w:jc w:val="both"/>
        <w:rPr>
          <w:sz w:val="24"/>
        </w:rPr>
      </w:pPr>
      <w:r>
        <w:rPr>
          <w:sz w:val="24"/>
        </w:rPr>
        <w:t>Marsha, F., &amp; Ghozali, I. (2017). PENGARUH UKURAN KO</w:t>
      </w:r>
      <w:r>
        <w:rPr>
          <w:sz w:val="24"/>
        </w:rPr>
        <w:t xml:space="preserve">MITE AUDIT, AUDIT EKSTERNAL, JUMLAH RAPAT KOMITE AUDIT, JUMLAH RAPAT DEWAN KOMISARIS       DAN       KEPEMILIKAN       INSTITUSIONAL      </w:t>
      </w:r>
      <w:r>
        <w:rPr>
          <w:spacing w:val="47"/>
          <w:sz w:val="24"/>
        </w:rPr>
        <w:t xml:space="preserve"> </w:t>
      </w:r>
      <w:r>
        <w:rPr>
          <w:sz w:val="24"/>
        </w:rPr>
        <w:t>TERHADAP</w:t>
      </w:r>
    </w:p>
    <w:p w:rsidR="007A2F40" w:rsidRDefault="002C6FB5">
      <w:pPr>
        <w:ind w:left="599" w:right="118"/>
        <w:jc w:val="both"/>
        <w:rPr>
          <w:i/>
          <w:sz w:val="24"/>
        </w:rPr>
      </w:pPr>
      <w:r>
        <w:rPr>
          <w:sz w:val="24"/>
        </w:rPr>
        <w:t xml:space="preserve">MANAJEMEN LABA (Studi Empiris perusahaan manufaktur yang terdaftar di BEI tahun 2012-2014). </w:t>
      </w:r>
      <w:r>
        <w:rPr>
          <w:i/>
          <w:sz w:val="24"/>
        </w:rPr>
        <w:t>PENGARUH UKURAN KOMITE AUDIT, AUDIT EKSTERNAL, JUMLAH RAPAT KOMITE AUDIT, JUMLAH RAPAT DEWAN KOMISARIS DAN KEPEMILIKAN</w:t>
      </w:r>
      <w:r>
        <w:rPr>
          <w:i/>
          <w:spacing w:val="27"/>
          <w:sz w:val="24"/>
        </w:rPr>
        <w:t xml:space="preserve"> </w:t>
      </w:r>
      <w:r>
        <w:rPr>
          <w:i/>
          <w:sz w:val="24"/>
        </w:rPr>
        <w:t>INSTITUSIONAL</w:t>
      </w:r>
      <w:r>
        <w:rPr>
          <w:i/>
          <w:spacing w:val="28"/>
          <w:sz w:val="24"/>
        </w:rPr>
        <w:t xml:space="preserve"> </w:t>
      </w:r>
      <w:r>
        <w:rPr>
          <w:i/>
          <w:sz w:val="24"/>
        </w:rPr>
        <w:t>TERHADAP</w:t>
      </w:r>
      <w:r>
        <w:rPr>
          <w:i/>
          <w:spacing w:val="28"/>
          <w:sz w:val="24"/>
        </w:rPr>
        <w:t xml:space="preserve"> </w:t>
      </w:r>
      <w:r>
        <w:rPr>
          <w:i/>
          <w:sz w:val="24"/>
        </w:rPr>
        <w:t>MANAJEMEN</w:t>
      </w:r>
      <w:r>
        <w:rPr>
          <w:i/>
          <w:spacing w:val="28"/>
          <w:sz w:val="24"/>
        </w:rPr>
        <w:t xml:space="preserve"> </w:t>
      </w:r>
      <w:r>
        <w:rPr>
          <w:i/>
          <w:sz w:val="24"/>
        </w:rPr>
        <w:t>LABA</w:t>
      </w:r>
      <w:r>
        <w:rPr>
          <w:i/>
          <w:spacing w:val="25"/>
          <w:sz w:val="24"/>
        </w:rPr>
        <w:t xml:space="preserve"> </w:t>
      </w:r>
      <w:r>
        <w:rPr>
          <w:i/>
          <w:sz w:val="24"/>
        </w:rPr>
        <w:t>(Studi</w:t>
      </w:r>
      <w:r>
        <w:rPr>
          <w:i/>
          <w:spacing w:val="28"/>
          <w:sz w:val="24"/>
        </w:rPr>
        <w:t xml:space="preserve"> </w:t>
      </w:r>
      <w:r>
        <w:rPr>
          <w:i/>
          <w:sz w:val="24"/>
        </w:rPr>
        <w:t>Empiris</w:t>
      </w:r>
    </w:p>
    <w:p w:rsidR="007A2F40" w:rsidRDefault="002C6FB5">
      <w:pPr>
        <w:spacing w:before="1"/>
        <w:ind w:left="599"/>
        <w:rPr>
          <w:sz w:val="24"/>
        </w:rPr>
      </w:pPr>
      <w:r>
        <w:rPr>
          <w:i/>
          <w:sz w:val="24"/>
        </w:rPr>
        <w:t>Perusahaan Manufaktur Yang Terdaftar Di BEI Tahun 2012-2014)</w:t>
      </w:r>
      <w:r>
        <w:rPr>
          <w:sz w:val="24"/>
        </w:rPr>
        <w:t xml:space="preserve">, </w:t>
      </w:r>
      <w:r>
        <w:rPr>
          <w:i/>
          <w:sz w:val="24"/>
        </w:rPr>
        <w:t>6</w:t>
      </w:r>
      <w:r>
        <w:rPr>
          <w:sz w:val="24"/>
        </w:rPr>
        <w:t>(2), 91–102.</w:t>
      </w:r>
    </w:p>
    <w:p w:rsidR="007A2F40" w:rsidRDefault="007A2F40">
      <w:pPr>
        <w:pStyle w:val="BodyText"/>
        <w:rPr>
          <w:sz w:val="24"/>
        </w:rPr>
      </w:pPr>
    </w:p>
    <w:p w:rsidR="007A2F40" w:rsidRDefault="002C6FB5">
      <w:pPr>
        <w:pStyle w:val="Heading1"/>
        <w:tabs>
          <w:tab w:val="left" w:pos="1780"/>
          <w:tab w:val="left" w:pos="3049"/>
          <w:tab w:val="left" w:pos="4820"/>
          <w:tab w:val="left" w:pos="6050"/>
          <w:tab w:val="left" w:pos="8463"/>
        </w:tabs>
      </w:pPr>
      <w:r>
        <w:t>MM., A. J., &amp; Farina, K. (2017). Pengaruh Efektivitas Dewan Komisaris, Dan Komite Audit, Struktur Kepemilikan Perusahaan, Dan Kualitas Audit Terhadap Perataan Laba.</w:t>
      </w:r>
      <w:r>
        <w:tab/>
      </w:r>
      <w:r>
        <w:rPr>
          <w:i/>
        </w:rPr>
        <w:t>Jurnal</w:t>
      </w:r>
      <w:r>
        <w:rPr>
          <w:i/>
        </w:rPr>
        <w:tab/>
        <w:t>Manajemen</w:t>
      </w:r>
      <w:r>
        <w:rPr>
          <w:i/>
        </w:rPr>
        <w:tab/>
        <w:t>Bisnis</w:t>
      </w:r>
      <w:r>
        <w:rPr>
          <w:i/>
        </w:rPr>
        <w:tab/>
        <w:t>Krisnadwipayana</w:t>
      </w:r>
      <w:r>
        <w:t>,</w:t>
      </w:r>
      <w:r>
        <w:tab/>
      </w:r>
      <w:r>
        <w:rPr>
          <w:i/>
          <w:spacing w:val="-5"/>
        </w:rPr>
        <w:t>5</w:t>
      </w:r>
      <w:r>
        <w:rPr>
          <w:spacing w:val="-5"/>
        </w:rPr>
        <w:t xml:space="preserve">(1). </w:t>
      </w:r>
      <w:r>
        <w:t>https://doi.org/10.35137/jmbk.v5i1.81</w:t>
      </w:r>
    </w:p>
    <w:p w:rsidR="007A2F40" w:rsidRDefault="007A2F40">
      <w:pPr>
        <w:pStyle w:val="BodyText"/>
        <w:rPr>
          <w:sz w:val="24"/>
        </w:rPr>
      </w:pPr>
    </w:p>
    <w:p w:rsidR="007A2F40" w:rsidRDefault="002C6FB5">
      <w:pPr>
        <w:ind w:left="599" w:right="116" w:hanging="480"/>
        <w:jc w:val="both"/>
        <w:rPr>
          <w:sz w:val="24"/>
        </w:rPr>
      </w:pPr>
      <w:r>
        <w:rPr>
          <w:sz w:val="24"/>
        </w:rPr>
        <w:t>Moham</w:t>
      </w:r>
      <w:r>
        <w:rPr>
          <w:sz w:val="24"/>
        </w:rPr>
        <w:t xml:space="preserve">mad, W. M. W., Wasiuzzaman, S., &amp; Salleh, N. M. Z. N. (2016). Corporate </w:t>
      </w:r>
      <w:r>
        <w:rPr>
          <w:spacing w:val="-1"/>
          <w:sz w:val="24"/>
        </w:rPr>
        <w:t>Gov</w:t>
      </w:r>
      <w:r>
        <w:rPr>
          <w:spacing w:val="-2"/>
          <w:sz w:val="24"/>
        </w:rPr>
        <w:t>e</w:t>
      </w:r>
      <w:r>
        <w:rPr>
          <w:sz w:val="24"/>
        </w:rPr>
        <w:t>rn</w:t>
      </w:r>
      <w:r>
        <w:rPr>
          <w:spacing w:val="-2"/>
          <w:sz w:val="24"/>
        </w:rPr>
        <w:t>a</w:t>
      </w:r>
      <w:r>
        <w:rPr>
          <w:spacing w:val="2"/>
          <w:sz w:val="24"/>
        </w:rPr>
        <w:t>n</w:t>
      </w:r>
      <w:r>
        <w:rPr>
          <w:spacing w:val="-1"/>
          <w:sz w:val="24"/>
        </w:rPr>
        <w:t>ce</w:t>
      </w:r>
      <w:r>
        <w:rPr>
          <w:spacing w:val="-1"/>
          <w:w w:val="45"/>
          <w:sz w:val="24"/>
        </w:rPr>
        <w:t> </w:t>
      </w:r>
      <w:r>
        <w:rPr>
          <w:w w:val="45"/>
          <w:sz w:val="24"/>
        </w:rPr>
        <w:t>:</w:t>
      </w:r>
      <w:r>
        <w:rPr>
          <w:sz w:val="24"/>
        </w:rPr>
        <w:t xml:space="preserve"> </w:t>
      </w:r>
      <w:r>
        <w:rPr>
          <w:spacing w:val="-24"/>
          <w:sz w:val="24"/>
        </w:rPr>
        <w:t xml:space="preserve"> </w:t>
      </w:r>
      <w:r>
        <w:rPr>
          <w:sz w:val="24"/>
        </w:rPr>
        <w:t xml:space="preserve">The </w:t>
      </w:r>
      <w:r>
        <w:rPr>
          <w:spacing w:val="-21"/>
          <w:sz w:val="24"/>
        </w:rPr>
        <w:t xml:space="preserve"> </w:t>
      </w:r>
      <w:r>
        <w:rPr>
          <w:spacing w:val="-4"/>
          <w:sz w:val="24"/>
        </w:rPr>
        <w:t>I</w:t>
      </w:r>
      <w:r>
        <w:rPr>
          <w:sz w:val="24"/>
        </w:rPr>
        <w:t>nte</w:t>
      </w:r>
      <w:r>
        <w:rPr>
          <w:spacing w:val="-2"/>
          <w:sz w:val="24"/>
        </w:rPr>
        <w:t>r</w:t>
      </w:r>
      <w:r>
        <w:rPr>
          <w:spacing w:val="2"/>
          <w:sz w:val="24"/>
        </w:rPr>
        <w:t>n</w:t>
      </w:r>
      <w:r>
        <w:rPr>
          <w:spacing w:val="-1"/>
          <w:sz w:val="24"/>
        </w:rPr>
        <w:t>a</w:t>
      </w:r>
      <w:r>
        <w:rPr>
          <w:sz w:val="24"/>
        </w:rPr>
        <w:t>tion</w:t>
      </w:r>
      <w:r>
        <w:rPr>
          <w:spacing w:val="-1"/>
          <w:sz w:val="24"/>
        </w:rPr>
        <w:t>a</w:t>
      </w:r>
      <w:r>
        <w:rPr>
          <w:sz w:val="24"/>
        </w:rPr>
        <w:t xml:space="preserve">l </w:t>
      </w:r>
      <w:r>
        <w:rPr>
          <w:spacing w:val="-24"/>
          <w:sz w:val="24"/>
        </w:rPr>
        <w:t xml:space="preserve"> </w:t>
      </w:r>
      <w:r>
        <w:rPr>
          <w:spacing w:val="-1"/>
          <w:sz w:val="24"/>
        </w:rPr>
        <w:t>Journ</w:t>
      </w:r>
      <w:r>
        <w:rPr>
          <w:spacing w:val="-2"/>
          <w:sz w:val="24"/>
        </w:rPr>
        <w:t>a</w:t>
      </w:r>
      <w:r>
        <w:rPr>
          <w:sz w:val="24"/>
        </w:rPr>
        <w:t xml:space="preserve">l </w:t>
      </w:r>
      <w:r>
        <w:rPr>
          <w:spacing w:val="-24"/>
          <w:sz w:val="24"/>
        </w:rPr>
        <w:t xml:space="preserve"> </w:t>
      </w:r>
      <w:r>
        <w:rPr>
          <w:sz w:val="24"/>
        </w:rPr>
        <w:t xml:space="preserve">of </w:t>
      </w:r>
      <w:r>
        <w:rPr>
          <w:spacing w:val="-25"/>
          <w:sz w:val="24"/>
        </w:rPr>
        <w:t xml:space="preserve"> </w:t>
      </w:r>
      <w:r>
        <w:rPr>
          <w:sz w:val="24"/>
        </w:rPr>
        <w:t>Busi</w:t>
      </w:r>
      <w:r>
        <w:rPr>
          <w:spacing w:val="2"/>
          <w:sz w:val="24"/>
        </w:rPr>
        <w:t>n</w:t>
      </w:r>
      <w:r>
        <w:rPr>
          <w:spacing w:val="-1"/>
          <w:sz w:val="24"/>
        </w:rPr>
        <w:t>es</w:t>
      </w:r>
      <w:r>
        <w:rPr>
          <w:sz w:val="24"/>
        </w:rPr>
        <w:t xml:space="preserve">s </w:t>
      </w:r>
      <w:r>
        <w:rPr>
          <w:spacing w:val="-24"/>
          <w:sz w:val="24"/>
        </w:rPr>
        <w:t xml:space="preserve"> </w:t>
      </w:r>
      <w:r>
        <w:rPr>
          <w:sz w:val="24"/>
        </w:rPr>
        <w:t xml:space="preserve">in </w:t>
      </w:r>
      <w:r>
        <w:rPr>
          <w:spacing w:val="-24"/>
          <w:sz w:val="24"/>
        </w:rPr>
        <w:t xml:space="preserve"> </w:t>
      </w:r>
      <w:r>
        <w:rPr>
          <w:sz w:val="24"/>
        </w:rPr>
        <w:t>So</w:t>
      </w:r>
      <w:r>
        <w:rPr>
          <w:spacing w:val="-1"/>
          <w:sz w:val="24"/>
        </w:rPr>
        <w:t>c</w:t>
      </w:r>
      <w:r>
        <w:rPr>
          <w:sz w:val="24"/>
        </w:rPr>
        <w:t xml:space="preserve">iety </w:t>
      </w:r>
      <w:r>
        <w:rPr>
          <w:spacing w:val="-25"/>
          <w:sz w:val="24"/>
        </w:rPr>
        <w:t xml:space="preserve"> </w:t>
      </w:r>
      <w:r>
        <w:rPr>
          <w:spacing w:val="-1"/>
          <w:sz w:val="24"/>
        </w:rPr>
        <w:t>A</w:t>
      </w:r>
      <w:r>
        <w:rPr>
          <w:spacing w:val="-2"/>
          <w:sz w:val="24"/>
        </w:rPr>
        <w:t>r</w:t>
      </w:r>
      <w:r>
        <w:rPr>
          <w:sz w:val="24"/>
        </w:rPr>
        <w:t>ti</w:t>
      </w:r>
      <w:r>
        <w:rPr>
          <w:spacing w:val="-1"/>
          <w:sz w:val="24"/>
        </w:rPr>
        <w:t>c</w:t>
      </w:r>
      <w:r>
        <w:rPr>
          <w:sz w:val="24"/>
        </w:rPr>
        <w:t xml:space="preserve">le </w:t>
      </w:r>
      <w:r>
        <w:rPr>
          <w:spacing w:val="-25"/>
          <w:sz w:val="24"/>
        </w:rPr>
        <w:t xml:space="preserve"> </w:t>
      </w:r>
      <w:r>
        <w:rPr>
          <w:spacing w:val="-5"/>
          <w:sz w:val="24"/>
        </w:rPr>
        <w:t>i</w:t>
      </w:r>
      <w:r>
        <w:rPr>
          <w:spacing w:val="-3"/>
          <w:sz w:val="24"/>
        </w:rPr>
        <w:t>n</w:t>
      </w:r>
      <w:r>
        <w:rPr>
          <w:spacing w:val="-5"/>
          <w:sz w:val="24"/>
        </w:rPr>
        <w:t>fo</w:t>
      </w:r>
      <w:r>
        <w:rPr>
          <w:spacing w:val="-7"/>
          <w:sz w:val="24"/>
        </w:rPr>
        <w:t>r</w:t>
      </w:r>
      <w:r>
        <w:rPr>
          <w:spacing w:val="-5"/>
          <w:w w:val="84"/>
          <w:sz w:val="24"/>
        </w:rPr>
        <w:t>mation :</w:t>
      </w:r>
      <w:r>
        <w:rPr>
          <w:w w:val="84"/>
          <w:sz w:val="24"/>
        </w:rPr>
        <w:t xml:space="preserve"> </w:t>
      </w:r>
      <w:r>
        <w:rPr>
          <w:sz w:val="24"/>
        </w:rPr>
        <w:t xml:space="preserve">Board and Audit Committee effectiveness , Ethnic diversification and Earnings Management : </w:t>
      </w:r>
      <w:r>
        <w:rPr>
          <w:sz w:val="24"/>
        </w:rPr>
        <w:t xml:space="preserve">A Study of the Malaysian Manufacturing Sector. </w:t>
      </w:r>
      <w:r>
        <w:rPr>
          <w:i/>
          <w:sz w:val="24"/>
        </w:rPr>
        <w:t xml:space="preserve">The </w:t>
      </w:r>
      <w:r>
        <w:rPr>
          <w:i/>
          <w:spacing w:val="-4"/>
          <w:sz w:val="24"/>
        </w:rPr>
        <w:t>International</w:t>
      </w:r>
      <w:r>
        <w:rPr>
          <w:i/>
          <w:spacing w:val="52"/>
          <w:sz w:val="24"/>
        </w:rPr>
        <w:t xml:space="preserve"> </w:t>
      </w:r>
      <w:r>
        <w:rPr>
          <w:i/>
          <w:sz w:val="24"/>
        </w:rPr>
        <w:t>Journal of Business in Society</w:t>
      </w:r>
      <w:r>
        <w:rPr>
          <w:sz w:val="24"/>
        </w:rPr>
        <w:t xml:space="preserve">, </w:t>
      </w:r>
      <w:r>
        <w:rPr>
          <w:i/>
          <w:sz w:val="24"/>
        </w:rPr>
        <w:t>16</w:t>
      </w:r>
      <w:r>
        <w:rPr>
          <w:sz w:val="24"/>
        </w:rPr>
        <w:t>(4),</w:t>
      </w:r>
      <w:r>
        <w:rPr>
          <w:spacing w:val="-1"/>
          <w:sz w:val="24"/>
        </w:rPr>
        <w:t xml:space="preserve"> </w:t>
      </w:r>
      <w:r>
        <w:rPr>
          <w:sz w:val="24"/>
        </w:rPr>
        <w:t>726-746.</w:t>
      </w:r>
    </w:p>
    <w:p w:rsidR="007A2F40" w:rsidRDefault="007A2F40">
      <w:pPr>
        <w:pStyle w:val="BodyText"/>
        <w:rPr>
          <w:sz w:val="24"/>
        </w:rPr>
      </w:pPr>
    </w:p>
    <w:p w:rsidR="007A2F40" w:rsidRDefault="002C6FB5">
      <w:pPr>
        <w:spacing w:before="1"/>
        <w:ind w:left="119"/>
        <w:rPr>
          <w:sz w:val="24"/>
        </w:rPr>
      </w:pPr>
      <w:r>
        <w:rPr>
          <w:sz w:val="24"/>
        </w:rPr>
        <w:t xml:space="preserve">Mulyawan, setia. (2015). </w:t>
      </w:r>
      <w:r>
        <w:rPr>
          <w:i/>
          <w:sz w:val="24"/>
        </w:rPr>
        <w:t>Manajemen Keuangan</w:t>
      </w:r>
      <w:r>
        <w:rPr>
          <w:sz w:val="24"/>
        </w:rPr>
        <w:t>. CV Pustaka Setia.</w:t>
      </w:r>
    </w:p>
    <w:p w:rsidR="007A2F40" w:rsidRDefault="007A2F40">
      <w:pPr>
        <w:pStyle w:val="BodyText"/>
        <w:spacing w:before="11"/>
        <w:rPr>
          <w:sz w:val="23"/>
        </w:rPr>
      </w:pPr>
    </w:p>
    <w:p w:rsidR="007A2F40" w:rsidRDefault="002C6FB5">
      <w:pPr>
        <w:ind w:left="599" w:right="120" w:hanging="480"/>
        <w:jc w:val="both"/>
        <w:rPr>
          <w:sz w:val="24"/>
        </w:rPr>
      </w:pPr>
      <w:r>
        <w:rPr>
          <w:sz w:val="24"/>
        </w:rPr>
        <w:t xml:space="preserve">Ngamchom, W. (2015). Impact of Board Effectiveness and Shareholders Structure on Earnings Management in Thailand. </w:t>
      </w:r>
      <w:r>
        <w:rPr>
          <w:i/>
          <w:sz w:val="24"/>
        </w:rPr>
        <w:t>Review of Integrative Business and Economics Research</w:t>
      </w:r>
      <w:r>
        <w:rPr>
          <w:sz w:val="24"/>
        </w:rPr>
        <w:t xml:space="preserve">, </w:t>
      </w:r>
      <w:r>
        <w:rPr>
          <w:i/>
          <w:sz w:val="24"/>
        </w:rPr>
        <w:t>4</w:t>
      </w:r>
      <w:r>
        <w:rPr>
          <w:sz w:val="24"/>
        </w:rPr>
        <w:t xml:space="preserve">(2), 342–354. </w:t>
      </w:r>
      <w:hyperlink r:id="rId13">
        <w:r>
          <w:rPr>
            <w:sz w:val="24"/>
          </w:rPr>
          <w:t>www.sibresearch.org</w:t>
        </w:r>
      </w:hyperlink>
    </w:p>
    <w:p w:rsidR="007A2F40" w:rsidRDefault="007A2F40">
      <w:pPr>
        <w:pStyle w:val="BodyText"/>
        <w:rPr>
          <w:sz w:val="24"/>
        </w:rPr>
      </w:pPr>
    </w:p>
    <w:p w:rsidR="007A2F40" w:rsidRDefault="002C6FB5">
      <w:pPr>
        <w:pStyle w:val="Heading1"/>
        <w:ind w:right="116"/>
      </w:pPr>
      <w:r>
        <w:t>Nopika</w:t>
      </w:r>
      <w:r>
        <w:t xml:space="preserve">sari, L. (2018). Pengaruh Struktur Kepemilikan Terhadap Kinerja Perusahaan (Studi Kasus pada Perusahaan Farmasi yang Terdaftar di Bursa Efek Indonesia tahun 2013- 2016). </w:t>
      </w:r>
      <w:r>
        <w:rPr>
          <w:i/>
        </w:rPr>
        <w:t>Artikel Ilmiah</w:t>
      </w:r>
      <w:r>
        <w:t>, 1–19.</w:t>
      </w:r>
    </w:p>
    <w:p w:rsidR="007A2F40" w:rsidRDefault="007A2F40">
      <w:pPr>
        <w:sectPr w:rsidR="007A2F40">
          <w:pgSz w:w="11900" w:h="16850"/>
          <w:pgMar w:top="1480" w:right="1400" w:bottom="720" w:left="1460" w:header="409" w:footer="528" w:gutter="0"/>
          <w:cols w:space="720"/>
        </w:sectPr>
      </w:pPr>
    </w:p>
    <w:p w:rsidR="007A2F40" w:rsidRDefault="002C6FB5">
      <w:pPr>
        <w:spacing w:before="82"/>
        <w:ind w:left="599" w:right="122" w:hanging="480"/>
        <w:jc w:val="both"/>
        <w:rPr>
          <w:sz w:val="24"/>
        </w:rPr>
      </w:pPr>
      <w:r>
        <w:rPr>
          <w:sz w:val="24"/>
        </w:rPr>
        <w:lastRenderedPageBreak/>
        <w:t>Nurjanati, R., &amp; Rodoni, A. (2015). Pengaruh A</w:t>
      </w:r>
      <w:r>
        <w:rPr>
          <w:sz w:val="24"/>
        </w:rPr>
        <w:t xml:space="preserve">simetri Informasi dan Tingkat Disclodure Terhadap Biaya EKkuitas dengan Kepemilikan Manajerial sebagai Variabel Moderating. </w:t>
      </w:r>
      <w:r>
        <w:rPr>
          <w:i/>
          <w:sz w:val="24"/>
        </w:rPr>
        <w:t>Jurnal Bisnis Dan Manajemen</w:t>
      </w:r>
      <w:r>
        <w:rPr>
          <w:sz w:val="24"/>
        </w:rPr>
        <w:t xml:space="preserve">, </w:t>
      </w:r>
      <w:r>
        <w:rPr>
          <w:i/>
          <w:sz w:val="24"/>
        </w:rPr>
        <w:t>5</w:t>
      </w:r>
      <w:r>
        <w:rPr>
          <w:sz w:val="24"/>
        </w:rPr>
        <w:t>(2), 173–190.</w:t>
      </w:r>
    </w:p>
    <w:p w:rsidR="007A2F40" w:rsidRDefault="007A2F40">
      <w:pPr>
        <w:pStyle w:val="BodyText"/>
        <w:spacing w:before="11"/>
        <w:rPr>
          <w:sz w:val="23"/>
        </w:rPr>
      </w:pPr>
    </w:p>
    <w:p w:rsidR="007A2F40" w:rsidRDefault="002C6FB5">
      <w:pPr>
        <w:ind w:left="599" w:right="117" w:hanging="480"/>
        <w:jc w:val="both"/>
        <w:rPr>
          <w:sz w:val="24"/>
        </w:rPr>
      </w:pPr>
      <w:r>
        <w:rPr>
          <w:sz w:val="24"/>
        </w:rPr>
        <w:t xml:space="preserve">Purba, R. (2019). Faktor-Faktor Yang Mempengaruhi Nilai Perusahaan Pada Sektor Aneka Industri Yang Terdaftar Di Bursa Efek Indonesia. </w:t>
      </w:r>
      <w:r>
        <w:rPr>
          <w:i/>
          <w:sz w:val="24"/>
        </w:rPr>
        <w:t>Journal of Chemical Information and Modeling</w:t>
      </w:r>
      <w:r>
        <w:rPr>
          <w:sz w:val="24"/>
        </w:rPr>
        <w:t xml:space="preserve">, </w:t>
      </w:r>
      <w:r>
        <w:rPr>
          <w:i/>
          <w:sz w:val="24"/>
        </w:rPr>
        <w:t>4</w:t>
      </w:r>
      <w:r>
        <w:rPr>
          <w:sz w:val="24"/>
        </w:rPr>
        <w:t>, 14–19.</w:t>
      </w:r>
    </w:p>
    <w:p w:rsidR="007A2F40" w:rsidRDefault="007A2F40">
      <w:pPr>
        <w:pStyle w:val="BodyText"/>
        <w:rPr>
          <w:sz w:val="24"/>
        </w:rPr>
      </w:pPr>
    </w:p>
    <w:p w:rsidR="007A2F40" w:rsidRDefault="002C6FB5">
      <w:pPr>
        <w:pStyle w:val="Heading1"/>
      </w:pPr>
      <w:r>
        <w:t>Saraswati, R., Sulistyo, &amp; Mustikowati, R. I. (2016). Pengaruh Go</w:t>
      </w:r>
      <w:r>
        <w:t xml:space="preserve">od Corporate Governance dan Financial Distress Terhadap Manajemen Laba (Studi Kasus pada Perbankan yang Listing di Bursa Efek Indonesia Periode 2011-2014). </w:t>
      </w:r>
      <w:r>
        <w:rPr>
          <w:i/>
        </w:rPr>
        <w:t>Jurnal Riset Mahasiswa Akuntansi</w:t>
      </w:r>
      <w:r>
        <w:t>,</w:t>
      </w:r>
      <w:r>
        <w:rPr>
          <w:spacing w:val="-1"/>
        </w:rPr>
        <w:t xml:space="preserve"> </w:t>
      </w:r>
      <w:r>
        <w:rPr>
          <w:i/>
        </w:rPr>
        <w:t>4</w:t>
      </w:r>
      <w:r>
        <w:t>.</w:t>
      </w:r>
    </w:p>
    <w:p w:rsidR="007A2F40" w:rsidRDefault="007A2F40">
      <w:pPr>
        <w:pStyle w:val="BodyText"/>
        <w:spacing w:before="1"/>
        <w:rPr>
          <w:sz w:val="24"/>
        </w:rPr>
      </w:pPr>
    </w:p>
    <w:p w:rsidR="007A2F40" w:rsidRDefault="002C6FB5">
      <w:pPr>
        <w:spacing w:line="480" w:lineRule="auto"/>
        <w:ind w:left="119" w:right="945"/>
        <w:jc w:val="both"/>
        <w:rPr>
          <w:sz w:val="24"/>
        </w:rPr>
      </w:pPr>
      <w:r>
        <w:rPr>
          <w:sz w:val="24"/>
        </w:rPr>
        <w:t xml:space="preserve">Scott, R. F. (2015). </w:t>
      </w:r>
      <w:r>
        <w:rPr>
          <w:i/>
          <w:sz w:val="24"/>
        </w:rPr>
        <w:t>The Palgrave Encylopedia of Strategic Man</w:t>
      </w:r>
      <w:r>
        <w:rPr>
          <w:i/>
          <w:sz w:val="24"/>
        </w:rPr>
        <w:t>agement</w:t>
      </w:r>
      <w:r>
        <w:rPr>
          <w:sz w:val="24"/>
        </w:rPr>
        <w:t xml:space="preserve">. Palgrave. Sugiyono. (2018). </w:t>
      </w:r>
      <w:r>
        <w:rPr>
          <w:i/>
          <w:sz w:val="24"/>
        </w:rPr>
        <w:t>Metode penelitian kuantitatif, kualitatif, dan R&amp;D</w:t>
      </w:r>
      <w:r>
        <w:rPr>
          <w:sz w:val="24"/>
        </w:rPr>
        <w:t>. Alfabeta.</w:t>
      </w:r>
    </w:p>
    <w:p w:rsidR="007A2F40" w:rsidRDefault="002C6FB5">
      <w:pPr>
        <w:ind w:left="599" w:right="117" w:hanging="480"/>
        <w:jc w:val="both"/>
        <w:rPr>
          <w:sz w:val="24"/>
        </w:rPr>
      </w:pPr>
      <w:r>
        <w:rPr>
          <w:sz w:val="24"/>
        </w:rPr>
        <w:t>Taco, C., &amp; Ilat, V. (2016). Pengaruh Earning Power, Komisaris Independen, Dewan Direksi, Komite Audit dan Ukuran Perusahaan Terhadap manajemen Laba Pada Per</w:t>
      </w:r>
      <w:r>
        <w:rPr>
          <w:sz w:val="24"/>
        </w:rPr>
        <w:t xml:space="preserve">usahaan Manufaktur Yang Terdaftar di Bursa Efek Indonesia. </w:t>
      </w:r>
      <w:r>
        <w:rPr>
          <w:i/>
          <w:sz w:val="24"/>
        </w:rPr>
        <w:t>Jurnal Emba:  Jurnal Riset Ekonomi, Manajemen, Bisnis Dan Akuntansi</w:t>
      </w:r>
      <w:r>
        <w:rPr>
          <w:sz w:val="24"/>
        </w:rPr>
        <w:t xml:space="preserve">, </w:t>
      </w:r>
      <w:r>
        <w:rPr>
          <w:i/>
          <w:sz w:val="24"/>
        </w:rPr>
        <w:t>4</w:t>
      </w:r>
      <w:r>
        <w:rPr>
          <w:sz w:val="24"/>
        </w:rPr>
        <w:t>(4),</w:t>
      </w:r>
      <w:r>
        <w:rPr>
          <w:spacing w:val="-2"/>
          <w:sz w:val="24"/>
        </w:rPr>
        <w:t xml:space="preserve"> </w:t>
      </w:r>
      <w:r>
        <w:rPr>
          <w:sz w:val="24"/>
        </w:rPr>
        <w:t>873–884.</w:t>
      </w:r>
    </w:p>
    <w:p w:rsidR="007A2F40" w:rsidRDefault="007A2F40">
      <w:pPr>
        <w:pStyle w:val="BodyText"/>
        <w:rPr>
          <w:sz w:val="24"/>
        </w:rPr>
      </w:pPr>
    </w:p>
    <w:p w:rsidR="007A2F40" w:rsidRDefault="002C6FB5">
      <w:pPr>
        <w:ind w:left="599" w:right="118" w:hanging="480"/>
        <w:jc w:val="both"/>
        <w:rPr>
          <w:sz w:val="24"/>
        </w:rPr>
      </w:pPr>
      <w:r>
        <w:rPr>
          <w:sz w:val="24"/>
        </w:rPr>
        <w:t>Umobong, A. A. (2017). Related Party Transactions and Firms Financial Performance Faculty of Management Sciences</w:t>
      </w:r>
      <w:r>
        <w:rPr>
          <w:sz w:val="24"/>
        </w:rPr>
        <w:t xml:space="preserve">. </w:t>
      </w:r>
      <w:r>
        <w:rPr>
          <w:i/>
          <w:sz w:val="24"/>
        </w:rPr>
        <w:t>An International Multi-Disciplinary Journal, Ethiopia</w:t>
      </w:r>
      <w:r>
        <w:rPr>
          <w:sz w:val="24"/>
        </w:rPr>
        <w:t xml:space="preserve">, </w:t>
      </w:r>
      <w:r>
        <w:rPr>
          <w:i/>
          <w:sz w:val="24"/>
        </w:rPr>
        <w:t>11</w:t>
      </w:r>
      <w:r>
        <w:rPr>
          <w:sz w:val="24"/>
        </w:rPr>
        <w:t>(45), 60–74.</w:t>
      </w:r>
    </w:p>
    <w:p w:rsidR="007A2F40" w:rsidRDefault="002C6FB5">
      <w:pPr>
        <w:pStyle w:val="Heading1"/>
        <w:spacing w:before="3" w:line="550" w:lineRule="atLeast"/>
        <w:ind w:left="119" w:right="122" w:firstLine="0"/>
      </w:pPr>
      <w:r>
        <w:t xml:space="preserve">Watss, R. L. dan J. L. Z. (1986). </w:t>
      </w:r>
      <w:r>
        <w:rPr>
          <w:i/>
        </w:rPr>
        <w:t>Positive Accounting Theory</w:t>
      </w:r>
      <w:r>
        <w:t xml:space="preserve">. Prentice-Hall Inc. Yendrawati,   R.   (2015).   Pengaruh   Dewan    Komisaris    Independen,    Komite </w:t>
      </w:r>
      <w:r>
        <w:rPr>
          <w:spacing w:val="42"/>
        </w:rPr>
        <w:t xml:space="preserve"> </w:t>
      </w:r>
      <w:r>
        <w:t>Audit,</w:t>
      </w:r>
    </w:p>
    <w:p w:rsidR="007A2F40" w:rsidRDefault="002C6FB5">
      <w:pPr>
        <w:spacing w:before="2"/>
        <w:ind w:left="599"/>
        <w:jc w:val="both"/>
        <w:rPr>
          <w:sz w:val="24"/>
        </w:rPr>
      </w:pPr>
      <w:r>
        <w:rPr>
          <w:sz w:val="24"/>
        </w:rPr>
        <w:t>Kepemilikan Manajerial,  dan Kepemilikan  Institusional  terhadap  Manajemen</w:t>
      </w:r>
      <w:r>
        <w:rPr>
          <w:spacing w:val="26"/>
          <w:sz w:val="24"/>
        </w:rPr>
        <w:t xml:space="preserve"> </w:t>
      </w:r>
      <w:r>
        <w:rPr>
          <w:sz w:val="24"/>
        </w:rPr>
        <w:t>Laba.</w:t>
      </w:r>
    </w:p>
    <w:p w:rsidR="007A2F40" w:rsidRDefault="002C6FB5">
      <w:pPr>
        <w:ind w:left="599"/>
        <w:jc w:val="both"/>
        <w:rPr>
          <w:sz w:val="24"/>
        </w:rPr>
      </w:pPr>
      <w:r>
        <w:rPr>
          <w:i/>
          <w:sz w:val="24"/>
        </w:rPr>
        <w:t>Jurnal Entrepreneur Dan Entrepreneurship</w:t>
      </w:r>
      <w:r>
        <w:rPr>
          <w:sz w:val="24"/>
        </w:rPr>
        <w:t xml:space="preserve">, </w:t>
      </w:r>
      <w:r>
        <w:rPr>
          <w:i/>
          <w:sz w:val="24"/>
        </w:rPr>
        <w:t>4</w:t>
      </w:r>
      <w:r>
        <w:rPr>
          <w:sz w:val="24"/>
        </w:rPr>
        <w:t>(1–2), 33–40.</w:t>
      </w:r>
    </w:p>
    <w:p w:rsidR="007A2F40" w:rsidRDefault="007A2F40">
      <w:pPr>
        <w:pStyle w:val="BodyText"/>
        <w:rPr>
          <w:sz w:val="24"/>
        </w:rPr>
      </w:pPr>
    </w:p>
    <w:p w:rsidR="007A2F40" w:rsidRDefault="002C6FB5">
      <w:pPr>
        <w:pStyle w:val="Heading1"/>
        <w:ind w:right="119"/>
      </w:pPr>
      <w:r>
        <w:t>Yunina, F., &amp; Nisa, N. (2019). Pengaruh Good Corpoate Governance Terhadap Kinerja Keuangan Bank Syariah Tahun 2015-</w:t>
      </w:r>
      <w:r>
        <w:t xml:space="preserve">2017. </w:t>
      </w:r>
      <w:r>
        <w:rPr>
          <w:i/>
        </w:rPr>
        <w:t>Jurnal Akuntansi</w:t>
      </w:r>
      <w:r>
        <w:t xml:space="preserve">, </w:t>
      </w:r>
      <w:r>
        <w:rPr>
          <w:i/>
        </w:rPr>
        <w:t>10</w:t>
      </w:r>
      <w:r>
        <w:t>(1), 45–56.</w:t>
      </w:r>
    </w:p>
    <w:p w:rsidR="007A2F40" w:rsidRDefault="007A2F40">
      <w:pPr>
        <w:pStyle w:val="BodyText"/>
        <w:rPr>
          <w:sz w:val="24"/>
        </w:rPr>
      </w:pPr>
    </w:p>
    <w:p w:rsidR="007A2F40" w:rsidRDefault="002C6FB5">
      <w:pPr>
        <w:ind w:left="599" w:right="117" w:hanging="480"/>
        <w:jc w:val="both"/>
        <w:rPr>
          <w:sz w:val="24"/>
        </w:rPr>
      </w:pPr>
      <w:r>
        <w:rPr>
          <w:sz w:val="24"/>
        </w:rPr>
        <w:t xml:space="preserve">Zhang, Y., Uchida, K., &amp; Dong, L. (2020). External financing and earnings management: Evidence from international data. </w:t>
      </w:r>
      <w:r>
        <w:rPr>
          <w:i/>
          <w:sz w:val="24"/>
        </w:rPr>
        <w:t>Research in International Business and Finance</w:t>
      </w:r>
      <w:r>
        <w:rPr>
          <w:sz w:val="24"/>
        </w:rPr>
        <w:t xml:space="preserve">, </w:t>
      </w:r>
      <w:r>
        <w:rPr>
          <w:i/>
          <w:sz w:val="24"/>
        </w:rPr>
        <w:t>54</w:t>
      </w:r>
      <w:r>
        <w:rPr>
          <w:sz w:val="24"/>
        </w:rPr>
        <w:t>(June), 101275. https://doi.org/10.1016/j.ribaf</w:t>
      </w:r>
      <w:r>
        <w:rPr>
          <w:sz w:val="24"/>
        </w:rPr>
        <w:t>.2020.101275</w:t>
      </w:r>
    </w:p>
    <w:p w:rsidR="007A2F40" w:rsidRDefault="007A2F40">
      <w:pPr>
        <w:jc w:val="both"/>
        <w:rPr>
          <w:sz w:val="24"/>
        </w:rPr>
        <w:sectPr w:rsidR="007A2F40">
          <w:pgSz w:w="11900" w:h="16850"/>
          <w:pgMar w:top="1480" w:right="1400" w:bottom="720" w:left="1460" w:header="333" w:footer="528" w:gutter="0"/>
          <w:cols w:space="720"/>
        </w:sectPr>
      </w:pPr>
    </w:p>
    <w:p w:rsidR="007A2F40" w:rsidRDefault="007A2F40">
      <w:pPr>
        <w:pStyle w:val="BodyText"/>
        <w:spacing w:before="4"/>
        <w:rPr>
          <w:sz w:val="17"/>
        </w:rPr>
      </w:pPr>
    </w:p>
    <w:sectPr w:rsidR="007A2F40" w:rsidSect="007A2F40">
      <w:pgSz w:w="11900" w:h="16850"/>
      <w:pgMar w:top="1480" w:right="1400" w:bottom="720" w:left="1460" w:header="409" w:footer="5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B5" w:rsidRDefault="002C6FB5" w:rsidP="007A2F40">
      <w:r>
        <w:separator/>
      </w:r>
    </w:p>
  </w:endnote>
  <w:endnote w:type="continuationSeparator" w:id="1">
    <w:p w:rsidR="002C6FB5" w:rsidRDefault="002C6FB5" w:rsidP="007A2F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40" w:rsidRDefault="007A2F40">
    <w:pPr>
      <w:pStyle w:val="BodyText"/>
      <w:spacing w:line="14" w:lineRule="auto"/>
      <w:rPr>
        <w:sz w:val="20"/>
      </w:rPr>
    </w:pPr>
    <w:r w:rsidRPr="007A2F40">
      <w:pict>
        <v:shapetype id="_x0000_t202" coordsize="21600,21600" o:spt="202" path="m,l,21600r21600,l21600,xe">
          <v:stroke joinstyle="miter"/>
          <v:path gradientshapeok="t" o:connecttype="rect"/>
        </v:shapetype>
        <v:shape id="_x0000_s1026" type="#_x0000_t202" style="position:absolute;margin-left:69pt;margin-top:804.65pt;width:16pt;height:12pt;z-index:-16313856;mso-position-horizontal-relative:page;mso-position-vertical-relative:page" filled="f" stroked="f">
          <v:textbox inset="0,0,0,0">
            <w:txbxContent>
              <w:p w:rsidR="007A2F40" w:rsidRDefault="007A2F40">
                <w:pPr>
                  <w:spacing w:line="223" w:lineRule="exact"/>
                  <w:ind w:left="60"/>
                  <w:rPr>
                    <w:rFonts w:ascii="Carlito"/>
                    <w:sz w:val="20"/>
                  </w:rPr>
                </w:pPr>
                <w:r>
                  <w:fldChar w:fldCharType="begin"/>
                </w:r>
                <w:r w:rsidR="002C6FB5">
                  <w:rPr>
                    <w:rFonts w:ascii="Carlito"/>
                    <w:sz w:val="20"/>
                  </w:rPr>
                  <w:instrText xml:space="preserve"> PAGE </w:instrText>
                </w:r>
                <w:r>
                  <w:fldChar w:fldCharType="separate"/>
                </w:r>
                <w:r w:rsidR="00A66369">
                  <w:rPr>
                    <w:rFonts w:ascii="Carlito"/>
                    <w:noProof/>
                    <w:sz w:val="20"/>
                  </w:rPr>
                  <w:t>12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40" w:rsidRDefault="007A2F40">
    <w:pPr>
      <w:pStyle w:val="BodyText"/>
      <w:spacing w:line="14" w:lineRule="auto"/>
      <w:rPr>
        <w:sz w:val="20"/>
      </w:rPr>
    </w:pPr>
    <w:r w:rsidRPr="007A2F40">
      <w:pict>
        <v:shapetype id="_x0000_t202" coordsize="21600,21600" o:spt="202" path="m,l,21600r21600,l21600,xe">
          <v:stroke joinstyle="miter"/>
          <v:path gradientshapeok="t" o:connecttype="rect"/>
        </v:shapetype>
        <v:shape id="_x0000_s1025" type="#_x0000_t202" style="position:absolute;margin-left:515.15pt;margin-top:804.65pt;width:16pt;height:12pt;z-index:-16313344;mso-position-horizontal-relative:page;mso-position-vertical-relative:page" filled="f" stroked="f">
          <v:textbox inset="0,0,0,0">
            <w:txbxContent>
              <w:p w:rsidR="007A2F40" w:rsidRDefault="007A2F40">
                <w:pPr>
                  <w:spacing w:line="223" w:lineRule="exact"/>
                  <w:ind w:left="60"/>
                  <w:rPr>
                    <w:rFonts w:ascii="Carlito"/>
                    <w:sz w:val="20"/>
                  </w:rPr>
                </w:pPr>
                <w:r>
                  <w:fldChar w:fldCharType="begin"/>
                </w:r>
                <w:r w:rsidR="002C6FB5">
                  <w:rPr>
                    <w:rFonts w:ascii="Carlito"/>
                    <w:sz w:val="20"/>
                  </w:rPr>
                  <w:instrText xml:space="preserve"> PAGE </w:instrText>
                </w:r>
                <w:r>
                  <w:fldChar w:fldCharType="separate"/>
                </w:r>
                <w:r w:rsidR="00A66369">
                  <w:rPr>
                    <w:rFonts w:ascii="Carlito"/>
                    <w:noProof/>
                    <w:sz w:val="20"/>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B5" w:rsidRDefault="002C6FB5" w:rsidP="007A2F40">
      <w:r>
        <w:separator/>
      </w:r>
    </w:p>
  </w:footnote>
  <w:footnote w:type="continuationSeparator" w:id="1">
    <w:p w:rsidR="002C6FB5" w:rsidRDefault="002C6FB5" w:rsidP="007A2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40" w:rsidRDefault="007A2F40">
    <w:pPr>
      <w:pStyle w:val="BodyText"/>
      <w:spacing w:line="14" w:lineRule="auto"/>
      <w:rPr>
        <w:sz w:val="20"/>
      </w:rPr>
    </w:pPr>
    <w:r w:rsidRPr="007A2F40">
      <w:pict>
        <v:group id="_x0000_s1034" style="position:absolute;margin-left:79.8pt;margin-top:16.65pt;width:435.05pt;height:51.15pt;z-index:-16316928;mso-position-horizontal-relative:page;mso-position-vertical-relative:page" coordorigin="1596,333" coordsize="8701,1023">
          <v:shape id="_x0000_s1036" style="position:absolute;left:1596;top:354;width:8701;height:966" coordorigin="1596,355" coordsize="8701,966" o:spt="100" adj="0,,0" path="m10217,455r-20,l10197,1220r20,l10217,455xm10217,435r-1938,l8279,455r,766l8279,1241r1938,l10217,1221r-1918,l8299,455r1918,l10217,435xm10297,415r-60,l10237,1260r60,l10297,415xm10297,355r-2098,l8199,415r,20l8199,455r,766l1696,1221r,-766l8199,455r,-20l1676,435r,20l1676,1221r,20l8199,1241r,20l1656,1261r,-846l8199,415r,-60l1596,355r,60l1596,1261r,60l10297,1321r,-60l8259,1261r,-20l8259,1221r,-806l10297,415r,-60xe" fillcolor="black" stroked="f">
            <v:stroke joinstyle="round"/>
            <v:formulas/>
            <v:path arrowok="t" o:connecttype="segments"/>
          </v:shape>
          <v:rect id="_x0000_s1035" style="position:absolute;left:1611;top:343;width:8674;height:1003" filled="f" strokeweight="1pt"/>
          <w10:wrap anchorx="page" anchory="page"/>
        </v:group>
      </w:pict>
    </w:r>
    <w:r w:rsidRPr="007A2F40">
      <w:pict>
        <v:shapetype id="_x0000_t202" coordsize="21600,21600" o:spt="202" path="m,l,21600r21600,l21600,xe">
          <v:stroke joinstyle="miter"/>
          <v:path gradientshapeok="t" o:connecttype="rect"/>
        </v:shapetype>
        <v:shape id="_x0000_s1033" type="#_x0000_t202" style="position:absolute;margin-left:91.05pt;margin-top:27.9pt;width:248.7pt;height:23.85pt;z-index:-16316416;mso-position-horizontal-relative:page;mso-position-vertical-relative:page" filled="f" stroked="f">
          <v:textbox inset="0,0,0,0">
            <w:txbxContent>
              <w:p w:rsidR="007A2F40" w:rsidRDefault="002C6FB5">
                <w:pPr>
                  <w:spacing w:line="220" w:lineRule="exact"/>
                  <w:ind w:left="20"/>
                  <w:rPr>
                    <w:rFonts w:ascii="Carlito"/>
                    <w:i/>
                    <w:sz w:val="20"/>
                  </w:rPr>
                </w:pPr>
                <w:r>
                  <w:rPr>
                    <w:rFonts w:ascii="Carlito"/>
                    <w:i/>
                    <w:sz w:val="20"/>
                  </w:rPr>
                  <w:t>JRAMB, Prodi Akuntansi, Fakultas Ekonomi, UMB Yogyakarta</w:t>
                </w:r>
              </w:p>
              <w:p w:rsidR="007A2F40" w:rsidRDefault="002C6FB5">
                <w:pPr>
                  <w:tabs>
                    <w:tab w:val="left" w:leader="dot" w:pos="1392"/>
                  </w:tabs>
                  <w:spacing w:line="241"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w:r>
    <w:r w:rsidRPr="007A2F40">
      <w:pict>
        <v:shape id="_x0000_s1032" type="#_x0000_t202" style="position:absolute;margin-left:427.25pt;margin-top:27.75pt;width:70.65pt;height:12pt;z-index:-16315904;mso-position-horizontal-relative:page;mso-position-vertical-relative:page" filled="f" stroked="f">
          <v:textbox inset="0,0,0,0">
            <w:txbxContent>
              <w:p w:rsidR="007A2F40" w:rsidRDefault="00A66369">
                <w:pPr>
                  <w:spacing w:line="223" w:lineRule="exact"/>
                  <w:ind w:left="20"/>
                  <w:rPr>
                    <w:rFonts w:ascii="Carlito"/>
                    <w:i/>
                    <w:sz w:val="20"/>
                  </w:rPr>
                </w:pPr>
                <w:r>
                  <w:rPr>
                    <w:rFonts w:ascii="Carlito"/>
                    <w:i/>
                    <w:sz w:val="20"/>
                  </w:rPr>
                  <w:t xml:space="preserve">ISSN :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F40" w:rsidRDefault="007A2F40">
    <w:pPr>
      <w:pStyle w:val="BodyText"/>
      <w:spacing w:line="14" w:lineRule="auto"/>
      <w:rPr>
        <w:sz w:val="20"/>
      </w:rPr>
    </w:pPr>
    <w:r w:rsidRPr="007A2F40">
      <w:pict>
        <v:group id="_x0000_s1029" style="position:absolute;margin-left:86.7pt;margin-top:20.45pt;width:435.05pt;height:51.15pt;z-index:-16315392;mso-position-horizontal-relative:page;mso-position-vertical-relative:page" coordorigin="1734,409" coordsize="8701,1023">
          <v:shape id="_x0000_s1031" style="position:absolute;left:1734;top:430;width:8701;height:966" coordorigin="1734,431" coordsize="8701,966" o:spt="100" adj="0,,0" path="m10355,531r-20,l10335,1296r20,l10355,531xm10355,511r-1938,l8417,531r,766l8417,1317r1938,l10355,1297r-1918,l8437,531r1918,l10355,511xm10435,491r-60,l10375,1336r60,l10435,491xm10435,431r-2098,l8337,491r,20l8337,531r,766l1834,1297r,-766l8337,531r,-20l1814,511r,20l1814,1297r,20l8337,1317r,20l1794,1337r,-846l8337,491r,-60l1734,431r,60l1734,1337r,60l10435,1397r,-60l8397,1337r,-20l8397,1297r,-806l10435,491r,-60xe" fillcolor="black" stroked="f">
            <v:stroke joinstyle="round"/>
            <v:formulas/>
            <v:path arrowok="t" o:connecttype="segments"/>
          </v:shape>
          <v:rect id="_x0000_s1030" style="position:absolute;left:1749;top:419;width:8674;height:1003" filled="f" strokeweight="1pt"/>
          <w10:wrap anchorx="page" anchory="page"/>
        </v:group>
      </w:pict>
    </w:r>
    <w:r w:rsidRPr="007A2F40">
      <w:pict>
        <v:shapetype id="_x0000_t202" coordsize="21600,21600" o:spt="202" path="m,l,21600r21600,l21600,xe">
          <v:stroke joinstyle="miter"/>
          <v:path gradientshapeok="t" o:connecttype="rect"/>
        </v:shapetype>
        <v:shape id="_x0000_s1028" type="#_x0000_t202" style="position:absolute;margin-left:97.9pt;margin-top:31.5pt;width:248.7pt;height:23.75pt;z-index:-16314880;mso-position-horizontal-relative:page;mso-position-vertical-relative:page" filled="f" stroked="f">
          <v:textbox inset="0,0,0,0">
            <w:txbxContent>
              <w:p w:rsidR="007A2F40" w:rsidRDefault="002C6FB5">
                <w:pPr>
                  <w:spacing w:line="219" w:lineRule="exact"/>
                  <w:ind w:left="20"/>
                  <w:rPr>
                    <w:rFonts w:ascii="Carlito"/>
                    <w:i/>
                    <w:sz w:val="20"/>
                  </w:rPr>
                </w:pPr>
                <w:r>
                  <w:rPr>
                    <w:rFonts w:ascii="Carlito"/>
                    <w:i/>
                    <w:sz w:val="20"/>
                  </w:rPr>
                  <w:t>JRAMB, Prodi Akuntansi, Fakultas Ekonomi, UMB Yogyakarta</w:t>
                </w:r>
              </w:p>
              <w:p w:rsidR="007A2F40" w:rsidRDefault="002C6FB5">
                <w:pPr>
                  <w:tabs>
                    <w:tab w:val="left" w:leader="dot" w:pos="1392"/>
                  </w:tabs>
                  <w:spacing w:line="240" w:lineRule="exact"/>
                  <w:ind w:left="20"/>
                  <w:rPr>
                    <w:rFonts w:ascii="Carlito" w:hAnsi="Carlito"/>
                    <w:i/>
                    <w:sz w:val="20"/>
                  </w:rPr>
                </w:pPr>
                <w:r>
                  <w:rPr>
                    <w:rFonts w:ascii="Carlito" w:hAnsi="Carlito"/>
                    <w:i/>
                    <w:sz w:val="20"/>
                  </w:rPr>
                  <w:t>Volume  …</w:t>
                </w:r>
                <w:r>
                  <w:rPr>
                    <w:rFonts w:ascii="Carlito" w:hAnsi="Carlito"/>
                    <w:i/>
                    <w:spacing w:val="-4"/>
                    <w:sz w:val="20"/>
                  </w:rPr>
                  <w:t xml:space="preserve"> </w:t>
                </w:r>
                <w:r>
                  <w:rPr>
                    <w:rFonts w:ascii="Carlito" w:hAnsi="Carlito"/>
                    <w:i/>
                    <w:sz w:val="20"/>
                  </w:rPr>
                  <w:t>No</w:t>
                </w:r>
                <w:r>
                  <w:rPr>
                    <w:rFonts w:ascii="Carlito" w:hAnsi="Carlito"/>
                    <w:i/>
                    <w:sz w:val="20"/>
                  </w:rPr>
                  <w:tab/>
                  <w:t>, Bulan</w:t>
                </w:r>
                <w:r>
                  <w:rPr>
                    <w:rFonts w:ascii="Carlito" w:hAnsi="Carlito"/>
                    <w:i/>
                    <w:spacing w:val="5"/>
                    <w:sz w:val="20"/>
                  </w:rPr>
                  <w:t xml:space="preserve"> </w:t>
                </w:r>
                <w:r>
                  <w:rPr>
                    <w:rFonts w:ascii="Carlito" w:hAnsi="Carlito"/>
                    <w:i/>
                    <w:sz w:val="20"/>
                  </w:rPr>
                  <w:t>2020</w:t>
                </w:r>
              </w:p>
            </w:txbxContent>
          </v:textbox>
          <w10:wrap anchorx="page" anchory="page"/>
        </v:shape>
      </w:pict>
    </w:r>
    <w:r w:rsidRPr="007A2F40">
      <w:pict>
        <v:shape id="_x0000_s1027" type="#_x0000_t202" style="position:absolute;margin-left:434.1pt;margin-top:31.35pt;width:70.65pt;height:12pt;z-index:-16314368;mso-position-horizontal-relative:page;mso-position-vertical-relative:page" filled="f" stroked="f">
          <v:textbox inset="0,0,0,0">
            <w:txbxContent>
              <w:p w:rsidR="007A2F40" w:rsidRDefault="002C6FB5">
                <w:pPr>
                  <w:spacing w:line="223" w:lineRule="exact"/>
                  <w:ind w:left="20"/>
                  <w:rPr>
                    <w:rFonts w:ascii="Carlito"/>
                    <w:i/>
                    <w:sz w:val="20"/>
                  </w:rPr>
                </w:pPr>
                <w:r>
                  <w:rPr>
                    <w:rFonts w:ascii="Carlito"/>
                    <w:i/>
                    <w:sz w:val="20"/>
                  </w:rPr>
                  <w:t>ISSN : 2460-1233</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2074"/>
    <w:multiLevelType w:val="hybridMultilevel"/>
    <w:tmpl w:val="1E62049E"/>
    <w:lvl w:ilvl="0" w:tplc="755CEF00">
      <w:start w:val="1"/>
      <w:numFmt w:val="lowerLetter"/>
      <w:lvlText w:val="%1."/>
      <w:lvlJc w:val="left"/>
      <w:pPr>
        <w:ind w:left="1424" w:hanging="202"/>
        <w:jc w:val="left"/>
      </w:pPr>
      <w:rPr>
        <w:rFonts w:ascii="Arial" w:eastAsia="Arial" w:hAnsi="Arial" w:cs="Arial" w:hint="default"/>
        <w:w w:val="99"/>
        <w:sz w:val="18"/>
        <w:szCs w:val="18"/>
        <w:lang w:eastAsia="en-US" w:bidi="ar-SA"/>
      </w:rPr>
    </w:lvl>
    <w:lvl w:ilvl="1" w:tplc="98D249BA">
      <w:numFmt w:val="bullet"/>
      <w:lvlText w:val="•"/>
      <w:lvlJc w:val="left"/>
      <w:pPr>
        <w:ind w:left="2181" w:hanging="202"/>
      </w:pPr>
      <w:rPr>
        <w:rFonts w:hint="default"/>
        <w:lang w:eastAsia="en-US" w:bidi="ar-SA"/>
      </w:rPr>
    </w:lvl>
    <w:lvl w:ilvl="2" w:tplc="DB5E31B6">
      <w:numFmt w:val="bullet"/>
      <w:lvlText w:val="•"/>
      <w:lvlJc w:val="left"/>
      <w:pPr>
        <w:ind w:left="2943" w:hanging="202"/>
      </w:pPr>
      <w:rPr>
        <w:rFonts w:hint="default"/>
        <w:lang w:eastAsia="en-US" w:bidi="ar-SA"/>
      </w:rPr>
    </w:lvl>
    <w:lvl w:ilvl="3" w:tplc="6232AB2C">
      <w:numFmt w:val="bullet"/>
      <w:lvlText w:val="•"/>
      <w:lvlJc w:val="left"/>
      <w:pPr>
        <w:ind w:left="3705" w:hanging="202"/>
      </w:pPr>
      <w:rPr>
        <w:rFonts w:hint="default"/>
        <w:lang w:eastAsia="en-US" w:bidi="ar-SA"/>
      </w:rPr>
    </w:lvl>
    <w:lvl w:ilvl="4" w:tplc="27D6A32A">
      <w:numFmt w:val="bullet"/>
      <w:lvlText w:val="•"/>
      <w:lvlJc w:val="left"/>
      <w:pPr>
        <w:ind w:left="4467" w:hanging="202"/>
      </w:pPr>
      <w:rPr>
        <w:rFonts w:hint="default"/>
        <w:lang w:eastAsia="en-US" w:bidi="ar-SA"/>
      </w:rPr>
    </w:lvl>
    <w:lvl w:ilvl="5" w:tplc="083ADB74">
      <w:numFmt w:val="bullet"/>
      <w:lvlText w:val="•"/>
      <w:lvlJc w:val="left"/>
      <w:pPr>
        <w:ind w:left="5229" w:hanging="202"/>
      </w:pPr>
      <w:rPr>
        <w:rFonts w:hint="default"/>
        <w:lang w:eastAsia="en-US" w:bidi="ar-SA"/>
      </w:rPr>
    </w:lvl>
    <w:lvl w:ilvl="6" w:tplc="8618AA0A">
      <w:numFmt w:val="bullet"/>
      <w:lvlText w:val="•"/>
      <w:lvlJc w:val="left"/>
      <w:pPr>
        <w:ind w:left="5991" w:hanging="202"/>
      </w:pPr>
      <w:rPr>
        <w:rFonts w:hint="default"/>
        <w:lang w:eastAsia="en-US" w:bidi="ar-SA"/>
      </w:rPr>
    </w:lvl>
    <w:lvl w:ilvl="7" w:tplc="B41641B6">
      <w:numFmt w:val="bullet"/>
      <w:lvlText w:val="•"/>
      <w:lvlJc w:val="left"/>
      <w:pPr>
        <w:ind w:left="6753" w:hanging="202"/>
      </w:pPr>
      <w:rPr>
        <w:rFonts w:hint="default"/>
        <w:lang w:eastAsia="en-US" w:bidi="ar-SA"/>
      </w:rPr>
    </w:lvl>
    <w:lvl w:ilvl="8" w:tplc="5B6CCAC0">
      <w:numFmt w:val="bullet"/>
      <w:lvlText w:val="•"/>
      <w:lvlJc w:val="left"/>
      <w:pPr>
        <w:ind w:left="7515" w:hanging="202"/>
      </w:pPr>
      <w:rPr>
        <w:rFonts w:hint="default"/>
        <w:lang w:eastAsia="en-US" w:bidi="ar-SA"/>
      </w:rPr>
    </w:lvl>
  </w:abstractNum>
  <w:abstractNum w:abstractNumId="1">
    <w:nsid w:val="53BB76E2"/>
    <w:multiLevelType w:val="hybridMultilevel"/>
    <w:tmpl w:val="12080B88"/>
    <w:lvl w:ilvl="0" w:tplc="C4FCAD9A">
      <w:start w:val="1"/>
      <w:numFmt w:val="decimal"/>
      <w:lvlText w:val="%1)"/>
      <w:lvlJc w:val="left"/>
      <w:pPr>
        <w:ind w:left="1626" w:hanging="360"/>
        <w:jc w:val="right"/>
      </w:pPr>
      <w:rPr>
        <w:rFonts w:ascii="Times New Roman" w:eastAsia="Times New Roman" w:hAnsi="Times New Roman" w:cs="Times New Roman" w:hint="default"/>
        <w:w w:val="100"/>
        <w:sz w:val="22"/>
        <w:szCs w:val="22"/>
        <w:lang w:eastAsia="en-US" w:bidi="ar-SA"/>
      </w:rPr>
    </w:lvl>
    <w:lvl w:ilvl="1" w:tplc="8F78509E">
      <w:numFmt w:val="bullet"/>
      <w:lvlText w:val="•"/>
      <w:lvlJc w:val="left"/>
      <w:pPr>
        <w:ind w:left="1620" w:hanging="360"/>
      </w:pPr>
      <w:rPr>
        <w:rFonts w:hint="default"/>
        <w:lang w:eastAsia="en-US" w:bidi="ar-SA"/>
      </w:rPr>
    </w:lvl>
    <w:lvl w:ilvl="2" w:tplc="245AEAB6">
      <w:numFmt w:val="bullet"/>
      <w:lvlText w:val="•"/>
      <w:lvlJc w:val="left"/>
      <w:pPr>
        <w:ind w:left="2444" w:hanging="360"/>
      </w:pPr>
      <w:rPr>
        <w:rFonts w:hint="default"/>
        <w:lang w:eastAsia="en-US" w:bidi="ar-SA"/>
      </w:rPr>
    </w:lvl>
    <w:lvl w:ilvl="3" w:tplc="E080249C">
      <w:numFmt w:val="bullet"/>
      <w:lvlText w:val="•"/>
      <w:lvlJc w:val="left"/>
      <w:pPr>
        <w:ind w:left="3268" w:hanging="360"/>
      </w:pPr>
      <w:rPr>
        <w:rFonts w:hint="default"/>
        <w:lang w:eastAsia="en-US" w:bidi="ar-SA"/>
      </w:rPr>
    </w:lvl>
    <w:lvl w:ilvl="4" w:tplc="C2525FB0">
      <w:numFmt w:val="bullet"/>
      <w:lvlText w:val="•"/>
      <w:lvlJc w:val="left"/>
      <w:pPr>
        <w:ind w:left="4093" w:hanging="360"/>
      </w:pPr>
      <w:rPr>
        <w:rFonts w:hint="default"/>
        <w:lang w:eastAsia="en-US" w:bidi="ar-SA"/>
      </w:rPr>
    </w:lvl>
    <w:lvl w:ilvl="5" w:tplc="4CAA8DA4">
      <w:numFmt w:val="bullet"/>
      <w:lvlText w:val="•"/>
      <w:lvlJc w:val="left"/>
      <w:pPr>
        <w:ind w:left="4917" w:hanging="360"/>
      </w:pPr>
      <w:rPr>
        <w:rFonts w:hint="default"/>
        <w:lang w:eastAsia="en-US" w:bidi="ar-SA"/>
      </w:rPr>
    </w:lvl>
    <w:lvl w:ilvl="6" w:tplc="4FDAD720">
      <w:numFmt w:val="bullet"/>
      <w:lvlText w:val="•"/>
      <w:lvlJc w:val="left"/>
      <w:pPr>
        <w:ind w:left="5741" w:hanging="360"/>
      </w:pPr>
      <w:rPr>
        <w:rFonts w:hint="default"/>
        <w:lang w:eastAsia="en-US" w:bidi="ar-SA"/>
      </w:rPr>
    </w:lvl>
    <w:lvl w:ilvl="7" w:tplc="A144379A">
      <w:numFmt w:val="bullet"/>
      <w:lvlText w:val="•"/>
      <w:lvlJc w:val="left"/>
      <w:pPr>
        <w:ind w:left="6566" w:hanging="360"/>
      </w:pPr>
      <w:rPr>
        <w:rFonts w:hint="default"/>
        <w:lang w:eastAsia="en-US" w:bidi="ar-SA"/>
      </w:rPr>
    </w:lvl>
    <w:lvl w:ilvl="8" w:tplc="8F44B35C">
      <w:numFmt w:val="bullet"/>
      <w:lvlText w:val="•"/>
      <w:lvlJc w:val="left"/>
      <w:pPr>
        <w:ind w:left="7390" w:hanging="360"/>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A2F40"/>
    <w:rsid w:val="002C6FB5"/>
    <w:rsid w:val="007A2F40"/>
    <w:rsid w:val="00A66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2F40"/>
    <w:rPr>
      <w:rFonts w:ascii="Times New Roman" w:eastAsia="Times New Roman" w:hAnsi="Times New Roman" w:cs="Times New Roman"/>
      <w:lang/>
    </w:rPr>
  </w:style>
  <w:style w:type="paragraph" w:styleId="Heading1">
    <w:name w:val="heading 1"/>
    <w:basedOn w:val="Normal"/>
    <w:uiPriority w:val="1"/>
    <w:qFormat/>
    <w:rsid w:val="007A2F40"/>
    <w:pPr>
      <w:ind w:left="599" w:right="115" w:hanging="480"/>
      <w:jc w:val="both"/>
      <w:outlineLvl w:val="0"/>
    </w:pPr>
    <w:rPr>
      <w:sz w:val="24"/>
      <w:szCs w:val="24"/>
    </w:rPr>
  </w:style>
  <w:style w:type="paragraph" w:styleId="Heading2">
    <w:name w:val="heading 2"/>
    <w:basedOn w:val="Normal"/>
    <w:uiPriority w:val="1"/>
    <w:qFormat/>
    <w:rsid w:val="007A2F40"/>
    <w:pPr>
      <w:ind w:left="119"/>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2F40"/>
  </w:style>
  <w:style w:type="paragraph" w:styleId="Title">
    <w:name w:val="Title"/>
    <w:basedOn w:val="Normal"/>
    <w:uiPriority w:val="1"/>
    <w:qFormat/>
    <w:rsid w:val="007A2F40"/>
    <w:pPr>
      <w:spacing w:before="82"/>
      <w:ind w:left="124" w:right="126"/>
      <w:jc w:val="center"/>
    </w:pPr>
    <w:rPr>
      <w:b/>
      <w:bCs/>
      <w:sz w:val="24"/>
      <w:szCs w:val="24"/>
    </w:rPr>
  </w:style>
  <w:style w:type="paragraph" w:styleId="ListParagraph">
    <w:name w:val="List Paragraph"/>
    <w:basedOn w:val="Normal"/>
    <w:uiPriority w:val="1"/>
    <w:qFormat/>
    <w:rsid w:val="007A2F40"/>
    <w:pPr>
      <w:ind w:left="1252" w:hanging="425"/>
    </w:pPr>
  </w:style>
  <w:style w:type="paragraph" w:customStyle="1" w:styleId="TableParagraph">
    <w:name w:val="Table Paragraph"/>
    <w:basedOn w:val="Normal"/>
    <w:uiPriority w:val="1"/>
    <w:qFormat/>
    <w:rsid w:val="007A2F40"/>
    <w:rPr>
      <w:rFonts w:ascii="Arial" w:eastAsia="Arial" w:hAnsi="Arial" w:cs="Arial"/>
    </w:rPr>
  </w:style>
  <w:style w:type="paragraph" w:styleId="Header">
    <w:name w:val="header"/>
    <w:basedOn w:val="Normal"/>
    <w:link w:val="HeaderChar"/>
    <w:uiPriority w:val="99"/>
    <w:semiHidden/>
    <w:unhideWhenUsed/>
    <w:rsid w:val="00A66369"/>
    <w:pPr>
      <w:tabs>
        <w:tab w:val="center" w:pos="4680"/>
        <w:tab w:val="right" w:pos="9360"/>
      </w:tabs>
    </w:pPr>
  </w:style>
  <w:style w:type="character" w:customStyle="1" w:styleId="HeaderChar">
    <w:name w:val="Header Char"/>
    <w:basedOn w:val="DefaultParagraphFont"/>
    <w:link w:val="Header"/>
    <w:uiPriority w:val="99"/>
    <w:semiHidden/>
    <w:rsid w:val="00A66369"/>
    <w:rPr>
      <w:rFonts w:ascii="Times New Roman" w:eastAsia="Times New Roman" w:hAnsi="Times New Roman" w:cs="Times New Roman"/>
      <w:lang/>
    </w:rPr>
  </w:style>
  <w:style w:type="paragraph" w:styleId="Footer">
    <w:name w:val="footer"/>
    <w:basedOn w:val="Normal"/>
    <w:link w:val="FooterChar"/>
    <w:uiPriority w:val="99"/>
    <w:semiHidden/>
    <w:unhideWhenUsed/>
    <w:rsid w:val="00A66369"/>
    <w:pPr>
      <w:tabs>
        <w:tab w:val="center" w:pos="4680"/>
        <w:tab w:val="right" w:pos="9360"/>
      </w:tabs>
    </w:pPr>
  </w:style>
  <w:style w:type="character" w:customStyle="1" w:styleId="FooterChar">
    <w:name w:val="Footer Char"/>
    <w:basedOn w:val="DefaultParagraphFont"/>
    <w:link w:val="Footer"/>
    <w:uiPriority w:val="99"/>
    <w:semiHidden/>
    <w:rsid w:val="00A66369"/>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bresearch.org/" TargetMode="External"/><Relationship Id="rId3" Type="http://schemas.openxmlformats.org/officeDocument/2006/relationships/settings" Target="settings.xml"/><Relationship Id="rId7" Type="http://schemas.openxmlformats.org/officeDocument/2006/relationships/hyperlink" Target="mailto:meildadeem@gmail.com" TargetMode="External"/><Relationship Id="rId12" Type="http://schemas.openxmlformats.org/officeDocument/2006/relationships/hyperlink" Target="http://epublikasi.setjen.pertanian.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cp:revision>
  <dcterms:created xsi:type="dcterms:W3CDTF">2021-02-02T14:01:00Z</dcterms:created>
  <dcterms:modified xsi:type="dcterms:W3CDTF">2021-02-04T00:29:00Z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2021-02-02T00:00:00Z</vt:filetime>
  </property>
</Properties>
</file>