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F5" w:rsidRPr="0053294E" w:rsidRDefault="00F964F5" w:rsidP="00A32982">
      <w:pPr>
        <w:jc w:val="center"/>
        <w:rPr>
          <w:b/>
          <w:noProof/>
          <w:sz w:val="24"/>
          <w:szCs w:val="24"/>
          <w:lang w:bidi="ar-SA"/>
        </w:rPr>
      </w:pPr>
      <w:r w:rsidRPr="0053294E">
        <w:rPr>
          <w:b/>
          <w:sz w:val="24"/>
          <w:szCs w:val="24"/>
        </w:rPr>
        <w:t>PENGARUH KONSENTRASI</w:t>
      </w:r>
      <w:r w:rsidRPr="0053294E">
        <w:rPr>
          <w:b/>
          <w:noProof/>
          <w:sz w:val="24"/>
          <w:szCs w:val="24"/>
          <w:lang w:bidi="ar-SA"/>
        </w:rPr>
        <w:t xml:space="preserve"> KAYU SECANG (</w:t>
      </w:r>
      <w:r w:rsidRPr="0053294E">
        <w:rPr>
          <w:b/>
          <w:i/>
          <w:noProof/>
          <w:sz w:val="24"/>
          <w:szCs w:val="24"/>
          <w:lang w:bidi="ar-SA"/>
        </w:rPr>
        <w:t>Caesalpinia sappan</w:t>
      </w:r>
      <w:r w:rsidRPr="0053294E">
        <w:rPr>
          <w:b/>
          <w:noProof/>
          <w:sz w:val="24"/>
          <w:szCs w:val="24"/>
          <w:lang w:bidi="ar-SA"/>
        </w:rPr>
        <w:t xml:space="preserve"> L.) DAN KARAGENAN TERHADAP SIFAT FISIK, SIFAT KIMIA DAN TINGKAT KESUKAAN MINUMAN JELI SECANG</w:t>
      </w:r>
    </w:p>
    <w:p w:rsidR="00F964F5" w:rsidRPr="0053294E" w:rsidRDefault="00F964F5" w:rsidP="0053294E">
      <w:pPr>
        <w:rPr>
          <w:b/>
          <w:sz w:val="24"/>
          <w:szCs w:val="24"/>
        </w:rPr>
      </w:pPr>
    </w:p>
    <w:p w:rsidR="00773772" w:rsidRPr="0053294E" w:rsidRDefault="00F964F5" w:rsidP="0053294E">
      <w:pPr>
        <w:jc w:val="center"/>
        <w:rPr>
          <w:b/>
        </w:rPr>
      </w:pPr>
      <w:r w:rsidRPr="0053294E">
        <w:rPr>
          <w:b/>
        </w:rPr>
        <w:t>Ollivia Pradanasari, Bayu Kanetro, Dwiyati Pujimulyani</w:t>
      </w:r>
    </w:p>
    <w:p w:rsidR="0053294E" w:rsidRPr="0053294E" w:rsidRDefault="0053294E" w:rsidP="00A32982">
      <w:pPr>
        <w:jc w:val="center"/>
        <w:rPr>
          <w:color w:val="000000" w:themeColor="text1"/>
          <w:sz w:val="20"/>
          <w:szCs w:val="20"/>
        </w:rPr>
      </w:pPr>
      <w:r w:rsidRPr="0053294E">
        <w:rPr>
          <w:color w:val="000000" w:themeColor="text1"/>
          <w:sz w:val="20"/>
          <w:szCs w:val="20"/>
        </w:rPr>
        <w:t xml:space="preserve">Program Studi Teknologi Hasil Pertanian, </w:t>
      </w:r>
      <w:r w:rsidR="00A32982" w:rsidRPr="0053294E">
        <w:rPr>
          <w:color w:val="000000" w:themeColor="text1"/>
          <w:sz w:val="20"/>
          <w:szCs w:val="20"/>
        </w:rPr>
        <w:t>Fakultas Agroind</w:t>
      </w:r>
      <w:r w:rsidRPr="0053294E">
        <w:rPr>
          <w:color w:val="000000" w:themeColor="text1"/>
          <w:sz w:val="20"/>
          <w:szCs w:val="20"/>
        </w:rPr>
        <w:t>ustri, Universitas Mercu Buana Yogyakarta</w:t>
      </w:r>
    </w:p>
    <w:p w:rsidR="00A32982" w:rsidRPr="0053294E" w:rsidRDefault="0053294E" w:rsidP="00A32982">
      <w:pPr>
        <w:jc w:val="center"/>
        <w:rPr>
          <w:sz w:val="20"/>
          <w:szCs w:val="20"/>
        </w:rPr>
      </w:pPr>
      <w:r w:rsidRPr="0053294E">
        <w:rPr>
          <w:sz w:val="20"/>
          <w:szCs w:val="20"/>
        </w:rPr>
        <w:t>Email</w:t>
      </w:r>
      <w:r w:rsidR="00A32982" w:rsidRPr="0053294E">
        <w:rPr>
          <w:sz w:val="20"/>
          <w:szCs w:val="20"/>
        </w:rPr>
        <w:t xml:space="preserve">: </w:t>
      </w:r>
      <w:hyperlink r:id="rId5" w:history="1">
        <w:r w:rsidR="00A32982" w:rsidRPr="0053294E">
          <w:rPr>
            <w:rStyle w:val="Hyperlink"/>
            <w:sz w:val="20"/>
            <w:szCs w:val="20"/>
          </w:rPr>
          <w:t>olliviapradana@gmail.com</w:t>
        </w:r>
      </w:hyperlink>
    </w:p>
    <w:p w:rsidR="00A32982" w:rsidRPr="0053294E" w:rsidRDefault="00A32982" w:rsidP="00A32982">
      <w:pPr>
        <w:jc w:val="center"/>
        <w:rPr>
          <w:sz w:val="24"/>
          <w:szCs w:val="24"/>
        </w:rPr>
      </w:pPr>
    </w:p>
    <w:p w:rsidR="00A32982" w:rsidRPr="00A32982" w:rsidRDefault="0053294E" w:rsidP="00A32982">
      <w:pPr>
        <w:jc w:val="center"/>
        <w:rPr>
          <w:b/>
          <w:sz w:val="20"/>
          <w:szCs w:val="20"/>
        </w:rPr>
      </w:pPr>
      <w:r>
        <w:rPr>
          <w:b/>
          <w:sz w:val="20"/>
          <w:szCs w:val="20"/>
        </w:rPr>
        <w:t>ABSTRAK</w:t>
      </w:r>
    </w:p>
    <w:p w:rsidR="00A32982" w:rsidRPr="00A32982" w:rsidRDefault="00A32982" w:rsidP="00A32982">
      <w:pPr>
        <w:adjustRightInd w:val="0"/>
        <w:ind w:firstLine="851"/>
        <w:jc w:val="both"/>
        <w:rPr>
          <w:sz w:val="20"/>
          <w:szCs w:val="20"/>
        </w:rPr>
      </w:pPr>
      <w:proofErr w:type="gramStart"/>
      <w:r w:rsidRPr="00A32982">
        <w:rPr>
          <w:sz w:val="20"/>
          <w:szCs w:val="20"/>
        </w:rPr>
        <w:t xml:space="preserve">Kayu secang merupakan salah satu tanaman rempah yang memiliki kandungan antioksidan dan senyawa metabolit yang sangat bermanfaat bagi kesehatan, sehingga meningkatkan pemanfaatannya sebagai sumber pangan fungsional, salah satunya dapat diolah menjadi minuman jeli dengan penambahan </w:t>
      </w:r>
      <w:r w:rsidRPr="00A32982">
        <w:rPr>
          <w:i/>
          <w:sz w:val="20"/>
          <w:szCs w:val="20"/>
        </w:rPr>
        <w:t>gelling agent</w:t>
      </w:r>
      <w:r w:rsidRPr="00A32982">
        <w:rPr>
          <w:sz w:val="20"/>
          <w:szCs w:val="20"/>
        </w:rPr>
        <w:t xml:space="preserve"> berupa karagenan.</w:t>
      </w:r>
      <w:proofErr w:type="gramEnd"/>
      <w:r w:rsidRPr="00A32982">
        <w:rPr>
          <w:sz w:val="20"/>
          <w:szCs w:val="20"/>
        </w:rPr>
        <w:t xml:space="preserve"> </w:t>
      </w:r>
      <w:proofErr w:type="gramStart"/>
      <w:r w:rsidRPr="00A32982">
        <w:rPr>
          <w:sz w:val="20"/>
          <w:szCs w:val="20"/>
        </w:rPr>
        <w:t>Penelitian ini bertujuan untuk memperoleh minuman jeli secang dengan variasi konsentrasi kayu secang dan karagenan yang memiliki aktivitas antioksidan dan disukai panelis.</w:t>
      </w:r>
      <w:proofErr w:type="gramEnd"/>
      <w:r w:rsidRPr="00A32982">
        <w:rPr>
          <w:sz w:val="20"/>
          <w:szCs w:val="20"/>
        </w:rPr>
        <w:t xml:space="preserve"> Cara penelitian yang dilakukan antara </w:t>
      </w:r>
      <w:proofErr w:type="gramStart"/>
      <w:r w:rsidRPr="00A32982">
        <w:rPr>
          <w:sz w:val="20"/>
          <w:szCs w:val="20"/>
        </w:rPr>
        <w:t>lain</w:t>
      </w:r>
      <w:proofErr w:type="gramEnd"/>
      <w:r w:rsidRPr="00A32982">
        <w:rPr>
          <w:sz w:val="20"/>
          <w:szCs w:val="20"/>
        </w:rPr>
        <w:t xml:space="preserve"> membuat minuman jeli secang, melakukan uji tingkat kesukaan, analisis sifat fisik dan kimia. Rancangan percobaan yang digunakan pada penelitian ini adalah Rancangan Acak Lengkap (RAL) faktorial dengan dua faktor yaitu konsentrasi kayu secang (3%, 6%, 9%) dan konsentrasi karagenan (0</w:t>
      </w:r>
      <w:proofErr w:type="gramStart"/>
      <w:r w:rsidRPr="00A32982">
        <w:rPr>
          <w:sz w:val="20"/>
          <w:szCs w:val="20"/>
        </w:rPr>
        <w:t>,3</w:t>
      </w:r>
      <w:proofErr w:type="gramEnd"/>
      <w:r w:rsidRPr="00A32982">
        <w:rPr>
          <w:sz w:val="20"/>
          <w:szCs w:val="20"/>
        </w:rPr>
        <w:t xml:space="preserve">%; 0,5%; 0,7%). Analisis yang dilakukan pada penelitian ini, yaitu analisis sifat fisik meliputi sineresis dan viskositas, analisis sifat kimia meliputi </w:t>
      </w:r>
      <w:proofErr w:type="gramStart"/>
      <w:r w:rsidRPr="00A32982">
        <w:rPr>
          <w:sz w:val="20"/>
          <w:szCs w:val="20"/>
        </w:rPr>
        <w:t>kadar</w:t>
      </w:r>
      <w:proofErr w:type="gramEnd"/>
      <w:r w:rsidRPr="00A32982">
        <w:rPr>
          <w:sz w:val="20"/>
          <w:szCs w:val="20"/>
        </w:rPr>
        <w:t xml:space="preserve"> air, TPT, aktivitas antioksidan dan pH serta uji tingkat kesukaan. Hasil penelitian menunjukkan bahwa minuman jeli secang dengan konsentrasi kayu secang 3% dan karagenan 0</w:t>
      </w:r>
      <w:proofErr w:type="gramStart"/>
      <w:r w:rsidRPr="00A32982">
        <w:rPr>
          <w:sz w:val="20"/>
          <w:szCs w:val="20"/>
        </w:rPr>
        <w:t>,5</w:t>
      </w:r>
      <w:proofErr w:type="gramEnd"/>
      <w:r w:rsidRPr="00A32982">
        <w:rPr>
          <w:sz w:val="20"/>
          <w:szCs w:val="20"/>
        </w:rPr>
        <w:t>%  merupakan perlakuan yang paling disukai. Minuman jeli secang dengan perlakuan tersebut memiliki nilai sineresis 41,56 mg/menit, viskositas 9.625 cP, kadar air 84,44% (bb), TPT 15,56% (bb), aktivitas antioksidan 22,22% RSA (</w:t>
      </w:r>
      <w:r w:rsidRPr="00A32982">
        <w:rPr>
          <w:i/>
          <w:sz w:val="20"/>
          <w:szCs w:val="20"/>
        </w:rPr>
        <w:t>Radical Scavenging Activity</w:t>
      </w:r>
      <w:r w:rsidRPr="00A32982">
        <w:rPr>
          <w:sz w:val="20"/>
          <w:szCs w:val="20"/>
        </w:rPr>
        <w:t>) dan pH 4,59.</w:t>
      </w:r>
    </w:p>
    <w:p w:rsidR="00A32982" w:rsidRPr="00A32982" w:rsidRDefault="00A32982" w:rsidP="00A32982">
      <w:pPr>
        <w:adjustRightInd w:val="0"/>
        <w:ind w:firstLine="851"/>
        <w:jc w:val="both"/>
        <w:rPr>
          <w:sz w:val="20"/>
          <w:szCs w:val="20"/>
        </w:rPr>
      </w:pPr>
    </w:p>
    <w:p w:rsidR="00A32982" w:rsidRDefault="00A32982" w:rsidP="00A32982">
      <w:pPr>
        <w:adjustRightInd w:val="0"/>
        <w:jc w:val="both"/>
        <w:rPr>
          <w:sz w:val="20"/>
          <w:szCs w:val="20"/>
        </w:rPr>
      </w:pPr>
      <w:r w:rsidRPr="00A32982">
        <w:rPr>
          <w:sz w:val="20"/>
          <w:szCs w:val="20"/>
        </w:rPr>
        <w:t>Kata kunci: kayu secang, karagenan, minuman jeli, antioksidan</w:t>
      </w:r>
    </w:p>
    <w:p w:rsidR="0053294E" w:rsidRDefault="0053294E" w:rsidP="00A32982">
      <w:pPr>
        <w:adjustRightInd w:val="0"/>
        <w:jc w:val="both"/>
        <w:rPr>
          <w:sz w:val="20"/>
          <w:szCs w:val="20"/>
        </w:rPr>
      </w:pPr>
    </w:p>
    <w:p w:rsidR="0053294E" w:rsidRDefault="0053294E" w:rsidP="00A32982">
      <w:pPr>
        <w:adjustRightInd w:val="0"/>
        <w:jc w:val="both"/>
        <w:rPr>
          <w:sz w:val="20"/>
          <w:szCs w:val="20"/>
        </w:rPr>
      </w:pPr>
    </w:p>
    <w:p w:rsidR="0053294E" w:rsidRPr="0053294E" w:rsidRDefault="0053294E" w:rsidP="00A32982">
      <w:pPr>
        <w:adjustRightInd w:val="0"/>
        <w:jc w:val="both"/>
        <w:rPr>
          <w:b/>
        </w:rPr>
      </w:pPr>
      <w:r w:rsidRPr="0053294E">
        <w:rPr>
          <w:b/>
        </w:rPr>
        <w:t>PENDAHULUAN</w:t>
      </w:r>
    </w:p>
    <w:p w:rsidR="0053294E" w:rsidRPr="0053294E" w:rsidRDefault="0053294E" w:rsidP="0053294E">
      <w:pPr>
        <w:ind w:firstLine="567"/>
        <w:jc w:val="both"/>
      </w:pPr>
      <w:proofErr w:type="gramStart"/>
      <w:r w:rsidRPr="0053294E">
        <w:t>Indonesia memiliki berbagai jenis tumbuhan yang dapat dimanfaatkan sebagai tanaman rempah dan obat untuk membantu meningkatkan daya tahan tubuh, biasanya dikonsumsi dalam bentuk minuman herbal atau jamu maupun sebagai bumbu masakan.</w:t>
      </w:r>
      <w:proofErr w:type="gramEnd"/>
      <w:r w:rsidRPr="0053294E">
        <w:t xml:space="preserve"> Adanya perubahan </w:t>
      </w:r>
      <w:proofErr w:type="gramStart"/>
      <w:r w:rsidRPr="0053294E">
        <w:t>gaya</w:t>
      </w:r>
      <w:proofErr w:type="gramEnd"/>
      <w:r w:rsidRPr="0053294E">
        <w:t xml:space="preserve"> hidup </w:t>
      </w:r>
      <w:r w:rsidRPr="0053294E">
        <w:rPr>
          <w:i/>
        </w:rPr>
        <w:t>back to nature</w:t>
      </w:r>
      <w:r w:rsidRPr="0053294E">
        <w:t xml:space="preserve">, kecenderungan masyarakat untuk mengkonsumsi obat tradisional semakin berkembang baik. </w:t>
      </w:r>
      <w:proofErr w:type="gramStart"/>
      <w:r w:rsidRPr="0053294E">
        <w:t>Akibatnya, masyarakat mulai beralih menggunakan bahan-bahan alami untuk meminimalisir efek samping obat-obatan modern dari dokter.</w:t>
      </w:r>
      <w:proofErr w:type="gramEnd"/>
      <w:r w:rsidRPr="0053294E">
        <w:t xml:space="preserve"> </w:t>
      </w:r>
      <w:proofErr w:type="gramStart"/>
      <w:r w:rsidRPr="0053294E">
        <w:t>WHO juga merekomendasikan penggunaan obat tradisional dan herbal untuk pemeliharaan kesehatan masyarakat, pencegahan dan pengobatan penyakit, terutama penyakit kronis, degeneratif dan kanker (Anonim, 2013).</w:t>
      </w:r>
      <w:proofErr w:type="gramEnd"/>
      <w:r w:rsidRPr="0053294E">
        <w:t xml:space="preserve"> </w:t>
      </w:r>
      <w:proofErr w:type="gramStart"/>
      <w:r w:rsidRPr="0053294E">
        <w:t>Tanaman obat memiliki sifat spesifik yang bersifat pencegahan (preventif) dan peningkatan (promotif) melalui kandungan metabolit sekunder seperti flavonoid pada kayu secang yang mampu meningkatkan sistem kekebalan tubuh.</w:t>
      </w:r>
      <w:proofErr w:type="gramEnd"/>
    </w:p>
    <w:p w:rsidR="0053294E" w:rsidRPr="0053294E" w:rsidRDefault="0053294E" w:rsidP="0053294E">
      <w:pPr>
        <w:ind w:firstLine="567"/>
        <w:jc w:val="both"/>
      </w:pPr>
      <w:proofErr w:type="gramStart"/>
      <w:r w:rsidRPr="0053294E">
        <w:t>Kayu secang (</w:t>
      </w:r>
      <w:r w:rsidRPr="0053294E">
        <w:rPr>
          <w:i/>
        </w:rPr>
        <w:t>Caesalpinia sappan</w:t>
      </w:r>
      <w:r w:rsidRPr="0053294E">
        <w:t xml:space="preserve"> L.) merupakan salah satu spesies tumbuhan herbal yang tubuh alami pada hutan-hutan sekunder.</w:t>
      </w:r>
      <w:proofErr w:type="gramEnd"/>
      <w:r w:rsidRPr="0053294E">
        <w:t xml:space="preserve"> </w:t>
      </w:r>
      <w:proofErr w:type="gramStart"/>
      <w:r w:rsidRPr="0053294E">
        <w:t>Tanaman ini berproduksi sepanjang tahun tanpa mengenal musim, budidaya yang relatif mudah dan dapat diproduksi sesuai kebutuhan.</w:t>
      </w:r>
      <w:proofErr w:type="gramEnd"/>
      <w:r w:rsidRPr="0053294E">
        <w:t xml:space="preserve"> </w:t>
      </w:r>
      <w:proofErr w:type="gramStart"/>
      <w:r w:rsidRPr="0053294E">
        <w:t>Bagian utama tanaman secang yang sering digunakan adalah bagian batang (Arifin, 2019).</w:t>
      </w:r>
      <w:proofErr w:type="gramEnd"/>
      <w:r w:rsidRPr="0053294E">
        <w:t xml:space="preserve"> </w:t>
      </w:r>
      <w:proofErr w:type="gramStart"/>
      <w:r w:rsidRPr="0053294E">
        <w:t>Kayu secang sudah sejak zaman dahulu digunakan sebagai minuman tradisional berupa wedang secang yang memberikan efek rasa hangat pada tubuh.</w:t>
      </w:r>
      <w:proofErr w:type="gramEnd"/>
      <w:r w:rsidRPr="0053294E">
        <w:t xml:space="preserve"> </w:t>
      </w:r>
      <w:proofErr w:type="gramStart"/>
      <w:r w:rsidRPr="0053294E">
        <w:t>Selain itu, kayu secang merupakan salah satu tanaman yang digunakan sebagai pigmen alami berwarna merah.</w:t>
      </w:r>
      <w:proofErr w:type="gramEnd"/>
      <w:r w:rsidRPr="0053294E">
        <w:t xml:space="preserve"> </w:t>
      </w:r>
    </w:p>
    <w:p w:rsidR="0053294E" w:rsidRPr="0053294E" w:rsidRDefault="0053294E" w:rsidP="0053294E">
      <w:pPr>
        <w:ind w:firstLine="567"/>
        <w:jc w:val="both"/>
      </w:pPr>
      <w:proofErr w:type="gramStart"/>
      <w:r w:rsidRPr="0053294E">
        <w:t>Menurut Sudarsono dkk.</w:t>
      </w:r>
      <w:proofErr w:type="gramEnd"/>
      <w:r w:rsidRPr="0053294E">
        <w:t xml:space="preserve"> </w:t>
      </w:r>
      <w:proofErr w:type="gramStart"/>
      <w:r w:rsidRPr="0053294E">
        <w:t>(2002), tanaman kayu secang memiliki kandungan kimia flavonoid, brazilin, alkaloid, saponin, tanin, fenil propana dan terpenoid yang semuanya memberikan efek positif bagi tubuh.</w:t>
      </w:r>
      <w:proofErr w:type="gramEnd"/>
      <w:r w:rsidRPr="0053294E">
        <w:t xml:space="preserve"> </w:t>
      </w:r>
      <w:proofErr w:type="gramStart"/>
      <w:r w:rsidRPr="0053294E">
        <w:t>Nirmal dkk.</w:t>
      </w:r>
      <w:proofErr w:type="gramEnd"/>
      <w:r w:rsidRPr="0053294E">
        <w:t xml:space="preserve"> </w:t>
      </w:r>
      <w:proofErr w:type="gramStart"/>
      <w:r w:rsidRPr="0053294E">
        <w:t>(2015) menyebutkan bahwa kayu secang memiliki berbagai manfaat, seperti sumber antioksidan, sebagai anti-inflamasi, antibakteri, antialergi, aktivitas nuklease, analgesik dan lain sebagainya.</w:t>
      </w:r>
      <w:proofErr w:type="gramEnd"/>
      <w:r w:rsidRPr="0053294E">
        <w:t xml:space="preserve"> </w:t>
      </w:r>
      <w:proofErr w:type="gramStart"/>
      <w:r w:rsidRPr="0053294E">
        <w:t>Tingginya kandungan antioksidan dan senyawa metabolit pada kayu secang meningkatkan pemanfaatannya sebagai sumber pangan fungsional.</w:t>
      </w:r>
      <w:proofErr w:type="gramEnd"/>
      <w:r w:rsidRPr="0053294E">
        <w:t xml:space="preserve"> Salah satu </w:t>
      </w:r>
      <w:proofErr w:type="gramStart"/>
      <w:r w:rsidRPr="0053294E">
        <w:t>cara</w:t>
      </w:r>
      <w:proofErr w:type="gramEnd"/>
      <w:r w:rsidRPr="0053294E">
        <w:t xml:space="preserve"> untuk meningkatkan minat masyarakat dalam mengkonsumsi komoditi tersebut adalah melalui diversifikasi produk menjadi minuman jeli. </w:t>
      </w:r>
    </w:p>
    <w:p w:rsidR="0053294E" w:rsidRPr="0053294E" w:rsidRDefault="0053294E" w:rsidP="0053294E">
      <w:pPr>
        <w:ind w:firstLine="567"/>
        <w:jc w:val="both"/>
      </w:pPr>
      <w:r w:rsidRPr="0053294E">
        <w:t xml:space="preserve">Minuman jeli merupakan produk minuman berbentuk gel semi padat, memiliki karakteristik gel yang lebih lunak dan tekstur yang tidak kokoh, tetapi masih bisa dirasakan ketika berada di dalam mulut, bersifat elastis dan mudah dihisap (Noer, 2007). </w:t>
      </w:r>
      <w:proofErr w:type="gramStart"/>
      <w:r w:rsidRPr="0053294E">
        <w:t xml:space="preserve">Untuk membentuk struktur gel yang baik dan </w:t>
      </w:r>
      <w:r w:rsidRPr="0053294E">
        <w:lastRenderedPageBreak/>
        <w:t>mudah dihisap perlu adanya penambahan bahan pembentuk gel (</w:t>
      </w:r>
      <w:r w:rsidRPr="0053294E">
        <w:rPr>
          <w:i/>
        </w:rPr>
        <w:t>gelling agent</w:t>
      </w:r>
      <w:r w:rsidRPr="0053294E">
        <w:t>).</w:t>
      </w:r>
      <w:proofErr w:type="gramEnd"/>
      <w:r w:rsidRPr="0053294E">
        <w:t xml:space="preserve"> </w:t>
      </w:r>
      <w:proofErr w:type="gramStart"/>
      <w:r w:rsidRPr="0053294E">
        <w:t xml:space="preserve">Salah satu jenis </w:t>
      </w:r>
      <w:r w:rsidRPr="0053294E">
        <w:rPr>
          <w:i/>
        </w:rPr>
        <w:t>gelling agent</w:t>
      </w:r>
      <w:r w:rsidRPr="0053294E">
        <w:t xml:space="preserve"> yang umum digunakan pada minuman jeli, yaitu karagenan.</w:t>
      </w:r>
      <w:proofErr w:type="gramEnd"/>
      <w:r w:rsidRPr="0053294E">
        <w:t xml:space="preserve"> </w:t>
      </w:r>
      <w:proofErr w:type="gramStart"/>
      <w:r w:rsidRPr="0053294E">
        <w:t>Mardiana (2007) menyatakan bahwa karagenan membentuk struktur gel yang cenderung elastis dan kenyal, tetapi tidak mudah pecah.</w:t>
      </w:r>
      <w:proofErr w:type="gramEnd"/>
      <w:r w:rsidRPr="0053294E">
        <w:t xml:space="preserve"> Hal ini karena karagenan memiliki kandungan sulfat yang lebih tinggi dibandingkan dengan </w:t>
      </w:r>
      <w:r w:rsidRPr="0053294E">
        <w:rPr>
          <w:i/>
        </w:rPr>
        <w:t>gelling agent</w:t>
      </w:r>
      <w:r w:rsidRPr="0053294E">
        <w:t xml:space="preserve"> </w:t>
      </w:r>
      <w:proofErr w:type="gramStart"/>
      <w:r w:rsidRPr="0053294E">
        <w:t>lain</w:t>
      </w:r>
      <w:proofErr w:type="gramEnd"/>
      <w:r w:rsidRPr="0053294E">
        <w:t xml:space="preserve"> sehingga kekuatan gel yang dihasilkan lebih kuat (Parlina, 2009).</w:t>
      </w:r>
    </w:p>
    <w:p w:rsidR="0053294E" w:rsidRDefault="0053294E" w:rsidP="0053294E">
      <w:pPr>
        <w:ind w:firstLine="567"/>
        <w:jc w:val="both"/>
      </w:pPr>
      <w:r w:rsidRPr="0053294E">
        <w:t xml:space="preserve">Produk minuman jeli dipilih sebagai pengembangan pengolahan kayu secang karena minuman jeli banyak disukai oleh masyarakat dari segala kalangan </w:t>
      </w:r>
      <w:proofErr w:type="gramStart"/>
      <w:r w:rsidRPr="0053294E">
        <w:t>usia</w:t>
      </w:r>
      <w:proofErr w:type="gramEnd"/>
      <w:r w:rsidRPr="0053294E">
        <w:t xml:space="preserve">. Gel pada produk minuman jeli terbentuk oleh hidrokoloid yang juga merupakan sumber serat. </w:t>
      </w:r>
      <w:proofErr w:type="gramStart"/>
      <w:r w:rsidRPr="0053294E">
        <w:t>Oleh karena itu, pengembangan produk minuman jeli berbasis kayu secang sebagai pangan fungsional diharapkan dapat menjadi alternatif untuk meningkatkan konsumsi kayu secang oleh masyarakat Indonesia.</w:t>
      </w:r>
      <w:proofErr w:type="gramEnd"/>
      <w:r w:rsidRPr="0053294E">
        <w:t xml:space="preserve"> </w:t>
      </w:r>
      <w:proofErr w:type="gramStart"/>
      <w:r w:rsidRPr="0053294E">
        <w:t xml:space="preserve">Selain itu, produk ini diharapkan dapat memberikan manfaat kesehatan dan dapat dijadikan sebagai salah satu alternatif untuk menanggulangi berbagai jenis penyakit degeneratif jika dikonsumsi sebagai </w:t>
      </w:r>
      <w:r w:rsidRPr="0053294E">
        <w:rPr>
          <w:i/>
        </w:rPr>
        <w:t>dessert</w:t>
      </w:r>
      <w:r w:rsidRPr="0053294E">
        <w:t xml:space="preserve"> (makanan pembuka atau makan penutup).</w:t>
      </w:r>
      <w:proofErr w:type="gramEnd"/>
      <w:r w:rsidR="00C45735">
        <w:t xml:space="preserve"> </w:t>
      </w:r>
      <w:proofErr w:type="gramStart"/>
      <w:r w:rsidR="00C45735">
        <w:t>Penelitian ini bertujuan untuk m</w:t>
      </w:r>
      <w:r w:rsidR="00C45735" w:rsidRPr="00C45735">
        <w:t>engetahui pengaruh variasi konsentrasi kayu secang dan karagenan terhadap sifat fisik, kimia dan tingkat kesukaa</w:t>
      </w:r>
      <w:r w:rsidR="00C45735">
        <w:t xml:space="preserve">n minuman jeli secang serta mengetahui </w:t>
      </w:r>
      <w:r w:rsidR="00C45735" w:rsidRPr="00F831B0">
        <w:t xml:space="preserve">perlakuan terbaik </w:t>
      </w:r>
      <w:r w:rsidR="00C45735">
        <w:t xml:space="preserve">dari </w:t>
      </w:r>
      <w:r w:rsidR="00C45735">
        <w:t>m</w:t>
      </w:r>
      <w:r w:rsidR="00C45735" w:rsidRPr="00F831B0">
        <w:t xml:space="preserve">inuman jeli secang </w:t>
      </w:r>
      <w:r w:rsidR="00C45735">
        <w:t>yang</w:t>
      </w:r>
      <w:r w:rsidR="00C45735" w:rsidRPr="00F831B0">
        <w:t xml:space="preserve"> disukai</w:t>
      </w:r>
      <w:r w:rsidR="00C45735">
        <w:t xml:space="preserve"> panelis.</w:t>
      </w:r>
      <w:proofErr w:type="gramEnd"/>
    </w:p>
    <w:p w:rsidR="00E75023" w:rsidRDefault="00E75023" w:rsidP="0053294E">
      <w:pPr>
        <w:ind w:firstLine="567"/>
        <w:jc w:val="both"/>
      </w:pPr>
    </w:p>
    <w:p w:rsidR="000E5D7A" w:rsidRPr="00D9594C" w:rsidRDefault="000E5D7A" w:rsidP="000E5D7A">
      <w:pPr>
        <w:jc w:val="both"/>
        <w:rPr>
          <w:b/>
        </w:rPr>
      </w:pPr>
      <w:r w:rsidRPr="00D9594C">
        <w:rPr>
          <w:b/>
        </w:rPr>
        <w:t>METODE</w:t>
      </w:r>
    </w:p>
    <w:p w:rsidR="000E5D7A" w:rsidRPr="003115C4" w:rsidRDefault="000E5D7A" w:rsidP="003115C4">
      <w:pPr>
        <w:widowControl/>
        <w:autoSpaceDE/>
        <w:autoSpaceDN/>
        <w:ind w:firstLine="567"/>
        <w:jc w:val="both"/>
      </w:pPr>
      <w:r w:rsidRPr="000E5D7A">
        <w:t>Bahan yang digunakan dalam pembuatan minuman jeli antara lain kayu secang yang diperoleh dari Pasar Kolombo Sleman, Yogyakarta, karagenan jenis kappa dan asam sitrat diperoleh dari Toko Buyung Upi</w:t>
      </w:r>
      <w:r w:rsidRPr="003115C4">
        <w:t>k, gula pasir merek GULAKU dan air mineral merek AQUA diperoleh dari Minimarket Raya. Bahan kimia yang digunakan untuk analisis yaitu akuades, DPPH (</w:t>
      </w:r>
      <w:r w:rsidRPr="003115C4">
        <w:rPr>
          <w:i/>
        </w:rPr>
        <w:t>2</w:t>
      </w:r>
      <w:proofErr w:type="gramStart"/>
      <w:r w:rsidRPr="003115C4">
        <w:rPr>
          <w:i/>
        </w:rPr>
        <w:t>,2</w:t>
      </w:r>
      <w:proofErr w:type="gramEnd"/>
      <w:r w:rsidRPr="003115C4">
        <w:rPr>
          <w:i/>
        </w:rPr>
        <w:t>-diphenyl-1-picrylhydrazyl</w:t>
      </w:r>
      <w:r w:rsidRPr="003115C4">
        <w:t>), etanol 98%.</w:t>
      </w:r>
    </w:p>
    <w:p w:rsidR="000E5D7A" w:rsidRPr="003115C4" w:rsidRDefault="000E5D7A" w:rsidP="003115C4">
      <w:pPr>
        <w:pStyle w:val="ListParagraph"/>
        <w:widowControl/>
        <w:autoSpaceDE/>
        <w:autoSpaceDN/>
        <w:ind w:left="0" w:firstLine="567"/>
        <w:jc w:val="both"/>
      </w:pPr>
      <w:proofErr w:type="gramStart"/>
      <w:r w:rsidRPr="003115C4">
        <w:t xml:space="preserve">Alat yang digunakan dalam pembuatan minuman jeli antara lain timbangan digital, baskom, kompor, panci, spatula, termometer dapur, alat saring, sendok, </w:t>
      </w:r>
      <w:r w:rsidRPr="003115C4">
        <w:rPr>
          <w:i/>
        </w:rPr>
        <w:t>cup</w:t>
      </w:r>
      <w:r w:rsidRPr="003115C4">
        <w:t xml:space="preserve"> plastik.</w:t>
      </w:r>
      <w:proofErr w:type="gramEnd"/>
      <w:r w:rsidRPr="003115C4">
        <w:t xml:space="preserve"> Alat yang digunakan dalam pengujian antara lain gelas beker, gelas ukur, labu ukur, tabung reaksi, cawan porselin, pipet tetes, mortal dan martil, neraca analitik, sentrifus, spektrofotometer UV-Vis, viskometer Brookfield, pH meter, oven, desikator, kertas saring, </w:t>
      </w:r>
      <w:r w:rsidRPr="003115C4">
        <w:rPr>
          <w:i/>
        </w:rPr>
        <w:t>alumunium foil</w:t>
      </w:r>
      <w:r w:rsidRPr="003115C4">
        <w:t xml:space="preserve">, </w:t>
      </w:r>
      <w:r w:rsidRPr="003115C4">
        <w:rPr>
          <w:i/>
        </w:rPr>
        <w:t>stopwatch</w:t>
      </w:r>
      <w:r w:rsidRPr="003115C4">
        <w:t>, dan alat tulis. Alat yang digunakan dalam pengujian organoleptik atau tingkat kesukaan meliputi nampan, sedotan, label dan lembar kuesioner.</w:t>
      </w:r>
    </w:p>
    <w:p w:rsidR="003115C4" w:rsidRDefault="000E5D7A" w:rsidP="003115C4">
      <w:pPr>
        <w:widowControl/>
        <w:autoSpaceDE/>
        <w:autoSpaceDN/>
        <w:ind w:firstLine="567"/>
        <w:jc w:val="both"/>
      </w:pPr>
      <w:proofErr w:type="gramStart"/>
      <w:r w:rsidRPr="003115C4">
        <w:t xml:space="preserve">Pembuatan minuman jeli secang menggunakan </w:t>
      </w:r>
      <w:r w:rsidR="00D22616" w:rsidRPr="003115C4">
        <w:t xml:space="preserve">serutan </w:t>
      </w:r>
      <w:r w:rsidRPr="003115C4">
        <w:t>kayu secang yang tampak bagus (tidak cacat) dan seragam.</w:t>
      </w:r>
      <w:proofErr w:type="gramEnd"/>
      <w:r w:rsidRPr="003115C4">
        <w:t xml:space="preserve"> Kemudian di</w:t>
      </w:r>
      <w:r w:rsidR="00D22616" w:rsidRPr="003115C4">
        <w:t xml:space="preserve">lakukan </w:t>
      </w:r>
      <w:r w:rsidRPr="003115C4">
        <w:t>penimbangan kayu secang sesuai proporsi (3%, 6%, 9</w:t>
      </w:r>
      <w:r w:rsidR="00D22616" w:rsidRPr="003115C4">
        <w:t xml:space="preserve">%), pencucian, </w:t>
      </w:r>
      <w:r w:rsidRPr="003115C4">
        <w:t xml:space="preserve">perebusan menggunakan air sebanyak 1 L selama 20 menit dengan suhu 70 </w:t>
      </w:r>
      <w:r w:rsidRPr="003115C4">
        <w:rPr>
          <w:vertAlign w:val="superscript"/>
        </w:rPr>
        <w:t>o</w:t>
      </w:r>
      <w:r w:rsidRPr="003115C4">
        <w:t>C</w:t>
      </w:r>
      <w:r w:rsidR="00D22616" w:rsidRPr="003115C4">
        <w:t xml:space="preserve"> dan penyaringan. </w:t>
      </w:r>
      <w:r w:rsidRPr="003115C4">
        <w:t>Sari kayu secang sebanyak 300 mL sesuai proporsi dilakukan pencampuran dengan karagenan sesuai perlakuan konsentrasi (0</w:t>
      </w:r>
      <w:proofErr w:type="gramStart"/>
      <w:r w:rsidRPr="003115C4">
        <w:t>,3</w:t>
      </w:r>
      <w:proofErr w:type="gramEnd"/>
      <w:r w:rsidRPr="003115C4">
        <w:t xml:space="preserve">%; 0,5%; 0,7%), gula 15% dan asam sitrat 0,05%. </w:t>
      </w:r>
      <w:proofErr w:type="gramStart"/>
      <w:r w:rsidRPr="003115C4">
        <w:t xml:space="preserve">Dilanjutkan pemanasan dengan suhu 75–85 ºC selama </w:t>
      </w:r>
      <w:r w:rsidR="008775B3" w:rsidRPr="003115C4">
        <w:t xml:space="preserve">± </w:t>
      </w:r>
      <w:r w:rsidRPr="003115C4">
        <w:t>5 menit sambil terus diaduk.</w:t>
      </w:r>
      <w:proofErr w:type="gramEnd"/>
      <w:r w:rsidRPr="003115C4">
        <w:t xml:space="preserve"> </w:t>
      </w:r>
      <w:proofErr w:type="gramStart"/>
      <w:r w:rsidR="008775B3" w:rsidRPr="003115C4">
        <w:t xml:space="preserve">Kemudian </w:t>
      </w:r>
      <w:r w:rsidRPr="003115C4">
        <w:t xml:space="preserve">dilakukan pemasukan minuman jeli secang ke dalam </w:t>
      </w:r>
      <w:r w:rsidRPr="003115C4">
        <w:rPr>
          <w:i/>
        </w:rPr>
        <w:t>cup</w:t>
      </w:r>
      <w:r w:rsidRPr="003115C4">
        <w:t xml:space="preserve"> plastik dan pendinginan pada suhu ruangan.</w:t>
      </w:r>
      <w:proofErr w:type="gramEnd"/>
    </w:p>
    <w:p w:rsidR="003115C4" w:rsidRPr="00D9594C" w:rsidRDefault="008775B3" w:rsidP="003115C4">
      <w:pPr>
        <w:widowControl/>
        <w:autoSpaceDE/>
        <w:autoSpaceDN/>
        <w:ind w:firstLine="567"/>
        <w:jc w:val="both"/>
      </w:pPr>
      <w:r w:rsidRPr="003115C4">
        <w:t>A</w:t>
      </w:r>
      <w:r w:rsidR="000E5D7A" w:rsidRPr="003115C4">
        <w:t xml:space="preserve">nalisis </w:t>
      </w:r>
      <w:r w:rsidRPr="003115C4">
        <w:t>ya</w:t>
      </w:r>
      <w:r w:rsidRPr="00D9594C">
        <w:t xml:space="preserve">ng dilakukan adalah </w:t>
      </w:r>
      <w:r w:rsidR="000E5D7A" w:rsidRPr="00D9594C">
        <w:t xml:space="preserve">sineresis, viskositas, </w:t>
      </w:r>
      <w:proofErr w:type="gramStart"/>
      <w:r w:rsidR="000E5D7A" w:rsidRPr="00D9594C">
        <w:t>kadar</w:t>
      </w:r>
      <w:proofErr w:type="gramEnd"/>
      <w:r w:rsidR="000E5D7A" w:rsidRPr="00D9594C">
        <w:t xml:space="preserve"> air, total padatan terlarut, aktivitas antioksidan, pH dan uji tingkat kesukaan</w:t>
      </w:r>
      <w:r w:rsidRPr="00D9594C">
        <w:t>.</w:t>
      </w:r>
      <w:r w:rsidR="003115C4" w:rsidRPr="00D9594C">
        <w:t xml:space="preserve"> </w:t>
      </w:r>
      <w:proofErr w:type="gramStart"/>
      <w:r w:rsidRPr="00D9594C">
        <w:t>Rancangan penelitian dilakukan menggunakan Rancangan Acak Lengkap (RAL</w:t>
      </w:r>
      <w:r w:rsidR="003115C4" w:rsidRPr="00D9594C">
        <w:t>).</w:t>
      </w:r>
      <w:proofErr w:type="gramEnd"/>
      <w:r w:rsidR="003115C4" w:rsidRPr="00D9594C">
        <w:t xml:space="preserve"> </w:t>
      </w:r>
      <w:proofErr w:type="gramStart"/>
      <w:r w:rsidR="003115C4" w:rsidRPr="00D9594C">
        <w:t>Pengolahan data dilakukan dengan menggunakan analisis sidik ragam ANOVA (</w:t>
      </w:r>
      <w:r w:rsidR="003115C4" w:rsidRPr="00D9594C">
        <w:rPr>
          <w:i/>
        </w:rPr>
        <w:t>Analysis of Variance</w:t>
      </w:r>
      <w:r w:rsidR="003115C4" w:rsidRPr="00D9594C">
        <w:t>) untuk mengetahui adanya perbedaan nyata.</w:t>
      </w:r>
      <w:proofErr w:type="gramEnd"/>
      <w:r w:rsidR="003115C4" w:rsidRPr="00D9594C">
        <w:t xml:space="preserve"> </w:t>
      </w:r>
      <w:proofErr w:type="gramStart"/>
      <w:r w:rsidR="003115C4" w:rsidRPr="00D9594C">
        <w:t>Kemudian diolah lebih lanjut dengan uji DMRT (</w:t>
      </w:r>
      <w:r w:rsidR="003115C4" w:rsidRPr="00D9594C">
        <w:rPr>
          <w:i/>
        </w:rPr>
        <w:t>Duncan’s Multiple Range Test</w:t>
      </w:r>
      <w:r w:rsidR="003115C4" w:rsidRPr="00D9594C">
        <w:t xml:space="preserve">) dan uji </w:t>
      </w:r>
      <w:r w:rsidR="003115C4" w:rsidRPr="00D9594C">
        <w:rPr>
          <w:i/>
        </w:rPr>
        <w:t>univariate</w:t>
      </w:r>
      <w:r w:rsidR="003115C4" w:rsidRPr="00D9594C">
        <w:t xml:space="preserve"> untuk melihat pengaruh faktor.</w:t>
      </w:r>
      <w:proofErr w:type="gramEnd"/>
      <w:r w:rsidR="003115C4" w:rsidRPr="00D9594C">
        <w:t xml:space="preserve"> </w:t>
      </w:r>
    </w:p>
    <w:p w:rsidR="008775B3" w:rsidRPr="00D9594C" w:rsidRDefault="008775B3" w:rsidP="003115C4">
      <w:pPr>
        <w:pStyle w:val="ListParagraph"/>
        <w:widowControl/>
        <w:autoSpaceDE/>
        <w:autoSpaceDN/>
        <w:ind w:left="0" w:firstLine="851"/>
        <w:jc w:val="both"/>
      </w:pPr>
    </w:p>
    <w:p w:rsidR="000E5D7A" w:rsidRPr="00D9594C" w:rsidRDefault="000E5D7A" w:rsidP="003115C4">
      <w:pPr>
        <w:jc w:val="both"/>
        <w:rPr>
          <w:b/>
        </w:rPr>
      </w:pPr>
      <w:r w:rsidRPr="00D9594C">
        <w:rPr>
          <w:b/>
        </w:rPr>
        <w:t>HASIL DAN PEMBAHASAN</w:t>
      </w:r>
    </w:p>
    <w:p w:rsidR="00D9594C" w:rsidRPr="00D9594C" w:rsidRDefault="00D9594C" w:rsidP="003115C4">
      <w:pPr>
        <w:jc w:val="both"/>
        <w:rPr>
          <w:b/>
        </w:rPr>
      </w:pPr>
      <w:r w:rsidRPr="00D9594C">
        <w:rPr>
          <w:b/>
        </w:rPr>
        <w:t>Sifat Fisik</w:t>
      </w:r>
    </w:p>
    <w:p w:rsidR="00D9594C" w:rsidRPr="00D9594C" w:rsidRDefault="00D9594C" w:rsidP="003115C4">
      <w:pPr>
        <w:jc w:val="both"/>
        <w:rPr>
          <w:b/>
        </w:rPr>
      </w:pPr>
      <w:r w:rsidRPr="00D9594C">
        <w:rPr>
          <w:b/>
        </w:rPr>
        <w:t>Sineresis</w:t>
      </w:r>
    </w:p>
    <w:p w:rsidR="00D9594C" w:rsidRPr="003209C8" w:rsidRDefault="00D9594C" w:rsidP="003209C8">
      <w:pPr>
        <w:ind w:firstLine="567"/>
        <w:jc w:val="both"/>
      </w:pPr>
      <w:r w:rsidRPr="00D9594C">
        <w:t>Hasil uji statistik menunjukkan bahwa perlakuan variasi konsentrasi karagenan memberikan perbedaan yang nyata (α=0</w:t>
      </w:r>
      <w:proofErr w:type="gramStart"/>
      <w:r w:rsidRPr="00D9594C">
        <w:t>,05</w:t>
      </w:r>
      <w:proofErr w:type="gramEnd"/>
      <w:r w:rsidRPr="00D9594C">
        <w:t xml:space="preserve">), sedangkan perlakuan variasi konsentrasi kayu secang dan interaksi keduanya tidak memberikan </w:t>
      </w:r>
      <w:r w:rsidRPr="003209C8">
        <w:t xml:space="preserve">perbedaan yang nyata (α=0,05) terhadap nilai sineresis minuman jeli secang. </w:t>
      </w:r>
      <w:proofErr w:type="gramStart"/>
      <w:r w:rsidRPr="003209C8">
        <w:t>Hasil analisis sineresis minuman jeli secang dengan perlakuan variasi konsentrasi kayu secang dan karagenan dapat dilihat pada Tabel 1.</w:t>
      </w:r>
      <w:proofErr w:type="gramEnd"/>
    </w:p>
    <w:p w:rsidR="0083513A" w:rsidRPr="003209C8" w:rsidRDefault="0083513A" w:rsidP="003209C8">
      <w:pPr>
        <w:jc w:val="both"/>
      </w:pPr>
    </w:p>
    <w:p w:rsidR="00D820F6" w:rsidRDefault="00D820F6" w:rsidP="0083513A">
      <w:pPr>
        <w:jc w:val="center"/>
      </w:pPr>
    </w:p>
    <w:p w:rsidR="00D820F6" w:rsidRDefault="00D820F6" w:rsidP="0083513A">
      <w:pPr>
        <w:jc w:val="center"/>
      </w:pPr>
    </w:p>
    <w:p w:rsidR="00D820F6" w:rsidRDefault="00D820F6" w:rsidP="0083513A">
      <w:pPr>
        <w:jc w:val="center"/>
      </w:pPr>
    </w:p>
    <w:p w:rsidR="00D9594C" w:rsidRPr="003209C8" w:rsidRDefault="00D9594C" w:rsidP="0083513A">
      <w:pPr>
        <w:jc w:val="center"/>
      </w:pPr>
      <w:proofErr w:type="gramStart"/>
      <w:r w:rsidRPr="003209C8">
        <w:lastRenderedPageBreak/>
        <w:t>Tabel 1.</w:t>
      </w:r>
      <w:proofErr w:type="gramEnd"/>
      <w:r w:rsidRPr="003209C8">
        <w:t xml:space="preserve"> Sineresis Minuman Jeli Secang (mg/menit)</w:t>
      </w:r>
    </w:p>
    <w:tbl>
      <w:tblPr>
        <w:tblStyle w:val="TableGrid"/>
        <w:tblW w:w="7654" w:type="dxa"/>
        <w:tblInd w:w="817" w:type="dxa"/>
        <w:tblBorders>
          <w:left w:val="none" w:sz="0" w:space="0" w:color="auto"/>
          <w:right w:val="none" w:sz="0" w:space="0" w:color="auto"/>
        </w:tblBorders>
        <w:tblLook w:val="04A0" w:firstRow="1" w:lastRow="0" w:firstColumn="1" w:lastColumn="0" w:noHBand="0" w:noVBand="1"/>
      </w:tblPr>
      <w:tblGrid>
        <w:gridCol w:w="1843"/>
        <w:gridCol w:w="1559"/>
        <w:gridCol w:w="1559"/>
        <w:gridCol w:w="1559"/>
        <w:gridCol w:w="1134"/>
      </w:tblGrid>
      <w:tr w:rsidR="0083513A" w:rsidRPr="003209C8" w:rsidTr="003209C8">
        <w:tc>
          <w:tcPr>
            <w:tcW w:w="1843" w:type="dxa"/>
            <w:vMerge w:val="restart"/>
            <w:tcBorders>
              <w:bottom w:val="single" w:sz="4" w:space="0" w:color="auto"/>
              <w:right w:val="nil"/>
            </w:tcBorders>
            <w:vAlign w:val="center"/>
          </w:tcPr>
          <w:p w:rsidR="0083513A" w:rsidRPr="003209C8" w:rsidRDefault="0083513A" w:rsidP="00250CD2">
            <w:pPr>
              <w:pStyle w:val="TableParagraph"/>
              <w:jc w:val="center"/>
            </w:pPr>
            <w:r w:rsidRPr="003209C8">
              <w:t>Konsentrasi Kayu Secang</w:t>
            </w:r>
          </w:p>
        </w:tc>
        <w:tc>
          <w:tcPr>
            <w:tcW w:w="4677" w:type="dxa"/>
            <w:gridSpan w:val="3"/>
            <w:tcBorders>
              <w:left w:val="nil"/>
              <w:bottom w:val="single" w:sz="4" w:space="0" w:color="auto"/>
              <w:right w:val="nil"/>
            </w:tcBorders>
            <w:vAlign w:val="center"/>
          </w:tcPr>
          <w:p w:rsidR="0083513A" w:rsidRPr="003209C8" w:rsidRDefault="0083513A" w:rsidP="00250CD2">
            <w:pPr>
              <w:pStyle w:val="TableParagraph"/>
              <w:jc w:val="center"/>
            </w:pPr>
            <w:r w:rsidRPr="003209C8">
              <w:t>Konsentrasi Karagenan</w:t>
            </w:r>
          </w:p>
        </w:tc>
        <w:tc>
          <w:tcPr>
            <w:tcW w:w="1134" w:type="dxa"/>
            <w:vMerge w:val="restart"/>
            <w:tcBorders>
              <w:left w:val="nil"/>
              <w:bottom w:val="single" w:sz="4" w:space="0" w:color="auto"/>
            </w:tcBorders>
            <w:vAlign w:val="center"/>
          </w:tcPr>
          <w:p w:rsidR="0083513A" w:rsidRPr="003209C8" w:rsidRDefault="0083513A" w:rsidP="00250CD2">
            <w:pPr>
              <w:pStyle w:val="TableParagraph"/>
              <w:jc w:val="center"/>
            </w:pPr>
            <w:r w:rsidRPr="003209C8">
              <w:t>Rata-rata</w:t>
            </w:r>
          </w:p>
        </w:tc>
      </w:tr>
      <w:tr w:rsidR="0083513A" w:rsidRPr="003209C8" w:rsidTr="003209C8">
        <w:tc>
          <w:tcPr>
            <w:tcW w:w="1843" w:type="dxa"/>
            <w:vMerge/>
            <w:tcBorders>
              <w:top w:val="nil"/>
              <w:bottom w:val="single" w:sz="4" w:space="0" w:color="auto"/>
              <w:right w:val="nil"/>
            </w:tcBorders>
            <w:vAlign w:val="center"/>
          </w:tcPr>
          <w:p w:rsidR="0083513A" w:rsidRPr="003209C8" w:rsidRDefault="0083513A" w:rsidP="00250CD2">
            <w:pPr>
              <w:jc w:val="center"/>
            </w:pPr>
          </w:p>
        </w:tc>
        <w:tc>
          <w:tcPr>
            <w:tcW w:w="1559" w:type="dxa"/>
            <w:tcBorders>
              <w:top w:val="single" w:sz="4" w:space="0" w:color="auto"/>
              <w:left w:val="nil"/>
              <w:bottom w:val="single" w:sz="4" w:space="0" w:color="auto"/>
              <w:right w:val="nil"/>
            </w:tcBorders>
            <w:vAlign w:val="center"/>
          </w:tcPr>
          <w:p w:rsidR="0083513A" w:rsidRPr="003209C8" w:rsidRDefault="0083513A" w:rsidP="00250CD2">
            <w:pPr>
              <w:jc w:val="center"/>
            </w:pPr>
            <w:r w:rsidRPr="003209C8">
              <w:t>0,3%</w:t>
            </w:r>
          </w:p>
        </w:tc>
        <w:tc>
          <w:tcPr>
            <w:tcW w:w="1559" w:type="dxa"/>
            <w:tcBorders>
              <w:top w:val="single" w:sz="4" w:space="0" w:color="auto"/>
              <w:left w:val="nil"/>
              <w:bottom w:val="single" w:sz="4" w:space="0" w:color="auto"/>
              <w:right w:val="nil"/>
            </w:tcBorders>
            <w:vAlign w:val="center"/>
          </w:tcPr>
          <w:p w:rsidR="0083513A" w:rsidRPr="003209C8" w:rsidRDefault="0083513A" w:rsidP="00250CD2">
            <w:pPr>
              <w:jc w:val="center"/>
            </w:pPr>
            <w:r w:rsidRPr="003209C8">
              <w:t xml:space="preserve">0,5% </w:t>
            </w:r>
          </w:p>
        </w:tc>
        <w:tc>
          <w:tcPr>
            <w:tcW w:w="1559" w:type="dxa"/>
            <w:tcBorders>
              <w:top w:val="single" w:sz="4" w:space="0" w:color="auto"/>
              <w:left w:val="nil"/>
              <w:bottom w:val="single" w:sz="4" w:space="0" w:color="auto"/>
              <w:right w:val="nil"/>
            </w:tcBorders>
            <w:vAlign w:val="center"/>
          </w:tcPr>
          <w:p w:rsidR="0083513A" w:rsidRPr="003209C8" w:rsidRDefault="0083513A" w:rsidP="00250CD2">
            <w:pPr>
              <w:jc w:val="center"/>
            </w:pPr>
            <w:r w:rsidRPr="003209C8">
              <w:t xml:space="preserve">0,7% </w:t>
            </w:r>
          </w:p>
        </w:tc>
        <w:tc>
          <w:tcPr>
            <w:tcW w:w="1134" w:type="dxa"/>
            <w:vMerge/>
            <w:tcBorders>
              <w:top w:val="nil"/>
              <w:left w:val="nil"/>
              <w:bottom w:val="single" w:sz="4" w:space="0" w:color="auto"/>
            </w:tcBorders>
            <w:vAlign w:val="center"/>
          </w:tcPr>
          <w:p w:rsidR="0083513A" w:rsidRPr="003209C8" w:rsidRDefault="0083513A" w:rsidP="00250CD2">
            <w:pPr>
              <w:jc w:val="center"/>
            </w:pPr>
          </w:p>
        </w:tc>
      </w:tr>
      <w:tr w:rsidR="0083513A" w:rsidRPr="003209C8" w:rsidTr="003209C8">
        <w:tc>
          <w:tcPr>
            <w:tcW w:w="1843" w:type="dxa"/>
            <w:tcBorders>
              <w:top w:val="single" w:sz="4" w:space="0" w:color="auto"/>
              <w:left w:val="nil"/>
              <w:bottom w:val="nil"/>
              <w:right w:val="nil"/>
            </w:tcBorders>
            <w:vAlign w:val="center"/>
          </w:tcPr>
          <w:p w:rsidR="0083513A" w:rsidRPr="003209C8" w:rsidRDefault="0083513A" w:rsidP="00250CD2">
            <w:pPr>
              <w:jc w:val="center"/>
            </w:pPr>
            <w:r w:rsidRPr="003209C8">
              <w:t>3%</w:t>
            </w:r>
          </w:p>
        </w:tc>
        <w:tc>
          <w:tcPr>
            <w:tcW w:w="1559" w:type="dxa"/>
            <w:tcBorders>
              <w:top w:val="single" w:sz="4" w:space="0" w:color="auto"/>
              <w:left w:val="nil"/>
              <w:bottom w:val="nil"/>
              <w:right w:val="nil"/>
            </w:tcBorders>
            <w:vAlign w:val="center"/>
          </w:tcPr>
          <w:p w:rsidR="0083513A" w:rsidRPr="003209C8" w:rsidRDefault="0083513A" w:rsidP="00250CD2">
            <w:pPr>
              <w:ind w:left="340"/>
            </w:pPr>
            <w:r w:rsidRPr="003209C8">
              <w:t>43,24</w:t>
            </w:r>
            <w:r w:rsidRPr="003209C8">
              <w:rPr>
                <w:vertAlign w:val="superscript"/>
              </w:rPr>
              <w:t>c</w:t>
            </w:r>
          </w:p>
        </w:tc>
        <w:tc>
          <w:tcPr>
            <w:tcW w:w="1559" w:type="dxa"/>
            <w:tcBorders>
              <w:top w:val="single" w:sz="4" w:space="0" w:color="auto"/>
              <w:left w:val="nil"/>
              <w:bottom w:val="nil"/>
              <w:right w:val="nil"/>
            </w:tcBorders>
            <w:vAlign w:val="center"/>
          </w:tcPr>
          <w:p w:rsidR="0083513A" w:rsidRPr="003209C8" w:rsidRDefault="0083513A" w:rsidP="00250CD2">
            <w:pPr>
              <w:ind w:left="340"/>
            </w:pPr>
            <w:r w:rsidRPr="003209C8">
              <w:t>41,56</w:t>
            </w:r>
            <w:r w:rsidRPr="003209C8">
              <w:rPr>
                <w:vertAlign w:val="superscript"/>
              </w:rPr>
              <w:t>b</w:t>
            </w:r>
          </w:p>
        </w:tc>
        <w:tc>
          <w:tcPr>
            <w:tcW w:w="1559" w:type="dxa"/>
            <w:tcBorders>
              <w:top w:val="single" w:sz="4" w:space="0" w:color="auto"/>
              <w:left w:val="nil"/>
              <w:bottom w:val="nil"/>
              <w:right w:val="nil"/>
            </w:tcBorders>
            <w:vAlign w:val="center"/>
          </w:tcPr>
          <w:p w:rsidR="0083513A" w:rsidRPr="003209C8" w:rsidRDefault="0083513A" w:rsidP="00250CD2">
            <w:pPr>
              <w:ind w:left="340"/>
            </w:pPr>
            <w:r w:rsidRPr="003209C8">
              <w:t>38,48</w:t>
            </w:r>
            <w:r w:rsidRPr="003209C8">
              <w:rPr>
                <w:vertAlign w:val="superscript"/>
              </w:rPr>
              <w:t>a</w:t>
            </w:r>
          </w:p>
        </w:tc>
        <w:tc>
          <w:tcPr>
            <w:tcW w:w="1134" w:type="dxa"/>
            <w:tcBorders>
              <w:top w:val="single" w:sz="4" w:space="0" w:color="auto"/>
              <w:left w:val="nil"/>
              <w:bottom w:val="nil"/>
              <w:right w:val="nil"/>
            </w:tcBorders>
            <w:vAlign w:val="center"/>
          </w:tcPr>
          <w:p w:rsidR="0083513A" w:rsidRPr="003209C8" w:rsidRDefault="0083513A" w:rsidP="00250CD2">
            <w:pPr>
              <w:jc w:val="center"/>
            </w:pPr>
            <w:r w:rsidRPr="003209C8">
              <w:t>41,09</w:t>
            </w:r>
          </w:p>
        </w:tc>
      </w:tr>
      <w:tr w:rsidR="0083513A" w:rsidRPr="003209C8" w:rsidTr="003209C8">
        <w:tc>
          <w:tcPr>
            <w:tcW w:w="1843" w:type="dxa"/>
            <w:tcBorders>
              <w:top w:val="nil"/>
              <w:left w:val="nil"/>
              <w:bottom w:val="nil"/>
              <w:right w:val="nil"/>
            </w:tcBorders>
            <w:vAlign w:val="center"/>
          </w:tcPr>
          <w:p w:rsidR="0083513A" w:rsidRPr="003209C8" w:rsidRDefault="0083513A" w:rsidP="00250CD2">
            <w:pPr>
              <w:jc w:val="center"/>
            </w:pPr>
            <w:r w:rsidRPr="003209C8">
              <w:t>6%</w:t>
            </w:r>
          </w:p>
        </w:tc>
        <w:tc>
          <w:tcPr>
            <w:tcW w:w="1559" w:type="dxa"/>
            <w:tcBorders>
              <w:top w:val="nil"/>
              <w:left w:val="nil"/>
              <w:bottom w:val="nil"/>
              <w:right w:val="nil"/>
            </w:tcBorders>
            <w:vAlign w:val="center"/>
          </w:tcPr>
          <w:p w:rsidR="0083513A" w:rsidRPr="003209C8" w:rsidRDefault="0083513A" w:rsidP="00250CD2">
            <w:pPr>
              <w:ind w:left="340"/>
            </w:pPr>
            <w:r w:rsidRPr="003209C8">
              <w:t>43,16</w:t>
            </w:r>
            <w:r w:rsidRPr="003209C8">
              <w:rPr>
                <w:vertAlign w:val="superscript"/>
              </w:rPr>
              <w:t>c</w:t>
            </w:r>
          </w:p>
        </w:tc>
        <w:tc>
          <w:tcPr>
            <w:tcW w:w="1559" w:type="dxa"/>
            <w:tcBorders>
              <w:top w:val="nil"/>
              <w:left w:val="nil"/>
              <w:bottom w:val="nil"/>
              <w:right w:val="nil"/>
            </w:tcBorders>
            <w:vAlign w:val="center"/>
          </w:tcPr>
          <w:p w:rsidR="0083513A" w:rsidRPr="003209C8" w:rsidRDefault="0083513A" w:rsidP="00250CD2">
            <w:pPr>
              <w:ind w:left="340"/>
            </w:pPr>
            <w:r w:rsidRPr="003209C8">
              <w:t>41,42</w:t>
            </w:r>
            <w:r w:rsidRPr="003209C8">
              <w:rPr>
                <w:vertAlign w:val="superscript"/>
              </w:rPr>
              <w:t xml:space="preserve">b </w:t>
            </w:r>
          </w:p>
        </w:tc>
        <w:tc>
          <w:tcPr>
            <w:tcW w:w="1559" w:type="dxa"/>
            <w:tcBorders>
              <w:top w:val="nil"/>
              <w:left w:val="nil"/>
              <w:bottom w:val="nil"/>
              <w:right w:val="nil"/>
            </w:tcBorders>
            <w:vAlign w:val="center"/>
          </w:tcPr>
          <w:p w:rsidR="0083513A" w:rsidRPr="003209C8" w:rsidRDefault="0083513A" w:rsidP="00250CD2">
            <w:pPr>
              <w:ind w:left="340"/>
            </w:pPr>
            <w:r w:rsidRPr="003209C8">
              <w:t>39,59</w:t>
            </w:r>
            <w:r w:rsidRPr="003209C8">
              <w:rPr>
                <w:vertAlign w:val="superscript"/>
              </w:rPr>
              <w:t>a</w:t>
            </w:r>
          </w:p>
        </w:tc>
        <w:tc>
          <w:tcPr>
            <w:tcW w:w="1134" w:type="dxa"/>
            <w:tcBorders>
              <w:top w:val="nil"/>
              <w:left w:val="nil"/>
              <w:bottom w:val="nil"/>
              <w:right w:val="nil"/>
            </w:tcBorders>
            <w:vAlign w:val="center"/>
          </w:tcPr>
          <w:p w:rsidR="0083513A" w:rsidRPr="003209C8" w:rsidRDefault="0083513A" w:rsidP="00250CD2">
            <w:pPr>
              <w:jc w:val="center"/>
            </w:pPr>
            <w:r w:rsidRPr="003209C8">
              <w:t>41,39</w:t>
            </w:r>
          </w:p>
        </w:tc>
      </w:tr>
      <w:tr w:rsidR="0083513A" w:rsidRPr="005969F5" w:rsidTr="003209C8">
        <w:tc>
          <w:tcPr>
            <w:tcW w:w="1843" w:type="dxa"/>
            <w:tcBorders>
              <w:top w:val="nil"/>
              <w:left w:val="nil"/>
              <w:bottom w:val="single" w:sz="4" w:space="0" w:color="auto"/>
              <w:right w:val="nil"/>
            </w:tcBorders>
            <w:vAlign w:val="center"/>
          </w:tcPr>
          <w:p w:rsidR="0083513A" w:rsidRPr="005969F5" w:rsidRDefault="0083513A" w:rsidP="00250CD2">
            <w:pPr>
              <w:jc w:val="center"/>
            </w:pPr>
            <w:r w:rsidRPr="005969F5">
              <w:t>9%</w:t>
            </w:r>
          </w:p>
        </w:tc>
        <w:tc>
          <w:tcPr>
            <w:tcW w:w="1559" w:type="dxa"/>
            <w:tcBorders>
              <w:top w:val="nil"/>
              <w:left w:val="nil"/>
              <w:bottom w:val="single" w:sz="4" w:space="0" w:color="auto"/>
              <w:right w:val="nil"/>
            </w:tcBorders>
            <w:vAlign w:val="center"/>
          </w:tcPr>
          <w:p w:rsidR="0083513A" w:rsidRPr="005969F5" w:rsidRDefault="0083513A" w:rsidP="00250CD2">
            <w:pPr>
              <w:ind w:left="340"/>
            </w:pPr>
            <w:r w:rsidRPr="005969F5">
              <w:t>43,32</w:t>
            </w:r>
            <w:r w:rsidRPr="005969F5">
              <w:rPr>
                <w:vertAlign w:val="superscript"/>
              </w:rPr>
              <w:t>c</w:t>
            </w:r>
          </w:p>
        </w:tc>
        <w:tc>
          <w:tcPr>
            <w:tcW w:w="1559" w:type="dxa"/>
            <w:tcBorders>
              <w:top w:val="nil"/>
              <w:left w:val="nil"/>
              <w:bottom w:val="single" w:sz="4" w:space="0" w:color="auto"/>
              <w:right w:val="nil"/>
            </w:tcBorders>
            <w:vAlign w:val="center"/>
          </w:tcPr>
          <w:p w:rsidR="0083513A" w:rsidRPr="005969F5" w:rsidRDefault="0083513A" w:rsidP="00250CD2">
            <w:pPr>
              <w:ind w:left="340"/>
            </w:pPr>
            <w:r w:rsidRPr="005969F5">
              <w:t>41,53</w:t>
            </w:r>
            <w:r w:rsidRPr="005969F5">
              <w:rPr>
                <w:vertAlign w:val="superscript"/>
              </w:rPr>
              <w:t>b</w:t>
            </w:r>
          </w:p>
        </w:tc>
        <w:tc>
          <w:tcPr>
            <w:tcW w:w="1559" w:type="dxa"/>
            <w:tcBorders>
              <w:top w:val="nil"/>
              <w:left w:val="nil"/>
              <w:bottom w:val="single" w:sz="4" w:space="0" w:color="auto"/>
              <w:right w:val="nil"/>
            </w:tcBorders>
            <w:vAlign w:val="center"/>
          </w:tcPr>
          <w:p w:rsidR="0083513A" w:rsidRPr="005969F5" w:rsidRDefault="0083513A" w:rsidP="00250CD2">
            <w:pPr>
              <w:ind w:left="340"/>
            </w:pPr>
            <w:r w:rsidRPr="005969F5">
              <w:t>39,12</w:t>
            </w:r>
            <w:r w:rsidRPr="005969F5">
              <w:rPr>
                <w:vertAlign w:val="superscript"/>
              </w:rPr>
              <w:t>a</w:t>
            </w:r>
          </w:p>
        </w:tc>
        <w:tc>
          <w:tcPr>
            <w:tcW w:w="1134" w:type="dxa"/>
            <w:tcBorders>
              <w:top w:val="nil"/>
              <w:left w:val="nil"/>
              <w:bottom w:val="single" w:sz="4" w:space="0" w:color="auto"/>
              <w:right w:val="nil"/>
            </w:tcBorders>
            <w:vAlign w:val="center"/>
          </w:tcPr>
          <w:p w:rsidR="0083513A" w:rsidRPr="005969F5" w:rsidRDefault="0083513A" w:rsidP="00250CD2">
            <w:pPr>
              <w:jc w:val="center"/>
            </w:pPr>
            <w:r w:rsidRPr="005969F5">
              <w:t>41,32</w:t>
            </w:r>
          </w:p>
        </w:tc>
      </w:tr>
    </w:tbl>
    <w:p w:rsidR="00D9594C" w:rsidRPr="005969F5" w:rsidRDefault="0083513A" w:rsidP="0083513A">
      <w:pPr>
        <w:ind w:left="709"/>
      </w:pPr>
      <w:r w:rsidRPr="005969F5">
        <w:t>Keterangan: Notasi yang berbeda menunjukkan adanya perbedaan nyata (P &gt; 0</w:t>
      </w:r>
      <w:proofErr w:type="gramStart"/>
      <w:r w:rsidRPr="005969F5">
        <w:t>,05</w:t>
      </w:r>
      <w:proofErr w:type="gramEnd"/>
      <w:r w:rsidRPr="005969F5">
        <w:t>).</w:t>
      </w:r>
    </w:p>
    <w:p w:rsidR="00D9594C" w:rsidRPr="005969F5" w:rsidRDefault="00D9594C" w:rsidP="00D9594C">
      <w:pPr>
        <w:ind w:firstLine="567"/>
        <w:jc w:val="both"/>
      </w:pPr>
    </w:p>
    <w:p w:rsidR="005969F5" w:rsidRPr="005969F5" w:rsidRDefault="005969F5" w:rsidP="005969F5">
      <w:pPr>
        <w:ind w:firstLine="567"/>
        <w:jc w:val="both"/>
      </w:pPr>
      <w:r>
        <w:t xml:space="preserve">Berdasarkan </w:t>
      </w:r>
      <w:r w:rsidRPr="005969F5">
        <w:t>Tabel 6</w:t>
      </w:r>
      <w:r>
        <w:t>,</w:t>
      </w:r>
      <w:r w:rsidRPr="005969F5">
        <w:t xml:space="preserve"> menunjukkan </w:t>
      </w:r>
      <w:r>
        <w:t>bahwa n</w:t>
      </w:r>
      <w:r w:rsidRPr="005969F5">
        <w:t xml:space="preserve">ilai sineresis minuman jeli secang menurun seiring dengan besarnya konsentrasi karagenan yang ditambahkan. Menurut Agustin dan Widya (2014), penurunan sineresis tersebut diduga dengan semakin tingginya karagenan maka </w:t>
      </w:r>
      <w:proofErr w:type="gramStart"/>
      <w:r w:rsidRPr="005969F5">
        <w:t>akan</w:t>
      </w:r>
      <w:proofErr w:type="gramEnd"/>
      <w:r w:rsidRPr="005969F5">
        <w:t xml:space="preserve"> terbentuk struktur </w:t>
      </w:r>
      <w:r w:rsidRPr="005969F5">
        <w:rPr>
          <w:i/>
        </w:rPr>
        <w:t>double helix</w:t>
      </w:r>
      <w:r w:rsidRPr="005969F5">
        <w:t xml:space="preserve"> yang kuat sehingga dapat mengikat air, hal ini menyebabkan molekul air dalam gel tidak mudah lepas dan akan mengurangi terjadinya sineresis.</w:t>
      </w:r>
    </w:p>
    <w:p w:rsidR="005969F5" w:rsidRPr="005969F5" w:rsidRDefault="005969F5" w:rsidP="005969F5">
      <w:pPr>
        <w:ind w:firstLine="567"/>
        <w:jc w:val="both"/>
      </w:pPr>
    </w:p>
    <w:p w:rsidR="00D9594C" w:rsidRPr="005969F5" w:rsidRDefault="00D9594C" w:rsidP="005969F5">
      <w:pPr>
        <w:jc w:val="both"/>
        <w:rPr>
          <w:b/>
        </w:rPr>
      </w:pPr>
      <w:r w:rsidRPr="005969F5">
        <w:rPr>
          <w:b/>
        </w:rPr>
        <w:t>Viskositas</w:t>
      </w:r>
    </w:p>
    <w:p w:rsidR="005969F5" w:rsidRPr="005969F5" w:rsidRDefault="005969F5" w:rsidP="005969F5">
      <w:pPr>
        <w:ind w:firstLine="567"/>
        <w:jc w:val="both"/>
      </w:pPr>
      <w:r w:rsidRPr="005969F5">
        <w:t>Hasil uji statistik menunjukkan bahwa perlakuan variasi konsentrasi karagenan memberikan perbedaan yang nyata (α=0</w:t>
      </w:r>
      <w:proofErr w:type="gramStart"/>
      <w:r w:rsidRPr="005969F5">
        <w:t>,05</w:t>
      </w:r>
      <w:proofErr w:type="gramEnd"/>
      <w:r w:rsidRPr="005969F5">
        <w:t xml:space="preserve">), sedangkan perlakuan variasi konsentrasi kayu secang dan interaksi keduanya tidak memberikan perbedaan yang nyata (α=0,05) terhadap nilai viskositas minuman jeli secang. </w:t>
      </w:r>
      <w:proofErr w:type="gramStart"/>
      <w:r w:rsidRPr="005969F5">
        <w:t>Hasil analisis viskositas minuman jeli secang dengan perlakuan variasi konsentrasi kayu secang dan karagenan dapat dilihat pada Tabel 2.</w:t>
      </w:r>
      <w:proofErr w:type="gramEnd"/>
    </w:p>
    <w:p w:rsidR="005969F5" w:rsidRPr="005969F5" w:rsidRDefault="005969F5" w:rsidP="005969F5">
      <w:pPr>
        <w:jc w:val="both"/>
      </w:pPr>
    </w:p>
    <w:p w:rsidR="005969F5" w:rsidRPr="005969F5" w:rsidRDefault="005969F5" w:rsidP="005969F5">
      <w:pPr>
        <w:jc w:val="center"/>
      </w:pPr>
      <w:proofErr w:type="gramStart"/>
      <w:r w:rsidRPr="005969F5">
        <w:t>Tabel 2.</w:t>
      </w:r>
      <w:proofErr w:type="gramEnd"/>
      <w:r w:rsidRPr="005969F5">
        <w:t xml:space="preserve"> Viskositas Minuman Jeli Secang (cP)</w:t>
      </w:r>
    </w:p>
    <w:tbl>
      <w:tblPr>
        <w:tblStyle w:val="TableGrid"/>
        <w:tblW w:w="7654" w:type="dxa"/>
        <w:tblInd w:w="817" w:type="dxa"/>
        <w:tblBorders>
          <w:left w:val="none" w:sz="0" w:space="0" w:color="auto"/>
          <w:right w:val="none" w:sz="0" w:space="0" w:color="auto"/>
        </w:tblBorders>
        <w:tblLook w:val="04A0" w:firstRow="1" w:lastRow="0" w:firstColumn="1" w:lastColumn="0" w:noHBand="0" w:noVBand="1"/>
      </w:tblPr>
      <w:tblGrid>
        <w:gridCol w:w="1843"/>
        <w:gridCol w:w="1559"/>
        <w:gridCol w:w="1559"/>
        <w:gridCol w:w="1559"/>
        <w:gridCol w:w="1134"/>
      </w:tblGrid>
      <w:tr w:rsidR="005969F5" w:rsidRPr="0092713F" w:rsidTr="005969F5">
        <w:tc>
          <w:tcPr>
            <w:tcW w:w="1843" w:type="dxa"/>
            <w:vMerge w:val="restart"/>
            <w:tcBorders>
              <w:bottom w:val="single" w:sz="4" w:space="0" w:color="auto"/>
              <w:right w:val="nil"/>
            </w:tcBorders>
            <w:vAlign w:val="center"/>
          </w:tcPr>
          <w:p w:rsidR="005969F5" w:rsidRPr="0092713F" w:rsidRDefault="005969F5" w:rsidP="0092713F">
            <w:pPr>
              <w:pStyle w:val="TableParagraph"/>
              <w:jc w:val="center"/>
            </w:pPr>
            <w:r w:rsidRPr="0092713F">
              <w:t>Konsentrasi Kayu Secang</w:t>
            </w:r>
          </w:p>
        </w:tc>
        <w:tc>
          <w:tcPr>
            <w:tcW w:w="4677" w:type="dxa"/>
            <w:gridSpan w:val="3"/>
            <w:tcBorders>
              <w:left w:val="nil"/>
              <w:bottom w:val="single" w:sz="4" w:space="0" w:color="auto"/>
              <w:right w:val="nil"/>
            </w:tcBorders>
            <w:vAlign w:val="center"/>
          </w:tcPr>
          <w:p w:rsidR="005969F5" w:rsidRPr="0092713F" w:rsidRDefault="005969F5" w:rsidP="0092713F">
            <w:pPr>
              <w:pStyle w:val="TableParagraph"/>
              <w:jc w:val="center"/>
            </w:pPr>
            <w:r w:rsidRPr="0092713F">
              <w:t>Konsentrasi Karagenan</w:t>
            </w:r>
          </w:p>
        </w:tc>
        <w:tc>
          <w:tcPr>
            <w:tcW w:w="1134" w:type="dxa"/>
            <w:vMerge w:val="restart"/>
            <w:tcBorders>
              <w:left w:val="nil"/>
              <w:bottom w:val="single" w:sz="4" w:space="0" w:color="auto"/>
            </w:tcBorders>
            <w:vAlign w:val="center"/>
          </w:tcPr>
          <w:p w:rsidR="005969F5" w:rsidRPr="0092713F" w:rsidRDefault="005969F5" w:rsidP="0092713F">
            <w:pPr>
              <w:pStyle w:val="TableParagraph"/>
              <w:jc w:val="center"/>
            </w:pPr>
            <w:r w:rsidRPr="0092713F">
              <w:t>Rata-rata</w:t>
            </w:r>
          </w:p>
        </w:tc>
      </w:tr>
      <w:tr w:rsidR="005969F5" w:rsidRPr="0092713F" w:rsidTr="005969F5">
        <w:tc>
          <w:tcPr>
            <w:tcW w:w="1843" w:type="dxa"/>
            <w:vMerge/>
            <w:tcBorders>
              <w:top w:val="nil"/>
              <w:bottom w:val="single" w:sz="4" w:space="0" w:color="auto"/>
              <w:right w:val="nil"/>
            </w:tcBorders>
            <w:vAlign w:val="center"/>
          </w:tcPr>
          <w:p w:rsidR="005969F5" w:rsidRPr="0092713F" w:rsidRDefault="005969F5" w:rsidP="0092713F">
            <w:pPr>
              <w:jc w:val="center"/>
            </w:pPr>
          </w:p>
        </w:tc>
        <w:tc>
          <w:tcPr>
            <w:tcW w:w="1559" w:type="dxa"/>
            <w:tcBorders>
              <w:top w:val="single" w:sz="4" w:space="0" w:color="auto"/>
              <w:left w:val="nil"/>
              <w:bottom w:val="single" w:sz="4" w:space="0" w:color="auto"/>
              <w:right w:val="nil"/>
            </w:tcBorders>
            <w:vAlign w:val="center"/>
          </w:tcPr>
          <w:p w:rsidR="005969F5" w:rsidRPr="0092713F" w:rsidRDefault="005969F5" w:rsidP="0092713F">
            <w:pPr>
              <w:jc w:val="center"/>
            </w:pPr>
            <w:r w:rsidRPr="0092713F">
              <w:t>0,3%</w:t>
            </w:r>
          </w:p>
        </w:tc>
        <w:tc>
          <w:tcPr>
            <w:tcW w:w="1559" w:type="dxa"/>
            <w:tcBorders>
              <w:top w:val="single" w:sz="4" w:space="0" w:color="auto"/>
              <w:left w:val="nil"/>
              <w:bottom w:val="single" w:sz="4" w:space="0" w:color="auto"/>
              <w:right w:val="nil"/>
            </w:tcBorders>
            <w:vAlign w:val="center"/>
          </w:tcPr>
          <w:p w:rsidR="005969F5" w:rsidRPr="0092713F" w:rsidRDefault="005969F5" w:rsidP="0092713F">
            <w:pPr>
              <w:jc w:val="center"/>
            </w:pPr>
            <w:r w:rsidRPr="0092713F">
              <w:t>0,5%</w:t>
            </w:r>
          </w:p>
        </w:tc>
        <w:tc>
          <w:tcPr>
            <w:tcW w:w="1559" w:type="dxa"/>
            <w:tcBorders>
              <w:top w:val="single" w:sz="4" w:space="0" w:color="auto"/>
              <w:left w:val="nil"/>
              <w:bottom w:val="single" w:sz="4" w:space="0" w:color="auto"/>
              <w:right w:val="nil"/>
            </w:tcBorders>
            <w:vAlign w:val="center"/>
          </w:tcPr>
          <w:p w:rsidR="005969F5" w:rsidRPr="0092713F" w:rsidRDefault="005969F5" w:rsidP="0092713F">
            <w:pPr>
              <w:jc w:val="center"/>
            </w:pPr>
            <w:r w:rsidRPr="0092713F">
              <w:t>0,7%</w:t>
            </w:r>
          </w:p>
        </w:tc>
        <w:tc>
          <w:tcPr>
            <w:tcW w:w="1134" w:type="dxa"/>
            <w:vMerge/>
            <w:tcBorders>
              <w:top w:val="nil"/>
              <w:left w:val="nil"/>
              <w:bottom w:val="single" w:sz="4" w:space="0" w:color="auto"/>
            </w:tcBorders>
            <w:vAlign w:val="center"/>
          </w:tcPr>
          <w:p w:rsidR="005969F5" w:rsidRPr="0092713F" w:rsidRDefault="005969F5" w:rsidP="0092713F">
            <w:pPr>
              <w:jc w:val="center"/>
            </w:pPr>
          </w:p>
        </w:tc>
      </w:tr>
      <w:tr w:rsidR="005969F5" w:rsidRPr="0092713F" w:rsidTr="005969F5">
        <w:tc>
          <w:tcPr>
            <w:tcW w:w="1843" w:type="dxa"/>
            <w:tcBorders>
              <w:top w:val="single" w:sz="4" w:space="0" w:color="auto"/>
              <w:left w:val="nil"/>
              <w:bottom w:val="nil"/>
              <w:right w:val="nil"/>
            </w:tcBorders>
            <w:vAlign w:val="center"/>
          </w:tcPr>
          <w:p w:rsidR="005969F5" w:rsidRPr="0092713F" w:rsidRDefault="005969F5" w:rsidP="0092713F">
            <w:pPr>
              <w:jc w:val="center"/>
            </w:pPr>
            <w:r w:rsidRPr="0092713F">
              <w:t>3%</w:t>
            </w:r>
          </w:p>
        </w:tc>
        <w:tc>
          <w:tcPr>
            <w:tcW w:w="1559" w:type="dxa"/>
            <w:tcBorders>
              <w:top w:val="single" w:sz="4" w:space="0" w:color="auto"/>
              <w:left w:val="nil"/>
              <w:bottom w:val="nil"/>
              <w:right w:val="nil"/>
            </w:tcBorders>
            <w:vAlign w:val="center"/>
          </w:tcPr>
          <w:p w:rsidR="005969F5" w:rsidRPr="0092713F" w:rsidRDefault="005969F5" w:rsidP="0092713F">
            <w:pPr>
              <w:ind w:left="510"/>
            </w:pPr>
            <w:r w:rsidRPr="0092713F">
              <w:t>900</w:t>
            </w:r>
            <w:r w:rsidRPr="0092713F">
              <w:rPr>
                <w:vertAlign w:val="superscript"/>
              </w:rPr>
              <w:t>a</w:t>
            </w:r>
          </w:p>
        </w:tc>
        <w:tc>
          <w:tcPr>
            <w:tcW w:w="1559" w:type="dxa"/>
            <w:tcBorders>
              <w:top w:val="single" w:sz="4" w:space="0" w:color="auto"/>
              <w:left w:val="nil"/>
              <w:bottom w:val="nil"/>
              <w:right w:val="nil"/>
            </w:tcBorders>
            <w:vAlign w:val="center"/>
          </w:tcPr>
          <w:p w:rsidR="005969F5" w:rsidRPr="0092713F" w:rsidRDefault="005969F5" w:rsidP="0092713F">
            <w:pPr>
              <w:ind w:left="397"/>
            </w:pPr>
            <w:r w:rsidRPr="0092713F">
              <w:t>9.625</w:t>
            </w:r>
            <w:r w:rsidRPr="0092713F">
              <w:rPr>
                <w:vertAlign w:val="superscript"/>
              </w:rPr>
              <w:t>b</w:t>
            </w:r>
          </w:p>
        </w:tc>
        <w:tc>
          <w:tcPr>
            <w:tcW w:w="1559" w:type="dxa"/>
            <w:tcBorders>
              <w:top w:val="single" w:sz="4" w:space="0" w:color="auto"/>
              <w:left w:val="nil"/>
              <w:bottom w:val="nil"/>
              <w:right w:val="nil"/>
            </w:tcBorders>
            <w:vAlign w:val="center"/>
          </w:tcPr>
          <w:p w:rsidR="005969F5" w:rsidRPr="0092713F" w:rsidRDefault="005969F5" w:rsidP="0092713F">
            <w:pPr>
              <w:ind w:left="284"/>
            </w:pPr>
            <w:r w:rsidRPr="0092713F">
              <w:t>30.673</w:t>
            </w:r>
            <w:r w:rsidRPr="0092713F">
              <w:rPr>
                <w:vertAlign w:val="superscript"/>
              </w:rPr>
              <w:t>c</w:t>
            </w:r>
          </w:p>
        </w:tc>
        <w:tc>
          <w:tcPr>
            <w:tcW w:w="1134" w:type="dxa"/>
            <w:tcBorders>
              <w:top w:val="single" w:sz="4" w:space="0" w:color="auto"/>
              <w:left w:val="nil"/>
              <w:bottom w:val="nil"/>
              <w:right w:val="nil"/>
            </w:tcBorders>
            <w:vAlign w:val="center"/>
          </w:tcPr>
          <w:p w:rsidR="005969F5" w:rsidRPr="0092713F" w:rsidRDefault="005969F5" w:rsidP="0092713F">
            <w:pPr>
              <w:jc w:val="center"/>
            </w:pPr>
            <w:r w:rsidRPr="0092713F">
              <w:t>13.733</w:t>
            </w:r>
          </w:p>
        </w:tc>
      </w:tr>
      <w:tr w:rsidR="005969F5" w:rsidRPr="0092713F" w:rsidTr="005969F5">
        <w:tc>
          <w:tcPr>
            <w:tcW w:w="1843" w:type="dxa"/>
            <w:tcBorders>
              <w:top w:val="nil"/>
              <w:left w:val="nil"/>
              <w:bottom w:val="nil"/>
              <w:right w:val="nil"/>
            </w:tcBorders>
            <w:vAlign w:val="center"/>
          </w:tcPr>
          <w:p w:rsidR="005969F5" w:rsidRPr="0092713F" w:rsidRDefault="005969F5" w:rsidP="0092713F">
            <w:pPr>
              <w:jc w:val="center"/>
            </w:pPr>
            <w:r w:rsidRPr="0092713F">
              <w:t>6%</w:t>
            </w:r>
          </w:p>
        </w:tc>
        <w:tc>
          <w:tcPr>
            <w:tcW w:w="1559" w:type="dxa"/>
            <w:tcBorders>
              <w:top w:val="nil"/>
              <w:left w:val="nil"/>
              <w:bottom w:val="nil"/>
              <w:right w:val="nil"/>
            </w:tcBorders>
            <w:vAlign w:val="center"/>
          </w:tcPr>
          <w:p w:rsidR="005969F5" w:rsidRPr="0092713F" w:rsidRDefault="005969F5" w:rsidP="0092713F">
            <w:pPr>
              <w:ind w:left="340"/>
            </w:pPr>
            <w:r w:rsidRPr="0092713F">
              <w:t>1.225</w:t>
            </w:r>
            <w:r w:rsidRPr="0092713F">
              <w:rPr>
                <w:vertAlign w:val="superscript"/>
              </w:rPr>
              <w:t>a</w:t>
            </w:r>
          </w:p>
        </w:tc>
        <w:tc>
          <w:tcPr>
            <w:tcW w:w="1559" w:type="dxa"/>
            <w:tcBorders>
              <w:top w:val="nil"/>
              <w:left w:val="nil"/>
              <w:bottom w:val="nil"/>
              <w:right w:val="nil"/>
            </w:tcBorders>
            <w:vAlign w:val="center"/>
          </w:tcPr>
          <w:p w:rsidR="005969F5" w:rsidRPr="0092713F" w:rsidRDefault="005969F5" w:rsidP="0092713F">
            <w:pPr>
              <w:ind w:left="284"/>
            </w:pPr>
            <w:r w:rsidRPr="0092713F">
              <w:t>10.174</w:t>
            </w:r>
            <w:r w:rsidRPr="0092713F">
              <w:rPr>
                <w:vertAlign w:val="superscript"/>
              </w:rPr>
              <w:t xml:space="preserve">b </w:t>
            </w:r>
          </w:p>
        </w:tc>
        <w:tc>
          <w:tcPr>
            <w:tcW w:w="1559" w:type="dxa"/>
            <w:tcBorders>
              <w:top w:val="nil"/>
              <w:left w:val="nil"/>
              <w:bottom w:val="nil"/>
              <w:right w:val="nil"/>
            </w:tcBorders>
            <w:vAlign w:val="center"/>
          </w:tcPr>
          <w:p w:rsidR="005969F5" w:rsidRPr="0092713F" w:rsidRDefault="005969F5" w:rsidP="0092713F">
            <w:pPr>
              <w:ind w:left="284"/>
            </w:pPr>
            <w:r w:rsidRPr="0092713F">
              <w:t>29.648</w:t>
            </w:r>
            <w:r w:rsidRPr="0092713F">
              <w:rPr>
                <w:vertAlign w:val="superscript"/>
              </w:rPr>
              <w:t>c</w:t>
            </w:r>
          </w:p>
        </w:tc>
        <w:tc>
          <w:tcPr>
            <w:tcW w:w="1134" w:type="dxa"/>
            <w:tcBorders>
              <w:top w:val="nil"/>
              <w:left w:val="nil"/>
              <w:bottom w:val="nil"/>
              <w:right w:val="nil"/>
            </w:tcBorders>
            <w:vAlign w:val="center"/>
          </w:tcPr>
          <w:p w:rsidR="005969F5" w:rsidRPr="0092713F" w:rsidRDefault="005969F5" w:rsidP="0092713F">
            <w:pPr>
              <w:jc w:val="center"/>
            </w:pPr>
            <w:r w:rsidRPr="0092713F">
              <w:t>13.682</w:t>
            </w:r>
          </w:p>
        </w:tc>
      </w:tr>
      <w:tr w:rsidR="005969F5" w:rsidRPr="0092713F" w:rsidTr="005969F5">
        <w:tc>
          <w:tcPr>
            <w:tcW w:w="1843" w:type="dxa"/>
            <w:tcBorders>
              <w:top w:val="nil"/>
              <w:left w:val="nil"/>
              <w:bottom w:val="single" w:sz="4" w:space="0" w:color="auto"/>
              <w:right w:val="nil"/>
            </w:tcBorders>
            <w:vAlign w:val="center"/>
          </w:tcPr>
          <w:p w:rsidR="005969F5" w:rsidRPr="0092713F" w:rsidRDefault="005969F5" w:rsidP="0092713F">
            <w:pPr>
              <w:jc w:val="center"/>
            </w:pPr>
            <w:r w:rsidRPr="0092713F">
              <w:t>9%</w:t>
            </w:r>
          </w:p>
        </w:tc>
        <w:tc>
          <w:tcPr>
            <w:tcW w:w="1559" w:type="dxa"/>
            <w:tcBorders>
              <w:top w:val="nil"/>
              <w:left w:val="nil"/>
              <w:bottom w:val="single" w:sz="4" w:space="0" w:color="auto"/>
              <w:right w:val="nil"/>
            </w:tcBorders>
            <w:vAlign w:val="center"/>
          </w:tcPr>
          <w:p w:rsidR="005969F5" w:rsidRPr="0092713F" w:rsidRDefault="005969F5" w:rsidP="0092713F">
            <w:pPr>
              <w:ind w:left="510"/>
            </w:pPr>
            <w:r w:rsidRPr="0092713F">
              <w:t>775</w:t>
            </w:r>
            <w:r w:rsidRPr="0092713F">
              <w:rPr>
                <w:vertAlign w:val="superscript"/>
              </w:rPr>
              <w:t>a</w:t>
            </w:r>
          </w:p>
        </w:tc>
        <w:tc>
          <w:tcPr>
            <w:tcW w:w="1559" w:type="dxa"/>
            <w:tcBorders>
              <w:top w:val="nil"/>
              <w:left w:val="nil"/>
              <w:bottom w:val="single" w:sz="4" w:space="0" w:color="auto"/>
              <w:right w:val="nil"/>
            </w:tcBorders>
            <w:vAlign w:val="center"/>
          </w:tcPr>
          <w:p w:rsidR="005969F5" w:rsidRPr="0092713F" w:rsidRDefault="005969F5" w:rsidP="0092713F">
            <w:pPr>
              <w:ind w:left="284"/>
            </w:pPr>
            <w:r w:rsidRPr="0092713F">
              <w:t>13.023</w:t>
            </w:r>
            <w:r w:rsidRPr="0092713F">
              <w:rPr>
                <w:vertAlign w:val="superscript"/>
              </w:rPr>
              <w:t>b</w:t>
            </w:r>
          </w:p>
        </w:tc>
        <w:tc>
          <w:tcPr>
            <w:tcW w:w="1559" w:type="dxa"/>
            <w:tcBorders>
              <w:top w:val="nil"/>
              <w:left w:val="nil"/>
              <w:bottom w:val="single" w:sz="4" w:space="0" w:color="auto"/>
              <w:right w:val="nil"/>
            </w:tcBorders>
            <w:vAlign w:val="center"/>
          </w:tcPr>
          <w:p w:rsidR="005969F5" w:rsidRPr="0092713F" w:rsidRDefault="005969F5" w:rsidP="0092713F">
            <w:pPr>
              <w:ind w:left="284"/>
            </w:pPr>
            <w:r w:rsidRPr="0092713F">
              <w:t>35.530</w:t>
            </w:r>
            <w:r w:rsidRPr="0092713F">
              <w:rPr>
                <w:vertAlign w:val="superscript"/>
              </w:rPr>
              <w:t>c</w:t>
            </w:r>
          </w:p>
        </w:tc>
        <w:tc>
          <w:tcPr>
            <w:tcW w:w="1134" w:type="dxa"/>
            <w:tcBorders>
              <w:top w:val="nil"/>
              <w:left w:val="nil"/>
              <w:bottom w:val="single" w:sz="4" w:space="0" w:color="auto"/>
              <w:right w:val="nil"/>
            </w:tcBorders>
            <w:vAlign w:val="center"/>
          </w:tcPr>
          <w:p w:rsidR="005969F5" w:rsidRPr="0092713F" w:rsidRDefault="005969F5" w:rsidP="0092713F">
            <w:pPr>
              <w:jc w:val="center"/>
            </w:pPr>
            <w:r w:rsidRPr="0092713F">
              <w:t>16.443</w:t>
            </w:r>
          </w:p>
        </w:tc>
      </w:tr>
    </w:tbl>
    <w:p w:rsidR="005969F5" w:rsidRPr="0092713F" w:rsidRDefault="005969F5" w:rsidP="0092713F">
      <w:pPr>
        <w:ind w:left="709"/>
      </w:pPr>
      <w:r w:rsidRPr="0092713F">
        <w:t>Keterangan: Notasi yang berbeda menunjukkan adanya perbedaan nyata (P &gt; 0</w:t>
      </w:r>
      <w:proofErr w:type="gramStart"/>
      <w:r w:rsidRPr="0092713F">
        <w:t>,05</w:t>
      </w:r>
      <w:proofErr w:type="gramEnd"/>
      <w:r w:rsidRPr="0092713F">
        <w:t>).</w:t>
      </w:r>
    </w:p>
    <w:p w:rsidR="005969F5" w:rsidRPr="0092713F" w:rsidRDefault="005969F5" w:rsidP="0092713F">
      <w:pPr>
        <w:tabs>
          <w:tab w:val="left" w:pos="1560"/>
        </w:tabs>
      </w:pPr>
    </w:p>
    <w:p w:rsidR="0092713F" w:rsidRPr="0092713F" w:rsidRDefault="0092713F" w:rsidP="0092713F">
      <w:pPr>
        <w:ind w:firstLine="567"/>
        <w:jc w:val="both"/>
      </w:pPr>
      <w:r>
        <w:t>Berdasarkan Tabel 2,</w:t>
      </w:r>
      <w:r w:rsidRPr="0092713F">
        <w:t xml:space="preserve"> menunjukkan</w:t>
      </w:r>
      <w:r>
        <w:t xml:space="preserve"> bahwa</w:t>
      </w:r>
      <w:r w:rsidRPr="0092713F">
        <w:t xml:space="preserve"> </w:t>
      </w:r>
      <w:r>
        <w:t>n</w:t>
      </w:r>
      <w:r w:rsidRPr="0092713F">
        <w:t xml:space="preserve">ilai viskositas minuman jeli secang meningkat seiring dengan besarnya konsentrasi karagenan yang ditambahkan. Menurut Agustin dan Widya (2014), peningkatan nilai viskositas tersebut diduga karagenan </w:t>
      </w:r>
      <w:proofErr w:type="gramStart"/>
      <w:r w:rsidRPr="0092713F">
        <w:t>akan</w:t>
      </w:r>
      <w:proofErr w:type="gramEnd"/>
      <w:r w:rsidRPr="0092713F">
        <w:t xml:space="preserve"> mengikat air dalam jumlah besar yang menyebabkan ruang antar partikel menjadi lebih sempit sehingga semakin banyak air yang terikat dan terperangkap menjadikan larutan bersifat keras. </w:t>
      </w:r>
      <w:proofErr w:type="gramStart"/>
      <w:r w:rsidRPr="0092713F">
        <w:t>Karagenan memiliki kemampuan dalam membentuk gel.</w:t>
      </w:r>
      <w:proofErr w:type="gramEnd"/>
      <w:r w:rsidRPr="0092713F">
        <w:t xml:space="preserve"> Gel pada minuman jeli dapat terbentuk karena adanya ikatan silang rantai polimer hingga membentuk suatu jala tiga dimensi yang saling bersambungan, struktur jala ini menangkap air yang ada di dalamnya sehingga terbentuk struktur koloid yang kuat dan kaku (Winarno, 2004).</w:t>
      </w:r>
    </w:p>
    <w:p w:rsidR="005969F5" w:rsidRPr="0092713F" w:rsidRDefault="005969F5" w:rsidP="0092713F">
      <w:pPr>
        <w:jc w:val="both"/>
      </w:pPr>
    </w:p>
    <w:p w:rsidR="00D9594C" w:rsidRPr="00B84EC6" w:rsidRDefault="00D9594C" w:rsidP="0092713F">
      <w:pPr>
        <w:jc w:val="both"/>
        <w:rPr>
          <w:b/>
        </w:rPr>
      </w:pPr>
      <w:r w:rsidRPr="00B84EC6">
        <w:rPr>
          <w:b/>
        </w:rPr>
        <w:t>Sifat Kimia</w:t>
      </w:r>
    </w:p>
    <w:p w:rsidR="00D9594C" w:rsidRPr="00B84EC6" w:rsidRDefault="00D9594C" w:rsidP="0092713F">
      <w:pPr>
        <w:jc w:val="both"/>
        <w:rPr>
          <w:b/>
        </w:rPr>
      </w:pPr>
      <w:r w:rsidRPr="00B84EC6">
        <w:rPr>
          <w:b/>
        </w:rPr>
        <w:t>Kadar Air</w:t>
      </w:r>
    </w:p>
    <w:p w:rsidR="0092713F" w:rsidRPr="0092713F" w:rsidRDefault="0092713F" w:rsidP="0092713F">
      <w:pPr>
        <w:ind w:firstLine="567"/>
        <w:jc w:val="both"/>
      </w:pPr>
      <w:r w:rsidRPr="0092713F">
        <w:t>Hasil uji statistik menunjukkan bahwa perlakuan variasi konsentrasi karagenan memberikan perbedaan yang nyata (α=0</w:t>
      </w:r>
      <w:proofErr w:type="gramStart"/>
      <w:r w:rsidRPr="0092713F">
        <w:t>,05</w:t>
      </w:r>
      <w:proofErr w:type="gramEnd"/>
      <w:r w:rsidRPr="0092713F">
        <w:t xml:space="preserve">), sedangkan perlakuan variasi konsentrasi kayu secang dan interaksi keduanya tidak memberikan perbedaan yang nyata (α=0,05) terhadap nilai kadar air minuman jeli secang. Hasil analisis </w:t>
      </w:r>
      <w:proofErr w:type="gramStart"/>
      <w:r w:rsidRPr="0092713F">
        <w:t>kadar</w:t>
      </w:r>
      <w:proofErr w:type="gramEnd"/>
      <w:r w:rsidRPr="0092713F">
        <w:t xml:space="preserve"> air minuman jeli secang dengan perlakuan variasi konsentrasi kayu secang dan karagenan dapat dilihat pada Tabel 3.</w:t>
      </w:r>
    </w:p>
    <w:p w:rsidR="0092713F" w:rsidRPr="0092713F" w:rsidRDefault="0092713F" w:rsidP="0092713F">
      <w:pPr>
        <w:ind w:firstLine="567"/>
        <w:jc w:val="both"/>
      </w:pPr>
    </w:p>
    <w:p w:rsidR="0092713F" w:rsidRPr="0092713F" w:rsidRDefault="0092713F" w:rsidP="0092713F">
      <w:pPr>
        <w:jc w:val="center"/>
      </w:pPr>
      <w:proofErr w:type="gramStart"/>
      <w:r w:rsidRPr="0092713F">
        <w:t>Tabel 3.</w:t>
      </w:r>
      <w:proofErr w:type="gramEnd"/>
      <w:r w:rsidRPr="0092713F">
        <w:t xml:space="preserve"> Kadar Air Minuman Jeli Secang (% bb)</w:t>
      </w:r>
    </w:p>
    <w:tbl>
      <w:tblPr>
        <w:tblStyle w:val="TableGrid"/>
        <w:tblW w:w="7654" w:type="dxa"/>
        <w:tblInd w:w="817" w:type="dxa"/>
        <w:tblBorders>
          <w:left w:val="none" w:sz="0" w:space="0" w:color="auto"/>
          <w:right w:val="none" w:sz="0" w:space="0" w:color="auto"/>
        </w:tblBorders>
        <w:tblLook w:val="04A0" w:firstRow="1" w:lastRow="0" w:firstColumn="1" w:lastColumn="0" w:noHBand="0" w:noVBand="1"/>
      </w:tblPr>
      <w:tblGrid>
        <w:gridCol w:w="1843"/>
        <w:gridCol w:w="1559"/>
        <w:gridCol w:w="1559"/>
        <w:gridCol w:w="1559"/>
        <w:gridCol w:w="1134"/>
      </w:tblGrid>
      <w:tr w:rsidR="0092713F" w:rsidRPr="00B84EC6" w:rsidTr="0092713F">
        <w:tc>
          <w:tcPr>
            <w:tcW w:w="1843" w:type="dxa"/>
            <w:vMerge w:val="restart"/>
            <w:tcBorders>
              <w:bottom w:val="single" w:sz="4" w:space="0" w:color="auto"/>
              <w:right w:val="nil"/>
            </w:tcBorders>
            <w:vAlign w:val="center"/>
          </w:tcPr>
          <w:p w:rsidR="0092713F" w:rsidRPr="00B84EC6" w:rsidRDefault="0092713F" w:rsidP="00B84EC6">
            <w:pPr>
              <w:pStyle w:val="TableParagraph"/>
              <w:jc w:val="center"/>
            </w:pPr>
            <w:r w:rsidRPr="00B84EC6">
              <w:t>Konsentrasi Kayu Secang</w:t>
            </w:r>
          </w:p>
        </w:tc>
        <w:tc>
          <w:tcPr>
            <w:tcW w:w="4677" w:type="dxa"/>
            <w:gridSpan w:val="3"/>
            <w:tcBorders>
              <w:left w:val="nil"/>
              <w:bottom w:val="single" w:sz="4" w:space="0" w:color="auto"/>
              <w:right w:val="nil"/>
            </w:tcBorders>
            <w:vAlign w:val="center"/>
          </w:tcPr>
          <w:p w:rsidR="0092713F" w:rsidRPr="00B84EC6" w:rsidRDefault="0092713F" w:rsidP="00B84EC6">
            <w:pPr>
              <w:pStyle w:val="TableParagraph"/>
              <w:jc w:val="center"/>
            </w:pPr>
            <w:r w:rsidRPr="00B84EC6">
              <w:t>Konsentrasi Karagenan</w:t>
            </w:r>
          </w:p>
        </w:tc>
        <w:tc>
          <w:tcPr>
            <w:tcW w:w="1134" w:type="dxa"/>
            <w:vMerge w:val="restart"/>
            <w:tcBorders>
              <w:left w:val="nil"/>
              <w:bottom w:val="single" w:sz="4" w:space="0" w:color="auto"/>
            </w:tcBorders>
            <w:vAlign w:val="center"/>
          </w:tcPr>
          <w:p w:rsidR="0092713F" w:rsidRPr="00B84EC6" w:rsidRDefault="0092713F" w:rsidP="00B84EC6">
            <w:pPr>
              <w:pStyle w:val="TableParagraph"/>
              <w:jc w:val="center"/>
            </w:pPr>
            <w:r w:rsidRPr="00B84EC6">
              <w:t>Rata-rata</w:t>
            </w:r>
          </w:p>
        </w:tc>
      </w:tr>
      <w:tr w:rsidR="0092713F" w:rsidRPr="00B84EC6" w:rsidTr="0092713F">
        <w:tc>
          <w:tcPr>
            <w:tcW w:w="1843" w:type="dxa"/>
            <w:vMerge/>
            <w:tcBorders>
              <w:top w:val="nil"/>
              <w:bottom w:val="single" w:sz="4" w:space="0" w:color="auto"/>
              <w:right w:val="nil"/>
            </w:tcBorders>
            <w:vAlign w:val="center"/>
          </w:tcPr>
          <w:p w:rsidR="0092713F" w:rsidRPr="00B84EC6" w:rsidRDefault="0092713F" w:rsidP="00B84EC6">
            <w:pPr>
              <w:jc w:val="center"/>
            </w:pPr>
          </w:p>
        </w:tc>
        <w:tc>
          <w:tcPr>
            <w:tcW w:w="1559" w:type="dxa"/>
            <w:tcBorders>
              <w:top w:val="single" w:sz="4" w:space="0" w:color="auto"/>
              <w:left w:val="nil"/>
              <w:bottom w:val="single" w:sz="4" w:space="0" w:color="auto"/>
              <w:right w:val="nil"/>
            </w:tcBorders>
            <w:vAlign w:val="center"/>
          </w:tcPr>
          <w:p w:rsidR="0092713F" w:rsidRPr="00B84EC6" w:rsidRDefault="0092713F" w:rsidP="00B84EC6">
            <w:pPr>
              <w:jc w:val="center"/>
            </w:pPr>
            <w:r w:rsidRPr="00B84EC6">
              <w:t>0,3%</w:t>
            </w:r>
          </w:p>
        </w:tc>
        <w:tc>
          <w:tcPr>
            <w:tcW w:w="1559" w:type="dxa"/>
            <w:tcBorders>
              <w:top w:val="single" w:sz="4" w:space="0" w:color="auto"/>
              <w:left w:val="nil"/>
              <w:bottom w:val="single" w:sz="4" w:space="0" w:color="auto"/>
              <w:right w:val="nil"/>
            </w:tcBorders>
            <w:vAlign w:val="center"/>
          </w:tcPr>
          <w:p w:rsidR="0092713F" w:rsidRPr="00B84EC6" w:rsidRDefault="0092713F" w:rsidP="00B84EC6">
            <w:pPr>
              <w:jc w:val="center"/>
            </w:pPr>
            <w:r w:rsidRPr="00B84EC6">
              <w:t>0,5%</w:t>
            </w:r>
          </w:p>
        </w:tc>
        <w:tc>
          <w:tcPr>
            <w:tcW w:w="1559" w:type="dxa"/>
            <w:tcBorders>
              <w:top w:val="single" w:sz="4" w:space="0" w:color="auto"/>
              <w:left w:val="nil"/>
              <w:bottom w:val="single" w:sz="4" w:space="0" w:color="auto"/>
              <w:right w:val="nil"/>
            </w:tcBorders>
            <w:vAlign w:val="center"/>
          </w:tcPr>
          <w:p w:rsidR="0092713F" w:rsidRPr="00B84EC6" w:rsidRDefault="0092713F" w:rsidP="00B84EC6">
            <w:pPr>
              <w:jc w:val="center"/>
            </w:pPr>
            <w:r w:rsidRPr="00B84EC6">
              <w:t>0,7%</w:t>
            </w:r>
          </w:p>
        </w:tc>
        <w:tc>
          <w:tcPr>
            <w:tcW w:w="1134" w:type="dxa"/>
            <w:vMerge/>
            <w:tcBorders>
              <w:top w:val="nil"/>
              <w:left w:val="nil"/>
              <w:bottom w:val="single" w:sz="4" w:space="0" w:color="auto"/>
            </w:tcBorders>
            <w:vAlign w:val="center"/>
          </w:tcPr>
          <w:p w:rsidR="0092713F" w:rsidRPr="00B84EC6" w:rsidRDefault="0092713F" w:rsidP="00B84EC6">
            <w:pPr>
              <w:jc w:val="center"/>
            </w:pPr>
          </w:p>
        </w:tc>
      </w:tr>
      <w:tr w:rsidR="0092713F" w:rsidRPr="00B84EC6" w:rsidTr="0092713F">
        <w:tc>
          <w:tcPr>
            <w:tcW w:w="1843" w:type="dxa"/>
            <w:tcBorders>
              <w:top w:val="single" w:sz="4" w:space="0" w:color="auto"/>
              <w:left w:val="nil"/>
              <w:bottom w:val="nil"/>
              <w:right w:val="nil"/>
            </w:tcBorders>
            <w:vAlign w:val="center"/>
          </w:tcPr>
          <w:p w:rsidR="0092713F" w:rsidRPr="00B84EC6" w:rsidRDefault="0092713F" w:rsidP="00B84EC6">
            <w:pPr>
              <w:jc w:val="center"/>
            </w:pPr>
            <w:r w:rsidRPr="00B84EC6">
              <w:t>3%</w:t>
            </w:r>
          </w:p>
        </w:tc>
        <w:tc>
          <w:tcPr>
            <w:tcW w:w="1559" w:type="dxa"/>
            <w:tcBorders>
              <w:top w:val="single" w:sz="4" w:space="0" w:color="auto"/>
              <w:left w:val="nil"/>
              <w:bottom w:val="nil"/>
              <w:right w:val="nil"/>
            </w:tcBorders>
            <w:vAlign w:val="center"/>
          </w:tcPr>
          <w:p w:rsidR="0092713F" w:rsidRPr="00B84EC6" w:rsidRDefault="0092713F" w:rsidP="00B84EC6">
            <w:pPr>
              <w:ind w:left="340"/>
            </w:pPr>
            <w:r w:rsidRPr="00B84EC6">
              <w:t>85,94</w:t>
            </w:r>
            <w:r w:rsidRPr="00B84EC6">
              <w:rPr>
                <w:vertAlign w:val="superscript"/>
              </w:rPr>
              <w:t>d</w:t>
            </w:r>
          </w:p>
        </w:tc>
        <w:tc>
          <w:tcPr>
            <w:tcW w:w="1559" w:type="dxa"/>
            <w:tcBorders>
              <w:top w:val="single" w:sz="4" w:space="0" w:color="auto"/>
              <w:left w:val="nil"/>
              <w:bottom w:val="nil"/>
              <w:right w:val="nil"/>
            </w:tcBorders>
            <w:vAlign w:val="center"/>
          </w:tcPr>
          <w:p w:rsidR="0092713F" w:rsidRPr="00B84EC6" w:rsidRDefault="0092713F" w:rsidP="00B84EC6">
            <w:pPr>
              <w:ind w:left="340"/>
            </w:pPr>
            <w:r w:rsidRPr="00B84EC6">
              <w:t>84,44</w:t>
            </w:r>
            <w:r w:rsidRPr="00B84EC6">
              <w:rPr>
                <w:vertAlign w:val="superscript"/>
              </w:rPr>
              <w:t>c</w:t>
            </w:r>
          </w:p>
        </w:tc>
        <w:tc>
          <w:tcPr>
            <w:tcW w:w="1559" w:type="dxa"/>
            <w:tcBorders>
              <w:top w:val="single" w:sz="4" w:space="0" w:color="auto"/>
              <w:left w:val="nil"/>
              <w:bottom w:val="nil"/>
              <w:right w:val="nil"/>
            </w:tcBorders>
            <w:vAlign w:val="center"/>
          </w:tcPr>
          <w:p w:rsidR="0092713F" w:rsidRPr="00B84EC6" w:rsidRDefault="0092713F" w:rsidP="00B84EC6">
            <w:pPr>
              <w:ind w:left="340"/>
            </w:pPr>
            <w:r w:rsidRPr="00B84EC6">
              <w:t>83,66</w:t>
            </w:r>
            <w:r w:rsidRPr="00B84EC6">
              <w:rPr>
                <w:vertAlign w:val="superscript"/>
              </w:rPr>
              <w:t>ab</w:t>
            </w:r>
          </w:p>
        </w:tc>
        <w:tc>
          <w:tcPr>
            <w:tcW w:w="1134" w:type="dxa"/>
            <w:tcBorders>
              <w:top w:val="single" w:sz="4" w:space="0" w:color="auto"/>
              <w:left w:val="nil"/>
              <w:bottom w:val="nil"/>
              <w:right w:val="nil"/>
            </w:tcBorders>
            <w:vAlign w:val="center"/>
          </w:tcPr>
          <w:p w:rsidR="0092713F" w:rsidRPr="00B84EC6" w:rsidRDefault="0092713F" w:rsidP="00B84EC6">
            <w:pPr>
              <w:jc w:val="center"/>
            </w:pPr>
            <w:r w:rsidRPr="00B84EC6">
              <w:t>84,68</w:t>
            </w:r>
          </w:p>
        </w:tc>
      </w:tr>
      <w:tr w:rsidR="0092713F" w:rsidRPr="00B84EC6" w:rsidTr="0092713F">
        <w:tc>
          <w:tcPr>
            <w:tcW w:w="1843" w:type="dxa"/>
            <w:tcBorders>
              <w:top w:val="nil"/>
              <w:left w:val="nil"/>
              <w:bottom w:val="nil"/>
              <w:right w:val="nil"/>
            </w:tcBorders>
            <w:vAlign w:val="center"/>
          </w:tcPr>
          <w:p w:rsidR="0092713F" w:rsidRPr="00B84EC6" w:rsidRDefault="0092713F" w:rsidP="00B84EC6">
            <w:pPr>
              <w:jc w:val="center"/>
            </w:pPr>
            <w:r w:rsidRPr="00B84EC6">
              <w:t>6%</w:t>
            </w:r>
          </w:p>
        </w:tc>
        <w:tc>
          <w:tcPr>
            <w:tcW w:w="1559" w:type="dxa"/>
            <w:tcBorders>
              <w:top w:val="nil"/>
              <w:left w:val="nil"/>
              <w:bottom w:val="nil"/>
              <w:right w:val="nil"/>
            </w:tcBorders>
            <w:vAlign w:val="center"/>
          </w:tcPr>
          <w:p w:rsidR="0092713F" w:rsidRPr="00B84EC6" w:rsidRDefault="0092713F" w:rsidP="00B84EC6">
            <w:pPr>
              <w:ind w:left="340"/>
            </w:pPr>
            <w:r w:rsidRPr="00B84EC6">
              <w:t>85,80</w:t>
            </w:r>
            <w:r w:rsidRPr="00B84EC6">
              <w:rPr>
                <w:vertAlign w:val="superscript"/>
              </w:rPr>
              <w:t>d</w:t>
            </w:r>
          </w:p>
        </w:tc>
        <w:tc>
          <w:tcPr>
            <w:tcW w:w="1559" w:type="dxa"/>
            <w:tcBorders>
              <w:top w:val="nil"/>
              <w:left w:val="nil"/>
              <w:bottom w:val="nil"/>
              <w:right w:val="nil"/>
            </w:tcBorders>
            <w:vAlign w:val="center"/>
          </w:tcPr>
          <w:p w:rsidR="0092713F" w:rsidRPr="00B84EC6" w:rsidRDefault="0092713F" w:rsidP="00B84EC6">
            <w:pPr>
              <w:ind w:left="340"/>
            </w:pPr>
            <w:r w:rsidRPr="00B84EC6">
              <w:t>84,68</w:t>
            </w:r>
            <w:r w:rsidRPr="00B84EC6">
              <w:rPr>
                <w:vertAlign w:val="superscript"/>
              </w:rPr>
              <w:t xml:space="preserve">c </w:t>
            </w:r>
          </w:p>
        </w:tc>
        <w:tc>
          <w:tcPr>
            <w:tcW w:w="1559" w:type="dxa"/>
            <w:tcBorders>
              <w:top w:val="nil"/>
              <w:left w:val="nil"/>
              <w:bottom w:val="nil"/>
              <w:right w:val="nil"/>
            </w:tcBorders>
            <w:vAlign w:val="center"/>
          </w:tcPr>
          <w:p w:rsidR="0092713F" w:rsidRPr="00B84EC6" w:rsidRDefault="0092713F" w:rsidP="00B84EC6">
            <w:pPr>
              <w:ind w:left="340"/>
            </w:pPr>
            <w:r w:rsidRPr="00B84EC6">
              <w:t>83,21</w:t>
            </w:r>
            <w:r w:rsidRPr="00B84EC6">
              <w:rPr>
                <w:vertAlign w:val="superscript"/>
              </w:rPr>
              <w:t>a</w:t>
            </w:r>
          </w:p>
        </w:tc>
        <w:tc>
          <w:tcPr>
            <w:tcW w:w="1134" w:type="dxa"/>
            <w:tcBorders>
              <w:top w:val="nil"/>
              <w:left w:val="nil"/>
              <w:bottom w:val="nil"/>
              <w:right w:val="nil"/>
            </w:tcBorders>
            <w:vAlign w:val="center"/>
          </w:tcPr>
          <w:p w:rsidR="0092713F" w:rsidRPr="00B84EC6" w:rsidRDefault="0092713F" w:rsidP="00B84EC6">
            <w:pPr>
              <w:jc w:val="center"/>
            </w:pPr>
            <w:r w:rsidRPr="00B84EC6">
              <w:t>84,56</w:t>
            </w:r>
          </w:p>
        </w:tc>
      </w:tr>
      <w:tr w:rsidR="0092713F" w:rsidRPr="00B84EC6" w:rsidTr="0092713F">
        <w:tc>
          <w:tcPr>
            <w:tcW w:w="1843" w:type="dxa"/>
            <w:tcBorders>
              <w:top w:val="nil"/>
              <w:left w:val="nil"/>
              <w:bottom w:val="single" w:sz="4" w:space="0" w:color="auto"/>
              <w:right w:val="nil"/>
            </w:tcBorders>
            <w:vAlign w:val="center"/>
          </w:tcPr>
          <w:p w:rsidR="0092713F" w:rsidRPr="00B84EC6" w:rsidRDefault="0092713F" w:rsidP="00B84EC6">
            <w:pPr>
              <w:jc w:val="center"/>
            </w:pPr>
            <w:r w:rsidRPr="00B84EC6">
              <w:t>9%</w:t>
            </w:r>
          </w:p>
        </w:tc>
        <w:tc>
          <w:tcPr>
            <w:tcW w:w="1559" w:type="dxa"/>
            <w:tcBorders>
              <w:top w:val="nil"/>
              <w:left w:val="nil"/>
              <w:bottom w:val="single" w:sz="4" w:space="0" w:color="auto"/>
              <w:right w:val="nil"/>
            </w:tcBorders>
            <w:vAlign w:val="center"/>
          </w:tcPr>
          <w:p w:rsidR="0092713F" w:rsidRPr="00B84EC6" w:rsidRDefault="0092713F" w:rsidP="00B84EC6">
            <w:pPr>
              <w:ind w:left="340"/>
            </w:pPr>
            <w:r w:rsidRPr="00B84EC6">
              <w:t>85,78</w:t>
            </w:r>
            <w:r w:rsidRPr="00B84EC6">
              <w:rPr>
                <w:vertAlign w:val="superscript"/>
              </w:rPr>
              <w:t>d</w:t>
            </w:r>
          </w:p>
        </w:tc>
        <w:tc>
          <w:tcPr>
            <w:tcW w:w="1559" w:type="dxa"/>
            <w:tcBorders>
              <w:top w:val="nil"/>
              <w:left w:val="nil"/>
              <w:bottom w:val="single" w:sz="4" w:space="0" w:color="auto"/>
              <w:right w:val="nil"/>
            </w:tcBorders>
            <w:vAlign w:val="center"/>
          </w:tcPr>
          <w:p w:rsidR="0092713F" w:rsidRPr="00B84EC6" w:rsidRDefault="0092713F" w:rsidP="00B84EC6">
            <w:pPr>
              <w:ind w:left="340"/>
            </w:pPr>
            <w:r w:rsidRPr="00B84EC6">
              <w:t>84,16</w:t>
            </w:r>
            <w:r w:rsidRPr="00B84EC6">
              <w:rPr>
                <w:vertAlign w:val="superscript"/>
              </w:rPr>
              <w:t>bc</w:t>
            </w:r>
          </w:p>
        </w:tc>
        <w:tc>
          <w:tcPr>
            <w:tcW w:w="1559" w:type="dxa"/>
            <w:tcBorders>
              <w:top w:val="nil"/>
              <w:left w:val="nil"/>
              <w:bottom w:val="single" w:sz="4" w:space="0" w:color="auto"/>
              <w:right w:val="nil"/>
            </w:tcBorders>
            <w:vAlign w:val="center"/>
          </w:tcPr>
          <w:p w:rsidR="0092713F" w:rsidRPr="00B84EC6" w:rsidRDefault="0092713F" w:rsidP="00B84EC6">
            <w:pPr>
              <w:ind w:left="340"/>
            </w:pPr>
            <w:r w:rsidRPr="00B84EC6">
              <w:t>83,12</w:t>
            </w:r>
            <w:r w:rsidRPr="00B84EC6">
              <w:rPr>
                <w:vertAlign w:val="superscript"/>
              </w:rPr>
              <w:t>a</w:t>
            </w:r>
          </w:p>
        </w:tc>
        <w:tc>
          <w:tcPr>
            <w:tcW w:w="1134" w:type="dxa"/>
            <w:tcBorders>
              <w:top w:val="nil"/>
              <w:left w:val="nil"/>
              <w:bottom w:val="single" w:sz="4" w:space="0" w:color="auto"/>
              <w:right w:val="nil"/>
            </w:tcBorders>
            <w:vAlign w:val="center"/>
          </w:tcPr>
          <w:p w:rsidR="0092713F" w:rsidRPr="00B84EC6" w:rsidRDefault="0092713F" w:rsidP="00B84EC6">
            <w:pPr>
              <w:jc w:val="center"/>
            </w:pPr>
            <w:r w:rsidRPr="00B84EC6">
              <w:t>84,35</w:t>
            </w:r>
          </w:p>
        </w:tc>
      </w:tr>
    </w:tbl>
    <w:p w:rsidR="0092713F" w:rsidRPr="00B84EC6" w:rsidRDefault="0092713F" w:rsidP="00B84EC6">
      <w:pPr>
        <w:ind w:left="709"/>
      </w:pPr>
      <w:r w:rsidRPr="00B84EC6">
        <w:t>Keterangan: Notasi yang berbeda menunjukkan adanya perbedaan nyata (P &gt; 0</w:t>
      </w:r>
      <w:proofErr w:type="gramStart"/>
      <w:r w:rsidRPr="00B84EC6">
        <w:t>,05</w:t>
      </w:r>
      <w:proofErr w:type="gramEnd"/>
      <w:r w:rsidRPr="00B84EC6">
        <w:t>).</w:t>
      </w:r>
    </w:p>
    <w:p w:rsidR="0092713F" w:rsidRPr="00B84EC6" w:rsidRDefault="0092713F" w:rsidP="00B84EC6">
      <w:pPr>
        <w:pStyle w:val="ListParagraph"/>
        <w:tabs>
          <w:tab w:val="left" w:pos="1560"/>
        </w:tabs>
        <w:ind w:left="720" w:firstLine="0"/>
      </w:pPr>
    </w:p>
    <w:p w:rsidR="0092713F" w:rsidRDefault="0092713F" w:rsidP="003C1A8D">
      <w:pPr>
        <w:ind w:firstLine="567"/>
        <w:jc w:val="both"/>
      </w:pPr>
      <w:r w:rsidRPr="00B84EC6">
        <w:lastRenderedPageBreak/>
        <w:t xml:space="preserve">Berdasarkan Tabel 3, menunjukkan bahwa nilai </w:t>
      </w:r>
      <w:proofErr w:type="gramStart"/>
      <w:r w:rsidRPr="00B84EC6">
        <w:t>kadar</w:t>
      </w:r>
      <w:proofErr w:type="gramEnd"/>
      <w:r w:rsidRPr="00B84EC6">
        <w:t xml:space="preserve"> air minuman jeli secang menurun seiring dengan besarnya konsentrasi karagenan yang ditambahkan. Penurunan </w:t>
      </w:r>
      <w:proofErr w:type="gramStart"/>
      <w:r w:rsidRPr="00B84EC6">
        <w:t>kadar</w:t>
      </w:r>
      <w:proofErr w:type="gramEnd"/>
      <w:r w:rsidRPr="00B84EC6">
        <w:t xml:space="preserve"> air tersebut disebabkan karena karagenan merupakan senyawa hidrokoloid yang mampu mengikat air dalam jumlah besar. </w:t>
      </w:r>
      <w:proofErr w:type="gramStart"/>
      <w:r w:rsidRPr="00B84EC6">
        <w:t xml:space="preserve">Semakin tinggi konsentrasi karagenan yang ditambahkan pada minuman jeli menyebabkan jumlah air bebas dan air </w:t>
      </w:r>
      <w:r w:rsidRPr="003C1A8D">
        <w:t>teradsorbsi yang ada dalam bahan pangan semakin menurun (Wiriadinata, 2019).</w:t>
      </w:r>
      <w:proofErr w:type="gramEnd"/>
    </w:p>
    <w:p w:rsidR="00D820F6" w:rsidRPr="003C1A8D" w:rsidRDefault="00D820F6" w:rsidP="003C1A8D">
      <w:pPr>
        <w:ind w:firstLine="567"/>
        <w:jc w:val="both"/>
      </w:pPr>
    </w:p>
    <w:p w:rsidR="00D9594C" w:rsidRPr="00D820F6" w:rsidRDefault="00D9594C" w:rsidP="003C1A8D">
      <w:pPr>
        <w:jc w:val="both"/>
        <w:rPr>
          <w:b/>
        </w:rPr>
      </w:pPr>
      <w:r w:rsidRPr="00D820F6">
        <w:rPr>
          <w:b/>
        </w:rPr>
        <w:t>T</w:t>
      </w:r>
      <w:r w:rsidR="00D820F6">
        <w:rPr>
          <w:b/>
        </w:rPr>
        <w:t xml:space="preserve">otal </w:t>
      </w:r>
      <w:r w:rsidRPr="00D820F6">
        <w:rPr>
          <w:b/>
        </w:rPr>
        <w:t>P</w:t>
      </w:r>
      <w:r w:rsidR="00D820F6">
        <w:rPr>
          <w:b/>
        </w:rPr>
        <w:t xml:space="preserve">adatan </w:t>
      </w:r>
      <w:r w:rsidRPr="00D820F6">
        <w:rPr>
          <w:b/>
        </w:rPr>
        <w:t>T</w:t>
      </w:r>
      <w:r w:rsidR="00D820F6">
        <w:rPr>
          <w:b/>
        </w:rPr>
        <w:t>erlarut</w:t>
      </w:r>
    </w:p>
    <w:p w:rsidR="00B84EC6" w:rsidRPr="003C1A8D" w:rsidRDefault="00B84EC6" w:rsidP="003C1A8D">
      <w:pPr>
        <w:ind w:firstLine="567"/>
        <w:jc w:val="both"/>
      </w:pPr>
      <w:r w:rsidRPr="003C1A8D">
        <w:t>Hasil uji statistik menunjukkan bahwa perlakuan variasi konsentrasi karagenan memberikan perbedaan yang nyata (α=0</w:t>
      </w:r>
      <w:proofErr w:type="gramStart"/>
      <w:r w:rsidRPr="003C1A8D">
        <w:t>,05</w:t>
      </w:r>
      <w:proofErr w:type="gramEnd"/>
      <w:r w:rsidRPr="003C1A8D">
        <w:t>), sedangkan perlakuan variasi konsentrasi kayu secang dan interaksi keduanya tidak memberikan perbedaan yang nyata (α=0,05) terhadap nilai total padatan terlarut minuman jeli secang. Hasil analisis total padatan terlarut minuman jeli secang dengan perlakuan variasi konsentrasi kayu secang dan karagenan dapat dilihat pada Tabel 4.</w:t>
      </w:r>
    </w:p>
    <w:p w:rsidR="00B84EC6" w:rsidRPr="003C1A8D" w:rsidRDefault="00B84EC6" w:rsidP="003C1A8D">
      <w:pPr>
        <w:jc w:val="both"/>
      </w:pPr>
    </w:p>
    <w:p w:rsidR="00B84EC6" w:rsidRPr="003C1A8D" w:rsidRDefault="00B84EC6" w:rsidP="003C1A8D">
      <w:pPr>
        <w:jc w:val="center"/>
      </w:pPr>
      <w:proofErr w:type="gramStart"/>
      <w:r w:rsidRPr="003C1A8D">
        <w:t>Tabel 4.</w:t>
      </w:r>
      <w:proofErr w:type="gramEnd"/>
      <w:r w:rsidRPr="003C1A8D">
        <w:t xml:space="preserve"> Total Padatan Terlarut Minuman Jeli Secang (% bb)</w:t>
      </w:r>
    </w:p>
    <w:tbl>
      <w:tblPr>
        <w:tblStyle w:val="TableGrid"/>
        <w:tblW w:w="7654" w:type="dxa"/>
        <w:tblInd w:w="817" w:type="dxa"/>
        <w:tblBorders>
          <w:left w:val="none" w:sz="0" w:space="0" w:color="auto"/>
          <w:right w:val="none" w:sz="0" w:space="0" w:color="auto"/>
        </w:tblBorders>
        <w:tblLook w:val="04A0" w:firstRow="1" w:lastRow="0" w:firstColumn="1" w:lastColumn="0" w:noHBand="0" w:noVBand="1"/>
      </w:tblPr>
      <w:tblGrid>
        <w:gridCol w:w="1843"/>
        <w:gridCol w:w="1559"/>
        <w:gridCol w:w="1559"/>
        <w:gridCol w:w="1559"/>
        <w:gridCol w:w="1134"/>
      </w:tblGrid>
      <w:tr w:rsidR="00B84EC6" w:rsidRPr="003C1A8D" w:rsidTr="00B84EC6">
        <w:tc>
          <w:tcPr>
            <w:tcW w:w="1843" w:type="dxa"/>
            <w:vMerge w:val="restart"/>
            <w:tcBorders>
              <w:bottom w:val="single" w:sz="4" w:space="0" w:color="auto"/>
              <w:right w:val="nil"/>
            </w:tcBorders>
            <w:vAlign w:val="center"/>
          </w:tcPr>
          <w:p w:rsidR="00B84EC6" w:rsidRPr="003C1A8D" w:rsidRDefault="00B84EC6" w:rsidP="003C1A8D">
            <w:pPr>
              <w:pStyle w:val="TableParagraph"/>
              <w:jc w:val="center"/>
            </w:pPr>
            <w:r w:rsidRPr="003C1A8D">
              <w:t>Konsentrasi Kayu Secang</w:t>
            </w:r>
          </w:p>
        </w:tc>
        <w:tc>
          <w:tcPr>
            <w:tcW w:w="4677" w:type="dxa"/>
            <w:gridSpan w:val="3"/>
            <w:tcBorders>
              <w:left w:val="nil"/>
              <w:bottom w:val="single" w:sz="4" w:space="0" w:color="auto"/>
              <w:right w:val="nil"/>
            </w:tcBorders>
            <w:vAlign w:val="center"/>
          </w:tcPr>
          <w:p w:rsidR="00B84EC6" w:rsidRPr="003C1A8D" w:rsidRDefault="00B84EC6" w:rsidP="003C1A8D">
            <w:pPr>
              <w:pStyle w:val="TableParagraph"/>
              <w:jc w:val="center"/>
            </w:pPr>
            <w:r w:rsidRPr="003C1A8D">
              <w:t>Konsentrasi Karagenan</w:t>
            </w:r>
          </w:p>
        </w:tc>
        <w:tc>
          <w:tcPr>
            <w:tcW w:w="1134" w:type="dxa"/>
            <w:vMerge w:val="restart"/>
            <w:tcBorders>
              <w:left w:val="nil"/>
              <w:bottom w:val="single" w:sz="4" w:space="0" w:color="auto"/>
            </w:tcBorders>
            <w:vAlign w:val="center"/>
          </w:tcPr>
          <w:p w:rsidR="00B84EC6" w:rsidRPr="003C1A8D" w:rsidRDefault="00B84EC6" w:rsidP="003C1A8D">
            <w:pPr>
              <w:pStyle w:val="TableParagraph"/>
              <w:jc w:val="center"/>
            </w:pPr>
            <w:r w:rsidRPr="003C1A8D">
              <w:t>Rata-rata</w:t>
            </w:r>
          </w:p>
        </w:tc>
      </w:tr>
      <w:tr w:rsidR="00B84EC6" w:rsidRPr="003C1A8D" w:rsidTr="00B84EC6">
        <w:tc>
          <w:tcPr>
            <w:tcW w:w="1843" w:type="dxa"/>
            <w:vMerge/>
            <w:tcBorders>
              <w:top w:val="nil"/>
              <w:bottom w:val="single" w:sz="4" w:space="0" w:color="auto"/>
              <w:right w:val="nil"/>
            </w:tcBorders>
            <w:vAlign w:val="center"/>
          </w:tcPr>
          <w:p w:rsidR="00B84EC6" w:rsidRPr="003C1A8D" w:rsidRDefault="00B84EC6" w:rsidP="003C1A8D">
            <w:pPr>
              <w:jc w:val="center"/>
            </w:pPr>
          </w:p>
        </w:tc>
        <w:tc>
          <w:tcPr>
            <w:tcW w:w="1559" w:type="dxa"/>
            <w:tcBorders>
              <w:top w:val="single" w:sz="4" w:space="0" w:color="auto"/>
              <w:left w:val="nil"/>
              <w:bottom w:val="single" w:sz="4" w:space="0" w:color="auto"/>
              <w:right w:val="nil"/>
            </w:tcBorders>
            <w:vAlign w:val="center"/>
          </w:tcPr>
          <w:p w:rsidR="00B84EC6" w:rsidRPr="003C1A8D" w:rsidRDefault="00B84EC6" w:rsidP="003C1A8D">
            <w:pPr>
              <w:jc w:val="center"/>
            </w:pPr>
            <w:r w:rsidRPr="003C1A8D">
              <w:t>0,3%</w:t>
            </w:r>
          </w:p>
        </w:tc>
        <w:tc>
          <w:tcPr>
            <w:tcW w:w="1559" w:type="dxa"/>
            <w:tcBorders>
              <w:top w:val="single" w:sz="4" w:space="0" w:color="auto"/>
              <w:left w:val="nil"/>
              <w:bottom w:val="single" w:sz="4" w:space="0" w:color="auto"/>
              <w:right w:val="nil"/>
            </w:tcBorders>
            <w:vAlign w:val="center"/>
          </w:tcPr>
          <w:p w:rsidR="00B84EC6" w:rsidRPr="003C1A8D" w:rsidRDefault="00B84EC6" w:rsidP="003C1A8D">
            <w:pPr>
              <w:jc w:val="center"/>
            </w:pPr>
            <w:r w:rsidRPr="003C1A8D">
              <w:t>0,5%</w:t>
            </w:r>
          </w:p>
        </w:tc>
        <w:tc>
          <w:tcPr>
            <w:tcW w:w="1559" w:type="dxa"/>
            <w:tcBorders>
              <w:top w:val="single" w:sz="4" w:space="0" w:color="auto"/>
              <w:left w:val="nil"/>
              <w:bottom w:val="single" w:sz="4" w:space="0" w:color="auto"/>
              <w:right w:val="nil"/>
            </w:tcBorders>
            <w:vAlign w:val="center"/>
          </w:tcPr>
          <w:p w:rsidR="00B84EC6" w:rsidRPr="003C1A8D" w:rsidRDefault="00B84EC6" w:rsidP="003C1A8D">
            <w:pPr>
              <w:jc w:val="center"/>
            </w:pPr>
            <w:r w:rsidRPr="003C1A8D">
              <w:t>0,7</w:t>
            </w:r>
          </w:p>
        </w:tc>
        <w:tc>
          <w:tcPr>
            <w:tcW w:w="1134" w:type="dxa"/>
            <w:vMerge/>
            <w:tcBorders>
              <w:top w:val="nil"/>
              <w:left w:val="nil"/>
              <w:bottom w:val="single" w:sz="4" w:space="0" w:color="auto"/>
            </w:tcBorders>
            <w:vAlign w:val="center"/>
          </w:tcPr>
          <w:p w:rsidR="00B84EC6" w:rsidRPr="003C1A8D" w:rsidRDefault="00B84EC6" w:rsidP="003C1A8D">
            <w:pPr>
              <w:jc w:val="center"/>
            </w:pPr>
          </w:p>
        </w:tc>
      </w:tr>
      <w:tr w:rsidR="00B84EC6" w:rsidRPr="003C1A8D" w:rsidTr="00B84EC6">
        <w:tc>
          <w:tcPr>
            <w:tcW w:w="1843" w:type="dxa"/>
            <w:tcBorders>
              <w:top w:val="single" w:sz="4" w:space="0" w:color="auto"/>
              <w:left w:val="nil"/>
              <w:bottom w:val="nil"/>
              <w:right w:val="nil"/>
            </w:tcBorders>
            <w:vAlign w:val="center"/>
          </w:tcPr>
          <w:p w:rsidR="00B84EC6" w:rsidRPr="003C1A8D" w:rsidRDefault="00B84EC6" w:rsidP="003C1A8D">
            <w:pPr>
              <w:jc w:val="center"/>
            </w:pPr>
            <w:r w:rsidRPr="003C1A8D">
              <w:t>3%</w:t>
            </w:r>
          </w:p>
        </w:tc>
        <w:tc>
          <w:tcPr>
            <w:tcW w:w="1559" w:type="dxa"/>
            <w:tcBorders>
              <w:top w:val="single" w:sz="4" w:space="0" w:color="auto"/>
              <w:left w:val="nil"/>
              <w:bottom w:val="nil"/>
              <w:right w:val="nil"/>
            </w:tcBorders>
            <w:vAlign w:val="center"/>
          </w:tcPr>
          <w:p w:rsidR="00B84EC6" w:rsidRPr="003C1A8D" w:rsidRDefault="00B84EC6" w:rsidP="003C1A8D">
            <w:pPr>
              <w:ind w:left="340"/>
            </w:pPr>
            <w:r w:rsidRPr="003C1A8D">
              <w:t>14,06</w:t>
            </w:r>
            <w:r w:rsidRPr="003C1A8D">
              <w:rPr>
                <w:vertAlign w:val="superscript"/>
              </w:rPr>
              <w:t>a</w:t>
            </w:r>
          </w:p>
        </w:tc>
        <w:tc>
          <w:tcPr>
            <w:tcW w:w="1559" w:type="dxa"/>
            <w:tcBorders>
              <w:top w:val="single" w:sz="4" w:space="0" w:color="auto"/>
              <w:left w:val="nil"/>
              <w:bottom w:val="nil"/>
              <w:right w:val="nil"/>
            </w:tcBorders>
            <w:vAlign w:val="center"/>
          </w:tcPr>
          <w:p w:rsidR="00B84EC6" w:rsidRPr="003C1A8D" w:rsidRDefault="00B84EC6" w:rsidP="003C1A8D">
            <w:pPr>
              <w:ind w:left="340"/>
            </w:pPr>
            <w:r w:rsidRPr="003C1A8D">
              <w:t>15,56</w:t>
            </w:r>
            <w:r w:rsidRPr="003C1A8D">
              <w:rPr>
                <w:vertAlign w:val="superscript"/>
              </w:rPr>
              <w:t>b</w:t>
            </w:r>
          </w:p>
        </w:tc>
        <w:tc>
          <w:tcPr>
            <w:tcW w:w="1559" w:type="dxa"/>
            <w:tcBorders>
              <w:top w:val="single" w:sz="4" w:space="0" w:color="auto"/>
              <w:left w:val="nil"/>
              <w:bottom w:val="nil"/>
              <w:right w:val="nil"/>
            </w:tcBorders>
            <w:vAlign w:val="center"/>
          </w:tcPr>
          <w:p w:rsidR="00B84EC6" w:rsidRPr="003C1A8D" w:rsidRDefault="00B84EC6" w:rsidP="003C1A8D">
            <w:pPr>
              <w:ind w:left="340"/>
            </w:pPr>
            <w:r w:rsidRPr="003C1A8D">
              <w:t>16,34</w:t>
            </w:r>
            <w:r w:rsidRPr="003C1A8D">
              <w:rPr>
                <w:vertAlign w:val="superscript"/>
              </w:rPr>
              <w:t>cd</w:t>
            </w:r>
          </w:p>
        </w:tc>
        <w:tc>
          <w:tcPr>
            <w:tcW w:w="1134" w:type="dxa"/>
            <w:tcBorders>
              <w:top w:val="single" w:sz="4" w:space="0" w:color="auto"/>
              <w:left w:val="nil"/>
              <w:bottom w:val="nil"/>
              <w:right w:val="nil"/>
            </w:tcBorders>
            <w:vAlign w:val="center"/>
          </w:tcPr>
          <w:p w:rsidR="00B84EC6" w:rsidRPr="003C1A8D" w:rsidRDefault="00B84EC6" w:rsidP="003C1A8D">
            <w:pPr>
              <w:jc w:val="center"/>
            </w:pPr>
            <w:r w:rsidRPr="003C1A8D">
              <w:t>15,32</w:t>
            </w:r>
          </w:p>
        </w:tc>
      </w:tr>
      <w:tr w:rsidR="00B84EC6" w:rsidRPr="003C1A8D" w:rsidTr="00B84EC6">
        <w:tc>
          <w:tcPr>
            <w:tcW w:w="1843" w:type="dxa"/>
            <w:tcBorders>
              <w:top w:val="nil"/>
              <w:left w:val="nil"/>
              <w:bottom w:val="nil"/>
              <w:right w:val="nil"/>
            </w:tcBorders>
            <w:vAlign w:val="center"/>
          </w:tcPr>
          <w:p w:rsidR="00B84EC6" w:rsidRPr="003C1A8D" w:rsidRDefault="00B84EC6" w:rsidP="003C1A8D">
            <w:pPr>
              <w:jc w:val="center"/>
            </w:pPr>
            <w:r w:rsidRPr="003C1A8D">
              <w:t>6%</w:t>
            </w:r>
          </w:p>
        </w:tc>
        <w:tc>
          <w:tcPr>
            <w:tcW w:w="1559" w:type="dxa"/>
            <w:tcBorders>
              <w:top w:val="nil"/>
              <w:left w:val="nil"/>
              <w:bottom w:val="nil"/>
              <w:right w:val="nil"/>
            </w:tcBorders>
            <w:vAlign w:val="center"/>
          </w:tcPr>
          <w:p w:rsidR="00B84EC6" w:rsidRPr="003C1A8D" w:rsidRDefault="00B84EC6" w:rsidP="003C1A8D">
            <w:pPr>
              <w:ind w:left="340"/>
            </w:pPr>
            <w:r w:rsidRPr="003C1A8D">
              <w:t>14,20</w:t>
            </w:r>
            <w:r w:rsidRPr="003C1A8D">
              <w:rPr>
                <w:vertAlign w:val="superscript"/>
              </w:rPr>
              <w:t>a</w:t>
            </w:r>
          </w:p>
        </w:tc>
        <w:tc>
          <w:tcPr>
            <w:tcW w:w="1559" w:type="dxa"/>
            <w:tcBorders>
              <w:top w:val="nil"/>
              <w:left w:val="nil"/>
              <w:bottom w:val="nil"/>
              <w:right w:val="nil"/>
            </w:tcBorders>
            <w:vAlign w:val="center"/>
          </w:tcPr>
          <w:p w:rsidR="00B84EC6" w:rsidRPr="003C1A8D" w:rsidRDefault="00B84EC6" w:rsidP="003C1A8D">
            <w:pPr>
              <w:ind w:left="340"/>
            </w:pPr>
            <w:r w:rsidRPr="003C1A8D">
              <w:t>15,32</w:t>
            </w:r>
            <w:r w:rsidRPr="003C1A8D">
              <w:rPr>
                <w:vertAlign w:val="superscript"/>
              </w:rPr>
              <w:t xml:space="preserve">b </w:t>
            </w:r>
          </w:p>
        </w:tc>
        <w:tc>
          <w:tcPr>
            <w:tcW w:w="1559" w:type="dxa"/>
            <w:tcBorders>
              <w:top w:val="nil"/>
              <w:left w:val="nil"/>
              <w:bottom w:val="nil"/>
              <w:right w:val="nil"/>
            </w:tcBorders>
            <w:vAlign w:val="center"/>
          </w:tcPr>
          <w:p w:rsidR="00B84EC6" w:rsidRPr="003C1A8D" w:rsidRDefault="00B84EC6" w:rsidP="003C1A8D">
            <w:pPr>
              <w:ind w:left="340"/>
            </w:pPr>
            <w:r w:rsidRPr="003C1A8D">
              <w:t>16,80</w:t>
            </w:r>
            <w:r w:rsidRPr="003C1A8D">
              <w:rPr>
                <w:vertAlign w:val="superscript"/>
              </w:rPr>
              <w:t>d</w:t>
            </w:r>
          </w:p>
        </w:tc>
        <w:tc>
          <w:tcPr>
            <w:tcW w:w="1134" w:type="dxa"/>
            <w:tcBorders>
              <w:top w:val="nil"/>
              <w:left w:val="nil"/>
              <w:bottom w:val="nil"/>
              <w:right w:val="nil"/>
            </w:tcBorders>
            <w:vAlign w:val="center"/>
          </w:tcPr>
          <w:p w:rsidR="00B84EC6" w:rsidRPr="003C1A8D" w:rsidRDefault="00B84EC6" w:rsidP="003C1A8D">
            <w:pPr>
              <w:jc w:val="center"/>
            </w:pPr>
            <w:r w:rsidRPr="003C1A8D">
              <w:t>15,44</w:t>
            </w:r>
          </w:p>
        </w:tc>
      </w:tr>
      <w:tr w:rsidR="00B84EC6" w:rsidRPr="003C1A8D" w:rsidTr="00B84EC6">
        <w:tc>
          <w:tcPr>
            <w:tcW w:w="1843" w:type="dxa"/>
            <w:tcBorders>
              <w:top w:val="nil"/>
              <w:left w:val="nil"/>
              <w:bottom w:val="single" w:sz="4" w:space="0" w:color="auto"/>
              <w:right w:val="nil"/>
            </w:tcBorders>
            <w:vAlign w:val="center"/>
          </w:tcPr>
          <w:p w:rsidR="00B84EC6" w:rsidRPr="003C1A8D" w:rsidRDefault="00B84EC6" w:rsidP="003C1A8D">
            <w:pPr>
              <w:jc w:val="center"/>
            </w:pPr>
            <w:r w:rsidRPr="003C1A8D">
              <w:t>9%</w:t>
            </w:r>
          </w:p>
        </w:tc>
        <w:tc>
          <w:tcPr>
            <w:tcW w:w="1559" w:type="dxa"/>
            <w:tcBorders>
              <w:top w:val="nil"/>
              <w:left w:val="nil"/>
              <w:bottom w:val="single" w:sz="4" w:space="0" w:color="auto"/>
              <w:right w:val="nil"/>
            </w:tcBorders>
            <w:vAlign w:val="center"/>
          </w:tcPr>
          <w:p w:rsidR="00B84EC6" w:rsidRPr="003C1A8D" w:rsidRDefault="00B84EC6" w:rsidP="003C1A8D">
            <w:pPr>
              <w:ind w:left="340"/>
            </w:pPr>
            <w:r w:rsidRPr="003C1A8D">
              <w:t>14,22</w:t>
            </w:r>
            <w:r w:rsidRPr="003C1A8D">
              <w:rPr>
                <w:vertAlign w:val="superscript"/>
              </w:rPr>
              <w:t>a</w:t>
            </w:r>
          </w:p>
        </w:tc>
        <w:tc>
          <w:tcPr>
            <w:tcW w:w="1559" w:type="dxa"/>
            <w:tcBorders>
              <w:top w:val="nil"/>
              <w:left w:val="nil"/>
              <w:bottom w:val="single" w:sz="4" w:space="0" w:color="auto"/>
              <w:right w:val="nil"/>
            </w:tcBorders>
            <w:vAlign w:val="center"/>
          </w:tcPr>
          <w:p w:rsidR="00B84EC6" w:rsidRPr="003C1A8D" w:rsidRDefault="00B84EC6" w:rsidP="003C1A8D">
            <w:pPr>
              <w:ind w:left="340"/>
            </w:pPr>
            <w:r w:rsidRPr="003C1A8D">
              <w:t>15,84</w:t>
            </w:r>
            <w:r w:rsidRPr="003C1A8D">
              <w:rPr>
                <w:vertAlign w:val="superscript"/>
              </w:rPr>
              <w:t>bc</w:t>
            </w:r>
          </w:p>
        </w:tc>
        <w:tc>
          <w:tcPr>
            <w:tcW w:w="1559" w:type="dxa"/>
            <w:tcBorders>
              <w:top w:val="nil"/>
              <w:left w:val="nil"/>
              <w:bottom w:val="single" w:sz="4" w:space="0" w:color="auto"/>
              <w:right w:val="nil"/>
            </w:tcBorders>
            <w:vAlign w:val="center"/>
          </w:tcPr>
          <w:p w:rsidR="00B84EC6" w:rsidRPr="003C1A8D" w:rsidRDefault="00B84EC6" w:rsidP="003C1A8D">
            <w:pPr>
              <w:ind w:left="340"/>
            </w:pPr>
            <w:r w:rsidRPr="003C1A8D">
              <w:t>16,89</w:t>
            </w:r>
            <w:r w:rsidRPr="003C1A8D">
              <w:rPr>
                <w:vertAlign w:val="superscript"/>
              </w:rPr>
              <w:t>d</w:t>
            </w:r>
          </w:p>
        </w:tc>
        <w:tc>
          <w:tcPr>
            <w:tcW w:w="1134" w:type="dxa"/>
            <w:tcBorders>
              <w:top w:val="nil"/>
              <w:left w:val="nil"/>
              <w:bottom w:val="single" w:sz="4" w:space="0" w:color="auto"/>
              <w:right w:val="nil"/>
            </w:tcBorders>
            <w:vAlign w:val="center"/>
          </w:tcPr>
          <w:p w:rsidR="00B84EC6" w:rsidRPr="003C1A8D" w:rsidRDefault="00B84EC6" w:rsidP="003C1A8D">
            <w:pPr>
              <w:jc w:val="center"/>
            </w:pPr>
            <w:r w:rsidRPr="003C1A8D">
              <w:t>15,65</w:t>
            </w:r>
          </w:p>
        </w:tc>
      </w:tr>
    </w:tbl>
    <w:p w:rsidR="00B84EC6" w:rsidRPr="003C1A8D" w:rsidRDefault="00B84EC6" w:rsidP="003C1A8D">
      <w:pPr>
        <w:ind w:left="709"/>
      </w:pPr>
      <w:r w:rsidRPr="003C1A8D">
        <w:t>Keterangan: Notasi yang berbeda menunjukkan adanya perbedaan nyata (P &gt; 0</w:t>
      </w:r>
      <w:proofErr w:type="gramStart"/>
      <w:r w:rsidRPr="003C1A8D">
        <w:t>,05</w:t>
      </w:r>
      <w:proofErr w:type="gramEnd"/>
      <w:r w:rsidRPr="003C1A8D">
        <w:t>).</w:t>
      </w:r>
    </w:p>
    <w:p w:rsidR="00B84EC6" w:rsidRPr="003C1A8D" w:rsidRDefault="00B84EC6" w:rsidP="003C1A8D"/>
    <w:p w:rsidR="00B84EC6" w:rsidRPr="003C1A8D" w:rsidRDefault="00B84EC6" w:rsidP="003C1A8D">
      <w:pPr>
        <w:ind w:firstLine="567"/>
        <w:jc w:val="both"/>
      </w:pPr>
      <w:r w:rsidRPr="003C1A8D">
        <w:t xml:space="preserve">Berdasarkan Tabel 4, menunjukkan bahwa nilai total padatan terlarut minuman jeli secang meningkat seiring dengan besarnya konsentrasi karagenan yang ditambahkan. </w:t>
      </w:r>
      <w:proofErr w:type="gramStart"/>
      <w:r w:rsidRPr="003C1A8D">
        <w:t xml:space="preserve">Hal ini karena karagenan bersifat mudah larut dalam air panas 60 </w:t>
      </w:r>
      <w:r w:rsidRPr="003C1A8D">
        <w:rPr>
          <w:vertAlign w:val="superscript"/>
        </w:rPr>
        <w:t>o</w:t>
      </w:r>
      <w:r w:rsidRPr="003C1A8D">
        <w:t>C, stabil pada rentang pH yang luas serta mudah didapatkan (Therkelsen, 1993).</w:t>
      </w:r>
      <w:proofErr w:type="gramEnd"/>
      <w:r w:rsidRPr="003C1A8D">
        <w:t xml:space="preserve"> Berdasarkan SNI 8897:2020 tentang minuman jeli, salah satu syarat mutu minuman jeli, yaitu memiliki padatan total minimal 0,1% sehingga semua kombinasi perlakuan dari minuman jeli secang sudah sesuai dengan persyaratan SNI.</w:t>
      </w:r>
    </w:p>
    <w:p w:rsidR="00B84EC6" w:rsidRPr="003C1A8D" w:rsidRDefault="00B84EC6" w:rsidP="003C1A8D"/>
    <w:p w:rsidR="00D9594C" w:rsidRPr="003C1A8D" w:rsidRDefault="00D9594C" w:rsidP="003C1A8D">
      <w:pPr>
        <w:jc w:val="both"/>
        <w:rPr>
          <w:b/>
        </w:rPr>
      </w:pPr>
      <w:r w:rsidRPr="003C1A8D">
        <w:rPr>
          <w:b/>
        </w:rPr>
        <w:t>Aktivitas Antioksidan</w:t>
      </w:r>
    </w:p>
    <w:p w:rsidR="00B84EC6" w:rsidRPr="003C1A8D" w:rsidRDefault="00B84EC6" w:rsidP="003C1A8D">
      <w:pPr>
        <w:pStyle w:val="ListParagraph"/>
        <w:ind w:left="0" w:firstLine="567"/>
        <w:jc w:val="both"/>
      </w:pPr>
      <w:r w:rsidRPr="003C1A8D">
        <w:t>Hasil uji statistik menunjukkan bahwa perlakuan variasi konsentrasi kayu secang dan karagenan memberikan perbedaan yang nyata (α=0</w:t>
      </w:r>
      <w:proofErr w:type="gramStart"/>
      <w:r w:rsidRPr="003C1A8D">
        <w:t>,05</w:t>
      </w:r>
      <w:proofErr w:type="gramEnd"/>
      <w:r w:rsidRPr="003C1A8D">
        <w:t xml:space="preserve">) dan interaksi keduanya tidak memberikan perbedaan yang nyata (α=0,05) terhadap nilai aktivitas antioksidan minuman jeli secang. </w:t>
      </w:r>
      <w:proofErr w:type="gramStart"/>
      <w:r w:rsidRPr="003C1A8D">
        <w:t>Hasil analisis aktivitas antioksidan minuman jeli secang dengan perlakuan variasi konsentrasi kayu secang dan karagenan dapat dilihat pada Tabel 5.</w:t>
      </w:r>
      <w:proofErr w:type="gramEnd"/>
    </w:p>
    <w:p w:rsidR="00B84EC6" w:rsidRPr="003C1A8D" w:rsidRDefault="00B84EC6" w:rsidP="003C1A8D">
      <w:pPr>
        <w:pStyle w:val="ListParagraph"/>
        <w:ind w:left="0" w:firstLine="567"/>
        <w:jc w:val="both"/>
      </w:pPr>
    </w:p>
    <w:p w:rsidR="00B84EC6" w:rsidRPr="003C1A8D" w:rsidRDefault="00B84EC6" w:rsidP="003C1A8D">
      <w:pPr>
        <w:pStyle w:val="ListParagraph"/>
        <w:ind w:left="0" w:firstLine="0"/>
        <w:jc w:val="center"/>
      </w:pPr>
      <w:proofErr w:type="gramStart"/>
      <w:r w:rsidRPr="003C1A8D">
        <w:t>Tabel 5.</w:t>
      </w:r>
      <w:proofErr w:type="gramEnd"/>
      <w:r w:rsidRPr="003C1A8D">
        <w:t xml:space="preserve"> Aktivitas Antioksidan Minuman Jeli Secang (% RSA)</w:t>
      </w:r>
    </w:p>
    <w:tbl>
      <w:tblPr>
        <w:tblW w:w="7655" w:type="dxa"/>
        <w:tblInd w:w="817" w:type="dxa"/>
        <w:tblLayout w:type="fixed"/>
        <w:tblLook w:val="04A0" w:firstRow="1" w:lastRow="0" w:firstColumn="1" w:lastColumn="0" w:noHBand="0" w:noVBand="1"/>
      </w:tblPr>
      <w:tblGrid>
        <w:gridCol w:w="2126"/>
        <w:gridCol w:w="1843"/>
        <w:gridCol w:w="1843"/>
        <w:gridCol w:w="1843"/>
      </w:tblGrid>
      <w:tr w:rsidR="00B84EC6" w:rsidRPr="003C1A8D" w:rsidTr="00B84EC6">
        <w:trPr>
          <w:trHeight w:val="330"/>
        </w:trPr>
        <w:tc>
          <w:tcPr>
            <w:tcW w:w="2126" w:type="dxa"/>
            <w:vMerge w:val="restart"/>
            <w:tcBorders>
              <w:top w:val="single" w:sz="8" w:space="0" w:color="auto"/>
              <w:left w:val="nil"/>
              <w:bottom w:val="single" w:sz="8" w:space="0" w:color="000000"/>
              <w:right w:val="nil"/>
            </w:tcBorders>
            <w:shd w:val="clear" w:color="auto" w:fill="auto"/>
            <w:vAlign w:val="center"/>
            <w:hideMark/>
          </w:tcPr>
          <w:p w:rsidR="00B84EC6" w:rsidRPr="003C1A8D" w:rsidRDefault="00B84EC6" w:rsidP="003C1A8D">
            <w:pPr>
              <w:jc w:val="center"/>
              <w:rPr>
                <w:color w:val="000000"/>
              </w:rPr>
            </w:pPr>
            <w:r w:rsidRPr="003C1A8D">
              <w:rPr>
                <w:color w:val="000000"/>
              </w:rPr>
              <w:t>Konsentrasi Kayu Secang</w:t>
            </w:r>
          </w:p>
        </w:tc>
        <w:tc>
          <w:tcPr>
            <w:tcW w:w="5529" w:type="dxa"/>
            <w:gridSpan w:val="3"/>
            <w:tcBorders>
              <w:top w:val="single" w:sz="8" w:space="0" w:color="auto"/>
              <w:left w:val="nil"/>
              <w:bottom w:val="single" w:sz="8" w:space="0" w:color="auto"/>
              <w:right w:val="nil"/>
            </w:tcBorders>
            <w:shd w:val="clear" w:color="auto" w:fill="auto"/>
            <w:vAlign w:val="center"/>
            <w:hideMark/>
          </w:tcPr>
          <w:p w:rsidR="00B84EC6" w:rsidRPr="003C1A8D" w:rsidRDefault="00B84EC6" w:rsidP="003C1A8D">
            <w:pPr>
              <w:jc w:val="center"/>
              <w:rPr>
                <w:color w:val="000000"/>
              </w:rPr>
            </w:pPr>
            <w:r w:rsidRPr="003C1A8D">
              <w:rPr>
                <w:color w:val="000000"/>
              </w:rPr>
              <w:t>Konsentrasi Karagenan</w:t>
            </w:r>
          </w:p>
        </w:tc>
      </w:tr>
      <w:tr w:rsidR="00B84EC6" w:rsidRPr="003C1A8D" w:rsidTr="00B84EC6">
        <w:trPr>
          <w:trHeight w:val="330"/>
        </w:trPr>
        <w:tc>
          <w:tcPr>
            <w:tcW w:w="2126" w:type="dxa"/>
            <w:vMerge/>
            <w:tcBorders>
              <w:top w:val="single" w:sz="8" w:space="0" w:color="auto"/>
              <w:left w:val="nil"/>
              <w:bottom w:val="single" w:sz="8" w:space="0" w:color="000000"/>
              <w:right w:val="nil"/>
            </w:tcBorders>
            <w:vAlign w:val="center"/>
            <w:hideMark/>
          </w:tcPr>
          <w:p w:rsidR="00B84EC6" w:rsidRPr="003C1A8D" w:rsidRDefault="00B84EC6" w:rsidP="003C1A8D">
            <w:pPr>
              <w:rPr>
                <w:color w:val="000000"/>
              </w:rPr>
            </w:pPr>
          </w:p>
        </w:tc>
        <w:tc>
          <w:tcPr>
            <w:tcW w:w="1843" w:type="dxa"/>
            <w:tcBorders>
              <w:top w:val="nil"/>
              <w:left w:val="nil"/>
              <w:bottom w:val="single" w:sz="8" w:space="0" w:color="auto"/>
              <w:right w:val="nil"/>
            </w:tcBorders>
            <w:shd w:val="clear" w:color="auto" w:fill="auto"/>
            <w:vAlign w:val="center"/>
            <w:hideMark/>
          </w:tcPr>
          <w:p w:rsidR="00B84EC6" w:rsidRPr="003C1A8D" w:rsidRDefault="00B84EC6" w:rsidP="003C1A8D">
            <w:pPr>
              <w:jc w:val="center"/>
              <w:rPr>
                <w:color w:val="000000"/>
              </w:rPr>
            </w:pPr>
            <w:r w:rsidRPr="003C1A8D">
              <w:rPr>
                <w:color w:val="000000"/>
              </w:rPr>
              <w:t>0,3%</w:t>
            </w:r>
          </w:p>
        </w:tc>
        <w:tc>
          <w:tcPr>
            <w:tcW w:w="1843" w:type="dxa"/>
            <w:tcBorders>
              <w:top w:val="nil"/>
              <w:left w:val="nil"/>
              <w:bottom w:val="single" w:sz="8" w:space="0" w:color="auto"/>
              <w:right w:val="nil"/>
            </w:tcBorders>
            <w:shd w:val="clear" w:color="auto" w:fill="auto"/>
            <w:vAlign w:val="center"/>
            <w:hideMark/>
          </w:tcPr>
          <w:p w:rsidR="00B84EC6" w:rsidRPr="003C1A8D" w:rsidRDefault="00B84EC6" w:rsidP="003C1A8D">
            <w:pPr>
              <w:jc w:val="center"/>
              <w:rPr>
                <w:color w:val="000000"/>
              </w:rPr>
            </w:pPr>
            <w:r w:rsidRPr="003C1A8D">
              <w:rPr>
                <w:color w:val="000000"/>
              </w:rPr>
              <w:t>0,5%</w:t>
            </w:r>
          </w:p>
        </w:tc>
        <w:tc>
          <w:tcPr>
            <w:tcW w:w="1843" w:type="dxa"/>
            <w:tcBorders>
              <w:top w:val="nil"/>
              <w:left w:val="nil"/>
              <w:bottom w:val="single" w:sz="8" w:space="0" w:color="auto"/>
              <w:right w:val="nil"/>
            </w:tcBorders>
            <w:shd w:val="clear" w:color="auto" w:fill="auto"/>
            <w:vAlign w:val="center"/>
            <w:hideMark/>
          </w:tcPr>
          <w:p w:rsidR="00B84EC6" w:rsidRPr="003C1A8D" w:rsidRDefault="00B84EC6" w:rsidP="003C1A8D">
            <w:pPr>
              <w:jc w:val="center"/>
              <w:rPr>
                <w:color w:val="000000"/>
              </w:rPr>
            </w:pPr>
            <w:r w:rsidRPr="003C1A8D">
              <w:rPr>
                <w:color w:val="000000"/>
              </w:rPr>
              <w:t>0,7%</w:t>
            </w:r>
          </w:p>
        </w:tc>
      </w:tr>
      <w:tr w:rsidR="00B84EC6" w:rsidRPr="003C1A8D" w:rsidTr="00B84EC6">
        <w:trPr>
          <w:trHeight w:val="315"/>
        </w:trPr>
        <w:tc>
          <w:tcPr>
            <w:tcW w:w="2126" w:type="dxa"/>
            <w:tcBorders>
              <w:top w:val="nil"/>
              <w:left w:val="nil"/>
              <w:bottom w:val="nil"/>
              <w:right w:val="nil"/>
            </w:tcBorders>
            <w:shd w:val="clear" w:color="auto" w:fill="auto"/>
            <w:vAlign w:val="center"/>
            <w:hideMark/>
          </w:tcPr>
          <w:p w:rsidR="00B84EC6" w:rsidRPr="003C1A8D" w:rsidRDefault="00B84EC6" w:rsidP="003C1A8D">
            <w:pPr>
              <w:jc w:val="center"/>
              <w:rPr>
                <w:color w:val="000000"/>
              </w:rPr>
            </w:pPr>
            <w:r w:rsidRPr="003C1A8D">
              <w:rPr>
                <w:color w:val="000000"/>
              </w:rPr>
              <w:t>3%</w:t>
            </w:r>
          </w:p>
        </w:tc>
        <w:tc>
          <w:tcPr>
            <w:tcW w:w="1843" w:type="dxa"/>
            <w:tcBorders>
              <w:top w:val="nil"/>
              <w:left w:val="nil"/>
              <w:bottom w:val="nil"/>
              <w:right w:val="nil"/>
            </w:tcBorders>
            <w:shd w:val="clear" w:color="auto" w:fill="auto"/>
            <w:vAlign w:val="center"/>
            <w:hideMark/>
          </w:tcPr>
          <w:p w:rsidR="00B84EC6" w:rsidRPr="003C1A8D" w:rsidRDefault="00B84EC6" w:rsidP="003C1A8D">
            <w:pPr>
              <w:ind w:left="510"/>
              <w:rPr>
                <w:color w:val="000000"/>
              </w:rPr>
            </w:pPr>
            <w:r w:rsidRPr="003C1A8D">
              <w:rPr>
                <w:color w:val="000000"/>
              </w:rPr>
              <w:t>20,91</w:t>
            </w:r>
            <w:r w:rsidRPr="003C1A8D">
              <w:rPr>
                <w:color w:val="000000"/>
                <w:vertAlign w:val="superscript"/>
              </w:rPr>
              <w:t>a</w:t>
            </w:r>
          </w:p>
        </w:tc>
        <w:tc>
          <w:tcPr>
            <w:tcW w:w="1843" w:type="dxa"/>
            <w:tcBorders>
              <w:top w:val="nil"/>
              <w:left w:val="nil"/>
              <w:bottom w:val="nil"/>
              <w:right w:val="nil"/>
            </w:tcBorders>
            <w:shd w:val="clear" w:color="auto" w:fill="auto"/>
            <w:vAlign w:val="center"/>
            <w:hideMark/>
          </w:tcPr>
          <w:p w:rsidR="00B84EC6" w:rsidRPr="003C1A8D" w:rsidRDefault="00B84EC6" w:rsidP="003C1A8D">
            <w:pPr>
              <w:ind w:left="454"/>
              <w:rPr>
                <w:color w:val="000000"/>
              </w:rPr>
            </w:pPr>
            <w:r w:rsidRPr="003C1A8D">
              <w:rPr>
                <w:color w:val="000000"/>
              </w:rPr>
              <w:t>22,22</w:t>
            </w:r>
            <w:r w:rsidRPr="003C1A8D">
              <w:rPr>
                <w:color w:val="000000"/>
                <w:vertAlign w:val="superscript"/>
              </w:rPr>
              <w:t>ab</w:t>
            </w:r>
          </w:p>
        </w:tc>
        <w:tc>
          <w:tcPr>
            <w:tcW w:w="1843" w:type="dxa"/>
            <w:tcBorders>
              <w:top w:val="nil"/>
              <w:left w:val="nil"/>
              <w:bottom w:val="nil"/>
              <w:right w:val="nil"/>
            </w:tcBorders>
            <w:shd w:val="clear" w:color="auto" w:fill="auto"/>
            <w:vAlign w:val="center"/>
            <w:hideMark/>
          </w:tcPr>
          <w:p w:rsidR="00B84EC6" w:rsidRPr="003C1A8D" w:rsidRDefault="00B84EC6" w:rsidP="003C1A8D">
            <w:pPr>
              <w:ind w:left="510"/>
              <w:rPr>
                <w:color w:val="000000"/>
              </w:rPr>
            </w:pPr>
            <w:r w:rsidRPr="003C1A8D">
              <w:rPr>
                <w:color w:val="000000"/>
              </w:rPr>
              <w:t>23,37</w:t>
            </w:r>
            <w:r w:rsidRPr="003C1A8D">
              <w:rPr>
                <w:color w:val="000000"/>
                <w:vertAlign w:val="superscript"/>
              </w:rPr>
              <w:t>b</w:t>
            </w:r>
          </w:p>
        </w:tc>
      </w:tr>
      <w:tr w:rsidR="00B84EC6" w:rsidRPr="003C1A8D" w:rsidTr="00B84EC6">
        <w:trPr>
          <w:trHeight w:val="315"/>
        </w:trPr>
        <w:tc>
          <w:tcPr>
            <w:tcW w:w="2126" w:type="dxa"/>
            <w:tcBorders>
              <w:top w:val="nil"/>
              <w:left w:val="nil"/>
              <w:bottom w:val="nil"/>
              <w:right w:val="nil"/>
            </w:tcBorders>
            <w:shd w:val="clear" w:color="auto" w:fill="auto"/>
            <w:vAlign w:val="center"/>
            <w:hideMark/>
          </w:tcPr>
          <w:p w:rsidR="00B84EC6" w:rsidRPr="003C1A8D" w:rsidRDefault="00B84EC6" w:rsidP="003C1A8D">
            <w:pPr>
              <w:jc w:val="center"/>
              <w:rPr>
                <w:color w:val="000000"/>
              </w:rPr>
            </w:pPr>
            <w:r w:rsidRPr="003C1A8D">
              <w:rPr>
                <w:color w:val="000000"/>
              </w:rPr>
              <w:t>6%</w:t>
            </w:r>
          </w:p>
        </w:tc>
        <w:tc>
          <w:tcPr>
            <w:tcW w:w="1843" w:type="dxa"/>
            <w:tcBorders>
              <w:top w:val="nil"/>
              <w:left w:val="nil"/>
              <w:bottom w:val="nil"/>
              <w:right w:val="nil"/>
            </w:tcBorders>
            <w:shd w:val="clear" w:color="auto" w:fill="auto"/>
            <w:vAlign w:val="center"/>
            <w:hideMark/>
          </w:tcPr>
          <w:p w:rsidR="00B84EC6" w:rsidRPr="003C1A8D" w:rsidRDefault="00B84EC6" w:rsidP="003C1A8D">
            <w:pPr>
              <w:ind w:left="510"/>
              <w:rPr>
                <w:color w:val="000000"/>
              </w:rPr>
            </w:pPr>
            <w:r w:rsidRPr="003C1A8D">
              <w:rPr>
                <w:color w:val="000000"/>
              </w:rPr>
              <w:t>31,27</w:t>
            </w:r>
            <w:r w:rsidRPr="003C1A8D">
              <w:rPr>
                <w:color w:val="000000"/>
                <w:vertAlign w:val="superscript"/>
              </w:rPr>
              <w:t>c</w:t>
            </w:r>
          </w:p>
        </w:tc>
        <w:tc>
          <w:tcPr>
            <w:tcW w:w="1843" w:type="dxa"/>
            <w:tcBorders>
              <w:top w:val="nil"/>
              <w:left w:val="nil"/>
              <w:bottom w:val="nil"/>
              <w:right w:val="nil"/>
            </w:tcBorders>
            <w:shd w:val="clear" w:color="auto" w:fill="auto"/>
            <w:vAlign w:val="center"/>
            <w:hideMark/>
          </w:tcPr>
          <w:p w:rsidR="00B84EC6" w:rsidRPr="003C1A8D" w:rsidRDefault="00B84EC6" w:rsidP="003C1A8D">
            <w:pPr>
              <w:ind w:left="454"/>
              <w:rPr>
                <w:color w:val="000000"/>
              </w:rPr>
            </w:pPr>
            <w:r w:rsidRPr="003C1A8D">
              <w:rPr>
                <w:color w:val="000000"/>
              </w:rPr>
              <w:t>32,37</w:t>
            </w:r>
            <w:r w:rsidRPr="003C1A8D">
              <w:rPr>
                <w:color w:val="000000"/>
                <w:vertAlign w:val="superscript"/>
              </w:rPr>
              <w:t>cd</w:t>
            </w:r>
          </w:p>
        </w:tc>
        <w:tc>
          <w:tcPr>
            <w:tcW w:w="1843" w:type="dxa"/>
            <w:tcBorders>
              <w:top w:val="nil"/>
              <w:left w:val="nil"/>
              <w:bottom w:val="nil"/>
              <w:right w:val="nil"/>
            </w:tcBorders>
            <w:shd w:val="clear" w:color="auto" w:fill="auto"/>
            <w:vAlign w:val="center"/>
            <w:hideMark/>
          </w:tcPr>
          <w:p w:rsidR="00B84EC6" w:rsidRPr="003C1A8D" w:rsidRDefault="00B84EC6" w:rsidP="003C1A8D">
            <w:pPr>
              <w:ind w:left="510"/>
              <w:rPr>
                <w:color w:val="000000"/>
              </w:rPr>
            </w:pPr>
            <w:r w:rsidRPr="003C1A8D">
              <w:rPr>
                <w:color w:val="000000"/>
              </w:rPr>
              <w:t>32,80</w:t>
            </w:r>
            <w:r w:rsidRPr="003C1A8D">
              <w:rPr>
                <w:color w:val="000000"/>
                <w:vertAlign w:val="superscript"/>
              </w:rPr>
              <w:t>d</w:t>
            </w:r>
          </w:p>
        </w:tc>
      </w:tr>
      <w:tr w:rsidR="00B84EC6" w:rsidRPr="003C1A8D" w:rsidTr="00B84EC6">
        <w:trPr>
          <w:trHeight w:val="330"/>
        </w:trPr>
        <w:tc>
          <w:tcPr>
            <w:tcW w:w="2126" w:type="dxa"/>
            <w:tcBorders>
              <w:top w:val="nil"/>
              <w:left w:val="nil"/>
              <w:bottom w:val="single" w:sz="8" w:space="0" w:color="auto"/>
              <w:right w:val="nil"/>
            </w:tcBorders>
            <w:shd w:val="clear" w:color="auto" w:fill="auto"/>
            <w:vAlign w:val="center"/>
            <w:hideMark/>
          </w:tcPr>
          <w:p w:rsidR="00B84EC6" w:rsidRPr="003C1A8D" w:rsidRDefault="00B84EC6" w:rsidP="003C1A8D">
            <w:pPr>
              <w:jc w:val="center"/>
              <w:rPr>
                <w:color w:val="000000"/>
              </w:rPr>
            </w:pPr>
            <w:r w:rsidRPr="003C1A8D">
              <w:rPr>
                <w:color w:val="000000"/>
              </w:rPr>
              <w:t>9%</w:t>
            </w:r>
          </w:p>
        </w:tc>
        <w:tc>
          <w:tcPr>
            <w:tcW w:w="1843" w:type="dxa"/>
            <w:tcBorders>
              <w:top w:val="nil"/>
              <w:left w:val="nil"/>
              <w:bottom w:val="single" w:sz="8" w:space="0" w:color="auto"/>
              <w:right w:val="nil"/>
            </w:tcBorders>
            <w:shd w:val="clear" w:color="auto" w:fill="auto"/>
            <w:vAlign w:val="center"/>
            <w:hideMark/>
          </w:tcPr>
          <w:p w:rsidR="00B84EC6" w:rsidRPr="003C1A8D" w:rsidRDefault="00B84EC6" w:rsidP="003C1A8D">
            <w:pPr>
              <w:ind w:left="510"/>
              <w:rPr>
                <w:color w:val="000000"/>
              </w:rPr>
            </w:pPr>
            <w:r w:rsidRPr="003C1A8D">
              <w:rPr>
                <w:color w:val="000000"/>
              </w:rPr>
              <w:t>41,86</w:t>
            </w:r>
            <w:r w:rsidRPr="003C1A8D">
              <w:rPr>
                <w:color w:val="000000"/>
                <w:vertAlign w:val="superscript"/>
              </w:rPr>
              <w:t>e</w:t>
            </w:r>
          </w:p>
        </w:tc>
        <w:tc>
          <w:tcPr>
            <w:tcW w:w="1843" w:type="dxa"/>
            <w:tcBorders>
              <w:top w:val="nil"/>
              <w:left w:val="nil"/>
              <w:bottom w:val="single" w:sz="8" w:space="0" w:color="auto"/>
              <w:right w:val="nil"/>
            </w:tcBorders>
            <w:shd w:val="clear" w:color="auto" w:fill="auto"/>
            <w:vAlign w:val="center"/>
            <w:hideMark/>
          </w:tcPr>
          <w:p w:rsidR="00B84EC6" w:rsidRPr="003C1A8D" w:rsidRDefault="00B84EC6" w:rsidP="003C1A8D">
            <w:pPr>
              <w:ind w:left="454"/>
              <w:rPr>
                <w:color w:val="000000"/>
              </w:rPr>
            </w:pPr>
            <w:r w:rsidRPr="003C1A8D">
              <w:rPr>
                <w:color w:val="000000"/>
              </w:rPr>
              <w:t>44,18</w:t>
            </w:r>
            <w:r w:rsidRPr="003C1A8D">
              <w:rPr>
                <w:color w:val="000000"/>
                <w:vertAlign w:val="superscript"/>
              </w:rPr>
              <w:t>f</w:t>
            </w:r>
          </w:p>
        </w:tc>
        <w:tc>
          <w:tcPr>
            <w:tcW w:w="1843" w:type="dxa"/>
            <w:tcBorders>
              <w:top w:val="nil"/>
              <w:left w:val="nil"/>
              <w:bottom w:val="single" w:sz="8" w:space="0" w:color="auto"/>
              <w:right w:val="nil"/>
            </w:tcBorders>
            <w:shd w:val="clear" w:color="auto" w:fill="auto"/>
            <w:vAlign w:val="center"/>
            <w:hideMark/>
          </w:tcPr>
          <w:p w:rsidR="00B84EC6" w:rsidRPr="003C1A8D" w:rsidRDefault="00B84EC6" w:rsidP="003C1A8D">
            <w:pPr>
              <w:ind w:left="510"/>
              <w:rPr>
                <w:color w:val="000000"/>
              </w:rPr>
            </w:pPr>
            <w:r w:rsidRPr="003C1A8D">
              <w:rPr>
                <w:color w:val="000000"/>
              </w:rPr>
              <w:t>46,07</w:t>
            </w:r>
            <w:r w:rsidRPr="003C1A8D">
              <w:rPr>
                <w:color w:val="000000"/>
                <w:vertAlign w:val="superscript"/>
              </w:rPr>
              <w:t>g</w:t>
            </w:r>
          </w:p>
        </w:tc>
      </w:tr>
    </w:tbl>
    <w:p w:rsidR="00B84EC6" w:rsidRPr="003C1A8D" w:rsidRDefault="00B84EC6" w:rsidP="003C1A8D">
      <w:pPr>
        <w:pStyle w:val="ListParagraph"/>
        <w:ind w:left="709" w:firstLine="0"/>
      </w:pPr>
      <w:r w:rsidRPr="003C1A8D">
        <w:t>Keterangan: Notasi yang berbeda menunjukkan adanya perbedaan nyata (P &gt; 0</w:t>
      </w:r>
      <w:proofErr w:type="gramStart"/>
      <w:r w:rsidRPr="003C1A8D">
        <w:t>,05</w:t>
      </w:r>
      <w:proofErr w:type="gramEnd"/>
      <w:r w:rsidRPr="003C1A8D">
        <w:t>).</w:t>
      </w:r>
    </w:p>
    <w:p w:rsidR="00B84EC6" w:rsidRPr="003C1A8D" w:rsidRDefault="00B84EC6" w:rsidP="003C1A8D">
      <w:pPr>
        <w:pStyle w:val="ListParagraph"/>
        <w:ind w:left="0" w:firstLine="0"/>
      </w:pPr>
    </w:p>
    <w:p w:rsidR="00B84EC6" w:rsidRPr="00075D4C" w:rsidRDefault="00F851A9" w:rsidP="00075D4C">
      <w:pPr>
        <w:pStyle w:val="ListParagraph"/>
        <w:ind w:left="0" w:firstLine="567"/>
        <w:jc w:val="both"/>
      </w:pPr>
      <w:r w:rsidRPr="003C1A8D">
        <w:t xml:space="preserve">Berdasarkan Tabel 5, menunjukkan bahwa nilai aktivitas antioksidan minuman jeli secang meningkat seiring dengan besarnya konsentrasi kayu secang yang ditambahkan. </w:t>
      </w:r>
      <w:proofErr w:type="gramStart"/>
      <w:r w:rsidRPr="003C1A8D">
        <w:t>Senyawa antioksidan yang terkandung dalam kayu secang mampu melakukan penghambatan pembentukan senyawa radikal dengan baik sehingga semakin banyak konsentrasi kayu secang yang digunakan maka semakin tinggi aktivitas antioksidannya.</w:t>
      </w:r>
      <w:proofErr w:type="gramEnd"/>
      <w:r w:rsidRPr="003C1A8D">
        <w:t xml:space="preserve"> </w:t>
      </w:r>
      <w:proofErr w:type="gramStart"/>
      <w:r w:rsidRPr="003C1A8D">
        <w:t>Beberapa senyawa fitokimia yang berperan sebagai antioksidan pada kayu secang adalah brazilin dan flavonoid.</w:t>
      </w:r>
      <w:proofErr w:type="gramEnd"/>
      <w:r w:rsidRPr="003C1A8D">
        <w:t xml:space="preserve"> </w:t>
      </w:r>
      <w:proofErr w:type="gramStart"/>
      <w:r w:rsidRPr="003C1A8D">
        <w:t>Flavonoid yang terdapat dalam ekstrak kayu secang memiliki sejumlah kemampuan untuk meredam atau menghambat pembentukan radikal bebas hidroksil, anion superoksida, radikal peroksil, radikal alkoksil, singlet oksigen dan hidrogen peroksida (Miller, 2002).</w:t>
      </w:r>
      <w:proofErr w:type="gramEnd"/>
      <w:r w:rsidRPr="003C1A8D">
        <w:t xml:space="preserve"> </w:t>
      </w:r>
      <w:proofErr w:type="gramStart"/>
      <w:r w:rsidRPr="003C1A8D">
        <w:t>Nilai aktivitas antioksidan minuman jeli secang juga meningkat seiring dengan besarnya konsentrasi karagenan yang ditambahkan.</w:t>
      </w:r>
      <w:proofErr w:type="gramEnd"/>
      <w:r w:rsidRPr="003C1A8D">
        <w:t xml:space="preserve"> Hal ini disebabkan karena karagenan memiliki gugus hidroksil yang </w:t>
      </w:r>
      <w:r w:rsidRPr="003C1A8D">
        <w:lastRenderedPageBreak/>
        <w:t xml:space="preserve">lebih banyak sehingga kemampuan untuk membentuk struktur </w:t>
      </w:r>
      <w:r w:rsidRPr="003C1A8D">
        <w:rPr>
          <w:i/>
        </w:rPr>
        <w:t>double helix</w:t>
      </w:r>
      <w:r w:rsidRPr="003C1A8D">
        <w:t xml:space="preserve"> juga lebih tinggi dan dapat melindungi </w:t>
      </w:r>
      <w:r w:rsidRPr="00075D4C">
        <w:t xml:space="preserve">senyawa antioksidan dalam matrik tiga dimensi dari suhu panas selama pemasakan serta dari oksigen (Masuda </w:t>
      </w:r>
      <w:proofErr w:type="gramStart"/>
      <w:r w:rsidRPr="00075D4C">
        <w:t>dkk.,</w:t>
      </w:r>
      <w:proofErr w:type="gramEnd"/>
      <w:r w:rsidRPr="00075D4C">
        <w:t xml:space="preserve"> 2004).</w:t>
      </w:r>
    </w:p>
    <w:p w:rsidR="003C1A8D" w:rsidRPr="00075D4C" w:rsidRDefault="003C1A8D" w:rsidP="00075D4C">
      <w:pPr>
        <w:pStyle w:val="ListParagraph"/>
        <w:ind w:left="0" w:firstLine="567"/>
        <w:jc w:val="both"/>
      </w:pPr>
    </w:p>
    <w:p w:rsidR="00D9594C" w:rsidRPr="00075D4C" w:rsidRDefault="00D9594C" w:rsidP="00075D4C">
      <w:pPr>
        <w:jc w:val="both"/>
        <w:rPr>
          <w:b/>
        </w:rPr>
      </w:pPr>
      <w:proofErr w:type="gramStart"/>
      <w:r w:rsidRPr="00075D4C">
        <w:rPr>
          <w:b/>
        </w:rPr>
        <w:t>pH</w:t>
      </w:r>
      <w:proofErr w:type="gramEnd"/>
    </w:p>
    <w:p w:rsidR="003C1A8D" w:rsidRPr="00075D4C" w:rsidRDefault="003C1A8D" w:rsidP="00075D4C">
      <w:pPr>
        <w:ind w:firstLine="567"/>
        <w:jc w:val="both"/>
      </w:pPr>
      <w:r w:rsidRPr="00075D4C">
        <w:t>Hasil uji statistik menunjukkan bahwa perlakuan variasi konsentrasi kayu secang dan karagenan serta interaksi keduanya memberikan perbedaan yang nyata (α=0</w:t>
      </w:r>
      <w:proofErr w:type="gramStart"/>
      <w:r w:rsidRPr="00075D4C">
        <w:t>,05</w:t>
      </w:r>
      <w:proofErr w:type="gramEnd"/>
      <w:r w:rsidRPr="00075D4C">
        <w:t xml:space="preserve">) terhadap nilai pH minuman jeli secang. </w:t>
      </w:r>
      <w:proofErr w:type="gramStart"/>
      <w:r w:rsidRPr="00075D4C">
        <w:t>Hasil analisis pH minuman jeli secang dengan perlakuan variasi konsentrasi kayu secang dan karagenan dapat dilihat pada Tabel 6.</w:t>
      </w:r>
      <w:proofErr w:type="gramEnd"/>
    </w:p>
    <w:p w:rsidR="003C1A8D" w:rsidRPr="00075D4C" w:rsidRDefault="003C1A8D" w:rsidP="00075D4C">
      <w:pPr>
        <w:ind w:firstLine="567"/>
        <w:jc w:val="both"/>
      </w:pPr>
    </w:p>
    <w:p w:rsidR="003C1A8D" w:rsidRPr="00075D4C" w:rsidRDefault="003C1A8D" w:rsidP="00075D4C">
      <w:pPr>
        <w:jc w:val="center"/>
      </w:pPr>
      <w:proofErr w:type="gramStart"/>
      <w:r w:rsidRPr="00075D4C">
        <w:t>Tabel 6.</w:t>
      </w:r>
      <w:proofErr w:type="gramEnd"/>
      <w:r w:rsidRPr="00075D4C">
        <w:t xml:space="preserve"> </w:t>
      </w:r>
      <w:proofErr w:type="gramStart"/>
      <w:r w:rsidRPr="00075D4C">
        <w:t>pH</w:t>
      </w:r>
      <w:proofErr w:type="gramEnd"/>
      <w:r w:rsidRPr="00075D4C">
        <w:t xml:space="preserve"> Minuman Jeli Secang</w:t>
      </w:r>
    </w:p>
    <w:tbl>
      <w:tblPr>
        <w:tblStyle w:val="TableGrid"/>
        <w:tblW w:w="7654" w:type="dxa"/>
        <w:tblInd w:w="817" w:type="dxa"/>
        <w:tblBorders>
          <w:left w:val="none" w:sz="0" w:space="0" w:color="auto"/>
          <w:right w:val="none" w:sz="0" w:space="0" w:color="auto"/>
        </w:tblBorders>
        <w:tblLook w:val="04A0" w:firstRow="1" w:lastRow="0" w:firstColumn="1" w:lastColumn="0" w:noHBand="0" w:noVBand="1"/>
      </w:tblPr>
      <w:tblGrid>
        <w:gridCol w:w="1984"/>
        <w:gridCol w:w="1843"/>
        <w:gridCol w:w="1843"/>
        <w:gridCol w:w="1984"/>
      </w:tblGrid>
      <w:tr w:rsidR="003C1A8D" w:rsidRPr="00075D4C" w:rsidTr="003C1A8D">
        <w:tc>
          <w:tcPr>
            <w:tcW w:w="1984" w:type="dxa"/>
            <w:vMerge w:val="restart"/>
            <w:tcBorders>
              <w:bottom w:val="single" w:sz="4" w:space="0" w:color="auto"/>
              <w:right w:val="nil"/>
            </w:tcBorders>
            <w:vAlign w:val="center"/>
          </w:tcPr>
          <w:p w:rsidR="003C1A8D" w:rsidRPr="00075D4C" w:rsidRDefault="003C1A8D" w:rsidP="00075D4C">
            <w:pPr>
              <w:pStyle w:val="TableParagraph"/>
              <w:jc w:val="center"/>
            </w:pPr>
            <w:r w:rsidRPr="00075D4C">
              <w:t>Konsentrasi Kayu Secang</w:t>
            </w:r>
          </w:p>
        </w:tc>
        <w:tc>
          <w:tcPr>
            <w:tcW w:w="5670" w:type="dxa"/>
            <w:gridSpan w:val="3"/>
            <w:tcBorders>
              <w:left w:val="nil"/>
              <w:bottom w:val="single" w:sz="4" w:space="0" w:color="auto"/>
              <w:right w:val="nil"/>
            </w:tcBorders>
            <w:vAlign w:val="center"/>
          </w:tcPr>
          <w:p w:rsidR="003C1A8D" w:rsidRPr="00075D4C" w:rsidRDefault="003C1A8D" w:rsidP="00075D4C">
            <w:pPr>
              <w:pStyle w:val="TableParagraph"/>
              <w:jc w:val="center"/>
            </w:pPr>
            <w:r w:rsidRPr="00075D4C">
              <w:t>Konsentrasi Karagenan</w:t>
            </w:r>
          </w:p>
        </w:tc>
      </w:tr>
      <w:tr w:rsidR="003C1A8D" w:rsidRPr="00075D4C" w:rsidTr="003C1A8D">
        <w:tc>
          <w:tcPr>
            <w:tcW w:w="1984" w:type="dxa"/>
            <w:vMerge/>
            <w:tcBorders>
              <w:top w:val="nil"/>
              <w:bottom w:val="single" w:sz="4" w:space="0" w:color="auto"/>
              <w:right w:val="nil"/>
            </w:tcBorders>
            <w:vAlign w:val="center"/>
          </w:tcPr>
          <w:p w:rsidR="003C1A8D" w:rsidRPr="00075D4C" w:rsidRDefault="003C1A8D" w:rsidP="00075D4C">
            <w:pPr>
              <w:jc w:val="center"/>
            </w:pPr>
          </w:p>
        </w:tc>
        <w:tc>
          <w:tcPr>
            <w:tcW w:w="1843" w:type="dxa"/>
            <w:tcBorders>
              <w:top w:val="single" w:sz="4" w:space="0" w:color="auto"/>
              <w:left w:val="nil"/>
              <w:bottom w:val="single" w:sz="4" w:space="0" w:color="auto"/>
              <w:right w:val="nil"/>
            </w:tcBorders>
            <w:vAlign w:val="center"/>
          </w:tcPr>
          <w:p w:rsidR="003C1A8D" w:rsidRPr="00075D4C" w:rsidRDefault="003C1A8D" w:rsidP="00075D4C">
            <w:pPr>
              <w:jc w:val="center"/>
            </w:pPr>
            <w:r w:rsidRPr="00075D4C">
              <w:t>0,3%</w:t>
            </w:r>
          </w:p>
        </w:tc>
        <w:tc>
          <w:tcPr>
            <w:tcW w:w="1843" w:type="dxa"/>
            <w:tcBorders>
              <w:top w:val="single" w:sz="4" w:space="0" w:color="auto"/>
              <w:left w:val="nil"/>
              <w:bottom w:val="single" w:sz="4" w:space="0" w:color="auto"/>
              <w:right w:val="nil"/>
            </w:tcBorders>
            <w:vAlign w:val="center"/>
          </w:tcPr>
          <w:p w:rsidR="003C1A8D" w:rsidRPr="00075D4C" w:rsidRDefault="003C1A8D" w:rsidP="00075D4C">
            <w:pPr>
              <w:jc w:val="center"/>
            </w:pPr>
            <w:r w:rsidRPr="00075D4C">
              <w:t>0,5%</w:t>
            </w:r>
          </w:p>
        </w:tc>
        <w:tc>
          <w:tcPr>
            <w:tcW w:w="1984" w:type="dxa"/>
            <w:tcBorders>
              <w:top w:val="single" w:sz="4" w:space="0" w:color="auto"/>
              <w:left w:val="nil"/>
              <w:bottom w:val="single" w:sz="4" w:space="0" w:color="auto"/>
              <w:right w:val="nil"/>
            </w:tcBorders>
            <w:vAlign w:val="center"/>
          </w:tcPr>
          <w:p w:rsidR="003C1A8D" w:rsidRPr="00075D4C" w:rsidRDefault="003C1A8D" w:rsidP="00075D4C">
            <w:pPr>
              <w:jc w:val="center"/>
            </w:pPr>
            <w:r w:rsidRPr="00075D4C">
              <w:t>0,7%</w:t>
            </w:r>
          </w:p>
        </w:tc>
      </w:tr>
      <w:tr w:rsidR="003C1A8D" w:rsidRPr="00075D4C" w:rsidTr="003C1A8D">
        <w:tc>
          <w:tcPr>
            <w:tcW w:w="1984" w:type="dxa"/>
            <w:tcBorders>
              <w:top w:val="single" w:sz="4" w:space="0" w:color="auto"/>
              <w:left w:val="nil"/>
              <w:bottom w:val="nil"/>
              <w:right w:val="nil"/>
            </w:tcBorders>
            <w:vAlign w:val="center"/>
          </w:tcPr>
          <w:p w:rsidR="003C1A8D" w:rsidRPr="00075D4C" w:rsidRDefault="003C1A8D" w:rsidP="00075D4C">
            <w:pPr>
              <w:jc w:val="center"/>
            </w:pPr>
            <w:r w:rsidRPr="00075D4C">
              <w:t>3%</w:t>
            </w:r>
          </w:p>
        </w:tc>
        <w:tc>
          <w:tcPr>
            <w:tcW w:w="1843" w:type="dxa"/>
            <w:tcBorders>
              <w:top w:val="single" w:sz="4" w:space="0" w:color="auto"/>
              <w:left w:val="nil"/>
              <w:bottom w:val="nil"/>
              <w:right w:val="nil"/>
            </w:tcBorders>
            <w:vAlign w:val="center"/>
          </w:tcPr>
          <w:p w:rsidR="003C1A8D" w:rsidRPr="00075D4C" w:rsidRDefault="003C1A8D" w:rsidP="00075D4C">
            <w:pPr>
              <w:ind w:left="567"/>
            </w:pPr>
            <w:r w:rsidRPr="00075D4C">
              <w:t>4,50</w:t>
            </w:r>
            <w:r w:rsidRPr="00075D4C">
              <w:rPr>
                <w:vertAlign w:val="superscript"/>
              </w:rPr>
              <w:t>a</w:t>
            </w:r>
          </w:p>
        </w:tc>
        <w:tc>
          <w:tcPr>
            <w:tcW w:w="1843" w:type="dxa"/>
            <w:tcBorders>
              <w:top w:val="single" w:sz="4" w:space="0" w:color="auto"/>
              <w:left w:val="nil"/>
              <w:bottom w:val="nil"/>
              <w:right w:val="nil"/>
            </w:tcBorders>
            <w:vAlign w:val="center"/>
          </w:tcPr>
          <w:p w:rsidR="003C1A8D" w:rsidRPr="00075D4C" w:rsidRDefault="003C1A8D" w:rsidP="00075D4C">
            <w:pPr>
              <w:ind w:left="510"/>
            </w:pPr>
            <w:r w:rsidRPr="00075D4C">
              <w:t>4,59</w:t>
            </w:r>
            <w:r w:rsidRPr="00075D4C">
              <w:rPr>
                <w:vertAlign w:val="superscript"/>
              </w:rPr>
              <w:t>b</w:t>
            </w:r>
          </w:p>
        </w:tc>
        <w:tc>
          <w:tcPr>
            <w:tcW w:w="1984" w:type="dxa"/>
            <w:tcBorders>
              <w:top w:val="single" w:sz="4" w:space="0" w:color="auto"/>
              <w:left w:val="nil"/>
              <w:bottom w:val="nil"/>
              <w:right w:val="nil"/>
            </w:tcBorders>
            <w:vAlign w:val="center"/>
          </w:tcPr>
          <w:p w:rsidR="003C1A8D" w:rsidRPr="00075D4C" w:rsidRDefault="003C1A8D" w:rsidP="00075D4C">
            <w:pPr>
              <w:ind w:left="624"/>
            </w:pPr>
            <w:r w:rsidRPr="00075D4C">
              <w:t>4,72</w:t>
            </w:r>
            <w:r w:rsidRPr="00075D4C">
              <w:rPr>
                <w:vertAlign w:val="superscript"/>
              </w:rPr>
              <w:t>d</w:t>
            </w:r>
          </w:p>
        </w:tc>
      </w:tr>
      <w:tr w:rsidR="003C1A8D" w:rsidRPr="00075D4C" w:rsidTr="003C1A8D">
        <w:tc>
          <w:tcPr>
            <w:tcW w:w="1984" w:type="dxa"/>
            <w:tcBorders>
              <w:top w:val="nil"/>
              <w:left w:val="nil"/>
              <w:bottom w:val="nil"/>
              <w:right w:val="nil"/>
            </w:tcBorders>
            <w:vAlign w:val="center"/>
          </w:tcPr>
          <w:p w:rsidR="003C1A8D" w:rsidRPr="00075D4C" w:rsidRDefault="003C1A8D" w:rsidP="00075D4C">
            <w:pPr>
              <w:jc w:val="center"/>
            </w:pPr>
            <w:r w:rsidRPr="00075D4C">
              <w:t>6%</w:t>
            </w:r>
          </w:p>
        </w:tc>
        <w:tc>
          <w:tcPr>
            <w:tcW w:w="1843" w:type="dxa"/>
            <w:tcBorders>
              <w:top w:val="nil"/>
              <w:left w:val="nil"/>
              <w:bottom w:val="nil"/>
              <w:right w:val="nil"/>
            </w:tcBorders>
            <w:vAlign w:val="center"/>
          </w:tcPr>
          <w:p w:rsidR="003C1A8D" w:rsidRPr="00075D4C" w:rsidRDefault="003C1A8D" w:rsidP="00075D4C">
            <w:pPr>
              <w:ind w:left="567"/>
            </w:pPr>
            <w:r w:rsidRPr="00075D4C">
              <w:t>4,61</w:t>
            </w:r>
            <w:r w:rsidRPr="00075D4C">
              <w:rPr>
                <w:vertAlign w:val="superscript"/>
              </w:rPr>
              <w:t>b</w:t>
            </w:r>
          </w:p>
        </w:tc>
        <w:tc>
          <w:tcPr>
            <w:tcW w:w="1843" w:type="dxa"/>
            <w:tcBorders>
              <w:top w:val="nil"/>
              <w:left w:val="nil"/>
              <w:bottom w:val="nil"/>
              <w:right w:val="nil"/>
            </w:tcBorders>
            <w:vAlign w:val="center"/>
          </w:tcPr>
          <w:p w:rsidR="003C1A8D" w:rsidRPr="00075D4C" w:rsidRDefault="003C1A8D" w:rsidP="00075D4C">
            <w:pPr>
              <w:ind w:left="510"/>
            </w:pPr>
            <w:r w:rsidRPr="00075D4C">
              <w:t>4,70</w:t>
            </w:r>
            <w:r w:rsidRPr="00075D4C">
              <w:rPr>
                <w:vertAlign w:val="superscript"/>
              </w:rPr>
              <w:t xml:space="preserve">cd </w:t>
            </w:r>
          </w:p>
        </w:tc>
        <w:tc>
          <w:tcPr>
            <w:tcW w:w="1984" w:type="dxa"/>
            <w:tcBorders>
              <w:top w:val="nil"/>
              <w:left w:val="nil"/>
              <w:bottom w:val="nil"/>
              <w:right w:val="nil"/>
            </w:tcBorders>
            <w:vAlign w:val="center"/>
          </w:tcPr>
          <w:p w:rsidR="003C1A8D" w:rsidRPr="00075D4C" w:rsidRDefault="003C1A8D" w:rsidP="00075D4C">
            <w:pPr>
              <w:ind w:left="624"/>
            </w:pPr>
            <w:r w:rsidRPr="00075D4C">
              <w:t>4,79</w:t>
            </w:r>
            <w:r w:rsidRPr="00075D4C">
              <w:rPr>
                <w:vertAlign w:val="superscript"/>
              </w:rPr>
              <w:t>e</w:t>
            </w:r>
          </w:p>
        </w:tc>
      </w:tr>
      <w:tr w:rsidR="003C1A8D" w:rsidRPr="00075D4C" w:rsidTr="003C1A8D">
        <w:tc>
          <w:tcPr>
            <w:tcW w:w="1984" w:type="dxa"/>
            <w:tcBorders>
              <w:top w:val="nil"/>
              <w:left w:val="nil"/>
              <w:bottom w:val="single" w:sz="4" w:space="0" w:color="auto"/>
              <w:right w:val="nil"/>
            </w:tcBorders>
            <w:vAlign w:val="center"/>
          </w:tcPr>
          <w:p w:rsidR="003C1A8D" w:rsidRPr="00075D4C" w:rsidRDefault="003C1A8D" w:rsidP="00075D4C">
            <w:pPr>
              <w:jc w:val="center"/>
            </w:pPr>
            <w:r w:rsidRPr="00075D4C">
              <w:t>9%</w:t>
            </w:r>
          </w:p>
        </w:tc>
        <w:tc>
          <w:tcPr>
            <w:tcW w:w="1843" w:type="dxa"/>
            <w:tcBorders>
              <w:top w:val="nil"/>
              <w:left w:val="nil"/>
              <w:bottom w:val="single" w:sz="4" w:space="0" w:color="auto"/>
              <w:right w:val="nil"/>
            </w:tcBorders>
            <w:vAlign w:val="center"/>
          </w:tcPr>
          <w:p w:rsidR="003C1A8D" w:rsidRPr="00075D4C" w:rsidRDefault="003C1A8D" w:rsidP="00075D4C">
            <w:pPr>
              <w:ind w:left="567"/>
            </w:pPr>
            <w:r w:rsidRPr="00075D4C">
              <w:t>4,68</w:t>
            </w:r>
            <w:r w:rsidRPr="00075D4C">
              <w:rPr>
                <w:vertAlign w:val="superscript"/>
              </w:rPr>
              <w:t>c</w:t>
            </w:r>
          </w:p>
        </w:tc>
        <w:tc>
          <w:tcPr>
            <w:tcW w:w="1843" w:type="dxa"/>
            <w:tcBorders>
              <w:top w:val="nil"/>
              <w:left w:val="nil"/>
              <w:bottom w:val="single" w:sz="4" w:space="0" w:color="auto"/>
              <w:right w:val="nil"/>
            </w:tcBorders>
            <w:vAlign w:val="center"/>
          </w:tcPr>
          <w:p w:rsidR="003C1A8D" w:rsidRPr="00075D4C" w:rsidRDefault="003C1A8D" w:rsidP="00075D4C">
            <w:pPr>
              <w:ind w:left="510"/>
            </w:pPr>
            <w:r w:rsidRPr="00075D4C">
              <w:t>4,77</w:t>
            </w:r>
            <w:r w:rsidRPr="00075D4C">
              <w:rPr>
                <w:vertAlign w:val="superscript"/>
              </w:rPr>
              <w:t>e</w:t>
            </w:r>
          </w:p>
        </w:tc>
        <w:tc>
          <w:tcPr>
            <w:tcW w:w="1984" w:type="dxa"/>
            <w:tcBorders>
              <w:top w:val="nil"/>
              <w:left w:val="nil"/>
              <w:bottom w:val="single" w:sz="4" w:space="0" w:color="auto"/>
              <w:right w:val="nil"/>
            </w:tcBorders>
            <w:vAlign w:val="center"/>
          </w:tcPr>
          <w:p w:rsidR="003C1A8D" w:rsidRPr="00075D4C" w:rsidRDefault="003C1A8D" w:rsidP="00075D4C">
            <w:pPr>
              <w:ind w:left="624"/>
            </w:pPr>
            <w:r w:rsidRPr="00075D4C">
              <w:t>4,83</w:t>
            </w:r>
            <w:r w:rsidRPr="00075D4C">
              <w:rPr>
                <w:vertAlign w:val="superscript"/>
              </w:rPr>
              <w:t>f</w:t>
            </w:r>
          </w:p>
        </w:tc>
      </w:tr>
    </w:tbl>
    <w:p w:rsidR="003C1A8D" w:rsidRPr="00075D4C" w:rsidRDefault="003C1A8D" w:rsidP="00075D4C">
      <w:pPr>
        <w:pStyle w:val="ListParagraph"/>
        <w:ind w:left="709" w:firstLine="0"/>
      </w:pPr>
      <w:r w:rsidRPr="00075D4C">
        <w:t>Keterangan: Notasi yang berbeda menunjukkan adanya perbedaan nyata (P &lt; 0</w:t>
      </w:r>
      <w:proofErr w:type="gramStart"/>
      <w:r w:rsidRPr="00075D4C">
        <w:t>,05</w:t>
      </w:r>
      <w:proofErr w:type="gramEnd"/>
      <w:r w:rsidRPr="00075D4C">
        <w:t>).</w:t>
      </w:r>
    </w:p>
    <w:p w:rsidR="003C1A8D" w:rsidRPr="00075D4C" w:rsidRDefault="003C1A8D" w:rsidP="00075D4C"/>
    <w:p w:rsidR="003C1A8D" w:rsidRPr="00075D4C" w:rsidRDefault="003C1A8D" w:rsidP="00D820F6">
      <w:pPr>
        <w:ind w:firstLine="567"/>
        <w:jc w:val="both"/>
      </w:pPr>
      <w:r w:rsidRPr="00075D4C">
        <w:t xml:space="preserve">Berdasarkan Tabel 6, menunjukkan bahwa </w:t>
      </w:r>
      <w:r w:rsidRPr="00075D4C">
        <w:rPr>
          <w:rFonts w:eastAsia="Calibri"/>
        </w:rPr>
        <w:t xml:space="preserve">Nilai </w:t>
      </w:r>
      <w:r w:rsidRPr="00075D4C">
        <w:t xml:space="preserve">pH minuman jeli secang meningkat seiring dengan besarnya konsentrasi kayu secang yang ditambahkan. </w:t>
      </w:r>
      <w:proofErr w:type="gramStart"/>
      <w:r w:rsidRPr="00075D4C">
        <w:t>Hasil tersebut sesuai dengan penelitian Azmi dkk.</w:t>
      </w:r>
      <w:proofErr w:type="gramEnd"/>
      <w:r w:rsidRPr="00075D4C">
        <w:t xml:space="preserve"> (2019) yang menyatakan bahwa penambahan </w:t>
      </w:r>
      <w:proofErr w:type="gramStart"/>
      <w:r w:rsidRPr="00075D4C">
        <w:t>massa</w:t>
      </w:r>
      <w:proofErr w:type="gramEnd"/>
      <w:r w:rsidRPr="00075D4C">
        <w:t xml:space="preserve"> kayu secang berpengaruh terhadap nilai pH minuman secang yang dihasilkan, semakin banyak kayu secang yang digunakan maka nilai pH minuman secang akan semakin meningkat. </w:t>
      </w:r>
      <w:proofErr w:type="gramStart"/>
      <w:r w:rsidRPr="00075D4C">
        <w:rPr>
          <w:rFonts w:eastAsia="Calibri"/>
        </w:rPr>
        <w:t xml:space="preserve">Nilai </w:t>
      </w:r>
      <w:r w:rsidRPr="00075D4C">
        <w:t xml:space="preserve">pH minuman jeli secang </w:t>
      </w:r>
      <w:r w:rsidR="003C591B" w:rsidRPr="00075D4C">
        <w:t>juga</w:t>
      </w:r>
      <w:r w:rsidRPr="00075D4C">
        <w:t xml:space="preserve"> meningkat seiring dengan besarnya konsentrasi karagenan yang ditambahkan.</w:t>
      </w:r>
      <w:proofErr w:type="gramEnd"/>
      <w:r w:rsidRPr="00075D4C">
        <w:t xml:space="preserve"> </w:t>
      </w:r>
      <w:proofErr w:type="gramStart"/>
      <w:r w:rsidR="003C591B" w:rsidRPr="00075D4C">
        <w:rPr>
          <w:rFonts w:eastAsia="Calibri"/>
        </w:rPr>
        <w:t>Hal tersebut dikarenakan k</w:t>
      </w:r>
      <w:r w:rsidRPr="00075D4C">
        <w:rPr>
          <w:rFonts w:eastAsia="Calibri"/>
        </w:rPr>
        <w:t>aragenan merupakan getah rumput laut yang diekstraksi dengan larutan alkali sehingga cenderung memiliki pH basa (Winarno, 1990).</w:t>
      </w:r>
      <w:proofErr w:type="gramEnd"/>
      <w:r w:rsidRPr="00075D4C">
        <w:rPr>
          <w:rFonts w:eastAsia="Calibri"/>
        </w:rPr>
        <w:t xml:space="preserve"> Menurut Andriani (2008), karagenan merupakan produk tepung yang memiliki pH 9</w:t>
      </w:r>
      <w:proofErr w:type="gramStart"/>
      <w:r w:rsidRPr="00075D4C">
        <w:rPr>
          <w:rFonts w:eastAsia="Calibri"/>
        </w:rPr>
        <w:t>,5</w:t>
      </w:r>
      <w:proofErr w:type="gramEnd"/>
      <w:r w:rsidRPr="00075D4C">
        <w:rPr>
          <w:rFonts w:eastAsia="Calibri"/>
        </w:rPr>
        <w:t xml:space="preserve">–10,5. </w:t>
      </w:r>
      <w:r w:rsidRPr="00075D4C">
        <w:rPr>
          <w:rFonts w:eastAsiaTheme="minorHAnsi"/>
          <w:lang w:bidi="ar-SA"/>
        </w:rPr>
        <w:t>Febriyanti dan Yunianta (2015) menambahkan bahwa</w:t>
      </w:r>
      <w:r w:rsidRPr="00075D4C">
        <w:rPr>
          <w:rFonts w:eastAsia="Calibri"/>
        </w:rPr>
        <w:t xml:space="preserve"> penambahan karagenan yang mengandung potasium, kalsium, magnesium dan natrium </w:t>
      </w:r>
      <w:proofErr w:type="gramStart"/>
      <w:r w:rsidRPr="00075D4C">
        <w:rPr>
          <w:rFonts w:eastAsia="Calibri"/>
        </w:rPr>
        <w:t>akan</w:t>
      </w:r>
      <w:proofErr w:type="gramEnd"/>
      <w:r w:rsidRPr="00075D4C">
        <w:rPr>
          <w:rFonts w:eastAsia="Calibri"/>
        </w:rPr>
        <w:t xml:space="preserve"> bereaksi dengan asam yang terdapat pada bahan dan membentuk garam sehingga akan mengurangi keasaman atau pH bahan akan meningkat seiring dengan meningkatnya konsentrasi karagenan yang ditambahkan.</w:t>
      </w:r>
      <w:r w:rsidR="003C591B" w:rsidRPr="00075D4C">
        <w:rPr>
          <w:rFonts w:eastAsia="Calibri"/>
        </w:rPr>
        <w:t xml:space="preserve"> Berdasarkan SNI 8897:2020 tentang minuman jeli, salah satu syarat mutu minuman jeli, yaitu memiliki pH maksimal 4</w:t>
      </w:r>
      <w:proofErr w:type="gramStart"/>
      <w:r w:rsidR="003C591B" w:rsidRPr="00075D4C">
        <w:rPr>
          <w:rFonts w:eastAsia="Calibri"/>
        </w:rPr>
        <w:t>,6</w:t>
      </w:r>
      <w:proofErr w:type="gramEnd"/>
      <w:r w:rsidR="003C591B" w:rsidRPr="00075D4C">
        <w:rPr>
          <w:rFonts w:eastAsia="Calibri"/>
        </w:rPr>
        <w:t xml:space="preserve"> sehingga terdapat dua kombinasi perlakuan dari minuman jeli secang yang sudah sesuai dengan persyaratan SNI.</w:t>
      </w:r>
    </w:p>
    <w:p w:rsidR="003C1A8D" w:rsidRPr="00075D4C" w:rsidRDefault="003C1A8D" w:rsidP="00075D4C">
      <w:pPr>
        <w:jc w:val="both"/>
      </w:pPr>
    </w:p>
    <w:p w:rsidR="003C591B" w:rsidRPr="00075D4C" w:rsidRDefault="003C591B" w:rsidP="00075D4C">
      <w:pPr>
        <w:jc w:val="both"/>
        <w:rPr>
          <w:b/>
        </w:rPr>
      </w:pPr>
      <w:r w:rsidRPr="00075D4C">
        <w:rPr>
          <w:b/>
        </w:rPr>
        <w:t>Tingkat Kesukaan</w:t>
      </w:r>
    </w:p>
    <w:p w:rsidR="003C591B" w:rsidRPr="00075D4C" w:rsidRDefault="003C591B" w:rsidP="00075D4C">
      <w:pPr>
        <w:ind w:firstLine="851"/>
        <w:jc w:val="both"/>
      </w:pPr>
      <w:proofErr w:type="gramStart"/>
      <w:r w:rsidRPr="00075D4C">
        <w:t>Tingkat kesukaan minuman jeli secang diukur dengan melakukan pengujia</w:t>
      </w:r>
      <w:r w:rsidR="00D820F6">
        <w:t>n sensoris hedonik tipe skoring.</w:t>
      </w:r>
      <w:proofErr w:type="gramEnd"/>
      <w:r w:rsidR="00D820F6">
        <w:t xml:space="preserve"> </w:t>
      </w:r>
      <w:proofErr w:type="gramStart"/>
      <w:r w:rsidRPr="00075D4C">
        <w:t xml:space="preserve">Parameter uji yang dinilai antara lain warna, aroma, rasa, </w:t>
      </w:r>
      <w:r w:rsidRPr="00075D4C">
        <w:rPr>
          <w:i/>
        </w:rPr>
        <w:t>mouthfeel</w:t>
      </w:r>
      <w:r w:rsidRPr="00075D4C">
        <w:t>, daya hisap dan keseluruhan.</w:t>
      </w:r>
      <w:proofErr w:type="gramEnd"/>
      <w:r w:rsidRPr="00075D4C">
        <w:t xml:space="preserve"> </w:t>
      </w:r>
      <w:proofErr w:type="gramStart"/>
      <w:r w:rsidRPr="00075D4C">
        <w:t>Hasil uji tingkat kesukaan sampel minuman jeli secang dapat dilihat pada Tabel 7.</w:t>
      </w:r>
      <w:proofErr w:type="gramEnd"/>
    </w:p>
    <w:p w:rsidR="003C591B" w:rsidRPr="00075D4C" w:rsidRDefault="003C591B" w:rsidP="00075D4C">
      <w:pPr>
        <w:ind w:firstLine="851"/>
        <w:jc w:val="both"/>
      </w:pPr>
    </w:p>
    <w:p w:rsidR="003C591B" w:rsidRPr="00075D4C" w:rsidRDefault="003C591B" w:rsidP="00075D4C">
      <w:pPr>
        <w:jc w:val="center"/>
      </w:pPr>
      <w:proofErr w:type="gramStart"/>
      <w:r w:rsidRPr="00075D4C">
        <w:t>Tabel 7.</w:t>
      </w:r>
      <w:proofErr w:type="gramEnd"/>
      <w:r w:rsidRPr="00075D4C">
        <w:t xml:space="preserve"> Nilai Tingkat Kesukaan Minuman Jeli Secang</w:t>
      </w:r>
    </w:p>
    <w:tbl>
      <w:tblPr>
        <w:tblStyle w:val="TableGrid"/>
        <w:tblW w:w="7950" w:type="dxa"/>
        <w:tblInd w:w="675" w:type="dxa"/>
        <w:tblBorders>
          <w:insideH w:val="none" w:sz="0" w:space="0" w:color="auto"/>
          <w:insideV w:val="none" w:sz="0" w:space="0" w:color="auto"/>
        </w:tblBorders>
        <w:tblLook w:val="04A0" w:firstRow="1" w:lastRow="0" w:firstColumn="1" w:lastColumn="0" w:noHBand="0" w:noVBand="1"/>
      </w:tblPr>
      <w:tblGrid>
        <w:gridCol w:w="1275"/>
        <w:gridCol w:w="859"/>
        <w:gridCol w:w="883"/>
        <w:gridCol w:w="845"/>
        <w:gridCol w:w="1268"/>
        <w:gridCol w:w="1391"/>
        <w:gridCol w:w="1429"/>
      </w:tblGrid>
      <w:tr w:rsidR="003C591B" w:rsidRPr="00075D4C" w:rsidTr="003C591B">
        <w:tc>
          <w:tcPr>
            <w:tcW w:w="1275" w:type="dxa"/>
            <w:tcBorders>
              <w:top w:val="single" w:sz="4" w:space="0" w:color="auto"/>
              <w:left w:val="nil"/>
              <w:bottom w:val="nil"/>
              <w:right w:val="nil"/>
            </w:tcBorders>
            <w:vAlign w:val="center"/>
          </w:tcPr>
          <w:p w:rsidR="003C591B" w:rsidRPr="00075D4C" w:rsidRDefault="003C591B" w:rsidP="00075D4C">
            <w:pPr>
              <w:jc w:val="center"/>
            </w:pPr>
            <w:r w:rsidRPr="00075D4C">
              <w:t>Sampel</w:t>
            </w:r>
          </w:p>
        </w:tc>
        <w:tc>
          <w:tcPr>
            <w:tcW w:w="6675" w:type="dxa"/>
            <w:gridSpan w:val="6"/>
            <w:tcBorders>
              <w:top w:val="single" w:sz="4" w:space="0" w:color="auto"/>
              <w:left w:val="nil"/>
              <w:bottom w:val="single" w:sz="4" w:space="0" w:color="auto"/>
              <w:right w:val="nil"/>
            </w:tcBorders>
            <w:vAlign w:val="center"/>
          </w:tcPr>
          <w:p w:rsidR="003C591B" w:rsidRPr="00075D4C" w:rsidRDefault="003C591B" w:rsidP="00075D4C">
            <w:pPr>
              <w:jc w:val="center"/>
            </w:pPr>
            <w:r w:rsidRPr="00075D4C">
              <w:t>Parameter</w:t>
            </w:r>
          </w:p>
        </w:tc>
      </w:tr>
      <w:tr w:rsidR="003C591B" w:rsidRPr="00075D4C" w:rsidTr="003C591B">
        <w:tc>
          <w:tcPr>
            <w:tcW w:w="1275" w:type="dxa"/>
            <w:tcBorders>
              <w:top w:val="nil"/>
              <w:left w:val="nil"/>
              <w:bottom w:val="single" w:sz="4" w:space="0" w:color="auto"/>
            </w:tcBorders>
            <w:vAlign w:val="center"/>
          </w:tcPr>
          <w:p w:rsidR="003C591B" w:rsidRPr="00075D4C" w:rsidRDefault="003C591B" w:rsidP="00075D4C">
            <w:pPr>
              <w:jc w:val="center"/>
            </w:pPr>
            <w:r w:rsidRPr="00075D4C">
              <w:t>Secang : Karagenan</w:t>
            </w:r>
          </w:p>
        </w:tc>
        <w:tc>
          <w:tcPr>
            <w:tcW w:w="859" w:type="dxa"/>
            <w:tcBorders>
              <w:top w:val="single" w:sz="4" w:space="0" w:color="auto"/>
              <w:bottom w:val="single" w:sz="4" w:space="0" w:color="auto"/>
            </w:tcBorders>
            <w:vAlign w:val="center"/>
          </w:tcPr>
          <w:p w:rsidR="003C591B" w:rsidRPr="00075D4C" w:rsidRDefault="003C591B" w:rsidP="00075D4C">
            <w:pPr>
              <w:jc w:val="center"/>
            </w:pPr>
            <w:r w:rsidRPr="00075D4C">
              <w:t>Warna</w:t>
            </w:r>
          </w:p>
        </w:tc>
        <w:tc>
          <w:tcPr>
            <w:tcW w:w="883" w:type="dxa"/>
            <w:tcBorders>
              <w:top w:val="single" w:sz="4" w:space="0" w:color="auto"/>
              <w:bottom w:val="single" w:sz="4" w:space="0" w:color="auto"/>
            </w:tcBorders>
            <w:vAlign w:val="center"/>
          </w:tcPr>
          <w:p w:rsidR="003C591B" w:rsidRPr="00075D4C" w:rsidRDefault="003C591B" w:rsidP="00075D4C">
            <w:pPr>
              <w:jc w:val="center"/>
            </w:pPr>
            <w:r w:rsidRPr="00075D4C">
              <w:t>Aroma</w:t>
            </w:r>
          </w:p>
        </w:tc>
        <w:tc>
          <w:tcPr>
            <w:tcW w:w="845" w:type="dxa"/>
            <w:tcBorders>
              <w:top w:val="single" w:sz="4" w:space="0" w:color="auto"/>
              <w:bottom w:val="single" w:sz="4" w:space="0" w:color="auto"/>
            </w:tcBorders>
            <w:vAlign w:val="center"/>
          </w:tcPr>
          <w:p w:rsidR="003C591B" w:rsidRPr="00075D4C" w:rsidRDefault="003C591B" w:rsidP="00075D4C">
            <w:pPr>
              <w:jc w:val="center"/>
            </w:pPr>
            <w:r w:rsidRPr="00075D4C">
              <w:t xml:space="preserve">Rasa </w:t>
            </w:r>
          </w:p>
        </w:tc>
        <w:tc>
          <w:tcPr>
            <w:tcW w:w="1268" w:type="dxa"/>
            <w:tcBorders>
              <w:top w:val="single" w:sz="4" w:space="0" w:color="auto"/>
              <w:bottom w:val="single" w:sz="4" w:space="0" w:color="auto"/>
            </w:tcBorders>
            <w:vAlign w:val="center"/>
          </w:tcPr>
          <w:p w:rsidR="003C591B" w:rsidRPr="00075D4C" w:rsidRDefault="003C591B" w:rsidP="00075D4C">
            <w:pPr>
              <w:jc w:val="center"/>
              <w:rPr>
                <w:i/>
              </w:rPr>
            </w:pPr>
            <w:r w:rsidRPr="00075D4C">
              <w:rPr>
                <w:i/>
              </w:rPr>
              <w:t>Mouthfeel</w:t>
            </w:r>
          </w:p>
        </w:tc>
        <w:tc>
          <w:tcPr>
            <w:tcW w:w="1391" w:type="dxa"/>
            <w:tcBorders>
              <w:top w:val="single" w:sz="4" w:space="0" w:color="auto"/>
              <w:bottom w:val="single" w:sz="4" w:space="0" w:color="auto"/>
            </w:tcBorders>
            <w:vAlign w:val="center"/>
          </w:tcPr>
          <w:p w:rsidR="003C591B" w:rsidRPr="00075D4C" w:rsidRDefault="003C591B" w:rsidP="00075D4C">
            <w:pPr>
              <w:jc w:val="center"/>
            </w:pPr>
            <w:r w:rsidRPr="00075D4C">
              <w:t>Daya hisap</w:t>
            </w:r>
          </w:p>
        </w:tc>
        <w:tc>
          <w:tcPr>
            <w:tcW w:w="1429" w:type="dxa"/>
            <w:tcBorders>
              <w:top w:val="single" w:sz="4" w:space="0" w:color="auto"/>
              <w:bottom w:val="single" w:sz="4" w:space="0" w:color="auto"/>
              <w:right w:val="nil"/>
            </w:tcBorders>
            <w:vAlign w:val="center"/>
          </w:tcPr>
          <w:p w:rsidR="003C591B" w:rsidRPr="00075D4C" w:rsidRDefault="003C591B" w:rsidP="00075D4C">
            <w:pPr>
              <w:jc w:val="center"/>
            </w:pPr>
            <w:r w:rsidRPr="00075D4C">
              <w:t>Keseluruhan</w:t>
            </w:r>
          </w:p>
        </w:tc>
      </w:tr>
      <w:tr w:rsidR="003C591B" w:rsidRPr="00075D4C" w:rsidTr="003C591B">
        <w:tc>
          <w:tcPr>
            <w:tcW w:w="1275" w:type="dxa"/>
            <w:tcBorders>
              <w:top w:val="single" w:sz="4" w:space="0" w:color="auto"/>
              <w:left w:val="nil"/>
              <w:bottom w:val="nil"/>
            </w:tcBorders>
            <w:vAlign w:val="center"/>
          </w:tcPr>
          <w:p w:rsidR="003C591B" w:rsidRPr="00075D4C" w:rsidRDefault="003C591B" w:rsidP="00075D4C">
            <w:pPr>
              <w:jc w:val="center"/>
            </w:pPr>
            <w:r w:rsidRPr="00075D4C">
              <w:t>3% : 0,3%</w:t>
            </w:r>
          </w:p>
        </w:tc>
        <w:tc>
          <w:tcPr>
            <w:tcW w:w="859" w:type="dxa"/>
            <w:tcBorders>
              <w:top w:val="single" w:sz="4" w:space="0" w:color="auto"/>
              <w:bottom w:val="nil"/>
            </w:tcBorders>
            <w:vAlign w:val="center"/>
          </w:tcPr>
          <w:p w:rsidR="003C591B" w:rsidRPr="00075D4C" w:rsidRDefault="003C591B" w:rsidP="00075D4C">
            <w:r w:rsidRPr="00075D4C">
              <w:t>3,60</w:t>
            </w:r>
            <w:r w:rsidRPr="00075D4C">
              <w:rPr>
                <w:vertAlign w:val="superscript"/>
              </w:rPr>
              <w:t>abc</w:t>
            </w:r>
          </w:p>
        </w:tc>
        <w:tc>
          <w:tcPr>
            <w:tcW w:w="883" w:type="dxa"/>
            <w:tcBorders>
              <w:top w:val="single" w:sz="4" w:space="0" w:color="auto"/>
              <w:bottom w:val="nil"/>
            </w:tcBorders>
            <w:vAlign w:val="center"/>
          </w:tcPr>
          <w:p w:rsidR="003C591B" w:rsidRPr="00075D4C" w:rsidRDefault="003C591B" w:rsidP="00075D4C">
            <w:pPr>
              <w:jc w:val="center"/>
            </w:pPr>
            <w:r w:rsidRPr="00075D4C">
              <w:t>3,30</w:t>
            </w:r>
          </w:p>
        </w:tc>
        <w:tc>
          <w:tcPr>
            <w:tcW w:w="845" w:type="dxa"/>
            <w:tcBorders>
              <w:top w:val="single" w:sz="4" w:space="0" w:color="auto"/>
              <w:bottom w:val="nil"/>
            </w:tcBorders>
            <w:vAlign w:val="center"/>
          </w:tcPr>
          <w:p w:rsidR="003C591B" w:rsidRPr="00075D4C" w:rsidRDefault="003C591B" w:rsidP="00075D4C">
            <w:pPr>
              <w:ind w:left="57"/>
            </w:pPr>
            <w:r w:rsidRPr="00075D4C">
              <w:t>3,65</w:t>
            </w:r>
            <w:r w:rsidRPr="00075D4C">
              <w:rPr>
                <w:vertAlign w:val="superscript"/>
              </w:rPr>
              <w:t>c</w:t>
            </w:r>
          </w:p>
        </w:tc>
        <w:tc>
          <w:tcPr>
            <w:tcW w:w="1268" w:type="dxa"/>
            <w:tcBorders>
              <w:top w:val="single" w:sz="4" w:space="0" w:color="auto"/>
              <w:bottom w:val="nil"/>
            </w:tcBorders>
            <w:vAlign w:val="center"/>
          </w:tcPr>
          <w:p w:rsidR="003C591B" w:rsidRPr="00075D4C" w:rsidRDefault="003C591B" w:rsidP="00075D4C">
            <w:pPr>
              <w:ind w:left="227"/>
            </w:pPr>
            <w:r w:rsidRPr="00075D4C">
              <w:t>3,20</w:t>
            </w:r>
            <w:r w:rsidRPr="00075D4C">
              <w:rPr>
                <w:vertAlign w:val="superscript"/>
              </w:rPr>
              <w:t>bc</w:t>
            </w:r>
          </w:p>
        </w:tc>
        <w:tc>
          <w:tcPr>
            <w:tcW w:w="1391" w:type="dxa"/>
            <w:tcBorders>
              <w:top w:val="single" w:sz="4" w:space="0" w:color="auto"/>
              <w:bottom w:val="nil"/>
            </w:tcBorders>
            <w:vAlign w:val="center"/>
          </w:tcPr>
          <w:p w:rsidR="003C591B" w:rsidRPr="00075D4C" w:rsidRDefault="003C591B" w:rsidP="00075D4C">
            <w:pPr>
              <w:ind w:left="284"/>
            </w:pPr>
            <w:r w:rsidRPr="00075D4C">
              <w:t>4,70</w:t>
            </w:r>
            <w:r w:rsidRPr="00075D4C">
              <w:rPr>
                <w:vertAlign w:val="superscript"/>
              </w:rPr>
              <w:t>d</w:t>
            </w:r>
          </w:p>
        </w:tc>
        <w:tc>
          <w:tcPr>
            <w:tcW w:w="1429" w:type="dxa"/>
            <w:tcBorders>
              <w:top w:val="single" w:sz="4" w:space="0" w:color="auto"/>
              <w:bottom w:val="nil"/>
              <w:right w:val="nil"/>
            </w:tcBorders>
            <w:vAlign w:val="center"/>
          </w:tcPr>
          <w:p w:rsidR="003C591B" w:rsidRPr="00075D4C" w:rsidRDefault="003C591B" w:rsidP="00075D4C">
            <w:pPr>
              <w:ind w:left="227"/>
            </w:pPr>
            <w:r w:rsidRPr="00075D4C">
              <w:t>3,95</w:t>
            </w:r>
            <w:r w:rsidRPr="00075D4C">
              <w:rPr>
                <w:vertAlign w:val="superscript"/>
              </w:rPr>
              <w:t>d</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3% : 0,5%</w:t>
            </w:r>
          </w:p>
        </w:tc>
        <w:tc>
          <w:tcPr>
            <w:tcW w:w="859" w:type="dxa"/>
            <w:tcBorders>
              <w:top w:val="nil"/>
              <w:bottom w:val="nil"/>
            </w:tcBorders>
            <w:vAlign w:val="center"/>
          </w:tcPr>
          <w:p w:rsidR="003C591B" w:rsidRPr="00075D4C" w:rsidRDefault="003C591B" w:rsidP="00075D4C">
            <w:r w:rsidRPr="00075D4C">
              <w:t>3,85</w:t>
            </w:r>
            <w:r w:rsidRPr="00075D4C">
              <w:rPr>
                <w:vertAlign w:val="superscript"/>
              </w:rPr>
              <w:t>bc</w:t>
            </w:r>
          </w:p>
        </w:tc>
        <w:tc>
          <w:tcPr>
            <w:tcW w:w="883" w:type="dxa"/>
            <w:tcBorders>
              <w:top w:val="nil"/>
              <w:bottom w:val="nil"/>
            </w:tcBorders>
            <w:vAlign w:val="center"/>
          </w:tcPr>
          <w:p w:rsidR="003C591B" w:rsidRPr="00075D4C" w:rsidRDefault="003C591B" w:rsidP="00075D4C">
            <w:pPr>
              <w:jc w:val="center"/>
            </w:pPr>
            <w:r w:rsidRPr="00075D4C">
              <w:t>3,15</w:t>
            </w:r>
          </w:p>
        </w:tc>
        <w:tc>
          <w:tcPr>
            <w:tcW w:w="845" w:type="dxa"/>
            <w:tcBorders>
              <w:top w:val="nil"/>
              <w:bottom w:val="nil"/>
            </w:tcBorders>
            <w:vAlign w:val="center"/>
          </w:tcPr>
          <w:p w:rsidR="003C591B" w:rsidRPr="00075D4C" w:rsidRDefault="003C591B" w:rsidP="00075D4C">
            <w:pPr>
              <w:ind w:left="57"/>
            </w:pPr>
            <w:r w:rsidRPr="00075D4C">
              <w:t>3,45</w:t>
            </w:r>
            <w:r w:rsidRPr="00075D4C">
              <w:rPr>
                <w:vertAlign w:val="superscript"/>
              </w:rPr>
              <w:t>c</w:t>
            </w:r>
          </w:p>
        </w:tc>
        <w:tc>
          <w:tcPr>
            <w:tcW w:w="1268" w:type="dxa"/>
            <w:tcBorders>
              <w:top w:val="nil"/>
              <w:bottom w:val="nil"/>
            </w:tcBorders>
            <w:vAlign w:val="center"/>
          </w:tcPr>
          <w:p w:rsidR="003C591B" w:rsidRPr="00075D4C" w:rsidRDefault="003C591B" w:rsidP="00075D4C">
            <w:pPr>
              <w:ind w:left="227"/>
            </w:pPr>
            <w:r w:rsidRPr="00075D4C">
              <w:t>4,05</w:t>
            </w:r>
            <w:r w:rsidRPr="00075D4C">
              <w:rPr>
                <w:vertAlign w:val="superscript"/>
              </w:rPr>
              <w:t>d</w:t>
            </w:r>
          </w:p>
        </w:tc>
        <w:tc>
          <w:tcPr>
            <w:tcW w:w="1391" w:type="dxa"/>
            <w:tcBorders>
              <w:top w:val="nil"/>
              <w:bottom w:val="nil"/>
            </w:tcBorders>
            <w:vAlign w:val="center"/>
          </w:tcPr>
          <w:p w:rsidR="003C591B" w:rsidRPr="00075D4C" w:rsidRDefault="003C591B" w:rsidP="00075D4C">
            <w:pPr>
              <w:ind w:left="284"/>
            </w:pPr>
            <w:r w:rsidRPr="00075D4C">
              <w:t>3,90</w:t>
            </w:r>
            <w:r w:rsidRPr="00075D4C">
              <w:rPr>
                <w:vertAlign w:val="superscript"/>
              </w:rPr>
              <w:t>bc</w:t>
            </w:r>
          </w:p>
        </w:tc>
        <w:tc>
          <w:tcPr>
            <w:tcW w:w="1429" w:type="dxa"/>
            <w:tcBorders>
              <w:top w:val="nil"/>
              <w:bottom w:val="nil"/>
              <w:right w:val="nil"/>
            </w:tcBorders>
            <w:vAlign w:val="center"/>
          </w:tcPr>
          <w:p w:rsidR="003C591B" w:rsidRPr="00075D4C" w:rsidRDefault="003C591B" w:rsidP="00075D4C">
            <w:pPr>
              <w:ind w:left="227"/>
            </w:pPr>
            <w:r w:rsidRPr="00075D4C">
              <w:t>3,70</w:t>
            </w:r>
            <w:r w:rsidRPr="00075D4C">
              <w:rPr>
                <w:vertAlign w:val="superscript"/>
              </w:rPr>
              <w:t>cd</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3% : 0,7%</w:t>
            </w:r>
          </w:p>
        </w:tc>
        <w:tc>
          <w:tcPr>
            <w:tcW w:w="859" w:type="dxa"/>
            <w:tcBorders>
              <w:top w:val="nil"/>
              <w:bottom w:val="nil"/>
            </w:tcBorders>
            <w:vAlign w:val="center"/>
          </w:tcPr>
          <w:p w:rsidR="003C591B" w:rsidRPr="00075D4C" w:rsidRDefault="003C591B" w:rsidP="00075D4C">
            <w:r w:rsidRPr="00075D4C">
              <w:t>3,85</w:t>
            </w:r>
            <w:r w:rsidRPr="00075D4C">
              <w:rPr>
                <w:vertAlign w:val="superscript"/>
              </w:rPr>
              <w:t>bc</w:t>
            </w:r>
          </w:p>
        </w:tc>
        <w:tc>
          <w:tcPr>
            <w:tcW w:w="883" w:type="dxa"/>
            <w:tcBorders>
              <w:top w:val="nil"/>
              <w:bottom w:val="nil"/>
            </w:tcBorders>
            <w:vAlign w:val="center"/>
          </w:tcPr>
          <w:p w:rsidR="003C591B" w:rsidRPr="00075D4C" w:rsidRDefault="003C591B" w:rsidP="00075D4C">
            <w:pPr>
              <w:jc w:val="center"/>
            </w:pPr>
            <w:r w:rsidRPr="00075D4C">
              <w:t>3,10</w:t>
            </w:r>
          </w:p>
        </w:tc>
        <w:tc>
          <w:tcPr>
            <w:tcW w:w="845" w:type="dxa"/>
            <w:tcBorders>
              <w:top w:val="nil"/>
              <w:bottom w:val="nil"/>
            </w:tcBorders>
            <w:vAlign w:val="center"/>
          </w:tcPr>
          <w:p w:rsidR="003C591B" w:rsidRPr="00075D4C" w:rsidRDefault="003C591B" w:rsidP="00075D4C">
            <w:pPr>
              <w:ind w:left="57"/>
            </w:pPr>
            <w:r w:rsidRPr="00075D4C">
              <w:t>3,60</w:t>
            </w:r>
            <w:r w:rsidRPr="00075D4C">
              <w:rPr>
                <w:vertAlign w:val="superscript"/>
              </w:rPr>
              <w:t>c</w:t>
            </w:r>
          </w:p>
        </w:tc>
        <w:tc>
          <w:tcPr>
            <w:tcW w:w="1268" w:type="dxa"/>
            <w:tcBorders>
              <w:top w:val="nil"/>
              <w:bottom w:val="nil"/>
            </w:tcBorders>
            <w:vAlign w:val="center"/>
          </w:tcPr>
          <w:p w:rsidR="003C591B" w:rsidRPr="00075D4C" w:rsidRDefault="003C591B" w:rsidP="00075D4C">
            <w:pPr>
              <w:ind w:left="227"/>
            </w:pPr>
            <w:r w:rsidRPr="00075D4C">
              <w:t>4,10</w:t>
            </w:r>
            <w:r w:rsidRPr="00075D4C">
              <w:rPr>
                <w:vertAlign w:val="superscript"/>
              </w:rPr>
              <w:t>d</w:t>
            </w:r>
          </w:p>
        </w:tc>
        <w:tc>
          <w:tcPr>
            <w:tcW w:w="1391" w:type="dxa"/>
            <w:tcBorders>
              <w:top w:val="nil"/>
              <w:bottom w:val="nil"/>
            </w:tcBorders>
            <w:vAlign w:val="center"/>
          </w:tcPr>
          <w:p w:rsidR="003C591B" w:rsidRPr="00075D4C" w:rsidRDefault="003C591B" w:rsidP="00075D4C">
            <w:pPr>
              <w:ind w:left="284"/>
            </w:pPr>
            <w:r w:rsidRPr="00075D4C">
              <w:t>2,80</w:t>
            </w:r>
            <w:r w:rsidRPr="00075D4C">
              <w:rPr>
                <w:vertAlign w:val="superscript"/>
              </w:rPr>
              <w:t>a</w:t>
            </w:r>
          </w:p>
        </w:tc>
        <w:tc>
          <w:tcPr>
            <w:tcW w:w="1429" w:type="dxa"/>
            <w:tcBorders>
              <w:top w:val="nil"/>
              <w:bottom w:val="nil"/>
              <w:right w:val="nil"/>
            </w:tcBorders>
            <w:vAlign w:val="center"/>
          </w:tcPr>
          <w:p w:rsidR="003C591B" w:rsidRPr="00075D4C" w:rsidRDefault="003C591B" w:rsidP="00075D4C">
            <w:pPr>
              <w:ind w:left="227"/>
            </w:pPr>
            <w:r w:rsidRPr="00075D4C">
              <w:t>3,55</w:t>
            </w:r>
            <w:r w:rsidRPr="00075D4C">
              <w:rPr>
                <w:vertAlign w:val="superscript"/>
              </w:rPr>
              <w:t>bcd</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6% : 0,3%</w:t>
            </w:r>
          </w:p>
        </w:tc>
        <w:tc>
          <w:tcPr>
            <w:tcW w:w="859" w:type="dxa"/>
            <w:tcBorders>
              <w:top w:val="nil"/>
              <w:bottom w:val="nil"/>
            </w:tcBorders>
            <w:vAlign w:val="center"/>
          </w:tcPr>
          <w:p w:rsidR="003C591B" w:rsidRPr="00075D4C" w:rsidRDefault="003C591B" w:rsidP="00075D4C">
            <w:r w:rsidRPr="00075D4C">
              <w:t xml:space="preserve"> 4,00</w:t>
            </w:r>
            <w:r w:rsidRPr="00075D4C">
              <w:rPr>
                <w:vertAlign w:val="superscript"/>
              </w:rPr>
              <w:t>c</w:t>
            </w:r>
          </w:p>
        </w:tc>
        <w:tc>
          <w:tcPr>
            <w:tcW w:w="883" w:type="dxa"/>
            <w:tcBorders>
              <w:top w:val="nil"/>
              <w:bottom w:val="nil"/>
            </w:tcBorders>
            <w:vAlign w:val="center"/>
          </w:tcPr>
          <w:p w:rsidR="003C591B" w:rsidRPr="00075D4C" w:rsidRDefault="003C591B" w:rsidP="00075D4C">
            <w:pPr>
              <w:jc w:val="center"/>
            </w:pPr>
            <w:r w:rsidRPr="00075D4C">
              <w:t>3,45</w:t>
            </w:r>
          </w:p>
        </w:tc>
        <w:tc>
          <w:tcPr>
            <w:tcW w:w="845" w:type="dxa"/>
            <w:tcBorders>
              <w:top w:val="nil"/>
              <w:bottom w:val="nil"/>
            </w:tcBorders>
            <w:vAlign w:val="center"/>
          </w:tcPr>
          <w:p w:rsidR="003C591B" w:rsidRPr="00075D4C" w:rsidRDefault="003C591B" w:rsidP="00075D4C">
            <w:pPr>
              <w:ind w:left="57"/>
            </w:pPr>
            <w:r w:rsidRPr="00075D4C">
              <w:t>2,85</w:t>
            </w:r>
            <w:r w:rsidRPr="00075D4C">
              <w:rPr>
                <w:vertAlign w:val="superscript"/>
              </w:rPr>
              <w:t>b</w:t>
            </w:r>
          </w:p>
        </w:tc>
        <w:tc>
          <w:tcPr>
            <w:tcW w:w="1268" w:type="dxa"/>
            <w:tcBorders>
              <w:top w:val="nil"/>
              <w:bottom w:val="nil"/>
            </w:tcBorders>
            <w:vAlign w:val="center"/>
          </w:tcPr>
          <w:p w:rsidR="003C591B" w:rsidRPr="00075D4C" w:rsidRDefault="003C591B" w:rsidP="00075D4C">
            <w:pPr>
              <w:ind w:left="227"/>
            </w:pPr>
            <w:r w:rsidRPr="00075D4C">
              <w:t>2,70</w:t>
            </w:r>
            <w:r w:rsidRPr="00075D4C">
              <w:rPr>
                <w:vertAlign w:val="superscript"/>
              </w:rPr>
              <w:t>ab</w:t>
            </w:r>
          </w:p>
        </w:tc>
        <w:tc>
          <w:tcPr>
            <w:tcW w:w="1391" w:type="dxa"/>
            <w:tcBorders>
              <w:top w:val="nil"/>
              <w:bottom w:val="nil"/>
            </w:tcBorders>
            <w:vAlign w:val="center"/>
          </w:tcPr>
          <w:p w:rsidR="003C591B" w:rsidRPr="00075D4C" w:rsidRDefault="003C591B" w:rsidP="00075D4C">
            <w:pPr>
              <w:ind w:left="284"/>
            </w:pPr>
            <w:r w:rsidRPr="00075D4C">
              <w:t>4,50</w:t>
            </w:r>
            <w:r w:rsidRPr="00075D4C">
              <w:rPr>
                <w:vertAlign w:val="superscript"/>
              </w:rPr>
              <w:t>d</w:t>
            </w:r>
          </w:p>
        </w:tc>
        <w:tc>
          <w:tcPr>
            <w:tcW w:w="1429" w:type="dxa"/>
            <w:tcBorders>
              <w:top w:val="nil"/>
              <w:bottom w:val="nil"/>
              <w:right w:val="nil"/>
            </w:tcBorders>
            <w:vAlign w:val="center"/>
          </w:tcPr>
          <w:p w:rsidR="003C591B" w:rsidRPr="00075D4C" w:rsidRDefault="003C591B" w:rsidP="00075D4C">
            <w:pPr>
              <w:ind w:left="227"/>
            </w:pPr>
            <w:r w:rsidRPr="00075D4C">
              <w:t>3,20</w:t>
            </w:r>
            <w:r w:rsidRPr="00075D4C">
              <w:rPr>
                <w:vertAlign w:val="superscript"/>
              </w:rPr>
              <w:t>abc</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6% : 0,5%</w:t>
            </w:r>
          </w:p>
        </w:tc>
        <w:tc>
          <w:tcPr>
            <w:tcW w:w="859" w:type="dxa"/>
            <w:tcBorders>
              <w:top w:val="nil"/>
              <w:bottom w:val="nil"/>
            </w:tcBorders>
            <w:vAlign w:val="center"/>
          </w:tcPr>
          <w:p w:rsidR="003C591B" w:rsidRPr="00075D4C" w:rsidRDefault="003C591B" w:rsidP="00075D4C">
            <w:r w:rsidRPr="00075D4C">
              <w:t>3,95</w:t>
            </w:r>
            <w:r w:rsidRPr="00075D4C">
              <w:rPr>
                <w:vertAlign w:val="superscript"/>
              </w:rPr>
              <w:t>bc</w:t>
            </w:r>
          </w:p>
        </w:tc>
        <w:tc>
          <w:tcPr>
            <w:tcW w:w="883" w:type="dxa"/>
            <w:tcBorders>
              <w:top w:val="nil"/>
              <w:bottom w:val="nil"/>
            </w:tcBorders>
            <w:vAlign w:val="center"/>
          </w:tcPr>
          <w:p w:rsidR="003C591B" w:rsidRPr="00075D4C" w:rsidRDefault="003C591B" w:rsidP="00075D4C">
            <w:pPr>
              <w:jc w:val="center"/>
            </w:pPr>
            <w:r w:rsidRPr="00075D4C">
              <w:t>3,30</w:t>
            </w:r>
          </w:p>
        </w:tc>
        <w:tc>
          <w:tcPr>
            <w:tcW w:w="845" w:type="dxa"/>
            <w:tcBorders>
              <w:top w:val="nil"/>
              <w:bottom w:val="nil"/>
            </w:tcBorders>
            <w:vAlign w:val="center"/>
          </w:tcPr>
          <w:p w:rsidR="003C591B" w:rsidRPr="00075D4C" w:rsidRDefault="003C591B" w:rsidP="00075D4C">
            <w:pPr>
              <w:ind w:left="57"/>
            </w:pPr>
            <w:r w:rsidRPr="00075D4C">
              <w:t>2,85</w:t>
            </w:r>
            <w:r w:rsidRPr="00075D4C">
              <w:rPr>
                <w:vertAlign w:val="superscript"/>
              </w:rPr>
              <w:t>b</w:t>
            </w:r>
          </w:p>
        </w:tc>
        <w:tc>
          <w:tcPr>
            <w:tcW w:w="1268" w:type="dxa"/>
            <w:tcBorders>
              <w:top w:val="nil"/>
              <w:bottom w:val="nil"/>
            </w:tcBorders>
            <w:vAlign w:val="center"/>
          </w:tcPr>
          <w:p w:rsidR="003C591B" w:rsidRPr="00075D4C" w:rsidRDefault="003C591B" w:rsidP="00075D4C">
            <w:pPr>
              <w:ind w:left="227"/>
            </w:pPr>
            <w:r w:rsidRPr="00075D4C">
              <w:t>3,75</w:t>
            </w:r>
            <w:r w:rsidRPr="00075D4C">
              <w:rPr>
                <w:vertAlign w:val="superscript"/>
              </w:rPr>
              <w:t>cd</w:t>
            </w:r>
          </w:p>
        </w:tc>
        <w:tc>
          <w:tcPr>
            <w:tcW w:w="1391" w:type="dxa"/>
            <w:tcBorders>
              <w:top w:val="nil"/>
              <w:bottom w:val="nil"/>
            </w:tcBorders>
            <w:vAlign w:val="center"/>
          </w:tcPr>
          <w:p w:rsidR="003C591B" w:rsidRPr="00075D4C" w:rsidRDefault="003C591B" w:rsidP="00075D4C">
            <w:pPr>
              <w:ind w:left="284"/>
            </w:pPr>
            <w:r w:rsidRPr="00075D4C">
              <w:t>3,75</w:t>
            </w:r>
            <w:r w:rsidRPr="00075D4C">
              <w:rPr>
                <w:vertAlign w:val="superscript"/>
              </w:rPr>
              <w:t>b</w:t>
            </w:r>
          </w:p>
        </w:tc>
        <w:tc>
          <w:tcPr>
            <w:tcW w:w="1429" w:type="dxa"/>
            <w:tcBorders>
              <w:top w:val="nil"/>
              <w:bottom w:val="nil"/>
              <w:right w:val="nil"/>
            </w:tcBorders>
            <w:vAlign w:val="center"/>
          </w:tcPr>
          <w:p w:rsidR="003C591B" w:rsidRPr="00075D4C" w:rsidRDefault="003C591B" w:rsidP="00075D4C">
            <w:pPr>
              <w:ind w:left="227"/>
            </w:pPr>
            <w:r w:rsidRPr="00075D4C">
              <w:t>3,45</w:t>
            </w:r>
            <w:r w:rsidRPr="00075D4C">
              <w:rPr>
                <w:vertAlign w:val="superscript"/>
              </w:rPr>
              <w:t>abcd</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6% : 0,7%</w:t>
            </w:r>
          </w:p>
        </w:tc>
        <w:tc>
          <w:tcPr>
            <w:tcW w:w="859" w:type="dxa"/>
            <w:tcBorders>
              <w:top w:val="nil"/>
              <w:bottom w:val="nil"/>
            </w:tcBorders>
            <w:vAlign w:val="center"/>
          </w:tcPr>
          <w:p w:rsidR="003C591B" w:rsidRPr="00075D4C" w:rsidRDefault="003C591B" w:rsidP="00075D4C">
            <w:r w:rsidRPr="00075D4C">
              <w:t>3,75</w:t>
            </w:r>
            <w:r w:rsidRPr="00075D4C">
              <w:rPr>
                <w:vertAlign w:val="superscript"/>
              </w:rPr>
              <w:t>bc</w:t>
            </w:r>
          </w:p>
        </w:tc>
        <w:tc>
          <w:tcPr>
            <w:tcW w:w="883" w:type="dxa"/>
            <w:tcBorders>
              <w:top w:val="nil"/>
              <w:bottom w:val="nil"/>
            </w:tcBorders>
            <w:vAlign w:val="center"/>
          </w:tcPr>
          <w:p w:rsidR="003C591B" w:rsidRPr="00075D4C" w:rsidRDefault="003C591B" w:rsidP="00075D4C">
            <w:pPr>
              <w:jc w:val="center"/>
            </w:pPr>
            <w:r w:rsidRPr="00075D4C">
              <w:t>3,15</w:t>
            </w:r>
          </w:p>
        </w:tc>
        <w:tc>
          <w:tcPr>
            <w:tcW w:w="845" w:type="dxa"/>
            <w:tcBorders>
              <w:top w:val="nil"/>
              <w:bottom w:val="nil"/>
            </w:tcBorders>
            <w:vAlign w:val="center"/>
          </w:tcPr>
          <w:p w:rsidR="003C591B" w:rsidRPr="00075D4C" w:rsidRDefault="003C591B" w:rsidP="00075D4C">
            <w:pPr>
              <w:ind w:left="57"/>
            </w:pPr>
            <w:r w:rsidRPr="00075D4C">
              <w:t>2,80</w:t>
            </w:r>
            <w:r w:rsidRPr="00075D4C">
              <w:rPr>
                <w:vertAlign w:val="superscript"/>
              </w:rPr>
              <w:t>b</w:t>
            </w:r>
          </w:p>
        </w:tc>
        <w:tc>
          <w:tcPr>
            <w:tcW w:w="1268" w:type="dxa"/>
            <w:tcBorders>
              <w:top w:val="nil"/>
              <w:bottom w:val="nil"/>
            </w:tcBorders>
            <w:vAlign w:val="center"/>
          </w:tcPr>
          <w:p w:rsidR="003C591B" w:rsidRPr="00075D4C" w:rsidRDefault="003C591B" w:rsidP="00075D4C">
            <w:pPr>
              <w:ind w:left="227"/>
            </w:pPr>
            <w:r w:rsidRPr="00075D4C">
              <w:t>4,00</w:t>
            </w:r>
            <w:r w:rsidRPr="00075D4C">
              <w:rPr>
                <w:vertAlign w:val="superscript"/>
              </w:rPr>
              <w:t>d</w:t>
            </w:r>
          </w:p>
        </w:tc>
        <w:tc>
          <w:tcPr>
            <w:tcW w:w="1391" w:type="dxa"/>
            <w:tcBorders>
              <w:top w:val="nil"/>
              <w:bottom w:val="nil"/>
            </w:tcBorders>
            <w:vAlign w:val="center"/>
          </w:tcPr>
          <w:p w:rsidR="003C591B" w:rsidRPr="00075D4C" w:rsidRDefault="003C591B" w:rsidP="00075D4C">
            <w:pPr>
              <w:ind w:left="284"/>
            </w:pPr>
            <w:r w:rsidRPr="00075D4C">
              <w:t>2,95</w:t>
            </w:r>
            <w:r w:rsidRPr="00075D4C">
              <w:rPr>
                <w:vertAlign w:val="superscript"/>
              </w:rPr>
              <w:t>a</w:t>
            </w:r>
          </w:p>
        </w:tc>
        <w:tc>
          <w:tcPr>
            <w:tcW w:w="1429" w:type="dxa"/>
            <w:tcBorders>
              <w:top w:val="nil"/>
              <w:bottom w:val="nil"/>
              <w:right w:val="nil"/>
            </w:tcBorders>
            <w:vAlign w:val="center"/>
          </w:tcPr>
          <w:p w:rsidR="003C591B" w:rsidRPr="00075D4C" w:rsidRDefault="003C591B" w:rsidP="00075D4C">
            <w:pPr>
              <w:ind w:left="227"/>
            </w:pPr>
            <w:r w:rsidRPr="00075D4C">
              <w:t>3,40</w:t>
            </w:r>
            <w:r w:rsidRPr="00075D4C">
              <w:rPr>
                <w:vertAlign w:val="superscript"/>
              </w:rPr>
              <w:t>abc</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9% : 0,3%</w:t>
            </w:r>
          </w:p>
        </w:tc>
        <w:tc>
          <w:tcPr>
            <w:tcW w:w="859" w:type="dxa"/>
            <w:tcBorders>
              <w:top w:val="nil"/>
              <w:bottom w:val="nil"/>
            </w:tcBorders>
            <w:vAlign w:val="center"/>
          </w:tcPr>
          <w:p w:rsidR="003C591B" w:rsidRPr="00075D4C" w:rsidRDefault="003C591B" w:rsidP="00075D4C">
            <w:r w:rsidRPr="00075D4C">
              <w:t>3,55</w:t>
            </w:r>
            <w:r w:rsidRPr="00075D4C">
              <w:rPr>
                <w:vertAlign w:val="superscript"/>
              </w:rPr>
              <w:t>abc</w:t>
            </w:r>
          </w:p>
        </w:tc>
        <w:tc>
          <w:tcPr>
            <w:tcW w:w="883" w:type="dxa"/>
            <w:tcBorders>
              <w:top w:val="nil"/>
              <w:bottom w:val="nil"/>
            </w:tcBorders>
            <w:vAlign w:val="center"/>
          </w:tcPr>
          <w:p w:rsidR="003C591B" w:rsidRPr="00075D4C" w:rsidRDefault="003C591B" w:rsidP="00075D4C">
            <w:pPr>
              <w:jc w:val="center"/>
            </w:pPr>
            <w:r w:rsidRPr="00075D4C">
              <w:t>3,35</w:t>
            </w:r>
          </w:p>
        </w:tc>
        <w:tc>
          <w:tcPr>
            <w:tcW w:w="845" w:type="dxa"/>
            <w:tcBorders>
              <w:top w:val="nil"/>
              <w:bottom w:val="nil"/>
            </w:tcBorders>
            <w:vAlign w:val="center"/>
          </w:tcPr>
          <w:p w:rsidR="003C591B" w:rsidRPr="00075D4C" w:rsidRDefault="003C591B" w:rsidP="00075D4C">
            <w:pPr>
              <w:ind w:left="57"/>
            </w:pPr>
            <w:r w:rsidRPr="00075D4C">
              <w:t>2,30</w:t>
            </w:r>
            <w:r w:rsidRPr="00075D4C">
              <w:rPr>
                <w:vertAlign w:val="superscript"/>
              </w:rPr>
              <w:t>ab</w:t>
            </w:r>
          </w:p>
        </w:tc>
        <w:tc>
          <w:tcPr>
            <w:tcW w:w="1268" w:type="dxa"/>
            <w:tcBorders>
              <w:top w:val="nil"/>
              <w:bottom w:val="nil"/>
            </w:tcBorders>
            <w:vAlign w:val="center"/>
          </w:tcPr>
          <w:p w:rsidR="003C591B" w:rsidRPr="00075D4C" w:rsidRDefault="003C591B" w:rsidP="00075D4C">
            <w:pPr>
              <w:ind w:left="227"/>
            </w:pPr>
            <w:r w:rsidRPr="00075D4C">
              <w:t>2,60</w:t>
            </w:r>
            <w:r w:rsidRPr="00075D4C">
              <w:rPr>
                <w:vertAlign w:val="superscript"/>
              </w:rPr>
              <w:t>a</w:t>
            </w:r>
          </w:p>
        </w:tc>
        <w:tc>
          <w:tcPr>
            <w:tcW w:w="1391" w:type="dxa"/>
            <w:tcBorders>
              <w:top w:val="nil"/>
              <w:bottom w:val="nil"/>
            </w:tcBorders>
            <w:vAlign w:val="center"/>
          </w:tcPr>
          <w:p w:rsidR="003C591B" w:rsidRPr="00075D4C" w:rsidRDefault="003C591B" w:rsidP="00075D4C">
            <w:pPr>
              <w:ind w:left="284"/>
            </w:pPr>
            <w:r w:rsidRPr="00075D4C">
              <w:t>4,35</w:t>
            </w:r>
            <w:r w:rsidRPr="00075D4C">
              <w:rPr>
                <w:vertAlign w:val="superscript"/>
              </w:rPr>
              <w:t>cd</w:t>
            </w:r>
          </w:p>
        </w:tc>
        <w:tc>
          <w:tcPr>
            <w:tcW w:w="1429" w:type="dxa"/>
            <w:tcBorders>
              <w:top w:val="nil"/>
              <w:bottom w:val="nil"/>
              <w:right w:val="nil"/>
            </w:tcBorders>
            <w:vAlign w:val="center"/>
          </w:tcPr>
          <w:p w:rsidR="003C591B" w:rsidRPr="00075D4C" w:rsidRDefault="003C591B" w:rsidP="00075D4C">
            <w:pPr>
              <w:ind w:left="227"/>
            </w:pPr>
            <w:r w:rsidRPr="00075D4C">
              <w:t>3,00</w:t>
            </w:r>
            <w:r w:rsidRPr="00075D4C">
              <w:rPr>
                <w:vertAlign w:val="superscript"/>
              </w:rPr>
              <w:t>ab</w:t>
            </w:r>
          </w:p>
        </w:tc>
      </w:tr>
      <w:tr w:rsidR="003C591B" w:rsidRPr="00075D4C" w:rsidTr="003C591B">
        <w:tc>
          <w:tcPr>
            <w:tcW w:w="1275" w:type="dxa"/>
            <w:tcBorders>
              <w:top w:val="nil"/>
              <w:left w:val="nil"/>
              <w:bottom w:val="nil"/>
            </w:tcBorders>
            <w:vAlign w:val="center"/>
          </w:tcPr>
          <w:p w:rsidR="003C591B" w:rsidRPr="00075D4C" w:rsidRDefault="003C591B" w:rsidP="00075D4C">
            <w:pPr>
              <w:jc w:val="center"/>
            </w:pPr>
            <w:r w:rsidRPr="00075D4C">
              <w:t>9% : 0,5%</w:t>
            </w:r>
          </w:p>
        </w:tc>
        <w:tc>
          <w:tcPr>
            <w:tcW w:w="859" w:type="dxa"/>
            <w:tcBorders>
              <w:top w:val="nil"/>
              <w:bottom w:val="nil"/>
            </w:tcBorders>
            <w:vAlign w:val="center"/>
          </w:tcPr>
          <w:p w:rsidR="003C591B" w:rsidRPr="00075D4C" w:rsidRDefault="003C591B" w:rsidP="00075D4C">
            <w:r w:rsidRPr="00075D4C">
              <w:t>3,45</w:t>
            </w:r>
            <w:r w:rsidRPr="00075D4C">
              <w:rPr>
                <w:vertAlign w:val="superscript"/>
              </w:rPr>
              <w:t>ab</w:t>
            </w:r>
          </w:p>
        </w:tc>
        <w:tc>
          <w:tcPr>
            <w:tcW w:w="883" w:type="dxa"/>
            <w:tcBorders>
              <w:top w:val="nil"/>
              <w:bottom w:val="nil"/>
            </w:tcBorders>
          </w:tcPr>
          <w:p w:rsidR="003C591B" w:rsidRPr="00075D4C" w:rsidRDefault="003C591B" w:rsidP="00075D4C">
            <w:pPr>
              <w:jc w:val="center"/>
            </w:pPr>
            <w:r w:rsidRPr="00075D4C">
              <w:t>3,30</w:t>
            </w:r>
          </w:p>
        </w:tc>
        <w:tc>
          <w:tcPr>
            <w:tcW w:w="845" w:type="dxa"/>
            <w:tcBorders>
              <w:top w:val="nil"/>
              <w:bottom w:val="nil"/>
            </w:tcBorders>
            <w:vAlign w:val="center"/>
          </w:tcPr>
          <w:p w:rsidR="003C591B" w:rsidRPr="00075D4C" w:rsidRDefault="003C591B" w:rsidP="00075D4C">
            <w:pPr>
              <w:ind w:left="57"/>
            </w:pPr>
            <w:r w:rsidRPr="00075D4C">
              <w:t>2,20</w:t>
            </w:r>
            <w:r w:rsidRPr="00075D4C">
              <w:rPr>
                <w:vertAlign w:val="superscript"/>
              </w:rPr>
              <w:t>a</w:t>
            </w:r>
          </w:p>
        </w:tc>
        <w:tc>
          <w:tcPr>
            <w:tcW w:w="1268" w:type="dxa"/>
            <w:tcBorders>
              <w:top w:val="nil"/>
              <w:bottom w:val="nil"/>
            </w:tcBorders>
            <w:vAlign w:val="center"/>
          </w:tcPr>
          <w:p w:rsidR="003C591B" w:rsidRPr="00075D4C" w:rsidRDefault="003C591B" w:rsidP="00075D4C">
            <w:pPr>
              <w:ind w:left="227"/>
            </w:pPr>
            <w:r w:rsidRPr="00075D4C">
              <w:t>3,75</w:t>
            </w:r>
            <w:r w:rsidRPr="00075D4C">
              <w:rPr>
                <w:vertAlign w:val="superscript"/>
              </w:rPr>
              <w:t>cd</w:t>
            </w:r>
          </w:p>
        </w:tc>
        <w:tc>
          <w:tcPr>
            <w:tcW w:w="1391" w:type="dxa"/>
            <w:tcBorders>
              <w:top w:val="nil"/>
              <w:bottom w:val="nil"/>
            </w:tcBorders>
            <w:vAlign w:val="center"/>
          </w:tcPr>
          <w:p w:rsidR="003C591B" w:rsidRPr="00075D4C" w:rsidRDefault="003C591B" w:rsidP="00075D4C">
            <w:pPr>
              <w:ind w:left="284"/>
            </w:pPr>
            <w:r w:rsidRPr="00075D4C">
              <w:t>3,55</w:t>
            </w:r>
            <w:r w:rsidRPr="00075D4C">
              <w:rPr>
                <w:vertAlign w:val="superscript"/>
              </w:rPr>
              <w:t>b</w:t>
            </w:r>
          </w:p>
        </w:tc>
        <w:tc>
          <w:tcPr>
            <w:tcW w:w="1429" w:type="dxa"/>
            <w:tcBorders>
              <w:top w:val="nil"/>
              <w:bottom w:val="nil"/>
              <w:right w:val="nil"/>
            </w:tcBorders>
            <w:vAlign w:val="center"/>
          </w:tcPr>
          <w:p w:rsidR="003C591B" w:rsidRPr="00075D4C" w:rsidRDefault="003C591B" w:rsidP="00075D4C">
            <w:pPr>
              <w:ind w:left="227"/>
            </w:pPr>
            <w:r w:rsidRPr="00075D4C">
              <w:t>3,20</w:t>
            </w:r>
            <w:r w:rsidRPr="00075D4C">
              <w:rPr>
                <w:vertAlign w:val="superscript"/>
              </w:rPr>
              <w:t>abc</w:t>
            </w:r>
          </w:p>
        </w:tc>
      </w:tr>
      <w:tr w:rsidR="003C591B" w:rsidRPr="00075D4C" w:rsidTr="003C591B">
        <w:tc>
          <w:tcPr>
            <w:tcW w:w="1275" w:type="dxa"/>
            <w:tcBorders>
              <w:top w:val="nil"/>
              <w:left w:val="nil"/>
              <w:bottom w:val="single" w:sz="4" w:space="0" w:color="auto"/>
            </w:tcBorders>
            <w:vAlign w:val="center"/>
          </w:tcPr>
          <w:p w:rsidR="003C591B" w:rsidRPr="00075D4C" w:rsidRDefault="003C591B" w:rsidP="00075D4C">
            <w:pPr>
              <w:jc w:val="center"/>
            </w:pPr>
            <w:r w:rsidRPr="00075D4C">
              <w:t>9% : 0,7%</w:t>
            </w:r>
          </w:p>
        </w:tc>
        <w:tc>
          <w:tcPr>
            <w:tcW w:w="859" w:type="dxa"/>
            <w:tcBorders>
              <w:top w:val="nil"/>
              <w:bottom w:val="single" w:sz="4" w:space="0" w:color="auto"/>
            </w:tcBorders>
            <w:vAlign w:val="center"/>
          </w:tcPr>
          <w:p w:rsidR="003C591B" w:rsidRPr="00075D4C" w:rsidRDefault="003C591B" w:rsidP="00075D4C">
            <w:r w:rsidRPr="00075D4C">
              <w:t>3,20</w:t>
            </w:r>
            <w:r w:rsidRPr="00075D4C">
              <w:rPr>
                <w:vertAlign w:val="superscript"/>
              </w:rPr>
              <w:t>a</w:t>
            </w:r>
          </w:p>
        </w:tc>
        <w:tc>
          <w:tcPr>
            <w:tcW w:w="883" w:type="dxa"/>
            <w:tcBorders>
              <w:top w:val="nil"/>
              <w:bottom w:val="single" w:sz="4" w:space="0" w:color="auto"/>
            </w:tcBorders>
          </w:tcPr>
          <w:p w:rsidR="003C591B" w:rsidRPr="00075D4C" w:rsidRDefault="003C591B" w:rsidP="00075D4C">
            <w:pPr>
              <w:jc w:val="center"/>
            </w:pPr>
            <w:r w:rsidRPr="00075D4C">
              <w:t>3,30</w:t>
            </w:r>
          </w:p>
        </w:tc>
        <w:tc>
          <w:tcPr>
            <w:tcW w:w="845" w:type="dxa"/>
            <w:tcBorders>
              <w:top w:val="nil"/>
              <w:bottom w:val="single" w:sz="4" w:space="0" w:color="auto"/>
            </w:tcBorders>
            <w:vAlign w:val="center"/>
          </w:tcPr>
          <w:p w:rsidR="003C591B" w:rsidRPr="00075D4C" w:rsidRDefault="003C591B" w:rsidP="00075D4C">
            <w:pPr>
              <w:ind w:left="57"/>
            </w:pPr>
            <w:r w:rsidRPr="00075D4C">
              <w:t>2,15</w:t>
            </w:r>
            <w:r w:rsidRPr="00075D4C">
              <w:rPr>
                <w:vertAlign w:val="superscript"/>
              </w:rPr>
              <w:t>a</w:t>
            </w:r>
          </w:p>
        </w:tc>
        <w:tc>
          <w:tcPr>
            <w:tcW w:w="1268" w:type="dxa"/>
            <w:tcBorders>
              <w:top w:val="nil"/>
              <w:bottom w:val="single" w:sz="4" w:space="0" w:color="auto"/>
            </w:tcBorders>
            <w:vAlign w:val="center"/>
          </w:tcPr>
          <w:p w:rsidR="003C591B" w:rsidRPr="00075D4C" w:rsidRDefault="003C591B" w:rsidP="00075D4C">
            <w:pPr>
              <w:ind w:left="227"/>
            </w:pPr>
            <w:r w:rsidRPr="00075D4C">
              <w:t>3,95</w:t>
            </w:r>
            <w:r w:rsidRPr="00075D4C">
              <w:rPr>
                <w:vertAlign w:val="superscript"/>
              </w:rPr>
              <w:t>d</w:t>
            </w:r>
          </w:p>
        </w:tc>
        <w:tc>
          <w:tcPr>
            <w:tcW w:w="1391" w:type="dxa"/>
            <w:tcBorders>
              <w:top w:val="nil"/>
              <w:bottom w:val="single" w:sz="4" w:space="0" w:color="auto"/>
            </w:tcBorders>
            <w:vAlign w:val="center"/>
          </w:tcPr>
          <w:p w:rsidR="003C591B" w:rsidRPr="00075D4C" w:rsidRDefault="003C591B" w:rsidP="00075D4C">
            <w:pPr>
              <w:ind w:left="284"/>
            </w:pPr>
            <w:r w:rsidRPr="00075D4C">
              <w:t>2,65</w:t>
            </w:r>
            <w:r w:rsidRPr="00075D4C">
              <w:rPr>
                <w:vertAlign w:val="superscript"/>
              </w:rPr>
              <w:t>a</w:t>
            </w:r>
          </w:p>
        </w:tc>
        <w:tc>
          <w:tcPr>
            <w:tcW w:w="1429" w:type="dxa"/>
            <w:tcBorders>
              <w:top w:val="nil"/>
              <w:bottom w:val="single" w:sz="4" w:space="0" w:color="auto"/>
              <w:right w:val="nil"/>
            </w:tcBorders>
            <w:vAlign w:val="center"/>
          </w:tcPr>
          <w:p w:rsidR="003C591B" w:rsidRPr="00075D4C" w:rsidRDefault="003C591B" w:rsidP="00075D4C">
            <w:pPr>
              <w:ind w:left="227"/>
            </w:pPr>
            <w:r w:rsidRPr="00075D4C">
              <w:t>2,90</w:t>
            </w:r>
            <w:r w:rsidRPr="00075D4C">
              <w:rPr>
                <w:vertAlign w:val="superscript"/>
              </w:rPr>
              <w:t>a</w:t>
            </w:r>
          </w:p>
        </w:tc>
      </w:tr>
    </w:tbl>
    <w:p w:rsidR="003C591B" w:rsidRPr="00075D4C" w:rsidRDefault="003C591B" w:rsidP="00075D4C">
      <w:pPr>
        <w:pStyle w:val="ListParagraph"/>
        <w:ind w:left="567" w:firstLine="0"/>
      </w:pPr>
      <w:r w:rsidRPr="00075D4C">
        <w:t>Keterangan: Notasi yang berbeda menunjukkan adanya perbedaan nyata (P &lt; 0</w:t>
      </w:r>
      <w:proofErr w:type="gramStart"/>
      <w:r w:rsidRPr="00075D4C">
        <w:t>,05</w:t>
      </w:r>
      <w:proofErr w:type="gramEnd"/>
      <w:r w:rsidRPr="00075D4C">
        <w:t>).</w:t>
      </w:r>
    </w:p>
    <w:p w:rsidR="003C591B" w:rsidRPr="00075D4C" w:rsidRDefault="003C591B" w:rsidP="00075D4C">
      <w:pPr>
        <w:jc w:val="both"/>
      </w:pPr>
    </w:p>
    <w:p w:rsidR="003C591B" w:rsidRPr="00075D4C" w:rsidRDefault="003C591B" w:rsidP="00075D4C">
      <w:pPr>
        <w:jc w:val="both"/>
        <w:rPr>
          <w:b/>
        </w:rPr>
      </w:pPr>
      <w:r w:rsidRPr="00075D4C">
        <w:rPr>
          <w:b/>
        </w:rPr>
        <w:lastRenderedPageBreak/>
        <w:t>Warna</w:t>
      </w:r>
    </w:p>
    <w:p w:rsidR="00075D4C" w:rsidRPr="00075D4C" w:rsidRDefault="00075D4C" w:rsidP="00075D4C">
      <w:pPr>
        <w:ind w:firstLine="567"/>
        <w:jc w:val="both"/>
      </w:pPr>
      <w:r w:rsidRPr="00075D4C">
        <w:t>Hasil uji anova menunjukkan bahwa perlakuan variasi konsentrasi kayu secang dan karagenan berpengaruh nyata terhadap warna minuman jeli secang (α=0</w:t>
      </w:r>
      <w:proofErr w:type="gramStart"/>
      <w:r w:rsidRPr="00075D4C">
        <w:t>,05</w:t>
      </w:r>
      <w:proofErr w:type="gramEnd"/>
      <w:r w:rsidRPr="00075D4C">
        <w:t xml:space="preserve">). Tinggi rendahnya skor warna yang dihasilkan terhadap minuman jeli secang diduga dipengaruhi oleh konsentrasi kayu secang yang digunakan dan komposisi bahan </w:t>
      </w:r>
      <w:proofErr w:type="gramStart"/>
      <w:r w:rsidRPr="00075D4C">
        <w:t>lain</w:t>
      </w:r>
      <w:proofErr w:type="gramEnd"/>
      <w:r w:rsidRPr="00075D4C">
        <w:t xml:space="preserve"> yang ditambahkan, seperti karagenan, gula dan asam sitrat. </w:t>
      </w:r>
      <w:proofErr w:type="gramStart"/>
      <w:r w:rsidRPr="00075D4C">
        <w:t>Warna yang dihasilkan pada sampel minuman jeli secang ini adalah jingga hingga kemerahan.</w:t>
      </w:r>
      <w:proofErr w:type="gramEnd"/>
      <w:r w:rsidRPr="00075D4C">
        <w:t xml:space="preserve"> Konsentrasi kayu secang dapat mempengaruhi warna minuman jeli, semakin tinggi konsentrasi maka warna yang dihasilkan </w:t>
      </w:r>
      <w:proofErr w:type="gramStart"/>
      <w:r w:rsidRPr="00075D4C">
        <w:t>akan</w:t>
      </w:r>
      <w:proofErr w:type="gramEnd"/>
      <w:r w:rsidRPr="00075D4C">
        <w:t xml:space="preserve"> semakin pekat. </w:t>
      </w:r>
      <w:proofErr w:type="gramStart"/>
      <w:r w:rsidRPr="00075D4C">
        <w:t>Adanya penambahan asam sitrat pada minuman jeli secang menyebabkan pH minuman menjadi lebih rendah (asam) sehingga minuman jeli secang menghasilkan warna jingga hingga kemerahan.</w:t>
      </w:r>
      <w:proofErr w:type="gramEnd"/>
      <w:r w:rsidRPr="00075D4C">
        <w:t xml:space="preserve"> Brazilin yang merupakan pigmen warna secang </w:t>
      </w:r>
      <w:proofErr w:type="gramStart"/>
      <w:r w:rsidRPr="00075D4C">
        <w:t>akan</w:t>
      </w:r>
      <w:proofErr w:type="gramEnd"/>
      <w:r w:rsidRPr="00075D4C">
        <w:t xml:space="preserve"> membentuk warna kekuningan pada larutan asam dan berwarna merah tua pada larutan basa (Koswara, 2009).</w:t>
      </w:r>
    </w:p>
    <w:p w:rsidR="003C591B" w:rsidRPr="00075D4C" w:rsidRDefault="003C591B" w:rsidP="00075D4C">
      <w:pPr>
        <w:ind w:firstLine="567"/>
        <w:jc w:val="both"/>
      </w:pPr>
    </w:p>
    <w:p w:rsidR="003C591B" w:rsidRPr="00075D4C" w:rsidRDefault="003C591B" w:rsidP="00075D4C">
      <w:pPr>
        <w:jc w:val="both"/>
        <w:rPr>
          <w:b/>
        </w:rPr>
      </w:pPr>
      <w:r w:rsidRPr="00075D4C">
        <w:rPr>
          <w:b/>
        </w:rPr>
        <w:t>Aroma</w:t>
      </w:r>
    </w:p>
    <w:p w:rsidR="00075D4C" w:rsidRPr="00075D4C" w:rsidRDefault="00075D4C" w:rsidP="00075D4C">
      <w:pPr>
        <w:ind w:firstLine="567"/>
        <w:jc w:val="both"/>
      </w:pPr>
      <w:r w:rsidRPr="00075D4C">
        <w:t>Hasil uji anova menunjukkan bahwa perlakuan variasi konsentrasi kayu secang dan karagenan tidak berpengaruh nyata terhadap aroma minuman jeli secang (α=0</w:t>
      </w:r>
      <w:proofErr w:type="gramStart"/>
      <w:r w:rsidRPr="00075D4C">
        <w:t>,05</w:t>
      </w:r>
      <w:proofErr w:type="gramEnd"/>
      <w:r w:rsidRPr="00075D4C">
        <w:t xml:space="preserve">). Minuman jeli secang yang dihasilkan memiliki aroma yang hampir </w:t>
      </w:r>
      <w:proofErr w:type="gramStart"/>
      <w:r w:rsidRPr="00075D4C">
        <w:t>sama</w:t>
      </w:r>
      <w:proofErr w:type="gramEnd"/>
      <w:r w:rsidRPr="00075D4C">
        <w:t xml:space="preserve"> (tidak berbau)</w:t>
      </w:r>
      <w:r w:rsidR="00D820F6">
        <w:t xml:space="preserve">. </w:t>
      </w:r>
      <w:proofErr w:type="gramStart"/>
      <w:r w:rsidRPr="00075D4C">
        <w:t>Penambahan kayu secang tidak memberikan aroma yang khas pada minuman jeli secang karena kayu secang itu sendiri tidak memiliki aroma yang khas dan pada pembuatannya tidak ada penambahan tanaman rempah lainnya.</w:t>
      </w:r>
      <w:proofErr w:type="gramEnd"/>
      <w:r w:rsidRPr="00075D4C">
        <w:t xml:space="preserve"> </w:t>
      </w:r>
      <w:proofErr w:type="gramStart"/>
      <w:r w:rsidRPr="00075D4C">
        <w:t>Hal tersebut didukung oleh pernyataan Yulandani dkk.</w:t>
      </w:r>
      <w:proofErr w:type="gramEnd"/>
      <w:r w:rsidRPr="00075D4C">
        <w:t xml:space="preserve"> </w:t>
      </w:r>
      <w:proofErr w:type="gramStart"/>
      <w:r w:rsidRPr="00075D4C">
        <w:t>(2015) yang menyatakan bahwa kayu secang tidak memiliki aroma yang khas sehingga membuat minuman secang tidak berbau.</w:t>
      </w:r>
      <w:proofErr w:type="gramEnd"/>
    </w:p>
    <w:p w:rsidR="00075D4C" w:rsidRPr="00075D4C" w:rsidRDefault="00075D4C" w:rsidP="00075D4C">
      <w:pPr>
        <w:jc w:val="both"/>
      </w:pPr>
    </w:p>
    <w:p w:rsidR="003C591B" w:rsidRPr="00075D4C" w:rsidRDefault="003C591B" w:rsidP="00075D4C">
      <w:pPr>
        <w:jc w:val="both"/>
        <w:rPr>
          <w:b/>
        </w:rPr>
      </w:pPr>
      <w:r w:rsidRPr="00075D4C">
        <w:rPr>
          <w:b/>
        </w:rPr>
        <w:t>Rasa</w:t>
      </w:r>
    </w:p>
    <w:p w:rsidR="00075D4C" w:rsidRPr="0022478D" w:rsidRDefault="00075D4C" w:rsidP="00075D4C">
      <w:pPr>
        <w:ind w:firstLine="567"/>
        <w:jc w:val="both"/>
      </w:pPr>
      <w:r w:rsidRPr="00075D4C">
        <w:t>Hasil uji anova menunjukkan bahwa perlakuan variasi konsentrasi kayu secang dan karagenan berpengaruh nyata terhadap rasa minuman jeli secang (α=0</w:t>
      </w:r>
      <w:proofErr w:type="gramStart"/>
      <w:r w:rsidRPr="00075D4C">
        <w:t>,05</w:t>
      </w:r>
      <w:proofErr w:type="gramEnd"/>
      <w:r w:rsidR="00D820F6">
        <w:t>). P</w:t>
      </w:r>
      <w:r w:rsidRPr="00075D4C">
        <w:t xml:space="preserve">roduk minuman jeli secang ini berasa </w:t>
      </w:r>
      <w:proofErr w:type="gramStart"/>
      <w:r w:rsidRPr="00075D4C">
        <w:t>manis</w:t>
      </w:r>
      <w:proofErr w:type="gramEnd"/>
      <w:r w:rsidRPr="00075D4C">
        <w:t xml:space="preserve">, sedikit asam dan juga terdapat sensasi rasa pahit. Rasa </w:t>
      </w:r>
      <w:proofErr w:type="gramStart"/>
      <w:r w:rsidRPr="00075D4C">
        <w:t>manis</w:t>
      </w:r>
      <w:proofErr w:type="gramEnd"/>
      <w:r w:rsidRPr="00075D4C">
        <w:t xml:space="preserve"> pada minuman jeli secang berasal dari gula pasir yang ditambahkan untuk menutupi sensasi rasa pahit dari kayu secang. Rasa asam yang dihasilkan diperoleh dari penambahan </w:t>
      </w:r>
      <w:r w:rsidRPr="0022478D">
        <w:t xml:space="preserve">asam sitrat yang digunakan sebagai pengatur keasaman pada minuman jeli secang, sedangkan sensasi rasa pahit berasal dari kayu secang yang digunakan sebagai bahan </w:t>
      </w:r>
      <w:proofErr w:type="gramStart"/>
      <w:r w:rsidRPr="0022478D">
        <w:t>baku</w:t>
      </w:r>
      <w:proofErr w:type="gramEnd"/>
      <w:r w:rsidRPr="0022478D">
        <w:t xml:space="preserve">. </w:t>
      </w:r>
      <w:proofErr w:type="gramStart"/>
      <w:r w:rsidRPr="0022478D">
        <w:t>Skor rasa minuman jeli secang menurun seiring dengan besarnya konsentrasi kayu secang yang ditambahkan.</w:t>
      </w:r>
      <w:proofErr w:type="gramEnd"/>
      <w:r w:rsidRPr="0022478D">
        <w:t xml:space="preserve"> Hal ini dikarenakan semakin tinggi konsentrasi kayu secang yang digunakan maka sensasi rasa pahit yang dihasilkan kayu secang </w:t>
      </w:r>
      <w:proofErr w:type="gramStart"/>
      <w:r w:rsidRPr="0022478D">
        <w:t>akan</w:t>
      </w:r>
      <w:proofErr w:type="gramEnd"/>
      <w:r w:rsidRPr="0022478D">
        <w:t xml:space="preserve"> semakin terasa pekat sehingga semakin tidak disukai oleh panelis.</w:t>
      </w:r>
    </w:p>
    <w:p w:rsidR="00075D4C" w:rsidRPr="0022478D" w:rsidRDefault="00075D4C" w:rsidP="00075D4C">
      <w:pPr>
        <w:ind w:firstLine="567"/>
        <w:jc w:val="both"/>
      </w:pPr>
    </w:p>
    <w:p w:rsidR="003C591B" w:rsidRPr="0022478D" w:rsidRDefault="003C591B" w:rsidP="003C591B">
      <w:pPr>
        <w:jc w:val="both"/>
        <w:rPr>
          <w:b/>
          <w:i/>
        </w:rPr>
      </w:pPr>
      <w:r w:rsidRPr="0022478D">
        <w:rPr>
          <w:b/>
          <w:i/>
        </w:rPr>
        <w:t>Mouthfeel</w:t>
      </w:r>
    </w:p>
    <w:p w:rsidR="00075D4C" w:rsidRPr="0022478D" w:rsidRDefault="00075D4C" w:rsidP="0022478D">
      <w:pPr>
        <w:ind w:firstLine="567"/>
        <w:jc w:val="both"/>
      </w:pPr>
      <w:r w:rsidRPr="0022478D">
        <w:t xml:space="preserve">Hasil uji anova menunjukkan bahwa perlakuan variasi konsentrasi kayu secang dan karagenan berpengaruh nyata terhadap </w:t>
      </w:r>
      <w:r w:rsidRPr="0022478D">
        <w:rPr>
          <w:i/>
        </w:rPr>
        <w:t>mouthfeel</w:t>
      </w:r>
      <w:r w:rsidRPr="0022478D">
        <w:t xml:space="preserve"> minuman jeli secang (α=0</w:t>
      </w:r>
      <w:proofErr w:type="gramStart"/>
      <w:r w:rsidRPr="0022478D">
        <w:t>,05</w:t>
      </w:r>
      <w:proofErr w:type="gramEnd"/>
      <w:r w:rsidRPr="0022478D">
        <w:t xml:space="preserve">). </w:t>
      </w:r>
      <w:proofErr w:type="gramStart"/>
      <w:r w:rsidRPr="0022478D">
        <w:t xml:space="preserve">Nilai parameter </w:t>
      </w:r>
      <w:r w:rsidRPr="0022478D">
        <w:rPr>
          <w:i/>
        </w:rPr>
        <w:t>mouthfeel</w:t>
      </w:r>
      <w:r w:rsidRPr="0022478D">
        <w:t xml:space="preserve"> minuman jeli secang yang semakin rendah menunjukkan semakin tidak terasanya gel di dalam mulut, sedangkan nilai yang semakin tinggi menunjukkan semakin terasa ada gel di dalam mulut.</w:t>
      </w:r>
      <w:proofErr w:type="gramEnd"/>
      <w:r w:rsidRPr="0022478D">
        <w:t xml:space="preserve"> Nilai parameter </w:t>
      </w:r>
      <w:r w:rsidRPr="0022478D">
        <w:rPr>
          <w:i/>
        </w:rPr>
        <w:t>mouthfeel</w:t>
      </w:r>
      <w:r w:rsidRPr="0022478D">
        <w:t xml:space="preserve"> minuman jeli secang berkisar antara 3</w:t>
      </w:r>
      <w:proofErr w:type="gramStart"/>
      <w:r w:rsidRPr="0022478D">
        <w:t>,20</w:t>
      </w:r>
      <w:proofErr w:type="gramEnd"/>
      <w:r w:rsidRPr="0022478D">
        <w:t xml:space="preserve">–4,10, yang berarti agak terasa ada gel hingga terasa jelas ada gel di dalam mulut. </w:t>
      </w:r>
      <w:proofErr w:type="gramStart"/>
      <w:r w:rsidRPr="0022478D">
        <w:t>Hal ini sesuai dengan Saputra (2007) yang menyatakan bahwa tekstur yang diinginkan pada minuman jeli adalah mantap, saat dikonsumsi menggunakan bantuan sedotan mudah hancur namun bentuk gel-nya masih terasa di mulut.</w:t>
      </w:r>
      <w:proofErr w:type="gramEnd"/>
    </w:p>
    <w:p w:rsidR="0022478D" w:rsidRPr="0022478D" w:rsidRDefault="0022478D" w:rsidP="003C591B">
      <w:pPr>
        <w:jc w:val="both"/>
      </w:pPr>
    </w:p>
    <w:p w:rsidR="003C591B" w:rsidRPr="0022478D" w:rsidRDefault="003C591B" w:rsidP="003C591B">
      <w:pPr>
        <w:jc w:val="both"/>
        <w:rPr>
          <w:b/>
        </w:rPr>
      </w:pPr>
      <w:r w:rsidRPr="0022478D">
        <w:rPr>
          <w:b/>
        </w:rPr>
        <w:t>Daya Hisap</w:t>
      </w:r>
    </w:p>
    <w:p w:rsidR="0022478D" w:rsidRPr="0022478D" w:rsidRDefault="0022478D" w:rsidP="0022478D">
      <w:pPr>
        <w:ind w:firstLine="567"/>
        <w:jc w:val="both"/>
      </w:pPr>
      <w:r w:rsidRPr="0022478D">
        <w:t>Hasil uji anova menunjukkan bahwa perlakuan variasi konsentrasi kayu secang dan karagenan berpengaruh nyata terhadap daya hisap minuman jeli secang (α=0</w:t>
      </w:r>
      <w:proofErr w:type="gramStart"/>
      <w:r w:rsidRPr="0022478D">
        <w:t>,05</w:t>
      </w:r>
      <w:proofErr w:type="gramEnd"/>
      <w:r w:rsidRPr="0022478D">
        <w:t xml:space="preserve">). </w:t>
      </w:r>
      <w:proofErr w:type="gramStart"/>
      <w:r w:rsidRPr="0022478D">
        <w:t>Nilai parameter daya hisap minuman jeli secang yang semakin rendah menunjukkan bahwa semakin tidak mudah dihisap, sedangkan nilai yang semakin tinggi menunjukkan semakin mudah dihisap.</w:t>
      </w:r>
      <w:proofErr w:type="gramEnd"/>
      <w:r w:rsidRPr="0022478D">
        <w:t xml:space="preserve"> Nilai parameter daya hisap minuman jeli secang berkisar antara 2</w:t>
      </w:r>
      <w:proofErr w:type="gramStart"/>
      <w:r w:rsidRPr="0022478D">
        <w:t>,65</w:t>
      </w:r>
      <w:proofErr w:type="gramEnd"/>
      <w:r w:rsidRPr="0022478D">
        <w:t>–4,70, yang berarti tidak mudah dihisap hingga mudah dihisap.</w:t>
      </w:r>
    </w:p>
    <w:p w:rsidR="0022478D" w:rsidRPr="0022478D" w:rsidRDefault="0022478D" w:rsidP="003C591B">
      <w:pPr>
        <w:jc w:val="both"/>
      </w:pPr>
    </w:p>
    <w:p w:rsidR="00D820F6" w:rsidRDefault="00D820F6" w:rsidP="003C591B">
      <w:pPr>
        <w:jc w:val="both"/>
        <w:rPr>
          <w:b/>
        </w:rPr>
      </w:pPr>
    </w:p>
    <w:p w:rsidR="00D820F6" w:rsidRDefault="00D820F6" w:rsidP="003C591B">
      <w:pPr>
        <w:jc w:val="both"/>
        <w:rPr>
          <w:b/>
        </w:rPr>
      </w:pPr>
    </w:p>
    <w:p w:rsidR="00D820F6" w:rsidRDefault="00D820F6" w:rsidP="003C591B">
      <w:pPr>
        <w:jc w:val="both"/>
        <w:rPr>
          <w:b/>
        </w:rPr>
      </w:pPr>
    </w:p>
    <w:p w:rsidR="003C591B" w:rsidRPr="0022478D" w:rsidRDefault="003C591B" w:rsidP="003C591B">
      <w:pPr>
        <w:jc w:val="both"/>
        <w:rPr>
          <w:b/>
        </w:rPr>
      </w:pPr>
      <w:r w:rsidRPr="0022478D">
        <w:rPr>
          <w:b/>
        </w:rPr>
        <w:lastRenderedPageBreak/>
        <w:t>Keseluruhan</w:t>
      </w:r>
    </w:p>
    <w:p w:rsidR="003C1A8D" w:rsidRPr="0022478D" w:rsidRDefault="0022478D" w:rsidP="00660FDF">
      <w:pPr>
        <w:ind w:firstLine="567"/>
        <w:jc w:val="both"/>
      </w:pPr>
      <w:proofErr w:type="gramStart"/>
      <w:r w:rsidRPr="0022478D">
        <w:t>Persentase penerimaan panelis terhadap minuman jeli secang secara keseluruhan merupakan salah satu indikator penentuan formula terbaik.</w:t>
      </w:r>
      <w:proofErr w:type="gramEnd"/>
      <w:r w:rsidRPr="0022478D">
        <w:t xml:space="preserve"> </w:t>
      </w:r>
      <w:proofErr w:type="gramStart"/>
      <w:r w:rsidRPr="0022478D">
        <w:t xml:space="preserve">Pengujian ini meliputi kesukaan terhadap keseluruhan yang merupakan sifat-sifat gabungan uji tingkat kesukaan yang meliputi warna, aroma, rasa, </w:t>
      </w:r>
      <w:r w:rsidRPr="0022478D">
        <w:rPr>
          <w:i/>
        </w:rPr>
        <w:t>mouthfeel</w:t>
      </w:r>
      <w:r w:rsidRPr="0022478D">
        <w:t>, daya hisap pada minuman jeli secang.</w:t>
      </w:r>
      <w:proofErr w:type="gramEnd"/>
      <w:r w:rsidRPr="0022478D">
        <w:t xml:space="preserve"> Hasil uji anova menunjukkan bahwa perlakuan variasi konsentrasi kayu secang dan karagenan berpengaruh nyata terhadap nilai keseluruhan minuman jeli secang (α=0</w:t>
      </w:r>
      <w:proofErr w:type="gramStart"/>
      <w:r w:rsidRPr="0022478D">
        <w:t>,05</w:t>
      </w:r>
      <w:proofErr w:type="gramEnd"/>
      <w:r w:rsidRPr="0022478D">
        <w:t>). Secara keseluruhan produk minuman jeli secang yang disukai panelis dan terpilih sebagai perlakuan terbaik adalah dengan konsentrasi kayu secang 3% dan karagenan 0</w:t>
      </w:r>
      <w:proofErr w:type="gramStart"/>
      <w:r w:rsidRPr="0022478D">
        <w:t>,5</w:t>
      </w:r>
      <w:proofErr w:type="gramEnd"/>
      <w:r w:rsidRPr="0022478D">
        <w:t>%. Perlakuan tersebut dipilih sebagai perlakuan terbaik karena memiliki nilai aktivitas antioksidan yang cukup tinggi dibandingkan dengan perlakuan konsentrasi kayu secang 3% dan karagenan 0,3%, kedua perlakuan sama-sama disukai panelis dan memiliki notasi tertinggi pada parameter keseluruhan. Selain itu, didukung oleh hasil analisis pH dan padatan total yang sesuai dengan persyaratan SNI 8897:2020 minuman jeli.</w:t>
      </w:r>
    </w:p>
    <w:p w:rsidR="003C1A8D" w:rsidRPr="0022478D" w:rsidRDefault="003C1A8D" w:rsidP="00660FDF">
      <w:pPr>
        <w:jc w:val="both"/>
      </w:pPr>
    </w:p>
    <w:p w:rsidR="000E5D7A" w:rsidRPr="00660FDF" w:rsidRDefault="000E5D7A" w:rsidP="00660FDF">
      <w:pPr>
        <w:jc w:val="both"/>
        <w:rPr>
          <w:b/>
        </w:rPr>
      </w:pPr>
      <w:r w:rsidRPr="00660FDF">
        <w:rPr>
          <w:b/>
        </w:rPr>
        <w:t>KESIMPULAN</w:t>
      </w:r>
    </w:p>
    <w:p w:rsidR="00660FDF" w:rsidRPr="00F831B0" w:rsidRDefault="00660FDF" w:rsidP="00660FDF">
      <w:pPr>
        <w:pStyle w:val="ListParagraph"/>
        <w:ind w:left="0" w:firstLine="567"/>
        <w:jc w:val="both"/>
      </w:pPr>
      <w:proofErr w:type="gramStart"/>
      <w:r w:rsidRPr="00660FDF">
        <w:t xml:space="preserve">Berdasarkan hasil penelitian </w:t>
      </w:r>
      <w:r>
        <w:t>m</w:t>
      </w:r>
      <w:r w:rsidRPr="00660FDF">
        <w:t>inuman jeli secang dengan perlakuan variasi konsentrasi kayu secang dan karagenan yang diperoleh memiliki aktivitas antioksidan dan disukai panelis.</w:t>
      </w:r>
      <w:proofErr w:type="gramEnd"/>
      <w:r>
        <w:t xml:space="preserve"> </w:t>
      </w:r>
      <w:r w:rsidRPr="00660FDF">
        <w:t xml:space="preserve">Konsentrasi </w:t>
      </w:r>
      <w:r w:rsidRPr="00F831B0">
        <w:t>kayu secang berpengaruh terhadap nilai aktivitas antioksidan, pH dan tingkat kesukaan minuman jeli secang, sedangkan konsentrasi karagenan berpengaruh terhadap nilai sineresis, viskositas, kadar air, total padatan terlarut, aktivitas antioksidan, pH dan tingkat kesukaan minuman jeli secang. Minuman jeli secang dengan perlakuan terbaik dan disukai panelis adalah minuman jeli secang dengan konsentrasi kayu secang 3% dan karagenan 0</w:t>
      </w:r>
      <w:proofErr w:type="gramStart"/>
      <w:r w:rsidRPr="00F831B0">
        <w:t>,5</w:t>
      </w:r>
      <w:proofErr w:type="gramEnd"/>
      <w:r w:rsidRPr="00F831B0">
        <w:t>%.</w:t>
      </w:r>
    </w:p>
    <w:p w:rsidR="00660FDF" w:rsidRPr="00F831B0" w:rsidRDefault="00660FDF" w:rsidP="00660FDF">
      <w:pPr>
        <w:pStyle w:val="ListParagraph"/>
        <w:ind w:left="0" w:firstLine="567"/>
        <w:jc w:val="both"/>
      </w:pPr>
    </w:p>
    <w:p w:rsidR="00660FDF" w:rsidRPr="00F831B0" w:rsidRDefault="00660FDF" w:rsidP="00660FDF">
      <w:pPr>
        <w:pStyle w:val="ListParagraph"/>
        <w:ind w:left="0" w:firstLine="0"/>
        <w:jc w:val="both"/>
        <w:rPr>
          <w:b/>
        </w:rPr>
      </w:pPr>
      <w:r w:rsidRPr="00F831B0">
        <w:rPr>
          <w:b/>
        </w:rPr>
        <w:t>DAFTAR PUSTAKA</w:t>
      </w:r>
    </w:p>
    <w:p w:rsidR="00F831B0" w:rsidRPr="00623255" w:rsidRDefault="00F831B0" w:rsidP="008649D0">
      <w:pPr>
        <w:ind w:left="567" w:hanging="567"/>
        <w:jc w:val="both"/>
      </w:pPr>
      <w:r w:rsidRPr="00623255">
        <w:t xml:space="preserve">Agustin, F. dan Widya </w:t>
      </w:r>
      <w:proofErr w:type="gramStart"/>
      <w:r w:rsidRPr="00623255">
        <w:t>Dwi</w:t>
      </w:r>
      <w:proofErr w:type="gramEnd"/>
      <w:r w:rsidRPr="00623255">
        <w:t xml:space="preserve"> R.P. 2014. Pembuatan </w:t>
      </w:r>
      <w:r w:rsidRPr="00623255">
        <w:rPr>
          <w:i/>
        </w:rPr>
        <w:t>Jelly Drink</w:t>
      </w:r>
      <w:r w:rsidRPr="00623255">
        <w:t xml:space="preserve"> </w:t>
      </w:r>
      <w:r w:rsidRPr="00623255">
        <w:rPr>
          <w:i/>
        </w:rPr>
        <w:t>Averrhoa blimbi</w:t>
      </w:r>
      <w:r w:rsidRPr="00623255">
        <w:t xml:space="preserve"> L. (Kajian Proporsi Belimbing </w:t>
      </w:r>
      <w:proofErr w:type="gramStart"/>
      <w:r w:rsidRPr="00623255">
        <w:t>Wuluh :</w:t>
      </w:r>
      <w:proofErr w:type="gramEnd"/>
      <w:r w:rsidRPr="00623255">
        <w:t xml:space="preserve"> Air dan Konsentrasi Karagenan). </w:t>
      </w:r>
      <w:r w:rsidRPr="00623255">
        <w:rPr>
          <w:i/>
        </w:rPr>
        <w:t>Jurnal Pangan dan Agroindustri</w:t>
      </w:r>
      <w:r w:rsidRPr="00623255">
        <w:t xml:space="preserve">, 2 (3): 1–9. </w:t>
      </w:r>
    </w:p>
    <w:p w:rsidR="00F831B0" w:rsidRPr="00623255" w:rsidRDefault="00F831B0" w:rsidP="008649D0">
      <w:pPr>
        <w:ind w:left="567" w:hanging="567"/>
        <w:jc w:val="both"/>
      </w:pPr>
    </w:p>
    <w:p w:rsidR="00F831B0" w:rsidRPr="00623255" w:rsidRDefault="00F831B0" w:rsidP="008649D0">
      <w:pPr>
        <w:ind w:left="567" w:hanging="567"/>
        <w:jc w:val="both"/>
      </w:pPr>
      <w:r w:rsidRPr="00623255">
        <w:t>Andriani, Dian. 2008. Formulasi Sari Buah Jeruk Pontianak (</w:t>
      </w:r>
      <w:r w:rsidRPr="00623255">
        <w:rPr>
          <w:i/>
        </w:rPr>
        <w:t>Citrus nobilis ver. microcarpa</w:t>
      </w:r>
      <w:r w:rsidRPr="00623255">
        <w:t xml:space="preserve">) dengan Aplikasi Metode </w:t>
      </w:r>
      <w:r w:rsidRPr="00623255">
        <w:rPr>
          <w:i/>
        </w:rPr>
        <w:t>Lye Feeling</w:t>
      </w:r>
      <w:r w:rsidRPr="00623255">
        <w:t xml:space="preserve"> sebagai Upaya Penghilangan Rasa Pahit Pada Sari Buah Jeruk. </w:t>
      </w:r>
      <w:proofErr w:type="gramStart"/>
      <w:r w:rsidRPr="00623255">
        <w:rPr>
          <w:i/>
        </w:rPr>
        <w:t>Skripsi</w:t>
      </w:r>
      <w:r w:rsidRPr="00623255">
        <w:t>.</w:t>
      </w:r>
      <w:proofErr w:type="gramEnd"/>
      <w:r w:rsidRPr="00623255">
        <w:t xml:space="preserve"> </w:t>
      </w:r>
      <w:proofErr w:type="gramStart"/>
      <w:r w:rsidRPr="00623255">
        <w:t>Institut Pertanian Bogor.</w:t>
      </w:r>
      <w:proofErr w:type="gramEnd"/>
      <w:r w:rsidRPr="00623255">
        <w:t xml:space="preserve"> Bogor.</w:t>
      </w:r>
    </w:p>
    <w:p w:rsidR="00F831B0" w:rsidRPr="00623255" w:rsidRDefault="00F831B0" w:rsidP="008649D0">
      <w:pPr>
        <w:ind w:left="567" w:hanging="567"/>
        <w:jc w:val="both"/>
      </w:pPr>
    </w:p>
    <w:p w:rsidR="003474DF" w:rsidRPr="00623255" w:rsidRDefault="003474DF" w:rsidP="008649D0">
      <w:pPr>
        <w:ind w:left="567" w:hanging="567"/>
        <w:jc w:val="both"/>
      </w:pPr>
      <w:proofErr w:type="gramStart"/>
      <w:r w:rsidRPr="00623255">
        <w:t>Anonim.</w:t>
      </w:r>
      <w:proofErr w:type="gramEnd"/>
      <w:r w:rsidRPr="00623255">
        <w:t xml:space="preserve"> </w:t>
      </w:r>
      <w:proofErr w:type="gramStart"/>
      <w:r w:rsidRPr="00623255">
        <w:t>2013. WHO</w:t>
      </w:r>
      <w:proofErr w:type="gramEnd"/>
      <w:r w:rsidRPr="00623255">
        <w:t xml:space="preserve"> Traditional Medicine Strategy: 2014–2023. </w:t>
      </w:r>
      <w:hyperlink r:id="rId6" w:history="1">
        <w:r w:rsidRPr="00623255">
          <w:rPr>
            <w:rStyle w:val="Hyperlink"/>
            <w:i/>
            <w:color w:val="auto"/>
            <w:u w:val="none"/>
          </w:rPr>
          <w:t>https://www.who.int/medicines/publications/traditional/trm_strategy14_23/en/</w:t>
        </w:r>
      </w:hyperlink>
      <w:r w:rsidRPr="00623255">
        <w:t xml:space="preserve">. </w:t>
      </w:r>
      <w:proofErr w:type="gramStart"/>
      <w:r w:rsidRPr="00623255">
        <w:t>Diakses 12 Oktober 2020.</w:t>
      </w:r>
      <w:proofErr w:type="gramEnd"/>
    </w:p>
    <w:p w:rsidR="00660FDF" w:rsidRPr="00623255" w:rsidRDefault="00660FDF" w:rsidP="008649D0">
      <w:pPr>
        <w:pStyle w:val="ListParagraph"/>
        <w:ind w:left="567" w:hanging="567"/>
        <w:jc w:val="both"/>
      </w:pPr>
    </w:p>
    <w:p w:rsidR="00F831B0" w:rsidRPr="00623255" w:rsidRDefault="00F831B0" w:rsidP="008649D0">
      <w:pPr>
        <w:ind w:left="567" w:hanging="567"/>
        <w:jc w:val="both"/>
      </w:pPr>
      <w:r w:rsidRPr="00623255">
        <w:t xml:space="preserve">Arifin, Nrma Rizqia Rohimah. 2019. Kajian Karakteristik Minuman </w:t>
      </w:r>
      <w:r w:rsidRPr="00623255">
        <w:rPr>
          <w:i/>
        </w:rPr>
        <w:t>Jelly</w:t>
      </w:r>
      <w:r w:rsidRPr="00623255">
        <w:t xml:space="preserve"> Menggunakan Perbandingan Sari Kayu Secang (</w:t>
      </w:r>
      <w:r w:rsidRPr="00623255">
        <w:rPr>
          <w:i/>
        </w:rPr>
        <w:t>Caesalpinia sappan</w:t>
      </w:r>
      <w:r w:rsidRPr="00623255">
        <w:t xml:space="preserve"> L.) dengan Sari Kayu Manis (</w:t>
      </w:r>
      <w:r w:rsidRPr="00623255">
        <w:rPr>
          <w:i/>
        </w:rPr>
        <w:t>Cinnamomum burmani</w:t>
      </w:r>
      <w:r w:rsidRPr="00623255">
        <w:t xml:space="preserve">) yang Berbeda. </w:t>
      </w:r>
      <w:r w:rsidRPr="00623255">
        <w:rPr>
          <w:i/>
        </w:rPr>
        <w:t>Tugas Akhir</w:t>
      </w:r>
      <w:r w:rsidRPr="00623255">
        <w:t>. Program Studi Teknologi Pangan. Fakultas Teknik. Universitas Pasundan. Bandung.</w:t>
      </w:r>
    </w:p>
    <w:p w:rsidR="00F831B0" w:rsidRPr="00623255" w:rsidRDefault="00F831B0" w:rsidP="008649D0">
      <w:pPr>
        <w:ind w:left="567" w:hanging="567"/>
        <w:jc w:val="both"/>
      </w:pPr>
    </w:p>
    <w:p w:rsidR="00F831B0" w:rsidRPr="00623255" w:rsidRDefault="00F831B0" w:rsidP="008649D0">
      <w:pPr>
        <w:ind w:left="567" w:hanging="567"/>
        <w:jc w:val="both"/>
      </w:pPr>
      <w:r w:rsidRPr="00623255">
        <w:t xml:space="preserve">Azmi, M. Ulul, Rahmanpiu dan La Harimu. 2019. </w:t>
      </w:r>
      <w:r w:rsidRPr="00623255">
        <w:rPr>
          <w:rFonts w:eastAsia="Calibri"/>
        </w:rPr>
        <w:t>Pengaruh Variasi Massa Kayu Secang (</w:t>
      </w:r>
      <w:r w:rsidRPr="00623255">
        <w:rPr>
          <w:rFonts w:eastAsia="Calibri"/>
          <w:i/>
        </w:rPr>
        <w:t>Caesalpinia sappan</w:t>
      </w:r>
      <w:r w:rsidRPr="00623255">
        <w:rPr>
          <w:rFonts w:eastAsia="Calibri"/>
        </w:rPr>
        <w:t xml:space="preserve"> L.) pada Air Minum terhadap Sifat Fisikokimia. </w:t>
      </w:r>
      <w:r w:rsidRPr="00623255">
        <w:rPr>
          <w:rFonts w:eastAsia="Calibri"/>
          <w:i/>
        </w:rPr>
        <w:t>Jurnal Pendidikan Kimia Universitas Halu Oleo</w:t>
      </w:r>
      <w:r w:rsidRPr="00623255">
        <w:rPr>
          <w:rFonts w:eastAsia="Calibri"/>
        </w:rPr>
        <w:t>, 4 (2): 121–126.</w:t>
      </w:r>
    </w:p>
    <w:p w:rsidR="003474DF" w:rsidRPr="00623255" w:rsidRDefault="003474DF" w:rsidP="008649D0">
      <w:pPr>
        <w:pStyle w:val="ListParagraph"/>
        <w:ind w:left="567" w:hanging="567"/>
        <w:jc w:val="both"/>
      </w:pPr>
    </w:p>
    <w:p w:rsidR="00F831B0" w:rsidRPr="00623255" w:rsidRDefault="00F831B0" w:rsidP="008649D0">
      <w:pPr>
        <w:ind w:left="567" w:hanging="567"/>
        <w:jc w:val="both"/>
      </w:pPr>
      <w:proofErr w:type="gramStart"/>
      <w:r w:rsidRPr="00623255">
        <w:t>Febriyanti, Siska dan Yunianta.</w:t>
      </w:r>
      <w:proofErr w:type="gramEnd"/>
      <w:r w:rsidRPr="00623255">
        <w:t xml:space="preserve"> </w:t>
      </w:r>
      <w:proofErr w:type="gramStart"/>
      <w:r w:rsidRPr="00623255">
        <w:t>2015. Pengaruh Konsentrasi Karagenan dan Rasio Sari Jahe Emprit (</w:t>
      </w:r>
      <w:r w:rsidRPr="00623255">
        <w:rPr>
          <w:i/>
        </w:rPr>
        <w:t xml:space="preserve">Zingiber officinale </w:t>
      </w:r>
      <w:r w:rsidRPr="00623255">
        <w:t xml:space="preserve">var. Rubrum) terhadap Sifat Fisik, Kimia dan Organoleptik </w:t>
      </w:r>
      <w:r w:rsidRPr="00623255">
        <w:rPr>
          <w:i/>
        </w:rPr>
        <w:t>Jelly Drink</w:t>
      </w:r>
      <w:r w:rsidRPr="00623255">
        <w:t xml:space="preserve"> Jahe.</w:t>
      </w:r>
      <w:proofErr w:type="gramEnd"/>
      <w:r w:rsidRPr="00623255">
        <w:t xml:space="preserve"> Jurnal Pangan dan Agroindustri, 3 (2): 542–550.</w:t>
      </w:r>
    </w:p>
    <w:p w:rsidR="00F831B0" w:rsidRPr="00623255" w:rsidRDefault="00F831B0" w:rsidP="008649D0">
      <w:pPr>
        <w:ind w:left="567" w:hanging="567"/>
        <w:jc w:val="both"/>
      </w:pPr>
    </w:p>
    <w:p w:rsidR="00F831B0" w:rsidRPr="00623255" w:rsidRDefault="00F831B0" w:rsidP="008649D0">
      <w:pPr>
        <w:ind w:left="567" w:hanging="567"/>
        <w:jc w:val="both"/>
      </w:pPr>
      <w:r w:rsidRPr="00623255">
        <w:t xml:space="preserve">Koswara, Sutrisno. 2009. Pewarna Alami: Produksi dan Penggunaannya. </w:t>
      </w:r>
      <w:proofErr w:type="gramStart"/>
      <w:r w:rsidRPr="00623255">
        <w:rPr>
          <w:i/>
        </w:rPr>
        <w:t>eBookPangan.com</w:t>
      </w:r>
      <w:proofErr w:type="gramEnd"/>
      <w:r w:rsidRPr="00623255">
        <w:t>. Diakses 28 Oktober 2020.</w:t>
      </w:r>
    </w:p>
    <w:p w:rsidR="00F831B0" w:rsidRPr="00623255" w:rsidRDefault="00F831B0" w:rsidP="008649D0">
      <w:pPr>
        <w:ind w:left="567" w:hanging="567"/>
        <w:jc w:val="both"/>
      </w:pPr>
    </w:p>
    <w:p w:rsidR="00F831B0" w:rsidRPr="00623255" w:rsidRDefault="00F831B0" w:rsidP="008649D0">
      <w:pPr>
        <w:ind w:left="567" w:hanging="567"/>
        <w:jc w:val="both"/>
      </w:pPr>
      <w:r w:rsidRPr="00623255">
        <w:t xml:space="preserve">Mardiana, H.I. 2007. Pembuatan </w:t>
      </w:r>
      <w:r w:rsidRPr="00623255">
        <w:rPr>
          <w:i/>
        </w:rPr>
        <w:t>Jelly Drink</w:t>
      </w:r>
      <w:r w:rsidRPr="00623255">
        <w:t xml:space="preserve"> Wortel (</w:t>
      </w:r>
      <w:r w:rsidRPr="00623255">
        <w:rPr>
          <w:i/>
        </w:rPr>
        <w:t xml:space="preserve">Daucus carota </w:t>
      </w:r>
      <w:r w:rsidRPr="00623255">
        <w:t xml:space="preserve">L.) </w:t>
      </w:r>
      <w:proofErr w:type="gramStart"/>
      <w:r w:rsidRPr="00623255">
        <w:t xml:space="preserve">Kajian Kombinasi Jenis dan Konsentrasi </w:t>
      </w:r>
      <w:r w:rsidRPr="00623255">
        <w:rPr>
          <w:i/>
        </w:rPr>
        <w:t>Gelling Agent</w:t>
      </w:r>
      <w:r w:rsidRPr="00623255">
        <w:t xml:space="preserve"> (Agar dan Karaginan</w:t>
      </w:r>
      <w:r w:rsidRPr="00623255">
        <w:rPr>
          <w:i/>
        </w:rPr>
        <w:t>).</w:t>
      </w:r>
      <w:proofErr w:type="gramEnd"/>
      <w:r w:rsidRPr="00623255">
        <w:t xml:space="preserve"> </w:t>
      </w:r>
      <w:proofErr w:type="gramStart"/>
      <w:r w:rsidRPr="00623255">
        <w:rPr>
          <w:i/>
        </w:rPr>
        <w:t>Skripsi</w:t>
      </w:r>
      <w:r w:rsidRPr="00623255">
        <w:t>.</w:t>
      </w:r>
      <w:proofErr w:type="gramEnd"/>
      <w:r w:rsidRPr="00623255">
        <w:t xml:space="preserve"> Jurusan Teknologi Hasil Pertanian. Universitas Brawijaya. Malang.</w:t>
      </w:r>
    </w:p>
    <w:p w:rsidR="00F831B0" w:rsidRDefault="00F831B0" w:rsidP="008649D0">
      <w:pPr>
        <w:ind w:left="567" w:hanging="567"/>
        <w:jc w:val="both"/>
      </w:pPr>
      <w:r w:rsidRPr="00623255">
        <w:lastRenderedPageBreak/>
        <w:t xml:space="preserve">Masuda, Y., H. Kikuzaki, M. Hisamoto dan N. Nakatani. 2004. Antioxidant Properties of Ginger Related Compounds from Ginger. </w:t>
      </w:r>
      <w:proofErr w:type="gramStart"/>
      <w:r w:rsidRPr="00623255">
        <w:rPr>
          <w:i/>
        </w:rPr>
        <w:t>Biofactors</w:t>
      </w:r>
      <w:r w:rsidRPr="00623255">
        <w:t>.</w:t>
      </w:r>
      <w:proofErr w:type="gramEnd"/>
      <w:r w:rsidRPr="00623255">
        <w:t xml:space="preserve"> 21: 293–296.</w:t>
      </w:r>
    </w:p>
    <w:p w:rsidR="00623255" w:rsidRPr="00623255" w:rsidRDefault="00623255" w:rsidP="008649D0">
      <w:pPr>
        <w:ind w:left="567" w:hanging="567"/>
        <w:jc w:val="both"/>
      </w:pPr>
    </w:p>
    <w:p w:rsidR="00F831B0" w:rsidRPr="00623255" w:rsidRDefault="00F831B0" w:rsidP="008649D0">
      <w:pPr>
        <w:ind w:left="567" w:hanging="567"/>
        <w:jc w:val="both"/>
      </w:pPr>
      <w:proofErr w:type="gramStart"/>
      <w:r w:rsidRPr="00623255">
        <w:t>Miller, A.L. 2002.</w:t>
      </w:r>
      <w:proofErr w:type="gramEnd"/>
      <w:r w:rsidRPr="00623255">
        <w:t xml:space="preserve"> </w:t>
      </w:r>
      <w:proofErr w:type="gramStart"/>
      <w:r w:rsidRPr="00623255">
        <w:t>Antioxidant Flavonoid Structure Function and Clinical Usage.</w:t>
      </w:r>
      <w:proofErr w:type="gramEnd"/>
      <w:r w:rsidRPr="00623255">
        <w:t xml:space="preserve"> </w:t>
      </w:r>
      <w:r w:rsidRPr="00623255">
        <w:rPr>
          <w:i/>
        </w:rPr>
        <w:t>Alternative Medicine Review</w:t>
      </w:r>
      <w:r w:rsidRPr="00623255">
        <w:t>, 1 (2): 103.</w:t>
      </w:r>
    </w:p>
    <w:p w:rsidR="00F831B0" w:rsidRPr="00623255" w:rsidRDefault="00F831B0" w:rsidP="008649D0">
      <w:pPr>
        <w:ind w:left="567" w:hanging="567"/>
        <w:jc w:val="both"/>
      </w:pPr>
    </w:p>
    <w:p w:rsidR="00F831B0" w:rsidRPr="00623255" w:rsidRDefault="00F831B0" w:rsidP="008649D0">
      <w:pPr>
        <w:ind w:left="567" w:hanging="567"/>
        <w:jc w:val="both"/>
      </w:pPr>
      <w:r w:rsidRPr="00623255">
        <w:t xml:space="preserve">Nirmal, N.P., Rajput, M.S., Prasad, R.G.S.V., dan Ahmad, M. 2015. Brazilin from </w:t>
      </w:r>
      <w:r w:rsidRPr="00623255">
        <w:rPr>
          <w:i/>
        </w:rPr>
        <w:t>Caesalpinia sappan</w:t>
      </w:r>
      <w:r w:rsidRPr="00623255">
        <w:t xml:space="preserve"> Heartwood and Its Pharmacological Activities: A Review. </w:t>
      </w:r>
      <w:r w:rsidRPr="00623255">
        <w:rPr>
          <w:i/>
        </w:rPr>
        <w:t>As. Pacific J. Trop. Med.</w:t>
      </w:r>
      <w:r w:rsidRPr="00623255">
        <w:t>, (6): 421–430.</w:t>
      </w:r>
    </w:p>
    <w:p w:rsidR="00F831B0" w:rsidRPr="00623255" w:rsidRDefault="00F831B0" w:rsidP="008649D0">
      <w:pPr>
        <w:ind w:left="567" w:hanging="567"/>
        <w:jc w:val="both"/>
      </w:pPr>
    </w:p>
    <w:p w:rsidR="00F831B0" w:rsidRPr="00623255" w:rsidRDefault="00F831B0" w:rsidP="008649D0">
      <w:pPr>
        <w:ind w:left="567" w:hanging="567"/>
        <w:jc w:val="both"/>
      </w:pPr>
      <w:proofErr w:type="gramStart"/>
      <w:r w:rsidRPr="00623255">
        <w:t>Noer, H. 2007.</w:t>
      </w:r>
      <w:proofErr w:type="gramEnd"/>
      <w:r w:rsidRPr="00623255">
        <w:t xml:space="preserve"> </w:t>
      </w:r>
      <w:proofErr w:type="gramStart"/>
      <w:r w:rsidRPr="00623255">
        <w:t xml:space="preserve">Hidrokoloid dalam Pembuatan </w:t>
      </w:r>
      <w:r w:rsidRPr="00623255">
        <w:rPr>
          <w:i/>
        </w:rPr>
        <w:t>Jelly Drink</w:t>
      </w:r>
      <w:r w:rsidRPr="00623255">
        <w:t>.</w:t>
      </w:r>
      <w:proofErr w:type="gramEnd"/>
      <w:r w:rsidRPr="00623255">
        <w:t xml:space="preserve"> </w:t>
      </w:r>
      <w:r w:rsidRPr="00623255">
        <w:rPr>
          <w:i/>
        </w:rPr>
        <w:t>http://www.foodreview.biz/fri/index.php?option=com_content&amp;ask=view&amp;id=13Itemid=16</w:t>
      </w:r>
      <w:r w:rsidRPr="00623255">
        <w:t xml:space="preserve">. </w:t>
      </w:r>
      <w:proofErr w:type="gramStart"/>
      <w:r w:rsidRPr="00623255">
        <w:t>Diakses 23 Desember 2019.</w:t>
      </w:r>
      <w:proofErr w:type="gramEnd"/>
    </w:p>
    <w:p w:rsidR="00F831B0" w:rsidRPr="00623255" w:rsidRDefault="00F831B0" w:rsidP="008649D0">
      <w:pPr>
        <w:ind w:left="567" w:hanging="567"/>
        <w:jc w:val="both"/>
      </w:pPr>
    </w:p>
    <w:p w:rsidR="00F831B0" w:rsidRDefault="00F831B0" w:rsidP="008649D0">
      <w:pPr>
        <w:ind w:left="567" w:hanging="567"/>
        <w:jc w:val="both"/>
      </w:pPr>
      <w:r w:rsidRPr="00623255">
        <w:t xml:space="preserve">Parlina, Iin. 2009. Karagenan, Produk Olahan Rumput Laut Merah Indonesia yang Sangat Bermanfaat. </w:t>
      </w:r>
      <w:hyperlink r:id="rId7" w:history="1">
        <w:r w:rsidRPr="00623255">
          <w:rPr>
            <w:rStyle w:val="Hyperlink"/>
            <w:i/>
            <w:color w:val="auto"/>
            <w:u w:val="none"/>
          </w:rPr>
          <w:t>https://iinparlina.wordpress.com/</w:t>
        </w:r>
      </w:hyperlink>
      <w:r w:rsidRPr="00623255">
        <w:t xml:space="preserve">. </w:t>
      </w:r>
      <w:proofErr w:type="gramStart"/>
      <w:r w:rsidRPr="00623255">
        <w:t>Diakses 28 Oktober 2020.</w:t>
      </w:r>
      <w:proofErr w:type="gramEnd"/>
    </w:p>
    <w:p w:rsidR="00410901" w:rsidRDefault="00410901" w:rsidP="008649D0">
      <w:pPr>
        <w:ind w:left="567" w:hanging="567"/>
        <w:jc w:val="both"/>
      </w:pPr>
    </w:p>
    <w:p w:rsidR="00410901" w:rsidRPr="00623255" w:rsidRDefault="00410901" w:rsidP="008649D0">
      <w:pPr>
        <w:ind w:left="567" w:hanging="567"/>
        <w:jc w:val="both"/>
      </w:pPr>
      <w:proofErr w:type="gramStart"/>
      <w:r>
        <w:t>Saputra, P.I. 2007.</w:t>
      </w:r>
      <w:proofErr w:type="gramEnd"/>
      <w:r>
        <w:t xml:space="preserve"> </w:t>
      </w:r>
      <w:proofErr w:type="gramStart"/>
      <w:r>
        <w:t>Sifat Kimia dan Viskositas Minuman Jelly Berbahan Baku Yogurt Probiotik Selama Penyimpanan.</w:t>
      </w:r>
      <w:proofErr w:type="gramEnd"/>
      <w:r>
        <w:t xml:space="preserve"> </w:t>
      </w:r>
      <w:proofErr w:type="gramStart"/>
      <w:r w:rsidRPr="00410901">
        <w:rPr>
          <w:i/>
        </w:rPr>
        <w:t>Skripsi</w:t>
      </w:r>
      <w:r>
        <w:t>.</w:t>
      </w:r>
      <w:proofErr w:type="gramEnd"/>
      <w:r>
        <w:t xml:space="preserve"> Fakultas Teknologi Pertanian. </w:t>
      </w:r>
      <w:proofErr w:type="gramStart"/>
      <w:r>
        <w:t>Institut Pertanian Bogor.</w:t>
      </w:r>
      <w:proofErr w:type="gramEnd"/>
      <w:r>
        <w:t xml:space="preserve"> Bogor.</w:t>
      </w:r>
    </w:p>
    <w:p w:rsidR="00F831B0" w:rsidRPr="00623255" w:rsidRDefault="00F831B0" w:rsidP="008649D0">
      <w:pPr>
        <w:ind w:left="567" w:hanging="567"/>
        <w:jc w:val="both"/>
      </w:pPr>
    </w:p>
    <w:p w:rsidR="00F831B0" w:rsidRPr="00623255" w:rsidRDefault="00F831B0" w:rsidP="008649D0">
      <w:pPr>
        <w:ind w:left="567" w:hanging="567"/>
        <w:jc w:val="both"/>
      </w:pPr>
      <w:proofErr w:type="gramStart"/>
      <w:r w:rsidRPr="00623255">
        <w:t>Sudarsono, D. Gunawan, S. Wahyuono, I.A. Donatus, dan Purnomo.</w:t>
      </w:r>
      <w:proofErr w:type="gramEnd"/>
      <w:r w:rsidRPr="00623255">
        <w:t xml:space="preserve"> 2002. </w:t>
      </w:r>
      <w:r w:rsidRPr="00623255">
        <w:rPr>
          <w:i/>
        </w:rPr>
        <w:t>Tumbuhan Obat II, Hasil Penelitian, Sifat-sifat dan Penggunaan</w:t>
      </w:r>
      <w:r w:rsidRPr="00623255">
        <w:t xml:space="preserve">. Pusat Studi Obat Tradisional UGM. </w:t>
      </w:r>
      <w:proofErr w:type="gramStart"/>
      <w:r w:rsidRPr="00623255">
        <w:t>Yogyakarta.</w:t>
      </w:r>
      <w:proofErr w:type="gramEnd"/>
    </w:p>
    <w:p w:rsidR="00F831B0" w:rsidRPr="00623255" w:rsidRDefault="00F831B0" w:rsidP="008649D0">
      <w:pPr>
        <w:ind w:left="567" w:hanging="567"/>
        <w:jc w:val="both"/>
      </w:pPr>
    </w:p>
    <w:p w:rsidR="00F831B0" w:rsidRPr="00623255" w:rsidRDefault="00F831B0" w:rsidP="008649D0">
      <w:pPr>
        <w:ind w:left="567" w:hanging="567"/>
        <w:jc w:val="both"/>
      </w:pPr>
      <w:proofErr w:type="gramStart"/>
      <w:r w:rsidRPr="00623255">
        <w:t>Therkelsen.</w:t>
      </w:r>
      <w:proofErr w:type="gramEnd"/>
      <w:r w:rsidRPr="00623255">
        <w:t xml:space="preserve"> 1993. Effect of an Indonesian Medical Plant, </w:t>
      </w:r>
      <w:r w:rsidRPr="00623255">
        <w:rPr>
          <w:i/>
        </w:rPr>
        <w:t>Curcuma xanthorrhiza</w:t>
      </w:r>
      <w:r w:rsidRPr="00623255">
        <w:t xml:space="preserve"> Roxb. On The Levels of Serum Glucose and Triglyceride, Fatty Acid Desaturation, and Bile Acid Excretion in Streptozotocinduced Diabetic Rats. </w:t>
      </w:r>
      <w:r w:rsidRPr="00623255">
        <w:rPr>
          <w:i/>
        </w:rPr>
        <w:t>Agricultural Biological Chemistry</w:t>
      </w:r>
      <w:r w:rsidRPr="00623255">
        <w:t>, 55 (12): 3005–3010.</w:t>
      </w:r>
    </w:p>
    <w:p w:rsidR="00F831B0" w:rsidRPr="00623255" w:rsidRDefault="00F831B0" w:rsidP="008649D0">
      <w:pPr>
        <w:ind w:left="567" w:hanging="567"/>
        <w:jc w:val="both"/>
      </w:pPr>
    </w:p>
    <w:p w:rsidR="00F831B0" w:rsidRPr="00623255" w:rsidRDefault="00F831B0" w:rsidP="008649D0">
      <w:pPr>
        <w:ind w:left="567" w:hanging="567"/>
        <w:jc w:val="both"/>
      </w:pPr>
      <w:r w:rsidRPr="00623255">
        <w:t xml:space="preserve">Winarno, F.G. 1990. </w:t>
      </w:r>
      <w:r w:rsidRPr="00623255">
        <w:rPr>
          <w:i/>
        </w:rPr>
        <w:t>Teknologi Pengolahan Rumput Laut</w:t>
      </w:r>
      <w:r w:rsidRPr="00623255">
        <w:t>. Pustaka Sinar Harapan. Jakarta.</w:t>
      </w:r>
    </w:p>
    <w:p w:rsidR="00F831B0" w:rsidRPr="00623255" w:rsidRDefault="00F831B0" w:rsidP="008649D0">
      <w:pPr>
        <w:ind w:left="567" w:hanging="567"/>
        <w:jc w:val="both"/>
      </w:pPr>
    </w:p>
    <w:p w:rsidR="00F831B0" w:rsidRPr="00623255" w:rsidRDefault="00F831B0" w:rsidP="008649D0">
      <w:pPr>
        <w:ind w:left="567" w:hanging="567"/>
        <w:jc w:val="both"/>
      </w:pPr>
      <w:proofErr w:type="gramStart"/>
      <w:r w:rsidRPr="00623255">
        <w:t>Winarno,</w:t>
      </w:r>
      <w:r w:rsidRPr="00623255">
        <w:rPr>
          <w:spacing w:val="-14"/>
        </w:rPr>
        <w:t xml:space="preserve"> </w:t>
      </w:r>
      <w:r w:rsidRPr="00623255">
        <w:t>F.</w:t>
      </w:r>
      <w:r w:rsidRPr="00623255">
        <w:rPr>
          <w:spacing w:val="-3"/>
        </w:rPr>
        <w:t>G.</w:t>
      </w:r>
      <w:r w:rsidRPr="00623255">
        <w:rPr>
          <w:spacing w:val="-14"/>
        </w:rPr>
        <w:t xml:space="preserve"> </w:t>
      </w:r>
      <w:r w:rsidRPr="00623255">
        <w:t>2004.</w:t>
      </w:r>
      <w:proofErr w:type="gramEnd"/>
      <w:r w:rsidRPr="00623255">
        <w:rPr>
          <w:spacing w:val="-17"/>
        </w:rPr>
        <w:t xml:space="preserve"> </w:t>
      </w:r>
      <w:proofErr w:type="gramStart"/>
      <w:r w:rsidRPr="00623255">
        <w:rPr>
          <w:i/>
        </w:rPr>
        <w:t>Kimia</w:t>
      </w:r>
      <w:r w:rsidRPr="00623255">
        <w:rPr>
          <w:i/>
          <w:spacing w:val="-16"/>
        </w:rPr>
        <w:t xml:space="preserve"> </w:t>
      </w:r>
      <w:r w:rsidRPr="00623255">
        <w:rPr>
          <w:i/>
        </w:rPr>
        <w:t>Pangan</w:t>
      </w:r>
      <w:r w:rsidRPr="00623255">
        <w:rPr>
          <w:i/>
          <w:spacing w:val="-15"/>
        </w:rPr>
        <w:t xml:space="preserve"> </w:t>
      </w:r>
      <w:r w:rsidRPr="00623255">
        <w:rPr>
          <w:i/>
        </w:rPr>
        <w:t>dan</w:t>
      </w:r>
      <w:r w:rsidRPr="00623255">
        <w:rPr>
          <w:i/>
          <w:spacing w:val="-16"/>
        </w:rPr>
        <w:t xml:space="preserve"> </w:t>
      </w:r>
      <w:r w:rsidRPr="00623255">
        <w:rPr>
          <w:i/>
        </w:rPr>
        <w:t>Gizi.</w:t>
      </w:r>
      <w:proofErr w:type="gramEnd"/>
      <w:r w:rsidRPr="00623255">
        <w:rPr>
          <w:i/>
        </w:rPr>
        <w:t xml:space="preserve"> </w:t>
      </w:r>
      <w:r w:rsidRPr="00623255">
        <w:t>Gramedia</w:t>
      </w:r>
      <w:r w:rsidRPr="00623255">
        <w:rPr>
          <w:spacing w:val="-17"/>
        </w:rPr>
        <w:t xml:space="preserve"> </w:t>
      </w:r>
      <w:r w:rsidRPr="00623255">
        <w:t>Pustaka</w:t>
      </w:r>
      <w:r w:rsidRPr="00623255">
        <w:rPr>
          <w:spacing w:val="-16"/>
        </w:rPr>
        <w:t xml:space="preserve"> </w:t>
      </w:r>
      <w:r w:rsidRPr="00623255">
        <w:t>Utama. Jakarta.</w:t>
      </w:r>
    </w:p>
    <w:p w:rsidR="00F831B0" w:rsidRPr="00623255" w:rsidRDefault="00F831B0" w:rsidP="008649D0">
      <w:pPr>
        <w:pStyle w:val="ListParagraph"/>
        <w:ind w:left="567" w:hanging="567"/>
        <w:jc w:val="both"/>
      </w:pPr>
    </w:p>
    <w:p w:rsidR="00F831B0" w:rsidRPr="00623255" w:rsidRDefault="00F831B0" w:rsidP="008649D0">
      <w:pPr>
        <w:ind w:left="567" w:hanging="567"/>
        <w:jc w:val="both"/>
      </w:pPr>
      <w:r w:rsidRPr="00623255">
        <w:t xml:space="preserve">Wiriadinata, Sari Isna. </w:t>
      </w:r>
      <w:proofErr w:type="gramStart"/>
      <w:r w:rsidRPr="00623255">
        <w:t xml:space="preserve">2019. Konsentrasi Karagenan terhadap Sifat Fisikokimia, Organoleptik </w:t>
      </w:r>
      <w:r w:rsidRPr="00623255">
        <w:rPr>
          <w:i/>
        </w:rPr>
        <w:t>Jelly Drink</w:t>
      </w:r>
      <w:r w:rsidRPr="00623255">
        <w:t xml:space="preserve"> Tomat (</w:t>
      </w:r>
      <w:r w:rsidRPr="00623255">
        <w:rPr>
          <w:i/>
        </w:rPr>
        <w:t>Lycopersicum esculentum</w:t>
      </w:r>
      <w:r w:rsidRPr="00623255">
        <w:t>).</w:t>
      </w:r>
      <w:proofErr w:type="gramEnd"/>
      <w:r w:rsidRPr="00623255">
        <w:t xml:space="preserve"> </w:t>
      </w:r>
      <w:proofErr w:type="gramStart"/>
      <w:r w:rsidRPr="00623255">
        <w:rPr>
          <w:i/>
        </w:rPr>
        <w:t>Skripsi</w:t>
      </w:r>
      <w:r w:rsidRPr="00623255">
        <w:t>.</w:t>
      </w:r>
      <w:proofErr w:type="gramEnd"/>
      <w:r w:rsidRPr="00623255">
        <w:t xml:space="preserve"> Fakultas Teknologi Pertanian. Universitas Semarang. Semarang.</w:t>
      </w:r>
    </w:p>
    <w:p w:rsidR="00F831B0" w:rsidRPr="00623255" w:rsidRDefault="00F831B0" w:rsidP="008649D0">
      <w:pPr>
        <w:ind w:left="567" w:hanging="567"/>
        <w:jc w:val="both"/>
      </w:pPr>
    </w:p>
    <w:p w:rsidR="00F831B0" w:rsidRPr="00623255" w:rsidRDefault="00F831B0" w:rsidP="008649D0">
      <w:pPr>
        <w:ind w:left="567" w:hanging="567"/>
        <w:jc w:val="both"/>
      </w:pPr>
      <w:r w:rsidRPr="00623255">
        <w:t xml:space="preserve">Yulandani, R.A., Martha I.K. dan M. Zen Rahfiludin. </w:t>
      </w:r>
      <w:proofErr w:type="gramStart"/>
      <w:r w:rsidRPr="00623255">
        <w:t>2015. Pengaruh Pemberian Ekstrak Secang (</w:t>
      </w:r>
      <w:r w:rsidRPr="00623255">
        <w:rPr>
          <w:i/>
        </w:rPr>
        <w:t>Caesalpinnia sappan</w:t>
      </w:r>
      <w:r w:rsidRPr="00623255">
        <w:t xml:space="preserve"> L.) terhadap Kualitas Sensoris dan Mikrobiologis Kue Bolu Kukus Tahun 2014.</w:t>
      </w:r>
      <w:proofErr w:type="gramEnd"/>
      <w:r w:rsidRPr="00623255">
        <w:t xml:space="preserve"> Jurnal Kesehatan Masyarakat (</w:t>
      </w:r>
      <w:r w:rsidRPr="00623255">
        <w:rPr>
          <w:i/>
        </w:rPr>
        <w:t>e-Journal</w:t>
      </w:r>
      <w:r w:rsidRPr="00623255">
        <w:t>), 3 (1): 278–285.</w:t>
      </w:r>
    </w:p>
    <w:p w:rsidR="00F831B0" w:rsidRPr="00623255" w:rsidRDefault="00F831B0" w:rsidP="00660FDF">
      <w:pPr>
        <w:pStyle w:val="ListParagraph"/>
        <w:ind w:left="0" w:firstLine="0"/>
        <w:jc w:val="both"/>
      </w:pPr>
    </w:p>
    <w:p w:rsidR="00A32982" w:rsidRPr="00623255" w:rsidRDefault="00A32982" w:rsidP="00660FDF">
      <w:pPr>
        <w:adjustRightInd w:val="0"/>
        <w:jc w:val="both"/>
      </w:pPr>
    </w:p>
    <w:p w:rsidR="00A32982" w:rsidRDefault="00A32982" w:rsidP="00A32982">
      <w:pPr>
        <w:jc w:val="center"/>
      </w:pPr>
      <w:bookmarkStart w:id="0" w:name="_GoBack"/>
      <w:bookmarkEnd w:id="0"/>
    </w:p>
    <w:sectPr w:rsidR="00A32982" w:rsidSect="0053294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F5"/>
    <w:rsid w:val="000251B7"/>
    <w:rsid w:val="00075D4C"/>
    <w:rsid w:val="000E5D7A"/>
    <w:rsid w:val="0012318B"/>
    <w:rsid w:val="00127449"/>
    <w:rsid w:val="001A5024"/>
    <w:rsid w:val="0020764B"/>
    <w:rsid w:val="0022478D"/>
    <w:rsid w:val="003115C4"/>
    <w:rsid w:val="003209C8"/>
    <w:rsid w:val="00345CF3"/>
    <w:rsid w:val="003474DF"/>
    <w:rsid w:val="003C1A8D"/>
    <w:rsid w:val="003C591B"/>
    <w:rsid w:val="00410901"/>
    <w:rsid w:val="00437465"/>
    <w:rsid w:val="0053294E"/>
    <w:rsid w:val="005969F5"/>
    <w:rsid w:val="00623255"/>
    <w:rsid w:val="00660FDF"/>
    <w:rsid w:val="00773772"/>
    <w:rsid w:val="007F7F16"/>
    <w:rsid w:val="0083513A"/>
    <w:rsid w:val="008649D0"/>
    <w:rsid w:val="008775B3"/>
    <w:rsid w:val="0092713F"/>
    <w:rsid w:val="00A32982"/>
    <w:rsid w:val="00A34DC8"/>
    <w:rsid w:val="00A36BA8"/>
    <w:rsid w:val="00A73205"/>
    <w:rsid w:val="00B84EC6"/>
    <w:rsid w:val="00BB4CEB"/>
    <w:rsid w:val="00C45735"/>
    <w:rsid w:val="00D22616"/>
    <w:rsid w:val="00D820F6"/>
    <w:rsid w:val="00D85064"/>
    <w:rsid w:val="00D9594C"/>
    <w:rsid w:val="00E75023"/>
    <w:rsid w:val="00E947E8"/>
    <w:rsid w:val="00EA00BA"/>
    <w:rsid w:val="00EA6874"/>
    <w:rsid w:val="00F831B0"/>
    <w:rsid w:val="00F851A9"/>
    <w:rsid w:val="00F9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64F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982"/>
    <w:rPr>
      <w:color w:val="0000FF" w:themeColor="hyperlink"/>
      <w:u w:val="single"/>
    </w:rPr>
  </w:style>
  <w:style w:type="table" w:styleId="TableGrid">
    <w:name w:val="Table Grid"/>
    <w:basedOn w:val="TableNormal"/>
    <w:uiPriority w:val="59"/>
    <w:rsid w:val="00EA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D7A"/>
    <w:pPr>
      <w:ind w:left="1886" w:hanging="360"/>
    </w:pPr>
  </w:style>
  <w:style w:type="paragraph" w:customStyle="1" w:styleId="TableParagraph">
    <w:name w:val="Table Paragraph"/>
    <w:basedOn w:val="Normal"/>
    <w:uiPriority w:val="1"/>
    <w:qFormat/>
    <w:rsid w:val="0083513A"/>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64F5"/>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982"/>
    <w:rPr>
      <w:color w:val="0000FF" w:themeColor="hyperlink"/>
      <w:u w:val="single"/>
    </w:rPr>
  </w:style>
  <w:style w:type="table" w:styleId="TableGrid">
    <w:name w:val="Table Grid"/>
    <w:basedOn w:val="TableNormal"/>
    <w:uiPriority w:val="59"/>
    <w:rsid w:val="00EA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D7A"/>
    <w:pPr>
      <w:ind w:left="1886" w:hanging="360"/>
    </w:pPr>
  </w:style>
  <w:style w:type="paragraph" w:customStyle="1" w:styleId="TableParagraph">
    <w:name w:val="Table Paragraph"/>
    <w:basedOn w:val="Normal"/>
    <w:uiPriority w:val="1"/>
    <w:qFormat/>
    <w:rsid w:val="0083513A"/>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inparlina.wordp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o.int/medicines/publications/traditional/trm_strategy14_23/en/" TargetMode="External"/><Relationship Id="rId5" Type="http://schemas.openxmlformats.org/officeDocument/2006/relationships/hyperlink" Target="mailto:olliviapradan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2021-02-19T02:56:00Z</dcterms:created>
  <dcterms:modified xsi:type="dcterms:W3CDTF">2021-02-25T23:28:00Z</dcterms:modified>
</cp:coreProperties>
</file>