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E01" w:rsidRDefault="00B936AA">
      <w:pPr>
        <w:pStyle w:val="Title"/>
        <w:spacing w:line="254" w:lineRule="auto"/>
        <w:rPr>
          <w:sz w:val="25"/>
        </w:rPr>
      </w:pPr>
      <w:r>
        <w:t>ANALISIS TINGKAT KESEHATAN BANK DENGAN ME</w:t>
      </w:r>
      <w:bookmarkStart w:id="0" w:name="_GoBack"/>
      <w:bookmarkEnd w:id="0"/>
      <w:r>
        <w:t>TODE RGEC PADA PT. BANK TABUNAN NEGARA TBK PERIODE 2017-2019</w:t>
      </w:r>
    </w:p>
    <w:p w:rsidR="003E4E01" w:rsidRDefault="003E4E01">
      <w:pPr>
        <w:pStyle w:val="BodyText"/>
        <w:rPr>
          <w:b/>
          <w:sz w:val="28"/>
        </w:rPr>
      </w:pPr>
    </w:p>
    <w:p w:rsidR="00B936AA" w:rsidRDefault="00B936AA" w:rsidP="00B936AA">
      <w:pPr>
        <w:pStyle w:val="BodyText"/>
        <w:jc w:val="center"/>
        <w:rPr>
          <w:b/>
          <w:i/>
          <w:sz w:val="24"/>
        </w:rPr>
      </w:pPr>
      <w:r w:rsidRPr="00B936AA">
        <w:rPr>
          <w:b/>
          <w:i/>
          <w:sz w:val="24"/>
        </w:rPr>
        <w:t xml:space="preserve">ANALYSIS OF BANK HEALTH LEVEL WITH RGEC METHOD IN </w:t>
      </w:r>
    </w:p>
    <w:p w:rsidR="00B936AA" w:rsidRPr="00B936AA" w:rsidRDefault="00B936AA" w:rsidP="00B936AA">
      <w:pPr>
        <w:pStyle w:val="BodyText"/>
        <w:jc w:val="center"/>
        <w:rPr>
          <w:b/>
          <w:i/>
          <w:sz w:val="24"/>
        </w:rPr>
      </w:pPr>
      <w:r w:rsidRPr="00B936AA">
        <w:rPr>
          <w:b/>
          <w:i/>
          <w:sz w:val="24"/>
        </w:rPr>
        <w:t xml:space="preserve">PT. </w:t>
      </w:r>
      <w:r>
        <w:rPr>
          <w:b/>
          <w:i/>
          <w:sz w:val="24"/>
        </w:rPr>
        <w:t>BANK TABUNGAN NEGARA</w:t>
      </w:r>
      <w:r w:rsidRPr="00B936AA">
        <w:rPr>
          <w:b/>
          <w:i/>
          <w:sz w:val="24"/>
        </w:rPr>
        <w:t xml:space="preserve"> TBK PERIOD 2017 - 2019</w:t>
      </w:r>
    </w:p>
    <w:p w:rsidR="003E4E01" w:rsidRDefault="003E4E01">
      <w:pPr>
        <w:pStyle w:val="BodyText"/>
        <w:rPr>
          <w:b/>
          <w:i/>
          <w:sz w:val="28"/>
        </w:rPr>
      </w:pPr>
    </w:p>
    <w:p w:rsidR="00B936AA" w:rsidRDefault="00B936AA">
      <w:pPr>
        <w:spacing w:before="173" w:line="201" w:lineRule="auto"/>
        <w:ind w:left="1832" w:right="1885"/>
        <w:jc w:val="center"/>
        <w:rPr>
          <w:b/>
        </w:rPr>
      </w:pPr>
      <w:r>
        <w:rPr>
          <w:b/>
        </w:rPr>
        <w:t>Andreas Bagus Kristanto Selan</w:t>
      </w:r>
      <w:r w:rsidR="00CA54B4">
        <w:rPr>
          <w:b/>
          <w:position w:val="12"/>
          <w:sz w:val="18"/>
        </w:rPr>
        <w:t>1</w:t>
      </w:r>
    </w:p>
    <w:p w:rsidR="00B936AA" w:rsidRDefault="00CA54B4" w:rsidP="00B936AA">
      <w:pPr>
        <w:spacing w:line="201" w:lineRule="auto"/>
        <w:ind w:left="1832" w:right="1885"/>
        <w:jc w:val="center"/>
        <w:rPr>
          <w:sz w:val="20"/>
        </w:rPr>
      </w:pPr>
      <w:r>
        <w:rPr>
          <w:b/>
        </w:rPr>
        <w:t xml:space="preserve"> </w:t>
      </w:r>
      <w:r>
        <w:rPr>
          <w:position w:val="11"/>
          <w:sz w:val="16"/>
        </w:rPr>
        <w:t>1</w:t>
      </w:r>
      <w:r w:rsidR="00B936AA">
        <w:rPr>
          <w:sz w:val="20"/>
        </w:rPr>
        <w:t>Universitas Mercu Buana Yogyakarta</w:t>
      </w:r>
    </w:p>
    <w:p w:rsidR="003E4E01" w:rsidRDefault="00CA54B4" w:rsidP="00B936AA">
      <w:pPr>
        <w:spacing w:line="201" w:lineRule="auto"/>
        <w:ind w:left="1832" w:right="1885"/>
        <w:jc w:val="center"/>
        <w:rPr>
          <w:sz w:val="20"/>
        </w:rPr>
      </w:pPr>
      <w:r>
        <w:rPr>
          <w:sz w:val="20"/>
        </w:rPr>
        <w:t xml:space="preserve"> </w:t>
      </w:r>
      <w:hyperlink r:id="rId9" w:history="1">
        <w:r w:rsidR="00DC053C" w:rsidRPr="00417448">
          <w:rPr>
            <w:rStyle w:val="Hyperlink"/>
            <w:position w:val="11"/>
            <w:sz w:val="16"/>
          </w:rPr>
          <w:t>1</w:t>
        </w:r>
        <w:r w:rsidR="00DC053C" w:rsidRPr="00417448">
          <w:rPr>
            <w:rStyle w:val="Hyperlink"/>
            <w:sz w:val="20"/>
          </w:rPr>
          <w:t xml:space="preserve">andreasbagus96@Gmail.com </w:t>
        </w:r>
      </w:hyperlink>
    </w:p>
    <w:p w:rsidR="003E4E01" w:rsidRDefault="003E4E01">
      <w:pPr>
        <w:pStyle w:val="BodyText"/>
        <w:rPr>
          <w:sz w:val="30"/>
        </w:rPr>
      </w:pPr>
    </w:p>
    <w:p w:rsidR="003E4E01" w:rsidRDefault="003E4E01">
      <w:pPr>
        <w:pStyle w:val="BodyText"/>
        <w:spacing w:before="10"/>
        <w:rPr>
          <w:sz w:val="26"/>
        </w:rPr>
      </w:pPr>
    </w:p>
    <w:p w:rsidR="003E4E01" w:rsidRDefault="00CA54B4">
      <w:pPr>
        <w:pStyle w:val="Heading4"/>
        <w:spacing w:line="240" w:lineRule="auto"/>
        <w:ind w:left="1829" w:right="1885"/>
      </w:pPr>
      <w:r>
        <w:t>Abstrak</w:t>
      </w:r>
    </w:p>
    <w:p w:rsidR="003E4E01" w:rsidRDefault="00B936AA">
      <w:pPr>
        <w:pStyle w:val="Heading5"/>
        <w:ind w:left="119" w:right="115"/>
        <w:jc w:val="both"/>
      </w:pPr>
      <w:proofErr w:type="gramStart"/>
      <w:r w:rsidRPr="00B936AA">
        <w:rPr>
          <w:lang w:val="en-ID"/>
        </w:rPr>
        <w:t xml:space="preserve">Tujuan penelitian ini adalah untuk mengetahui tingkat kesehatan Bank Tabungan Negara, Tbk dengan menggunakan metode </w:t>
      </w:r>
      <w:r w:rsidRPr="00B936AA">
        <w:rPr>
          <w:i/>
          <w:lang w:val="en-ID"/>
        </w:rPr>
        <w:t>RGEC</w:t>
      </w:r>
      <w:r w:rsidRPr="00B936AA">
        <w:rPr>
          <w:lang w:val="en-ID"/>
        </w:rPr>
        <w:t xml:space="preserve"> (</w:t>
      </w:r>
      <w:r w:rsidRPr="00B936AA">
        <w:rPr>
          <w:i/>
          <w:lang w:val="en-ID"/>
        </w:rPr>
        <w:t>Risk Profile, Good Corporate Governance, Earnings dan Capital</w:t>
      </w:r>
      <w:r w:rsidRPr="00B936AA">
        <w:rPr>
          <w:lang w:val="en-ID"/>
        </w:rPr>
        <w:t>).</w:t>
      </w:r>
      <w:proofErr w:type="gramEnd"/>
      <w:r w:rsidRPr="00B936AA">
        <w:rPr>
          <w:lang w:val="en-ID"/>
        </w:rPr>
        <w:t xml:space="preserve">  </w:t>
      </w:r>
      <w:proofErr w:type="gramStart"/>
      <w:r w:rsidRPr="00B936AA">
        <w:rPr>
          <w:lang w:val="en-ID"/>
        </w:rPr>
        <w:t>Teknik pengumpulan data yang digunakan adalah teknik dokumen karena menggunakan data sekunder berupa Laporan Keuangan Perusahaan periode 2017-2019.</w:t>
      </w:r>
      <w:proofErr w:type="gramEnd"/>
      <w:r w:rsidRPr="00B936AA">
        <w:rPr>
          <w:lang w:val="en-ID"/>
        </w:rPr>
        <w:t xml:space="preserve">  </w:t>
      </w:r>
      <w:proofErr w:type="gramStart"/>
      <w:r w:rsidRPr="00B936AA">
        <w:rPr>
          <w:lang w:val="en-ID"/>
        </w:rPr>
        <w:t xml:space="preserve">Teknik analisis data yang digunakan adalah deskriptif dengan menggunakan metode </w:t>
      </w:r>
      <w:r w:rsidRPr="00B936AA">
        <w:rPr>
          <w:i/>
          <w:lang w:val="en-ID"/>
        </w:rPr>
        <w:t>RGEC</w:t>
      </w:r>
      <w:r w:rsidRPr="00B936AA">
        <w:rPr>
          <w:lang w:val="en-ID"/>
        </w:rPr>
        <w:t xml:space="preserve"> (</w:t>
      </w:r>
      <w:r w:rsidRPr="00B936AA">
        <w:rPr>
          <w:i/>
          <w:lang w:val="en-ID"/>
        </w:rPr>
        <w:t>Risk Profile, Good Corporate Governance, Earnings dan Capital</w:t>
      </w:r>
      <w:r w:rsidRPr="00B936AA">
        <w:rPr>
          <w:lang w:val="en-ID"/>
        </w:rPr>
        <w:t>).</w:t>
      </w:r>
      <w:proofErr w:type="gramEnd"/>
      <w:r w:rsidRPr="00B936AA">
        <w:rPr>
          <w:lang w:val="en-ID"/>
        </w:rPr>
        <w:t xml:space="preserve"> </w:t>
      </w:r>
      <w:proofErr w:type="gramStart"/>
      <w:r w:rsidRPr="00B936AA">
        <w:rPr>
          <w:lang w:val="en-ID"/>
        </w:rPr>
        <w:t>Berdasarkan analisis data yang dilakukan dapat diambil kesimpulan bahwa secara keseluruhan Bank Tabungan Negara, Tbk memiliki kesehatan yang cukup.</w:t>
      </w:r>
      <w:proofErr w:type="gramEnd"/>
      <w:r w:rsidRPr="00B936AA">
        <w:rPr>
          <w:lang w:val="en-ID"/>
        </w:rPr>
        <w:t xml:space="preserve">  Hal ini terlihat dari tingkat kesehatan berdasarkan </w:t>
      </w:r>
      <w:r w:rsidRPr="00B936AA">
        <w:rPr>
          <w:i/>
          <w:lang w:val="en-ID"/>
        </w:rPr>
        <w:t xml:space="preserve">risk profile </w:t>
      </w:r>
      <w:r w:rsidRPr="00B936AA">
        <w:rPr>
          <w:lang w:val="en-ID"/>
        </w:rPr>
        <w:t xml:space="preserve">menunjukkan terjadinya peningkatan jumlah kredit bermasalah yang menyebabkan menurunnya tingkat kesehatan menjadi cukup baik.  </w:t>
      </w:r>
      <w:proofErr w:type="gramStart"/>
      <w:r w:rsidRPr="00B936AA">
        <w:rPr>
          <w:lang w:val="en-ID"/>
        </w:rPr>
        <w:t xml:space="preserve">Berdasarkan </w:t>
      </w:r>
      <w:r w:rsidRPr="00B936AA">
        <w:rPr>
          <w:i/>
          <w:lang w:val="en-ID"/>
        </w:rPr>
        <w:t xml:space="preserve">GCG </w:t>
      </w:r>
      <w:r w:rsidRPr="00B936AA">
        <w:rPr>
          <w:lang w:val="en-ID"/>
        </w:rPr>
        <w:t>selama tiga periode yaitu 2017-2019 Bank Tabungan Negara, Tbk masuk kriteria sehat.</w:t>
      </w:r>
      <w:proofErr w:type="gramEnd"/>
      <w:r w:rsidRPr="00B936AA">
        <w:rPr>
          <w:lang w:val="en-ID"/>
        </w:rPr>
        <w:t xml:space="preserve">  Pada aspek </w:t>
      </w:r>
      <w:proofErr w:type="gramStart"/>
      <w:r w:rsidRPr="00B936AA">
        <w:rPr>
          <w:i/>
          <w:lang w:val="en-ID"/>
        </w:rPr>
        <w:t xml:space="preserve">earnings </w:t>
      </w:r>
      <w:r w:rsidRPr="00B936AA">
        <w:rPr>
          <w:lang w:val="en-ID"/>
        </w:rPr>
        <w:t xml:space="preserve"> terjadi</w:t>
      </w:r>
      <w:proofErr w:type="gramEnd"/>
      <w:r w:rsidRPr="00B936AA">
        <w:rPr>
          <w:lang w:val="en-ID"/>
        </w:rPr>
        <w:t xml:space="preserve"> penurunan tingkat kriteria kesehatan bank menjadi cukup sehat, sedangkan pada aspek </w:t>
      </w:r>
      <w:r w:rsidRPr="00B936AA">
        <w:rPr>
          <w:i/>
          <w:lang w:val="en-ID"/>
        </w:rPr>
        <w:t xml:space="preserve">capital </w:t>
      </w:r>
      <w:r w:rsidRPr="00B936AA">
        <w:rPr>
          <w:lang w:val="en-ID"/>
        </w:rPr>
        <w:t>bank tetap mempertahankan kriteria kesehatan bank yaitu sehat.</w:t>
      </w:r>
      <w:r w:rsidR="00CA54B4">
        <w:t>.</w:t>
      </w:r>
    </w:p>
    <w:p w:rsidR="003E4E01" w:rsidRDefault="003E4E01">
      <w:pPr>
        <w:pStyle w:val="BodyText"/>
        <w:rPr>
          <w:sz w:val="19"/>
        </w:rPr>
      </w:pPr>
    </w:p>
    <w:p w:rsidR="003E4E01" w:rsidRPr="00B936AA" w:rsidRDefault="00CA54B4">
      <w:pPr>
        <w:ind w:left="119"/>
        <w:jc w:val="both"/>
        <w:rPr>
          <w:i/>
          <w:sz w:val="20"/>
        </w:rPr>
      </w:pPr>
      <w:r>
        <w:rPr>
          <w:b/>
          <w:sz w:val="20"/>
        </w:rPr>
        <w:t>Kata Kunci</w:t>
      </w:r>
      <w:r>
        <w:rPr>
          <w:sz w:val="20"/>
        </w:rPr>
        <w:t xml:space="preserve">: </w:t>
      </w:r>
      <w:r w:rsidR="00B936AA">
        <w:rPr>
          <w:i/>
          <w:sz w:val="20"/>
        </w:rPr>
        <w:t>risk profile, good corporate governance, earnings, capital</w:t>
      </w:r>
    </w:p>
    <w:p w:rsidR="003E4E01" w:rsidRDefault="003E4E01">
      <w:pPr>
        <w:pStyle w:val="BodyText"/>
        <w:rPr>
          <w:sz w:val="22"/>
        </w:rPr>
      </w:pPr>
    </w:p>
    <w:p w:rsidR="003E4E01" w:rsidRDefault="003E4E01">
      <w:pPr>
        <w:pStyle w:val="BodyText"/>
        <w:spacing w:before="8"/>
      </w:pPr>
    </w:p>
    <w:p w:rsidR="003E4E01" w:rsidRDefault="00B936AA">
      <w:pPr>
        <w:spacing w:before="1"/>
        <w:ind w:left="3499"/>
        <w:jc w:val="both"/>
        <w:rPr>
          <w:b/>
          <w:i/>
          <w:sz w:val="20"/>
        </w:rPr>
      </w:pPr>
      <w:r>
        <w:rPr>
          <w:b/>
          <w:i/>
          <w:sz w:val="20"/>
        </w:rPr>
        <w:t>Abstract</w:t>
      </w:r>
    </w:p>
    <w:p w:rsidR="003E4E01" w:rsidRDefault="00B936AA">
      <w:pPr>
        <w:spacing w:before="2"/>
        <w:ind w:left="119" w:right="117"/>
        <w:jc w:val="both"/>
        <w:rPr>
          <w:i/>
          <w:sz w:val="20"/>
        </w:rPr>
      </w:pPr>
      <w:r w:rsidRPr="00B936AA">
        <w:rPr>
          <w:i/>
          <w:sz w:val="20"/>
          <w:lang w:val="en-ID"/>
        </w:rPr>
        <w:t xml:space="preserve">The purpose of this study was to determine the soundness level of the State Savings Bank, Tbk using the RGEC method (Risk Profile, Good Corporate Governance, Earnings and Capital). The data collection technique used is document technique because it uses secondary data in the form of Corporate Financial Statements for the 2017-2019 </w:t>
      </w:r>
      <w:proofErr w:type="gramStart"/>
      <w:r w:rsidRPr="00B936AA">
        <w:rPr>
          <w:i/>
          <w:sz w:val="20"/>
          <w:lang w:val="en-ID"/>
        </w:rPr>
        <w:t>period</w:t>
      </w:r>
      <w:proofErr w:type="gramEnd"/>
      <w:r w:rsidRPr="00B936AA">
        <w:rPr>
          <w:i/>
          <w:sz w:val="20"/>
          <w:lang w:val="en-ID"/>
        </w:rPr>
        <w:t>. The data analysis technique used is descriptive using the RGEC method (Risk Profile, Good Corporate Governance, Earnings and Capital). Based on the data analysis carried out, it can be concluded that overall the State Savings Bank, Tbk has sufficient health. This can be seen from the level of health based on the risk profile which shows an increase in the number of non-performing loans which causes a decrease in the level of health to be quite good. Based on GCG for three periods, namely 2017-2019 State Savings Bank, Tbk entered the criteria of being healthy. In the earnings aspect, there was a decrease in the level of the criteria for bank health to be quite healthy, while in the aspect of capital, the bank maintained the criteria for bank health, namely healthy.</w:t>
      </w:r>
    </w:p>
    <w:p w:rsidR="003E4E01" w:rsidRDefault="003E4E01">
      <w:pPr>
        <w:pStyle w:val="BodyText"/>
        <w:spacing w:before="1"/>
        <w:rPr>
          <w:i/>
          <w:sz w:val="19"/>
        </w:rPr>
      </w:pPr>
    </w:p>
    <w:p w:rsidR="003E4E01" w:rsidRDefault="00CA54B4">
      <w:pPr>
        <w:ind w:left="119"/>
        <w:jc w:val="both"/>
        <w:rPr>
          <w:i/>
          <w:sz w:val="20"/>
        </w:rPr>
      </w:pPr>
      <w:r>
        <w:rPr>
          <w:b/>
          <w:i/>
          <w:sz w:val="20"/>
        </w:rPr>
        <w:t>Keywords</w:t>
      </w:r>
      <w:r>
        <w:rPr>
          <w:i/>
          <w:sz w:val="20"/>
        </w:rPr>
        <w:t xml:space="preserve">: </w:t>
      </w:r>
      <w:r w:rsidR="00B936AA">
        <w:rPr>
          <w:i/>
          <w:sz w:val="20"/>
        </w:rPr>
        <w:t>risk profile, good corporate governance, earnings, capital</w:t>
      </w:r>
    </w:p>
    <w:p w:rsidR="003E4E01" w:rsidRDefault="003E4E01">
      <w:pPr>
        <w:pStyle w:val="BodyText"/>
        <w:rPr>
          <w:i/>
          <w:sz w:val="22"/>
        </w:rPr>
      </w:pPr>
    </w:p>
    <w:p w:rsidR="003E4E01" w:rsidRDefault="003E4E01">
      <w:pPr>
        <w:pStyle w:val="BodyText"/>
        <w:spacing w:before="10"/>
        <w:rPr>
          <w:i/>
          <w:sz w:val="20"/>
        </w:rPr>
      </w:pPr>
    </w:p>
    <w:p w:rsidR="003E4E01" w:rsidRDefault="00CA54B4">
      <w:pPr>
        <w:spacing w:line="252" w:lineRule="exact"/>
        <w:ind w:left="119"/>
        <w:rPr>
          <w:b/>
        </w:rPr>
      </w:pPr>
      <w:r>
        <w:rPr>
          <w:b/>
        </w:rPr>
        <w:t>PENDAHULUAN</w:t>
      </w:r>
    </w:p>
    <w:p w:rsidR="00B936AA" w:rsidRPr="00B936AA" w:rsidRDefault="00B936AA" w:rsidP="00B936AA">
      <w:pPr>
        <w:spacing w:before="1" w:line="237" w:lineRule="auto"/>
        <w:ind w:left="119" w:right="152" w:firstLine="566"/>
        <w:jc w:val="both"/>
        <w:rPr>
          <w:lang w:val="en-ID"/>
        </w:rPr>
      </w:pPr>
      <w:proofErr w:type="gramStart"/>
      <w:r w:rsidRPr="00B936AA">
        <w:rPr>
          <w:lang w:val="en-ID"/>
        </w:rPr>
        <w:t>Menurut Arifin, dkk (Putri, Suarjaya, 2017), Kepercayaan bank bisa didapat dengan menjaga dan memelihara tingkat kesehatan bank.</w:t>
      </w:r>
      <w:proofErr w:type="gramEnd"/>
      <w:r w:rsidRPr="00B936AA">
        <w:rPr>
          <w:lang w:val="en-ID"/>
        </w:rPr>
        <w:t xml:space="preserve"> </w:t>
      </w:r>
      <w:proofErr w:type="gramStart"/>
      <w:r w:rsidRPr="00B936AA">
        <w:rPr>
          <w:lang w:val="en-ID"/>
        </w:rPr>
        <w:t>Pemeliharaan kesehatan bank salah satunya dilakukan dengan tetap menjaga likuiditas sehingga bank dapat memenuhi kewajibannya dan menjaga.</w:t>
      </w:r>
      <w:proofErr w:type="gramEnd"/>
      <w:r w:rsidRPr="00B936AA">
        <w:rPr>
          <w:lang w:val="en-ID"/>
        </w:rPr>
        <w:t xml:space="preserve"> Dalam menjalankan aktivitas operasionalnya bank selalu terkait dengan adanya risiko, peraturan dari Otoritas Jasa Keuangan No. 4/POJK.03/2016 pasal 2 mewajibkan bank untuk melakukan penilaian tingkat kesehatan bank menggunakan pendekatan risiko (</w:t>
      </w:r>
      <w:r w:rsidRPr="00B936AA">
        <w:rPr>
          <w:i/>
          <w:lang w:val="en-ID"/>
        </w:rPr>
        <w:t>Risk- based bank rating)</w:t>
      </w:r>
      <w:r w:rsidRPr="00B936AA">
        <w:rPr>
          <w:lang w:val="en-ID"/>
        </w:rPr>
        <w:t xml:space="preserve"> baik secara individu maupun konsolidasi. </w:t>
      </w:r>
      <w:proofErr w:type="gramStart"/>
      <w:r w:rsidRPr="00B936AA">
        <w:rPr>
          <w:lang w:val="en-ID"/>
        </w:rPr>
        <w:t>Salah satu metode untuk mengukur tingkat kesehatan bank dengan pendekatan risiko adalah RGEC.</w:t>
      </w:r>
      <w:proofErr w:type="gramEnd"/>
    </w:p>
    <w:p w:rsidR="00B936AA" w:rsidRDefault="00B936AA" w:rsidP="00B936AA">
      <w:pPr>
        <w:spacing w:before="1" w:line="237" w:lineRule="auto"/>
        <w:ind w:left="119" w:right="152" w:firstLine="566"/>
        <w:jc w:val="both"/>
        <w:rPr>
          <w:lang w:val="en-ID"/>
        </w:rPr>
      </w:pPr>
      <w:proofErr w:type="gramStart"/>
      <w:r w:rsidRPr="00B936AA">
        <w:rPr>
          <w:lang w:val="en-ID"/>
        </w:rPr>
        <w:t>Berdasarkan Surat Edaran Bank Indonesia No. 13/24/DPNP Penilaian RGEC terdapat 4 faktor penilaiannya.</w:t>
      </w:r>
      <w:proofErr w:type="gramEnd"/>
      <w:r w:rsidRPr="00B936AA">
        <w:rPr>
          <w:lang w:val="en-ID"/>
        </w:rPr>
        <w:t xml:space="preserve"> Pertama, Profil Risiko diukur dengan menggunakan pendekatan kuantitatif maupun kualitatif yang terdiri  atas 8 (delapan) aspek yaitu, Risiko Kredit (</w:t>
      </w:r>
      <w:r w:rsidRPr="00B936AA">
        <w:rPr>
          <w:i/>
          <w:lang w:val="en-ID"/>
        </w:rPr>
        <w:t xml:space="preserve">Non Performing </w:t>
      </w:r>
      <w:r w:rsidRPr="00B936AA">
        <w:rPr>
          <w:i/>
          <w:lang w:val="en-ID"/>
        </w:rPr>
        <w:lastRenderedPageBreak/>
        <w:t>Loan</w:t>
      </w:r>
      <w:r w:rsidRPr="00B936AA">
        <w:rPr>
          <w:lang w:val="en-ID"/>
        </w:rPr>
        <w:t>), Risiko likuiditas (</w:t>
      </w:r>
      <w:r w:rsidRPr="00B936AA">
        <w:rPr>
          <w:i/>
          <w:lang w:val="en-ID"/>
        </w:rPr>
        <w:t>Loan to Deposit Ratio</w:t>
      </w:r>
      <w:r w:rsidRPr="00B936AA">
        <w:rPr>
          <w:lang w:val="en-ID"/>
        </w:rPr>
        <w:t xml:space="preserve">), Risiko Pasar, Risiko Operasional, Risiko Hukum, Risiko Stratejik, Risiko Kepatuhan dan Risiko Reputasi. </w:t>
      </w:r>
      <w:proofErr w:type="gramStart"/>
      <w:r w:rsidRPr="00B936AA">
        <w:rPr>
          <w:lang w:val="en-ID"/>
        </w:rPr>
        <w:t xml:space="preserve">Kedua, </w:t>
      </w:r>
      <w:r w:rsidRPr="00B936AA">
        <w:rPr>
          <w:i/>
          <w:lang w:val="en-ID"/>
        </w:rPr>
        <w:t>Good Corporate Governance (GCG)</w:t>
      </w:r>
      <w:r w:rsidRPr="00B936AA">
        <w:rPr>
          <w:lang w:val="en-ID"/>
        </w:rPr>
        <w:t xml:space="preserve"> merupakan penilaian terhadap kualitas manajemen bank atas pelaksanaan prinsip-prinsip GCG, Prinsi-prinsip GCG dan focus penilaian terhadap pelaksanaan prinsip-prinsip GCG berpedoman pada ketentuan Bank Indonesia mengenai pelaksanaan GCG bagi Bank Umum No.</w:t>
      </w:r>
      <w:proofErr w:type="gramEnd"/>
      <w:r w:rsidRPr="00B936AA">
        <w:rPr>
          <w:lang w:val="en-ID"/>
        </w:rPr>
        <w:t xml:space="preserve"> </w:t>
      </w:r>
      <w:proofErr w:type="gramStart"/>
      <w:r w:rsidRPr="00B936AA">
        <w:rPr>
          <w:lang w:val="en-ID"/>
        </w:rPr>
        <w:t>8/4/PBI/2006 dengan memperhatikan karakteristik dan kompleksitas usaha bank.</w:t>
      </w:r>
      <w:proofErr w:type="gramEnd"/>
      <w:r w:rsidRPr="00B936AA">
        <w:rPr>
          <w:lang w:val="en-ID"/>
        </w:rPr>
        <w:t xml:space="preserve"> </w:t>
      </w:r>
      <w:proofErr w:type="gramStart"/>
      <w:r w:rsidRPr="00B936AA">
        <w:rPr>
          <w:lang w:val="en-ID"/>
        </w:rPr>
        <w:t xml:space="preserve">Ketiga, </w:t>
      </w:r>
      <w:r w:rsidRPr="00B936AA">
        <w:rPr>
          <w:i/>
          <w:lang w:val="en-ID"/>
        </w:rPr>
        <w:t>Earning</w:t>
      </w:r>
      <w:r w:rsidRPr="00B936AA">
        <w:rPr>
          <w:lang w:val="en-ID"/>
        </w:rPr>
        <w:t xml:space="preserve"> atau biasa disebut dengan rentabilitas yaitu menggunakan </w:t>
      </w:r>
      <w:r w:rsidRPr="00B936AA">
        <w:rPr>
          <w:i/>
          <w:lang w:val="en-ID"/>
        </w:rPr>
        <w:t>Return on Assets</w:t>
      </w:r>
      <w:r w:rsidRPr="00B936AA">
        <w:rPr>
          <w:lang w:val="en-ID"/>
        </w:rPr>
        <w:t xml:space="preserve"> dan </w:t>
      </w:r>
      <w:r w:rsidRPr="00B936AA">
        <w:rPr>
          <w:i/>
          <w:lang w:val="en-ID"/>
        </w:rPr>
        <w:t>Net Interest Margin</w:t>
      </w:r>
      <w:r w:rsidRPr="00B936AA">
        <w:rPr>
          <w:lang w:val="en-ID"/>
        </w:rPr>
        <w:t xml:space="preserve"> sebagai dasar perhitungan untuk mengukur kemampuan bank untuk mendapatkan keuntungan.</w:t>
      </w:r>
      <w:proofErr w:type="gramEnd"/>
      <w:r w:rsidRPr="00B936AA">
        <w:rPr>
          <w:lang w:val="en-ID"/>
        </w:rPr>
        <w:t xml:space="preserve"> </w:t>
      </w:r>
      <w:proofErr w:type="gramStart"/>
      <w:r w:rsidRPr="00B936AA">
        <w:rPr>
          <w:lang w:val="en-ID"/>
        </w:rPr>
        <w:t xml:space="preserve">Terakhir keempat, </w:t>
      </w:r>
      <w:r w:rsidRPr="00B936AA">
        <w:rPr>
          <w:i/>
          <w:lang w:val="en-ID"/>
        </w:rPr>
        <w:t>Capital</w:t>
      </w:r>
      <w:r w:rsidRPr="00B936AA">
        <w:rPr>
          <w:lang w:val="en-ID"/>
        </w:rPr>
        <w:t xml:space="preserve"> yang diukur menggunakan </w:t>
      </w:r>
      <w:r w:rsidRPr="00B936AA">
        <w:rPr>
          <w:i/>
          <w:lang w:val="en-ID"/>
        </w:rPr>
        <w:t>Capital</w:t>
      </w:r>
      <w:r w:rsidRPr="00B936AA">
        <w:rPr>
          <w:lang w:val="en-ID"/>
        </w:rPr>
        <w:t xml:space="preserve"> </w:t>
      </w:r>
      <w:r w:rsidRPr="00B936AA">
        <w:rPr>
          <w:i/>
          <w:lang w:val="en-ID"/>
        </w:rPr>
        <w:t>adequacy ratio</w:t>
      </w:r>
      <w:r w:rsidRPr="00B936AA">
        <w:rPr>
          <w:lang w:val="en-ID"/>
        </w:rPr>
        <w:t xml:space="preserve"> untuk mengetahui semakin lancar sisi permodalan dalam mencapai tujuan banknya.</w:t>
      </w:r>
      <w:proofErr w:type="gramEnd"/>
      <w:r w:rsidRPr="00B936AA">
        <w:rPr>
          <w:lang w:val="en-ID"/>
        </w:rPr>
        <w:t xml:space="preserve"> </w:t>
      </w:r>
      <w:proofErr w:type="gramStart"/>
      <w:r w:rsidRPr="00B936AA">
        <w:rPr>
          <w:lang w:val="en-ID"/>
        </w:rPr>
        <w:t>Bagi perbankan, hasil akhir penilaian kondisi bank digunakan sebagai salah satu sarana dalam menetapkan strategi usaha di waktu mendatang sedangakan bagi BI digunakan sebagai sarana penetapan dan implementasi stategi pengawasan bank.</w:t>
      </w:r>
      <w:proofErr w:type="gramEnd"/>
      <w:r w:rsidRPr="00B936AA">
        <w:rPr>
          <w:lang w:val="en-ID"/>
        </w:rPr>
        <w:t xml:space="preserve"> </w:t>
      </w:r>
      <w:proofErr w:type="gramStart"/>
      <w:r w:rsidRPr="00B936AA">
        <w:rPr>
          <w:lang w:val="en-ID"/>
        </w:rPr>
        <w:t>Pada akhirnya, kesehatan kondisi keuangan bank merupakan kepentingan semua pihak terkait, baik pemilik, pengelola manajemen, masyarakat umum pengguna jasa bank, dan pihak terkait lainnya.</w:t>
      </w:r>
      <w:proofErr w:type="gramEnd"/>
    </w:p>
    <w:p w:rsidR="00B936AA" w:rsidRDefault="00B936AA" w:rsidP="00B936AA">
      <w:pPr>
        <w:spacing w:before="1" w:line="237" w:lineRule="auto"/>
        <w:ind w:left="119" w:right="152" w:firstLine="566"/>
        <w:jc w:val="both"/>
        <w:rPr>
          <w:lang w:val="en-ID"/>
        </w:rPr>
      </w:pPr>
      <w:r w:rsidRPr="00B936AA">
        <w:rPr>
          <w:lang w:val="en-ID"/>
        </w:rPr>
        <w:t xml:space="preserve">Pada Penelitian yang dilakukan oleh Putri, Suarjaya, (2017) mengenai Analisis Tingkat Kesehatan Bank Dengan Metode RGEC Pada PT. Bank Tabungan Negara (Persero) Tbk periode 2013- 2015 menunjukan bahwa Bak BTN memperoleh redikat cukup sehat yang mana bank masih cukup mampu melaksanakan manajemen perbankan berbasis risiko dengan baik, sehingga masih pantas untuk dipercaya masyarakat. </w:t>
      </w:r>
      <w:proofErr w:type="gramStart"/>
      <w:r w:rsidRPr="00B936AA">
        <w:rPr>
          <w:lang w:val="en-ID"/>
        </w:rPr>
        <w:t>Namun, pada perhitungan rasio NPL proporsi kredit bermasalah tergolong tinggi yang menyebabkan nilai rasio NPL memperoleh predikat kurang sehat begitu pula pada rasio LDR masih dibawah standar dengan predikat kurang sehat yang artinya masih belum sesuai dengan standar yang ada.</w:t>
      </w:r>
      <w:proofErr w:type="gramEnd"/>
    </w:p>
    <w:p w:rsidR="00B936AA" w:rsidRPr="00B936AA" w:rsidRDefault="00B936AA" w:rsidP="00B936AA">
      <w:pPr>
        <w:spacing w:before="1" w:line="237" w:lineRule="auto"/>
        <w:ind w:left="119" w:right="152" w:firstLine="566"/>
        <w:jc w:val="both"/>
        <w:rPr>
          <w:lang w:val="en-ID"/>
        </w:rPr>
      </w:pPr>
      <w:r>
        <w:rPr>
          <w:lang w:val="en-ID"/>
        </w:rPr>
        <w:t xml:space="preserve">Tujuan penelitian ini adalah untuk mengetahui tingkat kesehatan bank PT. Bank Tabungan Negara (Persero), Tbk ditinjau dari aspek </w:t>
      </w:r>
      <w:r>
        <w:rPr>
          <w:i/>
          <w:lang w:val="en-ID"/>
        </w:rPr>
        <w:t xml:space="preserve">risk profile, good corporate governance, earnings </w:t>
      </w:r>
      <w:r>
        <w:rPr>
          <w:lang w:val="en-ID"/>
        </w:rPr>
        <w:t xml:space="preserve">dan </w:t>
      </w:r>
      <w:r>
        <w:rPr>
          <w:i/>
          <w:lang w:val="en-ID"/>
        </w:rPr>
        <w:t xml:space="preserve">capital </w:t>
      </w:r>
      <w:r>
        <w:rPr>
          <w:lang w:val="en-ID"/>
        </w:rPr>
        <w:t xml:space="preserve">menggunakan pendekatan kuantitatif pada periode 2017-2019. </w:t>
      </w:r>
    </w:p>
    <w:p w:rsidR="00B936AA" w:rsidRDefault="00B936AA">
      <w:pPr>
        <w:spacing w:before="1" w:line="237" w:lineRule="auto"/>
        <w:ind w:left="119" w:right="152" w:firstLine="566"/>
        <w:jc w:val="both"/>
      </w:pPr>
    </w:p>
    <w:p w:rsidR="00B936AA" w:rsidRDefault="00B936AA">
      <w:pPr>
        <w:spacing w:before="1" w:line="237" w:lineRule="auto"/>
        <w:ind w:left="119" w:right="152" w:firstLine="566"/>
        <w:jc w:val="both"/>
      </w:pPr>
    </w:p>
    <w:p w:rsidR="003E4E01" w:rsidRDefault="00CA54B4">
      <w:pPr>
        <w:spacing w:line="252" w:lineRule="exact"/>
        <w:ind w:left="119"/>
        <w:rPr>
          <w:b/>
        </w:rPr>
      </w:pPr>
      <w:r>
        <w:rPr>
          <w:b/>
        </w:rPr>
        <w:t>METODE</w:t>
      </w:r>
    </w:p>
    <w:p w:rsidR="00E416B8" w:rsidRDefault="00E416B8">
      <w:pPr>
        <w:spacing w:before="2" w:line="237" w:lineRule="auto"/>
        <w:ind w:left="119" w:right="152" w:firstLine="566"/>
        <w:jc w:val="both"/>
        <w:rPr>
          <w:i/>
        </w:rPr>
      </w:pPr>
      <w:r>
        <w:t>Penelitian ini merupakan penelitian deskriptif kuantitatif yang bertujuan untuk mendeskripsikan, memberi gambaran secara sistematis, faktual dan akurat, mengatasi fakta-fakta, serta hubungan antara fenomena yang diselidiki tanpa menghubungkan variabel lain atau membuat perbandingan (Umar, 2014). Teknik pengumpulan data yang digunakan adalah dengan menggunakan dokumen. Dokumen dapat berbentuk tulisan, gambar atau karya-karya monumental dari seseorang (Sugiyono, 2016:240).  Data dokumen yang digunakan oleh peneliti adalah laporan keuangan dan laporan tahunan PT. Bank Tabungan Negara (Persero), Tbk melalui website perusahaan dan website Bursa Efek Indonesia (BEI). Metode analisis data yang digunakan dalam penelitian ini adalah metode RGEC (</w:t>
      </w:r>
      <w:r>
        <w:rPr>
          <w:i/>
        </w:rPr>
        <w:t xml:space="preserve">Risk, Good Corporate Governance, Earnings </w:t>
      </w:r>
      <w:r>
        <w:t xml:space="preserve">dan </w:t>
      </w:r>
      <w:r>
        <w:rPr>
          <w:i/>
        </w:rPr>
        <w:t xml:space="preserve">Capital).  </w:t>
      </w:r>
      <w:r>
        <w:t xml:space="preserve">Analisis dilakukan dengan mendeskripsikan setiap indikator-indikator variabel.  Variabel </w:t>
      </w:r>
      <w:r>
        <w:rPr>
          <w:i/>
        </w:rPr>
        <w:t xml:space="preserve">risk profile </w:t>
      </w:r>
      <w:r>
        <w:t xml:space="preserve">diukur dengan menggunakan rasio </w:t>
      </w:r>
      <w:r w:rsidR="0079158E">
        <w:rPr>
          <w:i/>
        </w:rPr>
        <w:t>Non Performing Loan (</w:t>
      </w:r>
      <w:r>
        <w:t>NPL</w:t>
      </w:r>
      <w:r w:rsidR="0079158E">
        <w:t>)</w:t>
      </w:r>
      <w:r>
        <w:t xml:space="preserve"> dan</w:t>
      </w:r>
      <w:r w:rsidR="0079158E">
        <w:t xml:space="preserve"> </w:t>
      </w:r>
      <w:r w:rsidR="0079158E">
        <w:rPr>
          <w:i/>
        </w:rPr>
        <w:t>Loan to Deposit Ratio (</w:t>
      </w:r>
      <w:r>
        <w:t>LDR</w:t>
      </w:r>
      <w:r w:rsidR="0079158E">
        <w:t>)</w:t>
      </w:r>
      <w:r>
        <w:t xml:space="preserve">, </w:t>
      </w:r>
      <w:r>
        <w:rPr>
          <w:i/>
        </w:rPr>
        <w:t xml:space="preserve">Good Corporate Governance </w:t>
      </w:r>
      <w:r>
        <w:t xml:space="preserve">dihitung menggunakan sistem </w:t>
      </w:r>
      <w:r>
        <w:rPr>
          <w:i/>
        </w:rPr>
        <w:t xml:space="preserve">self assessment </w:t>
      </w:r>
      <w:r>
        <w:t xml:space="preserve">berdasarkan SE BI No. 15/15/DPNP tanggal 29 April 2013, </w:t>
      </w:r>
      <w:r>
        <w:rPr>
          <w:i/>
        </w:rPr>
        <w:t xml:space="preserve">Earnings </w:t>
      </w:r>
      <w:r>
        <w:t xml:space="preserve">diukur berdasarkan </w:t>
      </w:r>
      <w:r w:rsidR="0079158E">
        <w:rPr>
          <w:i/>
        </w:rPr>
        <w:t xml:space="preserve">Return on Assets (ROA) </w:t>
      </w:r>
      <w:r w:rsidR="0079158E">
        <w:t xml:space="preserve">dan </w:t>
      </w:r>
      <w:r w:rsidR="0079158E">
        <w:rPr>
          <w:i/>
        </w:rPr>
        <w:t xml:space="preserve">Capital </w:t>
      </w:r>
      <w:r w:rsidR="0079158E">
        <w:t xml:space="preserve">diukur berdasarkan </w:t>
      </w:r>
      <w:r w:rsidR="0079158E">
        <w:rPr>
          <w:i/>
        </w:rPr>
        <w:t xml:space="preserve">Capital Adequacy Ratio (CAR). </w:t>
      </w:r>
    </w:p>
    <w:p w:rsidR="0079158E" w:rsidRDefault="0079158E">
      <w:pPr>
        <w:spacing w:before="2" w:line="237" w:lineRule="auto"/>
        <w:ind w:left="119" w:right="152" w:firstLine="566"/>
        <w:jc w:val="both"/>
      </w:pPr>
      <w:r>
        <w:t>Definisi operasional variabelnya dapat dilihat pada Tabel 1 di bawah ini</w:t>
      </w: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pPr>
        <w:spacing w:before="2" w:line="237" w:lineRule="auto"/>
        <w:ind w:left="119" w:right="152" w:firstLine="566"/>
        <w:jc w:val="both"/>
      </w:pPr>
    </w:p>
    <w:p w:rsidR="0079158E" w:rsidRDefault="0079158E" w:rsidP="0079158E">
      <w:pPr>
        <w:spacing w:before="2" w:line="237" w:lineRule="auto"/>
        <w:ind w:left="119" w:right="152" w:firstLine="566"/>
        <w:jc w:val="center"/>
      </w:pPr>
      <w:r>
        <w:lastRenderedPageBreak/>
        <w:t>Tabel 1 Definisi Operasional Variabel</w:t>
      </w:r>
    </w:p>
    <w:p w:rsidR="0079158E" w:rsidRDefault="0079158E">
      <w:pPr>
        <w:spacing w:before="2" w:line="237" w:lineRule="auto"/>
        <w:ind w:left="119" w:right="152" w:firstLine="566"/>
        <w:jc w:val="both"/>
      </w:pP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1563"/>
        <w:gridCol w:w="4879"/>
        <w:gridCol w:w="989"/>
      </w:tblGrid>
      <w:tr w:rsidR="0079158E" w:rsidRPr="0079158E" w:rsidTr="0079158E">
        <w:trPr>
          <w:jc w:val="center"/>
        </w:trPr>
        <w:tc>
          <w:tcPr>
            <w:tcW w:w="1345" w:type="dxa"/>
            <w:tcBorders>
              <w:top w:val="single" w:sz="4" w:space="0" w:color="auto"/>
              <w:bottom w:val="single" w:sz="4" w:space="0" w:color="auto"/>
            </w:tcBorders>
          </w:tcPr>
          <w:p w:rsidR="0079158E" w:rsidRPr="0079158E" w:rsidRDefault="0079158E" w:rsidP="0079158E">
            <w:pPr>
              <w:spacing w:before="2" w:line="237" w:lineRule="auto"/>
              <w:ind w:left="119" w:right="152"/>
              <w:jc w:val="both"/>
            </w:pPr>
            <w:r w:rsidRPr="0079158E">
              <w:t>Variabel</w:t>
            </w:r>
          </w:p>
        </w:tc>
        <w:tc>
          <w:tcPr>
            <w:tcW w:w="1463" w:type="dxa"/>
            <w:tcBorders>
              <w:top w:val="single" w:sz="4" w:space="0" w:color="auto"/>
              <w:bottom w:val="single" w:sz="4" w:space="0" w:color="auto"/>
            </w:tcBorders>
          </w:tcPr>
          <w:p w:rsidR="0079158E" w:rsidRPr="0079158E" w:rsidRDefault="0079158E" w:rsidP="0079158E">
            <w:pPr>
              <w:spacing w:before="2" w:line="237" w:lineRule="auto"/>
              <w:ind w:left="119" w:right="152"/>
              <w:jc w:val="both"/>
            </w:pPr>
            <w:r w:rsidRPr="0079158E">
              <w:t xml:space="preserve">Dimensi </w:t>
            </w:r>
          </w:p>
        </w:tc>
        <w:tc>
          <w:tcPr>
            <w:tcW w:w="3036" w:type="dxa"/>
            <w:tcBorders>
              <w:top w:val="single" w:sz="4" w:space="0" w:color="auto"/>
              <w:bottom w:val="single" w:sz="4" w:space="0" w:color="auto"/>
            </w:tcBorders>
          </w:tcPr>
          <w:p w:rsidR="0079158E" w:rsidRPr="0079158E" w:rsidRDefault="0079158E" w:rsidP="0079158E">
            <w:pPr>
              <w:spacing w:before="2" w:line="237" w:lineRule="auto"/>
              <w:ind w:left="119" w:right="152" w:firstLine="566"/>
              <w:jc w:val="both"/>
            </w:pPr>
            <w:r w:rsidRPr="0079158E">
              <w:t xml:space="preserve">Indicator </w:t>
            </w:r>
          </w:p>
        </w:tc>
        <w:tc>
          <w:tcPr>
            <w:tcW w:w="0" w:type="auto"/>
            <w:tcBorders>
              <w:top w:val="single" w:sz="4" w:space="0" w:color="auto"/>
              <w:bottom w:val="single" w:sz="4" w:space="0" w:color="auto"/>
            </w:tcBorders>
          </w:tcPr>
          <w:p w:rsidR="0079158E" w:rsidRPr="0079158E" w:rsidRDefault="0079158E" w:rsidP="0079158E">
            <w:pPr>
              <w:spacing w:before="2" w:line="237" w:lineRule="auto"/>
              <w:ind w:left="119" w:right="152"/>
              <w:jc w:val="both"/>
            </w:pPr>
            <w:r w:rsidRPr="0079158E">
              <w:t xml:space="preserve">Skala </w:t>
            </w:r>
          </w:p>
        </w:tc>
      </w:tr>
      <w:tr w:rsidR="0079158E" w:rsidRPr="0079158E" w:rsidTr="0079158E">
        <w:trPr>
          <w:jc w:val="center"/>
        </w:trPr>
        <w:tc>
          <w:tcPr>
            <w:tcW w:w="1345" w:type="dxa"/>
            <w:vMerge w:val="restart"/>
            <w:tcBorders>
              <w:top w:val="single" w:sz="4" w:space="0" w:color="auto"/>
            </w:tcBorders>
          </w:tcPr>
          <w:p w:rsidR="0079158E" w:rsidRPr="0079158E" w:rsidRDefault="0079158E" w:rsidP="0079158E">
            <w:pPr>
              <w:spacing w:before="2" w:line="237" w:lineRule="auto"/>
              <w:ind w:left="119" w:right="152"/>
              <w:jc w:val="both"/>
            </w:pPr>
            <w:r w:rsidRPr="0079158E">
              <w:t xml:space="preserve">Tingkat Kesehatan Bank </w:t>
            </w:r>
          </w:p>
        </w:tc>
        <w:tc>
          <w:tcPr>
            <w:tcW w:w="1463" w:type="dxa"/>
            <w:tcBorders>
              <w:top w:val="single" w:sz="4" w:space="0" w:color="auto"/>
            </w:tcBorders>
          </w:tcPr>
          <w:p w:rsidR="0079158E" w:rsidRPr="0079158E" w:rsidRDefault="0079158E" w:rsidP="0079158E">
            <w:pPr>
              <w:spacing w:before="2" w:line="237" w:lineRule="auto"/>
              <w:ind w:left="119" w:right="152"/>
              <w:jc w:val="both"/>
              <w:rPr>
                <w:i/>
              </w:rPr>
            </w:pPr>
            <w:r w:rsidRPr="0079158E">
              <w:rPr>
                <w:i/>
              </w:rPr>
              <w:t>Risk Profile</w:t>
            </w:r>
          </w:p>
        </w:tc>
        <w:tc>
          <w:tcPr>
            <w:tcW w:w="3036" w:type="dxa"/>
            <w:tcBorders>
              <w:top w:val="single" w:sz="4" w:space="0" w:color="auto"/>
            </w:tcBorders>
          </w:tcPr>
          <w:p w:rsidR="0079158E" w:rsidRPr="0079158E" w:rsidRDefault="0079158E" w:rsidP="0079158E">
            <w:pPr>
              <w:spacing w:before="2" w:line="237" w:lineRule="auto"/>
              <w:ind w:left="119" w:right="152" w:firstLine="566"/>
              <w:jc w:val="both"/>
              <w:rPr>
                <w:lang w:val="en-ID"/>
              </w:rPr>
            </w:pPr>
            <m:oMathPara>
              <m:oMath>
                <m:r>
                  <w:rPr>
                    <w:rFonts w:ascii="Cambria Math" w:hAnsi="Cambria Math"/>
                    <w:lang w:val="en-ID"/>
                  </w:rPr>
                  <m:t xml:space="preserve">NPL= </m:t>
                </m:r>
                <m:f>
                  <m:fPr>
                    <m:ctrlPr>
                      <w:rPr>
                        <w:rFonts w:ascii="Cambria Math" w:hAnsi="Cambria Math"/>
                        <w:i/>
                        <w:lang w:val="en-ID"/>
                      </w:rPr>
                    </m:ctrlPr>
                  </m:fPr>
                  <m:num>
                    <m:r>
                      <w:rPr>
                        <w:rFonts w:ascii="Cambria Math" w:hAnsi="Cambria Math"/>
                        <w:lang w:val="en-ID"/>
                      </w:rPr>
                      <m:t>Kredit Bermasalah</m:t>
                    </m:r>
                  </m:num>
                  <m:den>
                    <m:r>
                      <w:rPr>
                        <w:rFonts w:ascii="Cambria Math" w:hAnsi="Cambria Math"/>
                        <w:lang w:val="en-ID"/>
                      </w:rPr>
                      <m:t>Total Kredit</m:t>
                    </m:r>
                  </m:den>
                </m:f>
                <m:r>
                  <w:rPr>
                    <w:rFonts w:ascii="Cambria Math" w:hAnsi="Cambria Math"/>
                    <w:lang w:val="en-ID"/>
                  </w:rPr>
                  <m:t xml:space="preserve"> X 100%</m:t>
                </m:r>
              </m:oMath>
            </m:oMathPara>
          </w:p>
          <w:p w:rsidR="0079158E" w:rsidRPr="0079158E" w:rsidRDefault="0079158E" w:rsidP="0079158E">
            <w:pPr>
              <w:spacing w:before="2" w:line="237" w:lineRule="auto"/>
              <w:ind w:left="119" w:right="152" w:firstLine="566"/>
              <w:jc w:val="both"/>
              <w:rPr>
                <w:lang w:val="en-ID"/>
              </w:rPr>
            </w:pPr>
          </w:p>
          <w:p w:rsidR="0079158E" w:rsidRPr="0079158E" w:rsidRDefault="0079158E" w:rsidP="0079158E">
            <w:pPr>
              <w:spacing w:before="2" w:line="237" w:lineRule="auto"/>
              <w:ind w:left="119" w:right="152" w:firstLine="566"/>
              <w:jc w:val="both"/>
              <w:rPr>
                <w:lang w:val="en-ID"/>
              </w:rPr>
            </w:pPr>
            <m:oMathPara>
              <m:oMath>
                <m:r>
                  <w:rPr>
                    <w:rFonts w:ascii="Cambria Math" w:hAnsi="Cambria Math"/>
                    <w:lang w:val="en-ID"/>
                  </w:rPr>
                  <m:t xml:space="preserve">LDR= </m:t>
                </m:r>
                <m:f>
                  <m:fPr>
                    <m:ctrlPr>
                      <w:rPr>
                        <w:rFonts w:ascii="Cambria Math" w:hAnsi="Cambria Math"/>
                        <w:i/>
                        <w:lang w:val="en-ID"/>
                      </w:rPr>
                    </m:ctrlPr>
                  </m:fPr>
                  <m:num>
                    <m:r>
                      <w:rPr>
                        <w:rFonts w:ascii="Cambria Math" w:hAnsi="Cambria Math"/>
                        <w:lang w:val="en-ID"/>
                      </w:rPr>
                      <m:t>Total Kredit</m:t>
                    </m:r>
                  </m:num>
                  <m:den>
                    <m:r>
                      <w:rPr>
                        <w:rFonts w:ascii="Cambria Math" w:hAnsi="Cambria Math"/>
                        <w:lang w:val="en-ID"/>
                      </w:rPr>
                      <m:t>Dana Pihak Ketiga</m:t>
                    </m:r>
                  </m:den>
                </m:f>
                <m:r>
                  <w:rPr>
                    <w:rFonts w:ascii="Cambria Math" w:hAnsi="Cambria Math"/>
                    <w:lang w:val="en-ID"/>
                  </w:rPr>
                  <m:t xml:space="preserve"> X 100%</m:t>
                </m:r>
              </m:oMath>
            </m:oMathPara>
          </w:p>
          <w:p w:rsidR="0079158E" w:rsidRPr="0079158E" w:rsidRDefault="0079158E" w:rsidP="0079158E">
            <w:pPr>
              <w:spacing w:before="2" w:line="237" w:lineRule="auto"/>
              <w:ind w:left="119" w:right="152" w:firstLine="566"/>
              <w:jc w:val="both"/>
              <w:rPr>
                <w:lang w:val="en-ID"/>
              </w:rPr>
            </w:pPr>
          </w:p>
          <w:p w:rsidR="0079158E" w:rsidRPr="0079158E" w:rsidRDefault="0079158E" w:rsidP="0079158E">
            <w:pPr>
              <w:spacing w:before="2" w:line="237" w:lineRule="auto"/>
              <w:ind w:left="119" w:right="152" w:firstLine="566"/>
              <w:jc w:val="both"/>
            </w:pPr>
          </w:p>
        </w:tc>
        <w:tc>
          <w:tcPr>
            <w:tcW w:w="0" w:type="auto"/>
            <w:tcBorders>
              <w:top w:val="single" w:sz="4" w:space="0" w:color="auto"/>
            </w:tcBorders>
          </w:tcPr>
          <w:p w:rsidR="0079158E" w:rsidRPr="0079158E" w:rsidRDefault="0079158E" w:rsidP="0079158E">
            <w:pPr>
              <w:spacing w:before="2" w:line="237" w:lineRule="auto"/>
              <w:ind w:left="119" w:right="152"/>
              <w:jc w:val="both"/>
            </w:pPr>
            <w:r w:rsidRPr="0079158E">
              <w:t xml:space="preserve">Rasio </w:t>
            </w:r>
          </w:p>
        </w:tc>
      </w:tr>
      <w:tr w:rsidR="0079158E" w:rsidRPr="0079158E" w:rsidTr="0079158E">
        <w:trPr>
          <w:jc w:val="center"/>
        </w:trPr>
        <w:tc>
          <w:tcPr>
            <w:tcW w:w="1345" w:type="dxa"/>
            <w:vMerge/>
          </w:tcPr>
          <w:p w:rsidR="0079158E" w:rsidRPr="0079158E" w:rsidRDefault="0079158E" w:rsidP="0079158E">
            <w:pPr>
              <w:spacing w:before="2" w:line="237" w:lineRule="auto"/>
              <w:ind w:left="119" w:right="152" w:firstLine="566"/>
              <w:jc w:val="both"/>
              <w:rPr>
                <w:i/>
              </w:rPr>
            </w:pPr>
          </w:p>
        </w:tc>
        <w:tc>
          <w:tcPr>
            <w:tcW w:w="1463" w:type="dxa"/>
          </w:tcPr>
          <w:p w:rsidR="0079158E" w:rsidRPr="0079158E" w:rsidRDefault="0079158E" w:rsidP="0079158E">
            <w:pPr>
              <w:spacing w:before="2" w:line="237" w:lineRule="auto"/>
              <w:ind w:left="119" w:right="152"/>
              <w:jc w:val="both"/>
              <w:rPr>
                <w:i/>
              </w:rPr>
            </w:pPr>
            <w:r w:rsidRPr="0079158E">
              <w:rPr>
                <w:i/>
              </w:rPr>
              <w:t xml:space="preserve">Good Corporate Governance </w:t>
            </w:r>
          </w:p>
        </w:tc>
        <w:tc>
          <w:tcPr>
            <w:tcW w:w="3036" w:type="dxa"/>
          </w:tcPr>
          <w:p w:rsidR="0079158E" w:rsidRPr="0079158E" w:rsidRDefault="0079158E" w:rsidP="0079158E">
            <w:pPr>
              <w:spacing w:before="2" w:line="237" w:lineRule="auto"/>
              <w:ind w:left="119" w:right="152"/>
              <w:jc w:val="both"/>
            </w:pPr>
            <w:r w:rsidRPr="0079158E">
              <w:t xml:space="preserve">Penilaian terhadap faktor </w:t>
            </w:r>
            <w:r w:rsidRPr="0079158E">
              <w:rPr>
                <w:i/>
              </w:rPr>
              <w:t>good corporate governance</w:t>
            </w:r>
            <w:r w:rsidRPr="0079158E">
              <w:t xml:space="preserve"> menggunakan sistem </w:t>
            </w:r>
            <w:r w:rsidRPr="0079158E">
              <w:rPr>
                <w:i/>
              </w:rPr>
              <w:t>self assessment</w:t>
            </w:r>
            <w:r w:rsidRPr="0079158E">
              <w:t xml:space="preserve"> </w:t>
            </w:r>
          </w:p>
        </w:tc>
        <w:tc>
          <w:tcPr>
            <w:tcW w:w="0" w:type="auto"/>
          </w:tcPr>
          <w:p w:rsidR="0079158E" w:rsidRPr="0079158E" w:rsidRDefault="0079158E" w:rsidP="0079158E">
            <w:pPr>
              <w:spacing w:before="2" w:line="237" w:lineRule="auto"/>
              <w:ind w:left="119" w:right="152"/>
              <w:jc w:val="both"/>
            </w:pPr>
            <w:r w:rsidRPr="0079158E">
              <w:t xml:space="preserve">Rasio </w:t>
            </w:r>
          </w:p>
        </w:tc>
      </w:tr>
      <w:tr w:rsidR="0079158E" w:rsidRPr="0079158E" w:rsidTr="0079158E">
        <w:trPr>
          <w:jc w:val="center"/>
        </w:trPr>
        <w:tc>
          <w:tcPr>
            <w:tcW w:w="1345" w:type="dxa"/>
            <w:vMerge/>
          </w:tcPr>
          <w:p w:rsidR="0079158E" w:rsidRPr="0079158E" w:rsidRDefault="0079158E" w:rsidP="0079158E">
            <w:pPr>
              <w:spacing w:before="2" w:line="237" w:lineRule="auto"/>
              <w:ind w:left="119" w:right="152" w:firstLine="566"/>
              <w:jc w:val="both"/>
              <w:rPr>
                <w:i/>
              </w:rPr>
            </w:pPr>
          </w:p>
        </w:tc>
        <w:tc>
          <w:tcPr>
            <w:tcW w:w="1463" w:type="dxa"/>
          </w:tcPr>
          <w:p w:rsidR="0079158E" w:rsidRPr="0079158E" w:rsidRDefault="0079158E" w:rsidP="0079158E">
            <w:pPr>
              <w:spacing w:before="2" w:line="237" w:lineRule="auto"/>
              <w:ind w:left="119" w:right="152"/>
              <w:jc w:val="both"/>
              <w:rPr>
                <w:i/>
              </w:rPr>
            </w:pPr>
            <w:r w:rsidRPr="0079158E">
              <w:rPr>
                <w:i/>
              </w:rPr>
              <w:t>Earning</w:t>
            </w:r>
          </w:p>
        </w:tc>
        <w:tc>
          <w:tcPr>
            <w:tcW w:w="3036" w:type="dxa"/>
          </w:tcPr>
          <w:p w:rsidR="0079158E" w:rsidRPr="0079158E" w:rsidRDefault="0079158E" w:rsidP="0079158E">
            <w:pPr>
              <w:spacing w:before="2" w:line="237" w:lineRule="auto"/>
              <w:ind w:left="119" w:right="152" w:firstLine="566"/>
              <w:jc w:val="both"/>
              <w:rPr>
                <w:lang w:val="en-ID"/>
              </w:rPr>
            </w:pPr>
            <m:oMathPara>
              <m:oMath>
                <m:r>
                  <w:rPr>
                    <w:rFonts w:ascii="Cambria Math" w:hAnsi="Cambria Math"/>
                    <w:lang w:val="en-ID"/>
                  </w:rPr>
                  <m:t xml:space="preserve">ROA= </m:t>
                </m:r>
                <m:f>
                  <m:fPr>
                    <m:ctrlPr>
                      <w:rPr>
                        <w:rFonts w:ascii="Cambria Math" w:hAnsi="Cambria Math"/>
                        <w:i/>
                        <w:lang w:val="en-ID"/>
                      </w:rPr>
                    </m:ctrlPr>
                  </m:fPr>
                  <m:num>
                    <m:r>
                      <w:rPr>
                        <w:rFonts w:ascii="Cambria Math" w:hAnsi="Cambria Math"/>
                        <w:lang w:val="en-ID"/>
                      </w:rPr>
                      <m:t>Laba sebelum Pajak</m:t>
                    </m:r>
                  </m:num>
                  <m:den>
                    <m:r>
                      <w:rPr>
                        <w:rFonts w:ascii="Cambria Math" w:hAnsi="Cambria Math"/>
                        <w:lang w:val="en-ID"/>
                      </w:rPr>
                      <m:t>Rata-rata Total Aset</m:t>
                    </m:r>
                  </m:den>
                </m:f>
                <m:r>
                  <w:rPr>
                    <w:rFonts w:ascii="Cambria Math" w:hAnsi="Cambria Math"/>
                    <w:lang w:val="en-ID"/>
                  </w:rPr>
                  <m:t xml:space="preserve"> X 100%</m:t>
                </m:r>
              </m:oMath>
            </m:oMathPara>
          </w:p>
          <w:p w:rsidR="0079158E" w:rsidRPr="0079158E" w:rsidRDefault="0079158E" w:rsidP="0079158E">
            <w:pPr>
              <w:spacing w:before="2" w:line="237" w:lineRule="auto"/>
              <w:ind w:left="119" w:right="152" w:firstLine="566"/>
              <w:jc w:val="both"/>
            </w:pPr>
          </w:p>
        </w:tc>
        <w:tc>
          <w:tcPr>
            <w:tcW w:w="0" w:type="auto"/>
          </w:tcPr>
          <w:p w:rsidR="0079158E" w:rsidRPr="0079158E" w:rsidRDefault="0079158E" w:rsidP="0079158E">
            <w:pPr>
              <w:spacing w:before="2" w:line="237" w:lineRule="auto"/>
              <w:ind w:left="119" w:right="152"/>
              <w:jc w:val="both"/>
            </w:pPr>
            <w:r w:rsidRPr="0079158E">
              <w:t xml:space="preserve">Rasio </w:t>
            </w:r>
          </w:p>
        </w:tc>
      </w:tr>
      <w:tr w:rsidR="0079158E" w:rsidRPr="0079158E" w:rsidTr="0079158E">
        <w:trPr>
          <w:jc w:val="center"/>
        </w:trPr>
        <w:tc>
          <w:tcPr>
            <w:tcW w:w="1345" w:type="dxa"/>
            <w:vMerge/>
            <w:tcBorders>
              <w:bottom w:val="single" w:sz="4" w:space="0" w:color="auto"/>
            </w:tcBorders>
          </w:tcPr>
          <w:p w:rsidR="0079158E" w:rsidRPr="0079158E" w:rsidRDefault="0079158E" w:rsidP="0079158E">
            <w:pPr>
              <w:spacing w:before="2" w:line="237" w:lineRule="auto"/>
              <w:ind w:left="119" w:right="152" w:firstLine="566"/>
              <w:jc w:val="both"/>
              <w:rPr>
                <w:i/>
              </w:rPr>
            </w:pPr>
          </w:p>
        </w:tc>
        <w:tc>
          <w:tcPr>
            <w:tcW w:w="1463" w:type="dxa"/>
            <w:tcBorders>
              <w:bottom w:val="single" w:sz="4" w:space="0" w:color="auto"/>
            </w:tcBorders>
          </w:tcPr>
          <w:p w:rsidR="0079158E" w:rsidRPr="0079158E" w:rsidRDefault="0079158E" w:rsidP="0079158E">
            <w:pPr>
              <w:spacing w:before="2" w:line="237" w:lineRule="auto"/>
              <w:ind w:left="119" w:right="152"/>
              <w:jc w:val="both"/>
              <w:rPr>
                <w:i/>
              </w:rPr>
            </w:pPr>
            <w:r w:rsidRPr="0079158E">
              <w:rPr>
                <w:i/>
              </w:rPr>
              <w:t xml:space="preserve">Capital </w:t>
            </w:r>
          </w:p>
        </w:tc>
        <w:tc>
          <w:tcPr>
            <w:tcW w:w="3036" w:type="dxa"/>
            <w:tcBorders>
              <w:bottom w:val="single" w:sz="4" w:space="0" w:color="auto"/>
            </w:tcBorders>
          </w:tcPr>
          <w:p w:rsidR="0079158E" w:rsidRPr="0079158E" w:rsidRDefault="0079158E" w:rsidP="0079158E">
            <w:pPr>
              <w:spacing w:before="2" w:line="237" w:lineRule="auto"/>
              <w:ind w:left="119" w:right="152" w:firstLine="566"/>
              <w:jc w:val="both"/>
              <w:rPr>
                <w:lang w:val="en-ID"/>
              </w:rPr>
            </w:pPr>
            <m:oMathPara>
              <m:oMath>
                <m:r>
                  <w:rPr>
                    <w:rFonts w:ascii="Cambria Math" w:hAnsi="Cambria Math"/>
                    <w:lang w:val="en-ID"/>
                  </w:rPr>
                  <m:t xml:space="preserve">CAR= </m:t>
                </m:r>
                <m:f>
                  <m:fPr>
                    <m:ctrlPr>
                      <w:rPr>
                        <w:rFonts w:ascii="Cambria Math" w:hAnsi="Cambria Math"/>
                        <w:i/>
                        <w:lang w:val="en-ID"/>
                      </w:rPr>
                    </m:ctrlPr>
                  </m:fPr>
                  <m:num>
                    <m:r>
                      <w:rPr>
                        <w:rFonts w:ascii="Cambria Math" w:hAnsi="Cambria Math"/>
                        <w:lang w:val="en-ID"/>
                      </w:rPr>
                      <m:t>Modal</m:t>
                    </m:r>
                  </m:num>
                  <m:den>
                    <m:r>
                      <w:rPr>
                        <w:rFonts w:ascii="Cambria Math" w:hAnsi="Cambria Math"/>
                        <w:lang w:val="en-ID"/>
                      </w:rPr>
                      <m:t>Aset Tertimbang Menurut Risiko</m:t>
                    </m:r>
                  </m:den>
                </m:f>
                <m:r>
                  <w:rPr>
                    <w:rFonts w:ascii="Cambria Math" w:hAnsi="Cambria Math"/>
                    <w:lang w:val="en-ID"/>
                  </w:rPr>
                  <m:t xml:space="preserve"> X 100%</m:t>
                </m:r>
              </m:oMath>
            </m:oMathPara>
          </w:p>
          <w:p w:rsidR="0079158E" w:rsidRPr="0079158E" w:rsidRDefault="0079158E" w:rsidP="0079158E">
            <w:pPr>
              <w:spacing w:before="2" w:line="237" w:lineRule="auto"/>
              <w:ind w:left="119" w:right="152" w:firstLine="566"/>
              <w:jc w:val="both"/>
            </w:pPr>
          </w:p>
        </w:tc>
        <w:tc>
          <w:tcPr>
            <w:tcW w:w="0" w:type="auto"/>
            <w:tcBorders>
              <w:bottom w:val="single" w:sz="4" w:space="0" w:color="auto"/>
            </w:tcBorders>
          </w:tcPr>
          <w:p w:rsidR="0079158E" w:rsidRDefault="0079158E" w:rsidP="0079158E">
            <w:pPr>
              <w:spacing w:before="2" w:line="237" w:lineRule="auto"/>
              <w:ind w:left="119" w:right="152"/>
              <w:jc w:val="both"/>
            </w:pPr>
          </w:p>
          <w:p w:rsidR="0079158E" w:rsidRPr="0079158E" w:rsidRDefault="0079158E" w:rsidP="0079158E">
            <w:pPr>
              <w:spacing w:before="2" w:line="237" w:lineRule="auto"/>
              <w:ind w:left="119" w:right="152"/>
              <w:jc w:val="both"/>
            </w:pPr>
            <w:r w:rsidRPr="0079158E">
              <w:t xml:space="preserve">Rasio </w:t>
            </w:r>
          </w:p>
        </w:tc>
      </w:tr>
    </w:tbl>
    <w:p w:rsidR="0079158E" w:rsidRPr="0079158E" w:rsidRDefault="0079158E">
      <w:pPr>
        <w:spacing w:before="2" w:line="237" w:lineRule="auto"/>
        <w:ind w:left="119" w:right="152" w:firstLine="566"/>
        <w:jc w:val="both"/>
      </w:pPr>
    </w:p>
    <w:p w:rsidR="003E4E01" w:rsidRDefault="003E4E01">
      <w:pPr>
        <w:pStyle w:val="BodyText"/>
        <w:spacing w:before="7"/>
        <w:rPr>
          <w:sz w:val="22"/>
        </w:rPr>
      </w:pPr>
    </w:p>
    <w:p w:rsidR="003E4E01" w:rsidRDefault="00CA54B4">
      <w:pPr>
        <w:spacing w:line="251" w:lineRule="exact"/>
        <w:ind w:left="119"/>
        <w:rPr>
          <w:b/>
        </w:rPr>
      </w:pPr>
      <w:r>
        <w:rPr>
          <w:b/>
        </w:rPr>
        <w:t>HASIL DAN PEMBAHASAN</w:t>
      </w:r>
    </w:p>
    <w:p w:rsidR="0079158E" w:rsidRDefault="0079158E">
      <w:pPr>
        <w:spacing w:before="3" w:line="235" w:lineRule="auto"/>
        <w:ind w:left="119" w:right="183" w:firstLine="566"/>
        <w:jc w:val="both"/>
      </w:pPr>
    </w:p>
    <w:p w:rsidR="0079158E" w:rsidRDefault="0079158E">
      <w:pPr>
        <w:spacing w:before="3" w:line="235" w:lineRule="auto"/>
        <w:ind w:left="119" w:right="183" w:firstLine="566"/>
        <w:jc w:val="both"/>
      </w:pPr>
      <w:r>
        <w:t xml:space="preserve">Hasil perhitungan data variabel untuk pengukuran </w:t>
      </w:r>
      <w:r>
        <w:rPr>
          <w:i/>
        </w:rPr>
        <w:t xml:space="preserve">risk profile, good corporate governance, earnings </w:t>
      </w:r>
      <w:r>
        <w:t xml:space="preserve">dan </w:t>
      </w:r>
      <w:r>
        <w:rPr>
          <w:i/>
        </w:rPr>
        <w:t xml:space="preserve">capital </w:t>
      </w:r>
      <w:r>
        <w:t xml:space="preserve">dapat dilihat pada Tabel 2 di bawah ini. </w:t>
      </w:r>
    </w:p>
    <w:p w:rsidR="001B2CD1" w:rsidRDefault="001B2CD1">
      <w:pPr>
        <w:spacing w:before="3" w:line="235" w:lineRule="auto"/>
        <w:ind w:left="119" w:right="183" w:firstLine="566"/>
        <w:jc w:val="both"/>
      </w:pPr>
    </w:p>
    <w:p w:rsidR="0079158E" w:rsidRDefault="0079158E" w:rsidP="0079158E">
      <w:pPr>
        <w:spacing w:before="3" w:line="235" w:lineRule="auto"/>
        <w:ind w:left="119" w:right="183" w:firstLine="566"/>
        <w:jc w:val="center"/>
      </w:pPr>
      <w:r>
        <w:t xml:space="preserve">Tabel 2 Hasil </w:t>
      </w:r>
      <w:r w:rsidR="001B2CD1">
        <w:t>Rangkuman Perhitungan</w:t>
      </w:r>
      <w:r>
        <w:t xml:space="preserve"> RGEC</w:t>
      </w:r>
    </w:p>
    <w:p w:rsidR="001B2CD1" w:rsidRDefault="001B2CD1" w:rsidP="0079158E">
      <w:pPr>
        <w:spacing w:before="3" w:line="235" w:lineRule="auto"/>
        <w:ind w:left="119" w:right="183" w:firstLine="566"/>
        <w:jc w:val="center"/>
      </w:pPr>
    </w:p>
    <w:tbl>
      <w:tblPr>
        <w:tblW w:w="5000" w:type="pct"/>
        <w:jc w:val="center"/>
        <w:tblLook w:val="04A0" w:firstRow="1" w:lastRow="0" w:firstColumn="1" w:lastColumn="0" w:noHBand="0" w:noVBand="1"/>
      </w:tblPr>
      <w:tblGrid>
        <w:gridCol w:w="1591"/>
        <w:gridCol w:w="1394"/>
        <w:gridCol w:w="1828"/>
        <w:gridCol w:w="1664"/>
        <w:gridCol w:w="2539"/>
      </w:tblGrid>
      <w:tr w:rsidR="001B2CD1" w:rsidTr="001B2CD1">
        <w:trPr>
          <w:trHeight w:val="300"/>
          <w:jc w:val="center"/>
        </w:trPr>
        <w:tc>
          <w:tcPr>
            <w:tcW w:w="882" w:type="pct"/>
            <w:tcBorders>
              <w:top w:val="single" w:sz="4" w:space="0" w:color="auto"/>
              <w:bottom w:val="single" w:sz="4" w:space="0" w:color="auto"/>
            </w:tcBorders>
            <w:shd w:val="clear" w:color="auto" w:fill="auto"/>
            <w:noWrap/>
            <w:vAlign w:val="center"/>
            <w:hideMark/>
          </w:tcPr>
          <w:p w:rsidR="001B2CD1" w:rsidRDefault="001B2CD1" w:rsidP="007941CF">
            <w:pPr>
              <w:rPr>
                <w:rFonts w:cs="Calibri"/>
                <w:color w:val="000000"/>
              </w:rPr>
            </w:pPr>
            <w:r>
              <w:rPr>
                <w:rFonts w:cs="Calibri"/>
                <w:color w:val="000000"/>
              </w:rPr>
              <w:t xml:space="preserve">Metode </w:t>
            </w:r>
          </w:p>
        </w:tc>
        <w:tc>
          <w:tcPr>
            <w:tcW w:w="773" w:type="pct"/>
            <w:tcBorders>
              <w:top w:val="single" w:sz="4" w:space="0" w:color="auto"/>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Tahun</w:t>
            </w:r>
          </w:p>
        </w:tc>
        <w:tc>
          <w:tcPr>
            <w:tcW w:w="1014" w:type="pct"/>
            <w:tcBorders>
              <w:top w:val="single" w:sz="4" w:space="0" w:color="auto"/>
              <w:bottom w:val="single" w:sz="4" w:space="0" w:color="auto"/>
            </w:tcBorders>
            <w:shd w:val="clear" w:color="auto" w:fill="auto"/>
            <w:noWrap/>
            <w:vAlign w:val="center"/>
            <w:hideMark/>
          </w:tcPr>
          <w:p w:rsidR="001B2CD1" w:rsidRDefault="001B2CD1" w:rsidP="007941CF">
            <w:pPr>
              <w:rPr>
                <w:rFonts w:cs="Calibri"/>
                <w:color w:val="000000"/>
              </w:rPr>
            </w:pPr>
            <w:r>
              <w:rPr>
                <w:rFonts w:cs="Calibri"/>
                <w:color w:val="000000"/>
              </w:rPr>
              <w:t>Indikator</w:t>
            </w:r>
          </w:p>
        </w:tc>
        <w:tc>
          <w:tcPr>
            <w:tcW w:w="923" w:type="pct"/>
            <w:tcBorders>
              <w:top w:val="single" w:sz="4" w:space="0" w:color="auto"/>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Rasio</w:t>
            </w:r>
          </w:p>
        </w:tc>
        <w:tc>
          <w:tcPr>
            <w:tcW w:w="1408" w:type="pct"/>
            <w:tcBorders>
              <w:top w:val="single" w:sz="4" w:space="0" w:color="auto"/>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Keterangan</w:t>
            </w:r>
          </w:p>
        </w:tc>
      </w:tr>
      <w:tr w:rsidR="001B2CD1" w:rsidTr="001B2CD1">
        <w:trPr>
          <w:trHeight w:val="300"/>
          <w:jc w:val="center"/>
        </w:trPr>
        <w:tc>
          <w:tcPr>
            <w:tcW w:w="882" w:type="pct"/>
            <w:vMerge w:val="restart"/>
            <w:tcBorders>
              <w:top w:val="single" w:sz="4" w:space="0" w:color="auto"/>
            </w:tcBorders>
            <w:shd w:val="clear" w:color="auto" w:fill="auto"/>
            <w:noWrap/>
            <w:vAlign w:val="center"/>
            <w:hideMark/>
          </w:tcPr>
          <w:p w:rsidR="001B2CD1" w:rsidRDefault="001B2CD1" w:rsidP="007941CF">
            <w:pPr>
              <w:jc w:val="center"/>
              <w:rPr>
                <w:rFonts w:cs="Calibri"/>
                <w:color w:val="000000"/>
                <w:sz w:val="40"/>
                <w:szCs w:val="40"/>
              </w:rPr>
            </w:pPr>
            <w:r>
              <w:rPr>
                <w:rFonts w:cs="Calibri"/>
                <w:color w:val="000000"/>
                <w:sz w:val="40"/>
                <w:szCs w:val="40"/>
              </w:rPr>
              <w:t>R</w:t>
            </w:r>
          </w:p>
        </w:tc>
        <w:tc>
          <w:tcPr>
            <w:tcW w:w="773"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2017</w:t>
            </w:r>
          </w:p>
        </w:tc>
        <w:tc>
          <w:tcPr>
            <w:tcW w:w="1014" w:type="pct"/>
            <w:vMerge w:val="restart"/>
            <w:tcBorders>
              <w:top w:val="single" w:sz="4" w:space="0" w:color="auto"/>
            </w:tcBorders>
            <w:shd w:val="clear" w:color="auto" w:fill="auto"/>
            <w:noWrap/>
            <w:vAlign w:val="center"/>
            <w:hideMark/>
          </w:tcPr>
          <w:p w:rsidR="001B2CD1" w:rsidRDefault="001B2CD1" w:rsidP="007941CF">
            <w:pPr>
              <w:jc w:val="center"/>
              <w:rPr>
                <w:rFonts w:cs="Calibri"/>
                <w:color w:val="000000"/>
              </w:rPr>
            </w:pPr>
            <w:r>
              <w:rPr>
                <w:rFonts w:cs="Calibri"/>
                <w:color w:val="000000"/>
              </w:rPr>
              <w:t>NPL</w:t>
            </w:r>
          </w:p>
        </w:tc>
        <w:tc>
          <w:tcPr>
            <w:tcW w:w="923"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1.15</w:t>
            </w:r>
          </w:p>
        </w:tc>
        <w:tc>
          <w:tcPr>
            <w:tcW w:w="1408"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Sangat Sehat</w:t>
            </w:r>
          </w:p>
        </w:tc>
      </w:tr>
      <w:tr w:rsidR="001B2CD1" w:rsidTr="001B2CD1">
        <w:trPr>
          <w:trHeight w:val="300"/>
          <w:jc w:val="center"/>
        </w:trPr>
        <w:tc>
          <w:tcPr>
            <w:tcW w:w="882" w:type="pct"/>
            <w:vMerge/>
            <w:vAlign w:val="center"/>
            <w:hideMark/>
          </w:tcPr>
          <w:p w:rsidR="001B2CD1" w:rsidRDefault="001B2CD1" w:rsidP="007941CF">
            <w:pPr>
              <w:rPr>
                <w:rFonts w:cs="Calibri"/>
                <w:color w:val="000000"/>
                <w:sz w:val="40"/>
                <w:szCs w:val="40"/>
              </w:rPr>
            </w:pPr>
          </w:p>
        </w:tc>
        <w:tc>
          <w:tcPr>
            <w:tcW w:w="773" w:type="pct"/>
            <w:shd w:val="clear" w:color="auto" w:fill="auto"/>
            <w:noWrap/>
            <w:vAlign w:val="center"/>
            <w:hideMark/>
          </w:tcPr>
          <w:p w:rsidR="001B2CD1" w:rsidRDefault="001B2CD1" w:rsidP="001B2CD1">
            <w:pPr>
              <w:jc w:val="center"/>
              <w:rPr>
                <w:rFonts w:cs="Calibri"/>
                <w:color w:val="000000"/>
              </w:rPr>
            </w:pPr>
            <w:r>
              <w:rPr>
                <w:rFonts w:cs="Calibri"/>
                <w:color w:val="000000"/>
              </w:rPr>
              <w:t>2018</w:t>
            </w:r>
          </w:p>
        </w:tc>
        <w:tc>
          <w:tcPr>
            <w:tcW w:w="1014" w:type="pct"/>
            <w:vMerge/>
            <w:vAlign w:val="center"/>
            <w:hideMark/>
          </w:tcPr>
          <w:p w:rsidR="001B2CD1" w:rsidRDefault="001B2CD1" w:rsidP="007941CF">
            <w:pPr>
              <w:rPr>
                <w:rFonts w:cs="Calibri"/>
                <w:color w:val="000000"/>
              </w:rPr>
            </w:pPr>
          </w:p>
        </w:tc>
        <w:tc>
          <w:tcPr>
            <w:tcW w:w="923" w:type="pct"/>
            <w:shd w:val="clear" w:color="auto" w:fill="auto"/>
            <w:noWrap/>
            <w:vAlign w:val="center"/>
            <w:hideMark/>
          </w:tcPr>
          <w:p w:rsidR="001B2CD1" w:rsidRDefault="001B2CD1" w:rsidP="001B2CD1">
            <w:pPr>
              <w:jc w:val="center"/>
              <w:rPr>
                <w:rFonts w:cs="Calibri"/>
                <w:color w:val="000000"/>
              </w:rPr>
            </w:pPr>
            <w:r>
              <w:rPr>
                <w:rFonts w:cs="Calibri"/>
                <w:color w:val="000000"/>
              </w:rPr>
              <w:t>1.61</w:t>
            </w:r>
          </w:p>
        </w:tc>
        <w:tc>
          <w:tcPr>
            <w:tcW w:w="1408" w:type="pct"/>
            <w:shd w:val="clear" w:color="auto" w:fill="auto"/>
            <w:noWrap/>
            <w:vAlign w:val="center"/>
            <w:hideMark/>
          </w:tcPr>
          <w:p w:rsidR="001B2CD1" w:rsidRDefault="001B2CD1" w:rsidP="001B2CD1">
            <w:pPr>
              <w:jc w:val="center"/>
              <w:rPr>
                <w:rFonts w:cs="Calibri"/>
                <w:color w:val="000000"/>
              </w:rPr>
            </w:pPr>
            <w:r>
              <w:rPr>
                <w:rFonts w:cs="Calibri"/>
                <w:color w:val="000000"/>
              </w:rPr>
              <w:t>Sangat Sehat</w:t>
            </w:r>
          </w:p>
        </w:tc>
      </w:tr>
      <w:tr w:rsidR="001B2CD1" w:rsidTr="001B2CD1">
        <w:trPr>
          <w:trHeight w:val="300"/>
          <w:jc w:val="center"/>
        </w:trPr>
        <w:tc>
          <w:tcPr>
            <w:tcW w:w="882" w:type="pct"/>
            <w:vMerge/>
            <w:vAlign w:val="center"/>
            <w:hideMark/>
          </w:tcPr>
          <w:p w:rsidR="001B2CD1" w:rsidRDefault="001B2CD1" w:rsidP="007941CF">
            <w:pPr>
              <w:rPr>
                <w:rFonts w:cs="Calibri"/>
                <w:color w:val="000000"/>
                <w:sz w:val="40"/>
                <w:szCs w:val="40"/>
              </w:rPr>
            </w:pPr>
          </w:p>
        </w:tc>
        <w:tc>
          <w:tcPr>
            <w:tcW w:w="773" w:type="pct"/>
            <w:shd w:val="clear" w:color="auto" w:fill="auto"/>
            <w:noWrap/>
            <w:vAlign w:val="center"/>
            <w:hideMark/>
          </w:tcPr>
          <w:p w:rsidR="001B2CD1" w:rsidRDefault="001B2CD1" w:rsidP="001B2CD1">
            <w:pPr>
              <w:jc w:val="center"/>
              <w:rPr>
                <w:rFonts w:cs="Calibri"/>
                <w:color w:val="000000"/>
              </w:rPr>
            </w:pPr>
            <w:r>
              <w:rPr>
                <w:rFonts w:cs="Calibri"/>
                <w:color w:val="000000"/>
              </w:rPr>
              <w:t>2019</w:t>
            </w:r>
          </w:p>
        </w:tc>
        <w:tc>
          <w:tcPr>
            <w:tcW w:w="1014" w:type="pct"/>
            <w:vMerge/>
            <w:vAlign w:val="center"/>
            <w:hideMark/>
          </w:tcPr>
          <w:p w:rsidR="001B2CD1" w:rsidRDefault="001B2CD1" w:rsidP="007941CF">
            <w:pPr>
              <w:rPr>
                <w:rFonts w:cs="Calibri"/>
                <w:color w:val="000000"/>
              </w:rPr>
            </w:pPr>
          </w:p>
        </w:tc>
        <w:tc>
          <w:tcPr>
            <w:tcW w:w="923" w:type="pct"/>
            <w:shd w:val="clear" w:color="auto" w:fill="auto"/>
            <w:noWrap/>
            <w:vAlign w:val="center"/>
            <w:hideMark/>
          </w:tcPr>
          <w:p w:rsidR="001B2CD1" w:rsidRDefault="001B2CD1" w:rsidP="001B2CD1">
            <w:pPr>
              <w:jc w:val="center"/>
              <w:rPr>
                <w:rFonts w:cs="Calibri"/>
                <w:color w:val="000000"/>
              </w:rPr>
            </w:pPr>
            <w:r>
              <w:rPr>
                <w:rFonts w:cs="Calibri"/>
                <w:color w:val="000000"/>
              </w:rPr>
              <w:t>2.53</w:t>
            </w:r>
          </w:p>
        </w:tc>
        <w:tc>
          <w:tcPr>
            <w:tcW w:w="1408" w:type="pct"/>
            <w:shd w:val="clear" w:color="auto" w:fill="auto"/>
            <w:noWrap/>
            <w:vAlign w:val="center"/>
            <w:hideMark/>
          </w:tcPr>
          <w:p w:rsidR="001B2CD1" w:rsidRDefault="001B2CD1" w:rsidP="001B2CD1">
            <w:pPr>
              <w:jc w:val="center"/>
              <w:rPr>
                <w:rFonts w:cs="Calibri"/>
                <w:color w:val="000000"/>
              </w:rPr>
            </w:pPr>
            <w:r>
              <w:rPr>
                <w:rFonts w:cs="Calibri"/>
                <w:color w:val="000000"/>
              </w:rPr>
              <w:t>Sehat</w:t>
            </w:r>
          </w:p>
        </w:tc>
      </w:tr>
      <w:tr w:rsidR="001B2CD1" w:rsidTr="001B2CD1">
        <w:trPr>
          <w:trHeight w:val="300"/>
          <w:jc w:val="center"/>
        </w:trPr>
        <w:tc>
          <w:tcPr>
            <w:tcW w:w="882" w:type="pct"/>
            <w:vMerge/>
            <w:vAlign w:val="center"/>
            <w:hideMark/>
          </w:tcPr>
          <w:p w:rsidR="001B2CD1" w:rsidRDefault="001B2CD1" w:rsidP="007941CF">
            <w:pPr>
              <w:rPr>
                <w:rFonts w:cs="Calibri"/>
                <w:color w:val="000000"/>
                <w:sz w:val="40"/>
                <w:szCs w:val="40"/>
              </w:rPr>
            </w:pPr>
          </w:p>
        </w:tc>
        <w:tc>
          <w:tcPr>
            <w:tcW w:w="773" w:type="pct"/>
            <w:shd w:val="clear" w:color="auto" w:fill="auto"/>
            <w:noWrap/>
            <w:vAlign w:val="center"/>
            <w:hideMark/>
          </w:tcPr>
          <w:p w:rsidR="001B2CD1" w:rsidRDefault="001B2CD1" w:rsidP="001B2CD1">
            <w:pPr>
              <w:jc w:val="center"/>
              <w:rPr>
                <w:rFonts w:cs="Calibri"/>
                <w:color w:val="000000"/>
              </w:rPr>
            </w:pPr>
            <w:r>
              <w:rPr>
                <w:rFonts w:cs="Calibri"/>
                <w:color w:val="000000"/>
              </w:rPr>
              <w:t>2017</w:t>
            </w:r>
          </w:p>
        </w:tc>
        <w:tc>
          <w:tcPr>
            <w:tcW w:w="1014" w:type="pct"/>
            <w:vMerge w:val="restart"/>
            <w:shd w:val="clear" w:color="auto" w:fill="auto"/>
            <w:noWrap/>
            <w:vAlign w:val="center"/>
            <w:hideMark/>
          </w:tcPr>
          <w:p w:rsidR="001B2CD1" w:rsidRDefault="001B2CD1" w:rsidP="007941CF">
            <w:pPr>
              <w:jc w:val="center"/>
              <w:rPr>
                <w:rFonts w:cs="Calibri"/>
                <w:color w:val="000000"/>
              </w:rPr>
            </w:pPr>
            <w:r>
              <w:rPr>
                <w:rFonts w:cs="Calibri"/>
                <w:color w:val="000000"/>
              </w:rPr>
              <w:t>LDR</w:t>
            </w:r>
          </w:p>
        </w:tc>
        <w:tc>
          <w:tcPr>
            <w:tcW w:w="923" w:type="pct"/>
            <w:shd w:val="clear" w:color="auto" w:fill="auto"/>
            <w:noWrap/>
            <w:vAlign w:val="center"/>
            <w:hideMark/>
          </w:tcPr>
          <w:p w:rsidR="001B2CD1" w:rsidRDefault="001B2CD1" w:rsidP="001B2CD1">
            <w:pPr>
              <w:jc w:val="center"/>
              <w:rPr>
                <w:rFonts w:cs="Calibri"/>
                <w:color w:val="000000"/>
              </w:rPr>
            </w:pPr>
            <w:r>
              <w:rPr>
                <w:rFonts w:cs="Calibri"/>
                <w:color w:val="000000"/>
              </w:rPr>
              <w:t>99.673</w:t>
            </w:r>
          </w:p>
        </w:tc>
        <w:tc>
          <w:tcPr>
            <w:tcW w:w="1408" w:type="pct"/>
            <w:shd w:val="clear" w:color="auto" w:fill="auto"/>
            <w:noWrap/>
            <w:vAlign w:val="center"/>
            <w:hideMark/>
          </w:tcPr>
          <w:p w:rsidR="001B2CD1" w:rsidRDefault="001B2CD1" w:rsidP="001B2CD1">
            <w:pPr>
              <w:jc w:val="center"/>
              <w:rPr>
                <w:rFonts w:cs="Calibri"/>
                <w:color w:val="000000"/>
              </w:rPr>
            </w:pPr>
            <w:r>
              <w:rPr>
                <w:rFonts w:cs="Calibri"/>
                <w:color w:val="000000"/>
              </w:rPr>
              <w:t>Cukup Sehat</w:t>
            </w:r>
          </w:p>
        </w:tc>
      </w:tr>
      <w:tr w:rsidR="001B2CD1" w:rsidTr="001B2CD1">
        <w:trPr>
          <w:trHeight w:val="300"/>
          <w:jc w:val="center"/>
        </w:trPr>
        <w:tc>
          <w:tcPr>
            <w:tcW w:w="882" w:type="pct"/>
            <w:vMerge/>
            <w:vAlign w:val="center"/>
            <w:hideMark/>
          </w:tcPr>
          <w:p w:rsidR="001B2CD1" w:rsidRDefault="001B2CD1" w:rsidP="007941CF">
            <w:pPr>
              <w:rPr>
                <w:rFonts w:cs="Calibri"/>
                <w:color w:val="000000"/>
                <w:sz w:val="40"/>
                <w:szCs w:val="40"/>
              </w:rPr>
            </w:pPr>
          </w:p>
        </w:tc>
        <w:tc>
          <w:tcPr>
            <w:tcW w:w="773" w:type="pct"/>
            <w:shd w:val="clear" w:color="auto" w:fill="auto"/>
            <w:noWrap/>
            <w:vAlign w:val="center"/>
            <w:hideMark/>
          </w:tcPr>
          <w:p w:rsidR="001B2CD1" w:rsidRDefault="001B2CD1" w:rsidP="001B2CD1">
            <w:pPr>
              <w:jc w:val="center"/>
              <w:rPr>
                <w:rFonts w:cs="Calibri"/>
                <w:color w:val="000000"/>
              </w:rPr>
            </w:pPr>
            <w:r>
              <w:rPr>
                <w:rFonts w:cs="Calibri"/>
                <w:color w:val="000000"/>
              </w:rPr>
              <w:t>2018</w:t>
            </w:r>
          </w:p>
        </w:tc>
        <w:tc>
          <w:tcPr>
            <w:tcW w:w="1014" w:type="pct"/>
            <w:vMerge/>
            <w:vAlign w:val="center"/>
            <w:hideMark/>
          </w:tcPr>
          <w:p w:rsidR="001B2CD1" w:rsidRDefault="001B2CD1" w:rsidP="007941CF">
            <w:pPr>
              <w:rPr>
                <w:rFonts w:cs="Calibri"/>
                <w:color w:val="000000"/>
              </w:rPr>
            </w:pPr>
          </w:p>
        </w:tc>
        <w:tc>
          <w:tcPr>
            <w:tcW w:w="923" w:type="pct"/>
            <w:shd w:val="clear" w:color="auto" w:fill="auto"/>
            <w:noWrap/>
            <w:vAlign w:val="center"/>
            <w:hideMark/>
          </w:tcPr>
          <w:p w:rsidR="001B2CD1" w:rsidRDefault="001B2CD1" w:rsidP="001B2CD1">
            <w:pPr>
              <w:jc w:val="center"/>
              <w:rPr>
                <w:rFonts w:cs="Calibri"/>
                <w:color w:val="000000"/>
              </w:rPr>
            </w:pPr>
            <w:r>
              <w:rPr>
                <w:rFonts w:cs="Calibri"/>
                <w:color w:val="000000"/>
              </w:rPr>
              <w:t>96.975</w:t>
            </w:r>
          </w:p>
        </w:tc>
        <w:tc>
          <w:tcPr>
            <w:tcW w:w="1408" w:type="pct"/>
            <w:shd w:val="clear" w:color="auto" w:fill="auto"/>
            <w:noWrap/>
            <w:vAlign w:val="center"/>
            <w:hideMark/>
          </w:tcPr>
          <w:p w:rsidR="001B2CD1" w:rsidRDefault="001B2CD1" w:rsidP="001B2CD1">
            <w:pPr>
              <w:jc w:val="center"/>
              <w:rPr>
                <w:rFonts w:cs="Calibri"/>
                <w:color w:val="000000"/>
              </w:rPr>
            </w:pPr>
            <w:r>
              <w:rPr>
                <w:rFonts w:cs="Calibri"/>
                <w:color w:val="000000"/>
              </w:rPr>
              <w:t>Cukup Sehat</w:t>
            </w:r>
          </w:p>
        </w:tc>
      </w:tr>
      <w:tr w:rsidR="001B2CD1" w:rsidTr="001B2CD1">
        <w:trPr>
          <w:trHeight w:val="300"/>
          <w:jc w:val="center"/>
        </w:trPr>
        <w:tc>
          <w:tcPr>
            <w:tcW w:w="882" w:type="pct"/>
            <w:vMerge/>
            <w:tcBorders>
              <w:bottom w:val="single" w:sz="4" w:space="0" w:color="auto"/>
            </w:tcBorders>
            <w:vAlign w:val="center"/>
            <w:hideMark/>
          </w:tcPr>
          <w:p w:rsidR="001B2CD1" w:rsidRDefault="001B2CD1" w:rsidP="007941CF">
            <w:pPr>
              <w:rPr>
                <w:rFonts w:cs="Calibri"/>
                <w:color w:val="000000"/>
                <w:sz w:val="40"/>
                <w:szCs w:val="40"/>
              </w:rPr>
            </w:pPr>
          </w:p>
        </w:tc>
        <w:tc>
          <w:tcPr>
            <w:tcW w:w="773"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2019</w:t>
            </w:r>
          </w:p>
        </w:tc>
        <w:tc>
          <w:tcPr>
            <w:tcW w:w="1014" w:type="pct"/>
            <w:vMerge/>
            <w:tcBorders>
              <w:bottom w:val="single" w:sz="4" w:space="0" w:color="auto"/>
            </w:tcBorders>
            <w:vAlign w:val="center"/>
            <w:hideMark/>
          </w:tcPr>
          <w:p w:rsidR="001B2CD1" w:rsidRDefault="001B2CD1" w:rsidP="007941CF">
            <w:pPr>
              <w:rPr>
                <w:rFonts w:cs="Calibri"/>
                <w:color w:val="000000"/>
              </w:rPr>
            </w:pPr>
          </w:p>
        </w:tc>
        <w:tc>
          <w:tcPr>
            <w:tcW w:w="923"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103.819</w:t>
            </w:r>
          </w:p>
        </w:tc>
        <w:tc>
          <w:tcPr>
            <w:tcW w:w="1408"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Kurang Sehat</w:t>
            </w:r>
          </w:p>
        </w:tc>
      </w:tr>
      <w:tr w:rsidR="001B2CD1" w:rsidTr="001B2CD1">
        <w:trPr>
          <w:trHeight w:val="300"/>
          <w:jc w:val="center"/>
        </w:trPr>
        <w:tc>
          <w:tcPr>
            <w:tcW w:w="882" w:type="pct"/>
            <w:vMerge w:val="restart"/>
            <w:tcBorders>
              <w:top w:val="single" w:sz="4" w:space="0" w:color="auto"/>
            </w:tcBorders>
            <w:shd w:val="clear" w:color="auto" w:fill="auto"/>
            <w:noWrap/>
            <w:vAlign w:val="center"/>
            <w:hideMark/>
          </w:tcPr>
          <w:p w:rsidR="001B2CD1" w:rsidRDefault="001B2CD1" w:rsidP="007941CF">
            <w:pPr>
              <w:jc w:val="center"/>
              <w:rPr>
                <w:color w:val="000000"/>
                <w:sz w:val="36"/>
                <w:szCs w:val="36"/>
              </w:rPr>
            </w:pPr>
            <w:r>
              <w:rPr>
                <w:color w:val="000000"/>
                <w:sz w:val="36"/>
                <w:szCs w:val="36"/>
              </w:rPr>
              <w:t>G</w:t>
            </w:r>
          </w:p>
        </w:tc>
        <w:tc>
          <w:tcPr>
            <w:tcW w:w="773"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2017</w:t>
            </w:r>
          </w:p>
        </w:tc>
        <w:tc>
          <w:tcPr>
            <w:tcW w:w="1014" w:type="pct"/>
            <w:vMerge w:val="restart"/>
            <w:tcBorders>
              <w:top w:val="single" w:sz="4" w:space="0" w:color="auto"/>
            </w:tcBorders>
            <w:shd w:val="clear" w:color="auto" w:fill="auto"/>
            <w:noWrap/>
            <w:vAlign w:val="center"/>
            <w:hideMark/>
          </w:tcPr>
          <w:p w:rsidR="001B2CD1" w:rsidRDefault="001B2CD1" w:rsidP="007941CF">
            <w:pPr>
              <w:jc w:val="center"/>
              <w:rPr>
                <w:rFonts w:cs="Calibri"/>
                <w:color w:val="000000"/>
              </w:rPr>
            </w:pPr>
            <w:r>
              <w:rPr>
                <w:rFonts w:cs="Calibri"/>
                <w:color w:val="000000"/>
              </w:rPr>
              <w:t>GCG</w:t>
            </w:r>
          </w:p>
        </w:tc>
        <w:tc>
          <w:tcPr>
            <w:tcW w:w="923"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w:t>
            </w:r>
          </w:p>
        </w:tc>
        <w:tc>
          <w:tcPr>
            <w:tcW w:w="1408"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Sehat</w:t>
            </w:r>
          </w:p>
        </w:tc>
      </w:tr>
      <w:tr w:rsidR="001B2CD1" w:rsidTr="001B2CD1">
        <w:trPr>
          <w:trHeight w:val="300"/>
          <w:jc w:val="center"/>
        </w:trPr>
        <w:tc>
          <w:tcPr>
            <w:tcW w:w="882" w:type="pct"/>
            <w:vMerge/>
            <w:vAlign w:val="center"/>
            <w:hideMark/>
          </w:tcPr>
          <w:p w:rsidR="001B2CD1" w:rsidRDefault="001B2CD1" w:rsidP="007941CF">
            <w:pPr>
              <w:rPr>
                <w:color w:val="000000"/>
                <w:sz w:val="36"/>
                <w:szCs w:val="36"/>
              </w:rPr>
            </w:pPr>
          </w:p>
        </w:tc>
        <w:tc>
          <w:tcPr>
            <w:tcW w:w="773" w:type="pct"/>
            <w:shd w:val="clear" w:color="auto" w:fill="auto"/>
            <w:noWrap/>
            <w:vAlign w:val="center"/>
            <w:hideMark/>
          </w:tcPr>
          <w:p w:rsidR="001B2CD1" w:rsidRDefault="001B2CD1" w:rsidP="001B2CD1">
            <w:pPr>
              <w:jc w:val="center"/>
              <w:rPr>
                <w:rFonts w:cs="Calibri"/>
                <w:color w:val="000000"/>
              </w:rPr>
            </w:pPr>
            <w:r>
              <w:rPr>
                <w:rFonts w:cs="Calibri"/>
                <w:color w:val="000000"/>
              </w:rPr>
              <w:t>2018</w:t>
            </w:r>
          </w:p>
        </w:tc>
        <w:tc>
          <w:tcPr>
            <w:tcW w:w="1014" w:type="pct"/>
            <w:vMerge/>
            <w:vAlign w:val="center"/>
            <w:hideMark/>
          </w:tcPr>
          <w:p w:rsidR="001B2CD1" w:rsidRDefault="001B2CD1" w:rsidP="007941CF">
            <w:pPr>
              <w:rPr>
                <w:rFonts w:cs="Calibri"/>
                <w:color w:val="000000"/>
              </w:rPr>
            </w:pPr>
          </w:p>
        </w:tc>
        <w:tc>
          <w:tcPr>
            <w:tcW w:w="923" w:type="pct"/>
            <w:shd w:val="clear" w:color="auto" w:fill="auto"/>
            <w:noWrap/>
            <w:vAlign w:val="center"/>
            <w:hideMark/>
          </w:tcPr>
          <w:p w:rsidR="001B2CD1" w:rsidRDefault="001B2CD1" w:rsidP="001B2CD1">
            <w:pPr>
              <w:jc w:val="center"/>
              <w:rPr>
                <w:rFonts w:cs="Calibri"/>
                <w:color w:val="000000"/>
              </w:rPr>
            </w:pPr>
            <w:r>
              <w:rPr>
                <w:rFonts w:cs="Calibri"/>
                <w:color w:val="000000"/>
              </w:rPr>
              <w:t>2</w:t>
            </w:r>
          </w:p>
        </w:tc>
        <w:tc>
          <w:tcPr>
            <w:tcW w:w="1408" w:type="pct"/>
            <w:shd w:val="clear" w:color="auto" w:fill="auto"/>
            <w:noWrap/>
            <w:vAlign w:val="center"/>
            <w:hideMark/>
          </w:tcPr>
          <w:p w:rsidR="001B2CD1" w:rsidRDefault="001B2CD1" w:rsidP="001B2CD1">
            <w:pPr>
              <w:jc w:val="center"/>
              <w:rPr>
                <w:rFonts w:cs="Calibri"/>
                <w:color w:val="000000"/>
              </w:rPr>
            </w:pPr>
            <w:r>
              <w:rPr>
                <w:rFonts w:cs="Calibri"/>
                <w:color w:val="000000"/>
              </w:rPr>
              <w:t>Sehat</w:t>
            </w:r>
          </w:p>
        </w:tc>
      </w:tr>
      <w:tr w:rsidR="001B2CD1" w:rsidTr="001B2CD1">
        <w:trPr>
          <w:trHeight w:val="300"/>
          <w:jc w:val="center"/>
        </w:trPr>
        <w:tc>
          <w:tcPr>
            <w:tcW w:w="882" w:type="pct"/>
            <w:vMerge/>
            <w:tcBorders>
              <w:bottom w:val="single" w:sz="4" w:space="0" w:color="auto"/>
            </w:tcBorders>
            <w:vAlign w:val="center"/>
            <w:hideMark/>
          </w:tcPr>
          <w:p w:rsidR="001B2CD1" w:rsidRDefault="001B2CD1" w:rsidP="007941CF">
            <w:pPr>
              <w:rPr>
                <w:color w:val="000000"/>
                <w:sz w:val="36"/>
                <w:szCs w:val="36"/>
              </w:rPr>
            </w:pPr>
          </w:p>
        </w:tc>
        <w:tc>
          <w:tcPr>
            <w:tcW w:w="773"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2019</w:t>
            </w:r>
          </w:p>
        </w:tc>
        <w:tc>
          <w:tcPr>
            <w:tcW w:w="1014" w:type="pct"/>
            <w:vMerge/>
            <w:tcBorders>
              <w:bottom w:val="single" w:sz="4" w:space="0" w:color="auto"/>
            </w:tcBorders>
            <w:vAlign w:val="center"/>
            <w:hideMark/>
          </w:tcPr>
          <w:p w:rsidR="001B2CD1" w:rsidRDefault="001B2CD1" w:rsidP="007941CF">
            <w:pPr>
              <w:rPr>
                <w:rFonts w:cs="Calibri"/>
                <w:color w:val="000000"/>
              </w:rPr>
            </w:pPr>
          </w:p>
        </w:tc>
        <w:tc>
          <w:tcPr>
            <w:tcW w:w="923"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w:t>
            </w:r>
          </w:p>
        </w:tc>
        <w:tc>
          <w:tcPr>
            <w:tcW w:w="1408"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Sehat</w:t>
            </w:r>
          </w:p>
        </w:tc>
      </w:tr>
      <w:tr w:rsidR="001B2CD1" w:rsidTr="001B2CD1">
        <w:trPr>
          <w:trHeight w:val="300"/>
          <w:jc w:val="center"/>
        </w:trPr>
        <w:tc>
          <w:tcPr>
            <w:tcW w:w="882" w:type="pct"/>
            <w:vMerge w:val="restart"/>
            <w:tcBorders>
              <w:top w:val="single" w:sz="4" w:space="0" w:color="auto"/>
            </w:tcBorders>
            <w:shd w:val="clear" w:color="auto" w:fill="auto"/>
            <w:noWrap/>
            <w:vAlign w:val="center"/>
            <w:hideMark/>
          </w:tcPr>
          <w:p w:rsidR="001B2CD1" w:rsidRDefault="001B2CD1" w:rsidP="007941CF">
            <w:pPr>
              <w:jc w:val="center"/>
              <w:rPr>
                <w:rFonts w:cs="Calibri"/>
                <w:color w:val="000000"/>
                <w:sz w:val="40"/>
                <w:szCs w:val="40"/>
              </w:rPr>
            </w:pPr>
            <w:r>
              <w:rPr>
                <w:rFonts w:cs="Calibri"/>
                <w:color w:val="000000"/>
                <w:sz w:val="40"/>
                <w:szCs w:val="40"/>
              </w:rPr>
              <w:t>E</w:t>
            </w:r>
          </w:p>
        </w:tc>
        <w:tc>
          <w:tcPr>
            <w:tcW w:w="773"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2017</w:t>
            </w:r>
          </w:p>
        </w:tc>
        <w:tc>
          <w:tcPr>
            <w:tcW w:w="1014" w:type="pct"/>
            <w:vMerge w:val="restart"/>
            <w:tcBorders>
              <w:top w:val="single" w:sz="4" w:space="0" w:color="auto"/>
            </w:tcBorders>
            <w:shd w:val="clear" w:color="auto" w:fill="auto"/>
            <w:noWrap/>
            <w:vAlign w:val="center"/>
            <w:hideMark/>
          </w:tcPr>
          <w:p w:rsidR="001B2CD1" w:rsidRDefault="001B2CD1" w:rsidP="007941CF">
            <w:pPr>
              <w:jc w:val="center"/>
              <w:rPr>
                <w:rFonts w:cs="Calibri"/>
                <w:color w:val="000000"/>
              </w:rPr>
            </w:pPr>
            <w:r>
              <w:rPr>
                <w:rFonts w:cs="Calibri"/>
                <w:color w:val="000000"/>
              </w:rPr>
              <w:t>ROA</w:t>
            </w:r>
          </w:p>
        </w:tc>
        <w:tc>
          <w:tcPr>
            <w:tcW w:w="923"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1.274</w:t>
            </w:r>
          </w:p>
        </w:tc>
        <w:tc>
          <w:tcPr>
            <w:tcW w:w="1408"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Sehat</w:t>
            </w:r>
          </w:p>
        </w:tc>
      </w:tr>
      <w:tr w:rsidR="001B2CD1" w:rsidTr="001B2CD1">
        <w:trPr>
          <w:trHeight w:val="300"/>
          <w:jc w:val="center"/>
        </w:trPr>
        <w:tc>
          <w:tcPr>
            <w:tcW w:w="882" w:type="pct"/>
            <w:vMerge/>
            <w:vAlign w:val="center"/>
            <w:hideMark/>
          </w:tcPr>
          <w:p w:rsidR="001B2CD1" w:rsidRDefault="001B2CD1" w:rsidP="007941CF">
            <w:pPr>
              <w:rPr>
                <w:rFonts w:cs="Calibri"/>
                <w:color w:val="000000"/>
                <w:sz w:val="40"/>
                <w:szCs w:val="40"/>
              </w:rPr>
            </w:pPr>
          </w:p>
        </w:tc>
        <w:tc>
          <w:tcPr>
            <w:tcW w:w="773" w:type="pct"/>
            <w:shd w:val="clear" w:color="auto" w:fill="auto"/>
            <w:noWrap/>
            <w:vAlign w:val="center"/>
            <w:hideMark/>
          </w:tcPr>
          <w:p w:rsidR="001B2CD1" w:rsidRDefault="001B2CD1" w:rsidP="001B2CD1">
            <w:pPr>
              <w:jc w:val="center"/>
              <w:rPr>
                <w:rFonts w:cs="Calibri"/>
                <w:color w:val="000000"/>
              </w:rPr>
            </w:pPr>
            <w:r>
              <w:rPr>
                <w:rFonts w:cs="Calibri"/>
                <w:color w:val="000000"/>
              </w:rPr>
              <w:t>2018</w:t>
            </w:r>
          </w:p>
        </w:tc>
        <w:tc>
          <w:tcPr>
            <w:tcW w:w="1014" w:type="pct"/>
            <w:vMerge/>
            <w:vAlign w:val="center"/>
            <w:hideMark/>
          </w:tcPr>
          <w:p w:rsidR="001B2CD1" w:rsidRDefault="001B2CD1" w:rsidP="007941CF">
            <w:pPr>
              <w:rPr>
                <w:rFonts w:cs="Calibri"/>
                <w:color w:val="000000"/>
              </w:rPr>
            </w:pPr>
          </w:p>
        </w:tc>
        <w:tc>
          <w:tcPr>
            <w:tcW w:w="923" w:type="pct"/>
            <w:shd w:val="clear" w:color="auto" w:fill="auto"/>
            <w:noWrap/>
            <w:vAlign w:val="center"/>
            <w:hideMark/>
          </w:tcPr>
          <w:p w:rsidR="001B2CD1" w:rsidRDefault="001B2CD1" w:rsidP="001B2CD1">
            <w:pPr>
              <w:jc w:val="center"/>
              <w:rPr>
                <w:rFonts w:cs="Calibri"/>
                <w:color w:val="000000"/>
              </w:rPr>
            </w:pPr>
            <w:r>
              <w:rPr>
                <w:rFonts w:cs="Calibri"/>
                <w:color w:val="000000"/>
              </w:rPr>
              <w:t>1.181</w:t>
            </w:r>
          </w:p>
        </w:tc>
        <w:tc>
          <w:tcPr>
            <w:tcW w:w="1408" w:type="pct"/>
            <w:shd w:val="clear" w:color="auto" w:fill="auto"/>
            <w:noWrap/>
            <w:vAlign w:val="center"/>
            <w:hideMark/>
          </w:tcPr>
          <w:p w:rsidR="001B2CD1" w:rsidRDefault="001B2CD1" w:rsidP="001B2CD1">
            <w:pPr>
              <w:jc w:val="center"/>
              <w:rPr>
                <w:rFonts w:cs="Calibri"/>
                <w:color w:val="000000"/>
              </w:rPr>
            </w:pPr>
            <w:r>
              <w:rPr>
                <w:rFonts w:cs="Calibri"/>
                <w:color w:val="000000"/>
              </w:rPr>
              <w:t>Cukup Sehat</w:t>
            </w:r>
          </w:p>
        </w:tc>
      </w:tr>
      <w:tr w:rsidR="001B2CD1" w:rsidTr="001B2CD1">
        <w:trPr>
          <w:trHeight w:val="300"/>
          <w:jc w:val="center"/>
        </w:trPr>
        <w:tc>
          <w:tcPr>
            <w:tcW w:w="882" w:type="pct"/>
            <w:vMerge/>
            <w:tcBorders>
              <w:bottom w:val="single" w:sz="4" w:space="0" w:color="auto"/>
            </w:tcBorders>
            <w:vAlign w:val="center"/>
            <w:hideMark/>
          </w:tcPr>
          <w:p w:rsidR="001B2CD1" w:rsidRDefault="001B2CD1" w:rsidP="007941CF">
            <w:pPr>
              <w:rPr>
                <w:rFonts w:cs="Calibri"/>
                <w:color w:val="000000"/>
                <w:sz w:val="40"/>
                <w:szCs w:val="40"/>
              </w:rPr>
            </w:pPr>
          </w:p>
        </w:tc>
        <w:tc>
          <w:tcPr>
            <w:tcW w:w="773"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2019</w:t>
            </w:r>
          </w:p>
        </w:tc>
        <w:tc>
          <w:tcPr>
            <w:tcW w:w="1014" w:type="pct"/>
            <w:vMerge/>
            <w:tcBorders>
              <w:bottom w:val="single" w:sz="4" w:space="0" w:color="auto"/>
            </w:tcBorders>
            <w:vAlign w:val="center"/>
            <w:hideMark/>
          </w:tcPr>
          <w:p w:rsidR="001B2CD1" w:rsidRDefault="001B2CD1" w:rsidP="007941CF">
            <w:pPr>
              <w:rPr>
                <w:rFonts w:cs="Calibri"/>
                <w:color w:val="000000"/>
              </w:rPr>
            </w:pPr>
          </w:p>
        </w:tc>
        <w:tc>
          <w:tcPr>
            <w:tcW w:w="923"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0.132</w:t>
            </w:r>
          </w:p>
        </w:tc>
        <w:tc>
          <w:tcPr>
            <w:tcW w:w="1408"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Cukup Sehat</w:t>
            </w:r>
          </w:p>
        </w:tc>
      </w:tr>
      <w:tr w:rsidR="001B2CD1" w:rsidTr="001B2CD1">
        <w:trPr>
          <w:trHeight w:val="300"/>
          <w:jc w:val="center"/>
        </w:trPr>
        <w:tc>
          <w:tcPr>
            <w:tcW w:w="882" w:type="pct"/>
            <w:vMerge w:val="restart"/>
            <w:tcBorders>
              <w:top w:val="single" w:sz="4" w:space="0" w:color="auto"/>
            </w:tcBorders>
            <w:shd w:val="clear" w:color="auto" w:fill="auto"/>
            <w:noWrap/>
            <w:vAlign w:val="center"/>
            <w:hideMark/>
          </w:tcPr>
          <w:p w:rsidR="001B2CD1" w:rsidRDefault="001B2CD1" w:rsidP="007941CF">
            <w:pPr>
              <w:jc w:val="center"/>
              <w:rPr>
                <w:rFonts w:cs="Calibri"/>
                <w:color w:val="000000"/>
                <w:sz w:val="40"/>
                <w:szCs w:val="40"/>
              </w:rPr>
            </w:pPr>
            <w:r>
              <w:rPr>
                <w:rFonts w:cs="Calibri"/>
                <w:color w:val="000000"/>
                <w:sz w:val="40"/>
                <w:szCs w:val="40"/>
              </w:rPr>
              <w:t>C</w:t>
            </w:r>
          </w:p>
        </w:tc>
        <w:tc>
          <w:tcPr>
            <w:tcW w:w="773"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2017</w:t>
            </w:r>
          </w:p>
        </w:tc>
        <w:tc>
          <w:tcPr>
            <w:tcW w:w="1014" w:type="pct"/>
            <w:vMerge w:val="restart"/>
            <w:tcBorders>
              <w:top w:val="single" w:sz="4" w:space="0" w:color="auto"/>
            </w:tcBorders>
            <w:shd w:val="clear" w:color="auto" w:fill="auto"/>
            <w:noWrap/>
            <w:vAlign w:val="center"/>
            <w:hideMark/>
          </w:tcPr>
          <w:p w:rsidR="001B2CD1" w:rsidRDefault="001B2CD1" w:rsidP="007941CF">
            <w:pPr>
              <w:jc w:val="center"/>
              <w:rPr>
                <w:rFonts w:cs="Calibri"/>
                <w:color w:val="000000"/>
              </w:rPr>
            </w:pPr>
            <w:r>
              <w:rPr>
                <w:rFonts w:cs="Calibri"/>
                <w:color w:val="000000"/>
              </w:rPr>
              <w:t>CAR</w:t>
            </w:r>
          </w:p>
        </w:tc>
        <w:tc>
          <w:tcPr>
            <w:tcW w:w="923"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18.73</w:t>
            </w:r>
          </w:p>
        </w:tc>
        <w:tc>
          <w:tcPr>
            <w:tcW w:w="1408" w:type="pct"/>
            <w:tcBorders>
              <w:top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Sangat Sehat</w:t>
            </w:r>
          </w:p>
        </w:tc>
      </w:tr>
      <w:tr w:rsidR="001B2CD1" w:rsidTr="001B2CD1">
        <w:trPr>
          <w:trHeight w:val="300"/>
          <w:jc w:val="center"/>
        </w:trPr>
        <w:tc>
          <w:tcPr>
            <w:tcW w:w="882" w:type="pct"/>
            <w:vMerge/>
            <w:vAlign w:val="center"/>
            <w:hideMark/>
          </w:tcPr>
          <w:p w:rsidR="001B2CD1" w:rsidRDefault="001B2CD1" w:rsidP="007941CF">
            <w:pPr>
              <w:rPr>
                <w:rFonts w:cs="Calibri"/>
                <w:color w:val="000000"/>
                <w:sz w:val="40"/>
                <w:szCs w:val="40"/>
              </w:rPr>
            </w:pPr>
          </w:p>
        </w:tc>
        <w:tc>
          <w:tcPr>
            <w:tcW w:w="773" w:type="pct"/>
            <w:shd w:val="clear" w:color="auto" w:fill="auto"/>
            <w:noWrap/>
            <w:vAlign w:val="center"/>
            <w:hideMark/>
          </w:tcPr>
          <w:p w:rsidR="001B2CD1" w:rsidRDefault="001B2CD1" w:rsidP="001B2CD1">
            <w:pPr>
              <w:jc w:val="center"/>
              <w:rPr>
                <w:rFonts w:cs="Calibri"/>
                <w:color w:val="000000"/>
              </w:rPr>
            </w:pPr>
            <w:r>
              <w:rPr>
                <w:rFonts w:cs="Calibri"/>
                <w:color w:val="000000"/>
              </w:rPr>
              <w:t>2018</w:t>
            </w:r>
          </w:p>
        </w:tc>
        <w:tc>
          <w:tcPr>
            <w:tcW w:w="1014" w:type="pct"/>
            <w:vMerge/>
            <w:vAlign w:val="center"/>
            <w:hideMark/>
          </w:tcPr>
          <w:p w:rsidR="001B2CD1" w:rsidRDefault="001B2CD1" w:rsidP="007941CF">
            <w:pPr>
              <w:rPr>
                <w:rFonts w:cs="Calibri"/>
                <w:color w:val="000000"/>
              </w:rPr>
            </w:pPr>
          </w:p>
        </w:tc>
        <w:tc>
          <w:tcPr>
            <w:tcW w:w="923" w:type="pct"/>
            <w:shd w:val="clear" w:color="auto" w:fill="auto"/>
            <w:noWrap/>
            <w:vAlign w:val="center"/>
            <w:hideMark/>
          </w:tcPr>
          <w:p w:rsidR="001B2CD1" w:rsidRDefault="001B2CD1" w:rsidP="001B2CD1">
            <w:pPr>
              <w:jc w:val="center"/>
              <w:rPr>
                <w:rFonts w:cs="Calibri"/>
                <w:color w:val="000000"/>
              </w:rPr>
            </w:pPr>
            <w:r>
              <w:rPr>
                <w:rFonts w:cs="Calibri"/>
                <w:color w:val="000000"/>
              </w:rPr>
              <w:t>18.61</w:t>
            </w:r>
          </w:p>
        </w:tc>
        <w:tc>
          <w:tcPr>
            <w:tcW w:w="1408" w:type="pct"/>
            <w:shd w:val="clear" w:color="auto" w:fill="auto"/>
            <w:noWrap/>
            <w:vAlign w:val="center"/>
            <w:hideMark/>
          </w:tcPr>
          <w:p w:rsidR="001B2CD1" w:rsidRDefault="001B2CD1" w:rsidP="001B2CD1">
            <w:pPr>
              <w:jc w:val="center"/>
              <w:rPr>
                <w:rFonts w:cs="Calibri"/>
                <w:color w:val="000000"/>
              </w:rPr>
            </w:pPr>
            <w:r>
              <w:rPr>
                <w:rFonts w:cs="Calibri"/>
                <w:color w:val="000000"/>
              </w:rPr>
              <w:t>Sangat Sehat</w:t>
            </w:r>
          </w:p>
        </w:tc>
      </w:tr>
      <w:tr w:rsidR="001B2CD1" w:rsidTr="001B2CD1">
        <w:trPr>
          <w:trHeight w:val="300"/>
          <w:jc w:val="center"/>
        </w:trPr>
        <w:tc>
          <w:tcPr>
            <w:tcW w:w="882" w:type="pct"/>
            <w:vMerge/>
            <w:tcBorders>
              <w:bottom w:val="single" w:sz="4" w:space="0" w:color="auto"/>
            </w:tcBorders>
            <w:vAlign w:val="center"/>
            <w:hideMark/>
          </w:tcPr>
          <w:p w:rsidR="001B2CD1" w:rsidRDefault="001B2CD1" w:rsidP="007941CF">
            <w:pPr>
              <w:rPr>
                <w:rFonts w:cs="Calibri"/>
                <w:color w:val="000000"/>
                <w:sz w:val="40"/>
                <w:szCs w:val="40"/>
              </w:rPr>
            </w:pPr>
          </w:p>
        </w:tc>
        <w:tc>
          <w:tcPr>
            <w:tcW w:w="773"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2019</w:t>
            </w:r>
          </w:p>
        </w:tc>
        <w:tc>
          <w:tcPr>
            <w:tcW w:w="1014" w:type="pct"/>
            <w:vMerge/>
            <w:tcBorders>
              <w:bottom w:val="single" w:sz="4" w:space="0" w:color="auto"/>
            </w:tcBorders>
            <w:vAlign w:val="center"/>
            <w:hideMark/>
          </w:tcPr>
          <w:p w:rsidR="001B2CD1" w:rsidRDefault="001B2CD1" w:rsidP="007941CF">
            <w:pPr>
              <w:rPr>
                <w:rFonts w:cs="Calibri"/>
                <w:color w:val="000000"/>
              </w:rPr>
            </w:pPr>
          </w:p>
        </w:tc>
        <w:tc>
          <w:tcPr>
            <w:tcW w:w="923"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17.68</w:t>
            </w:r>
          </w:p>
        </w:tc>
        <w:tc>
          <w:tcPr>
            <w:tcW w:w="1408" w:type="pct"/>
            <w:tcBorders>
              <w:bottom w:val="single" w:sz="4" w:space="0" w:color="auto"/>
            </w:tcBorders>
            <w:shd w:val="clear" w:color="auto" w:fill="auto"/>
            <w:noWrap/>
            <w:vAlign w:val="center"/>
            <w:hideMark/>
          </w:tcPr>
          <w:p w:rsidR="001B2CD1" w:rsidRDefault="001B2CD1" w:rsidP="001B2CD1">
            <w:pPr>
              <w:jc w:val="center"/>
              <w:rPr>
                <w:rFonts w:cs="Calibri"/>
                <w:color w:val="000000"/>
              </w:rPr>
            </w:pPr>
            <w:r>
              <w:rPr>
                <w:rFonts w:cs="Calibri"/>
                <w:color w:val="000000"/>
              </w:rPr>
              <w:t>Sangat Sehat</w:t>
            </w:r>
          </w:p>
        </w:tc>
      </w:tr>
    </w:tbl>
    <w:p w:rsidR="0079158E" w:rsidRPr="0079158E" w:rsidRDefault="0079158E" w:rsidP="0079158E">
      <w:pPr>
        <w:spacing w:before="3" w:line="235" w:lineRule="auto"/>
        <w:ind w:left="119" w:right="183" w:firstLine="566"/>
        <w:jc w:val="center"/>
      </w:pPr>
    </w:p>
    <w:p w:rsidR="001B2CD1" w:rsidRDefault="001B2CD1" w:rsidP="001B2CD1">
      <w:pPr>
        <w:spacing w:before="3" w:line="235" w:lineRule="auto"/>
        <w:ind w:right="183" w:firstLine="720"/>
        <w:jc w:val="both"/>
      </w:pPr>
      <w:r w:rsidRPr="001B2CD1">
        <w:t xml:space="preserve">Pada Tahun 2017, aspek </w:t>
      </w:r>
      <w:r w:rsidRPr="001B2CD1">
        <w:rPr>
          <w:i/>
        </w:rPr>
        <w:t xml:space="preserve">risk profile </w:t>
      </w:r>
      <w:r w:rsidRPr="001B2CD1">
        <w:t>PT. Bank Tabungan Negara (Persero), Tbk menunjukkan nilai NPL sebesar 1</w:t>
      </w:r>
      <w:proofErr w:type="gramStart"/>
      <w:r w:rsidRPr="001B2CD1">
        <w:t>,15</w:t>
      </w:r>
      <w:proofErr w:type="gramEnd"/>
      <w:r w:rsidRPr="001B2CD1">
        <w:t xml:space="preserve"> dan LDR sebesar 99,673.  Kedua indicator </w:t>
      </w:r>
      <w:r w:rsidRPr="001B2CD1">
        <w:rPr>
          <w:i/>
        </w:rPr>
        <w:t xml:space="preserve">risk profile </w:t>
      </w:r>
      <w:r w:rsidRPr="001B2CD1">
        <w:t xml:space="preserve">menunjukkan bahwa untuk indicator NPL bank masuk dalam kategori sangat sehat, sedangkan untuk indicator LDR bank masuk ke dalam kategori cukup sehat.  </w:t>
      </w:r>
      <w:proofErr w:type="gramStart"/>
      <w:r w:rsidRPr="001B2CD1">
        <w:t xml:space="preserve">Aspek </w:t>
      </w:r>
      <w:r w:rsidRPr="001B2CD1">
        <w:rPr>
          <w:i/>
        </w:rPr>
        <w:t xml:space="preserve">good corporate governance </w:t>
      </w:r>
      <w:r w:rsidRPr="001B2CD1">
        <w:t>menunjukkan kategori sehat karena memiliki nilai komposit 2.</w:t>
      </w:r>
      <w:proofErr w:type="gramEnd"/>
      <w:r w:rsidRPr="001B2CD1">
        <w:t xml:space="preserve">  Aspek </w:t>
      </w:r>
      <w:r w:rsidRPr="001B2CD1">
        <w:rPr>
          <w:i/>
        </w:rPr>
        <w:t xml:space="preserve">earning </w:t>
      </w:r>
      <w:r w:rsidRPr="001B2CD1">
        <w:t xml:space="preserve">yang di wakili oleh </w:t>
      </w:r>
      <w:r w:rsidRPr="001B2CD1">
        <w:rPr>
          <w:i/>
        </w:rPr>
        <w:t xml:space="preserve">return on asset (ROA) </w:t>
      </w:r>
      <w:r w:rsidRPr="001B2CD1">
        <w:t xml:space="preserve">masuk ke dalam kategori sehat karena memiliki ROA 1,274   pada aspek </w:t>
      </w:r>
      <w:r w:rsidRPr="001B2CD1">
        <w:rPr>
          <w:i/>
        </w:rPr>
        <w:t xml:space="preserve">capital </w:t>
      </w:r>
      <w:r w:rsidRPr="001B2CD1">
        <w:t xml:space="preserve">yang diwakili oleh CAR menunjukkan bahwa bank masuk ke dalam kategori sangat sehat. </w:t>
      </w:r>
    </w:p>
    <w:p w:rsidR="001B2CD1" w:rsidRDefault="001B2CD1" w:rsidP="001B2CD1">
      <w:pPr>
        <w:spacing w:before="3" w:line="235" w:lineRule="auto"/>
        <w:ind w:right="183" w:firstLine="720"/>
        <w:jc w:val="both"/>
      </w:pPr>
      <w:r w:rsidRPr="001B2CD1">
        <w:lastRenderedPageBreak/>
        <w:t xml:space="preserve">Pada Tahun 2018, aspek </w:t>
      </w:r>
      <w:r w:rsidRPr="001B2CD1">
        <w:rPr>
          <w:i/>
        </w:rPr>
        <w:t xml:space="preserve">risk profile </w:t>
      </w:r>
      <w:r w:rsidRPr="001B2CD1">
        <w:t>PT. Bank Tabungan Negara (Persero), Tbk menunjukkan nilai NPL sebesar 1</w:t>
      </w:r>
      <w:proofErr w:type="gramStart"/>
      <w:r w:rsidRPr="001B2CD1">
        <w:t>,61</w:t>
      </w:r>
      <w:proofErr w:type="gramEnd"/>
      <w:r w:rsidRPr="001B2CD1">
        <w:t xml:space="preserve"> dan LDR sebesar 99,975.  Kedua indicator </w:t>
      </w:r>
      <w:r w:rsidRPr="001B2CD1">
        <w:rPr>
          <w:i/>
        </w:rPr>
        <w:t xml:space="preserve">risk profile </w:t>
      </w:r>
      <w:r w:rsidRPr="001B2CD1">
        <w:t xml:space="preserve">menunjukkan bahwa untuk indicator NPL bank masuk dalam kategori sangat sehat, sedangkan untuk indicator LDR bank masuk ke dalam kategori cukup sehat.  Aspek </w:t>
      </w:r>
      <w:r w:rsidRPr="001B2CD1">
        <w:rPr>
          <w:i/>
        </w:rPr>
        <w:t xml:space="preserve">good corporate governance </w:t>
      </w:r>
      <w:r w:rsidRPr="001B2CD1">
        <w:t xml:space="preserve">menunjukkan kategori sehat karena memiliki nilai komposit 2.  Aspek </w:t>
      </w:r>
      <w:r w:rsidRPr="001B2CD1">
        <w:rPr>
          <w:i/>
        </w:rPr>
        <w:t xml:space="preserve">earning </w:t>
      </w:r>
      <w:r w:rsidRPr="001B2CD1">
        <w:t xml:space="preserve">yang di wakili oleh </w:t>
      </w:r>
      <w:r w:rsidRPr="001B2CD1">
        <w:rPr>
          <w:i/>
        </w:rPr>
        <w:t xml:space="preserve">return on asset (ROA) </w:t>
      </w:r>
      <w:r w:rsidRPr="001B2CD1">
        <w:t xml:space="preserve">masuk ke dalam kategori cukup sehat karena memiliki ROA 1,181.   </w:t>
      </w:r>
      <w:proofErr w:type="gramStart"/>
      <w:r w:rsidRPr="001B2CD1">
        <w:t xml:space="preserve">Pada aspek </w:t>
      </w:r>
      <w:r w:rsidRPr="001B2CD1">
        <w:rPr>
          <w:i/>
        </w:rPr>
        <w:t xml:space="preserve">capital </w:t>
      </w:r>
      <w:r w:rsidRPr="001B2CD1">
        <w:t>yang diwakili oleh CAR menunjukkan bahwa bank masuk ke dalam kategori sangat sehat.</w:t>
      </w:r>
      <w:proofErr w:type="gramEnd"/>
      <w:r w:rsidRPr="001B2CD1">
        <w:t xml:space="preserve"> </w:t>
      </w:r>
    </w:p>
    <w:p w:rsidR="001B2CD1" w:rsidRDefault="001B2CD1" w:rsidP="001B2CD1">
      <w:pPr>
        <w:spacing w:before="3" w:line="235" w:lineRule="auto"/>
        <w:ind w:right="183" w:firstLine="720"/>
        <w:jc w:val="both"/>
      </w:pPr>
    </w:p>
    <w:p w:rsidR="001B2CD1" w:rsidRPr="001B2CD1" w:rsidRDefault="001B2CD1" w:rsidP="001B2CD1">
      <w:pPr>
        <w:spacing w:before="3" w:line="235" w:lineRule="auto"/>
        <w:ind w:right="183" w:firstLine="720"/>
        <w:jc w:val="both"/>
      </w:pPr>
      <w:r w:rsidRPr="001B2CD1">
        <w:t xml:space="preserve">Pada Tahun 2019, aspek </w:t>
      </w:r>
      <w:r w:rsidRPr="001B2CD1">
        <w:rPr>
          <w:i/>
        </w:rPr>
        <w:t xml:space="preserve">risk profile </w:t>
      </w:r>
      <w:r w:rsidRPr="001B2CD1">
        <w:t>PT. Bank Tabungan Negara (Persero), Tbk menunjukkan nilai NPL sebesar 2</w:t>
      </w:r>
      <w:proofErr w:type="gramStart"/>
      <w:r w:rsidRPr="001B2CD1">
        <w:t>,53</w:t>
      </w:r>
      <w:proofErr w:type="gramEnd"/>
      <w:r w:rsidRPr="001B2CD1">
        <w:t xml:space="preserve"> dan LDR sebesar 103,819.  Kedua indicator </w:t>
      </w:r>
      <w:r w:rsidRPr="001B2CD1">
        <w:rPr>
          <w:i/>
        </w:rPr>
        <w:t xml:space="preserve">risk profile </w:t>
      </w:r>
      <w:r w:rsidRPr="001B2CD1">
        <w:t xml:space="preserve">menunjukkan bahwa untuk indicator NPL bank masuk dalam kategori sehat, sedangkan untuk indicator LDR bank masuk ke dalam kategori kurang sehat.  Aspek </w:t>
      </w:r>
      <w:r w:rsidRPr="001B2CD1">
        <w:rPr>
          <w:i/>
        </w:rPr>
        <w:t xml:space="preserve">good corporate governance </w:t>
      </w:r>
      <w:r w:rsidRPr="001B2CD1">
        <w:t xml:space="preserve">menunjukkan kategori sehat karena memiliki nilai komposit 2.  Aspek </w:t>
      </w:r>
      <w:r w:rsidRPr="001B2CD1">
        <w:rPr>
          <w:i/>
        </w:rPr>
        <w:t xml:space="preserve">earning </w:t>
      </w:r>
      <w:r w:rsidRPr="001B2CD1">
        <w:t xml:space="preserve">yang di wakili oleh </w:t>
      </w:r>
      <w:r w:rsidRPr="001B2CD1">
        <w:rPr>
          <w:i/>
        </w:rPr>
        <w:t xml:space="preserve">return on asset (ROA) </w:t>
      </w:r>
      <w:r w:rsidRPr="001B2CD1">
        <w:t xml:space="preserve">masuk ke dalam kategori cukup sehat karena memiliki ROA 1,274   pada aspek </w:t>
      </w:r>
      <w:r w:rsidRPr="001B2CD1">
        <w:rPr>
          <w:i/>
        </w:rPr>
        <w:t xml:space="preserve">capital </w:t>
      </w:r>
      <w:r w:rsidRPr="001B2CD1">
        <w:t xml:space="preserve">yang diwakili oleh CAR menunjukkan bahwa bank masuk ke dalam kategori sangat sehat. </w:t>
      </w:r>
    </w:p>
    <w:p w:rsidR="0079158E" w:rsidRDefault="0079158E">
      <w:pPr>
        <w:spacing w:before="3" w:line="235" w:lineRule="auto"/>
        <w:ind w:left="119" w:right="183" w:firstLine="566"/>
        <w:jc w:val="both"/>
      </w:pPr>
    </w:p>
    <w:p w:rsidR="001B2CD1" w:rsidRPr="001B2CD1" w:rsidRDefault="001B2CD1" w:rsidP="001B2CD1">
      <w:pPr>
        <w:spacing w:before="3" w:line="235" w:lineRule="auto"/>
        <w:ind w:left="119" w:right="183" w:firstLine="566"/>
        <w:jc w:val="both"/>
      </w:pPr>
      <w:r w:rsidRPr="001B2CD1">
        <w:t xml:space="preserve">Aspek </w:t>
      </w:r>
      <w:r w:rsidRPr="001B2CD1">
        <w:rPr>
          <w:i/>
        </w:rPr>
        <w:t xml:space="preserve">risk profile </w:t>
      </w:r>
      <w:r w:rsidRPr="001B2CD1">
        <w:t xml:space="preserve">diukur dengan menggunakan dua rasio yaitu </w:t>
      </w:r>
      <w:r w:rsidRPr="001B2CD1">
        <w:rPr>
          <w:i/>
        </w:rPr>
        <w:t xml:space="preserve">non performing loan (NPL) </w:t>
      </w:r>
      <w:r w:rsidRPr="001B2CD1">
        <w:t xml:space="preserve">dan </w:t>
      </w:r>
      <w:r w:rsidRPr="001B2CD1">
        <w:rPr>
          <w:i/>
        </w:rPr>
        <w:t xml:space="preserve">Loan to Deposit Ratio (LDR). </w:t>
      </w:r>
      <w:r w:rsidRPr="001B2CD1">
        <w:t xml:space="preserve">Kedua rasio tersebut menunjukkan besarnya kredit bermasalah yang harus ditanggung oleh bank dalam satu periode dan perbandingan antara jumlah kredit yang diberikan dengan dangan </w:t>
      </w:r>
      <w:proofErr w:type="gramStart"/>
      <w:r w:rsidRPr="001B2CD1">
        <w:t>dana</w:t>
      </w:r>
      <w:proofErr w:type="gramEnd"/>
      <w:r w:rsidRPr="001B2CD1">
        <w:t xml:space="preserve"> pihak ketiga yang dikumpulkan oleh bank. </w:t>
      </w:r>
    </w:p>
    <w:p w:rsidR="001B2CD1" w:rsidRPr="001B2CD1" w:rsidRDefault="001B2CD1" w:rsidP="001B2CD1">
      <w:pPr>
        <w:spacing w:before="3" w:line="235" w:lineRule="auto"/>
        <w:ind w:left="119" w:right="183" w:firstLine="566"/>
        <w:jc w:val="both"/>
      </w:pPr>
      <w:proofErr w:type="gramStart"/>
      <w:r w:rsidRPr="001B2CD1">
        <w:t>Pada periode 2017 sampai dengan 2019, Bank Tabungan Negara (Persero), Tbk mengalami penurunan tingkat kesehatan.</w:t>
      </w:r>
      <w:proofErr w:type="gramEnd"/>
      <w:r w:rsidRPr="001B2CD1">
        <w:t xml:space="preserve"> </w:t>
      </w:r>
      <w:proofErr w:type="gramStart"/>
      <w:r w:rsidRPr="001B2CD1">
        <w:t>Hal ini terlihat dari besarnya nilai NPL yang meningkat.</w:t>
      </w:r>
      <w:proofErr w:type="gramEnd"/>
      <w:r w:rsidRPr="001B2CD1">
        <w:t xml:space="preserve">  </w:t>
      </w:r>
      <w:proofErr w:type="gramStart"/>
      <w:r w:rsidRPr="001B2CD1">
        <w:t>Peningkatan nilai NPL menunjukkan semakin besarnya jumlah kredit bermasalah yang dihadapi oleh bank.</w:t>
      </w:r>
      <w:proofErr w:type="gramEnd"/>
      <w:r w:rsidRPr="001B2CD1">
        <w:t xml:space="preserve">  </w:t>
      </w:r>
      <w:proofErr w:type="gramStart"/>
      <w:r w:rsidRPr="001B2CD1">
        <w:t>Peningkatan kredit bermasalah menunjukkan kurang berjalannya analisis risiko kredit yang dijalankan oleh bank sebelum memberikan kredit.</w:t>
      </w:r>
      <w:proofErr w:type="gramEnd"/>
      <w:r w:rsidRPr="001B2CD1">
        <w:t xml:space="preserve"> Bila dibiarkan dapat membuat bank mengalami masalah likuiditas karena perputaran </w:t>
      </w:r>
      <w:proofErr w:type="gramStart"/>
      <w:r w:rsidRPr="001B2CD1">
        <w:t>dana</w:t>
      </w:r>
      <w:proofErr w:type="gramEnd"/>
      <w:r w:rsidRPr="001B2CD1">
        <w:t xml:space="preserve"> yang tidak lancar.  Oleh sebab itu, Bank Tabungan Negara (Persero), Tbk harus dapat menjaga rasio NPL nya </w:t>
      </w:r>
    </w:p>
    <w:p w:rsidR="005720E4" w:rsidRDefault="001B2CD1" w:rsidP="005720E4">
      <w:pPr>
        <w:spacing w:before="3" w:line="235" w:lineRule="auto"/>
        <w:ind w:left="119" w:right="183" w:firstLine="566"/>
        <w:jc w:val="both"/>
      </w:pPr>
      <w:r w:rsidRPr="001B2CD1">
        <w:t xml:space="preserve">Aspek </w:t>
      </w:r>
      <w:r w:rsidRPr="001B2CD1">
        <w:rPr>
          <w:i/>
        </w:rPr>
        <w:t xml:space="preserve">risk profile </w:t>
      </w:r>
      <w:r w:rsidRPr="001B2CD1">
        <w:t xml:space="preserve">lainnya adalah </w:t>
      </w:r>
      <w:r w:rsidRPr="001B2CD1">
        <w:rPr>
          <w:i/>
        </w:rPr>
        <w:t xml:space="preserve">loan to deposit ratio (LDR) </w:t>
      </w:r>
      <w:r w:rsidRPr="001B2CD1">
        <w:t xml:space="preserve">yang menunjukkan perbandingan besarnya jumlah kredit yang disalurkan dengan besarnya </w:t>
      </w:r>
      <w:proofErr w:type="gramStart"/>
      <w:r w:rsidRPr="001B2CD1">
        <w:t>dana</w:t>
      </w:r>
      <w:proofErr w:type="gramEnd"/>
      <w:r w:rsidRPr="001B2CD1">
        <w:t xml:space="preserve"> pihak ketiga yang telah dihimpun oleh bank.  </w:t>
      </w:r>
      <w:proofErr w:type="gramStart"/>
      <w:r w:rsidRPr="001B2CD1">
        <w:t>Pada aspek LDR terjadi penurunan tingkat kesehatan bank yang ditunjukkan dengan meningkatnya nilai rasio LDR.</w:t>
      </w:r>
      <w:proofErr w:type="gramEnd"/>
      <w:r w:rsidRPr="001B2CD1">
        <w:t xml:space="preserve"> Pada Tahun 2017 dan 2018, Bank Tabungan Negara (Persero), Tbk masih mampu menjaga besarnya rasio LDR dibawah 100%, maka pada Tahun 2019 terjadi peningkatan nilai LDR di atas 100%.  Besarnya rasio LDR di atas 100% menunjukan bahwa kredit yang disalurkan melebihi jumlah </w:t>
      </w:r>
      <w:proofErr w:type="gramStart"/>
      <w:r w:rsidRPr="001B2CD1">
        <w:t>dana</w:t>
      </w:r>
      <w:proofErr w:type="gramEnd"/>
      <w:r w:rsidRPr="001B2CD1">
        <w:t xml:space="preserve"> pihak ketiga yang berhasil dihimpun oleh bank.  Bank Tabungan Negara (Persero), Tbk masih masuk ke dalam status sehat berdasarkan kriteria kesehatan bank yang telah ditetapkan, meski demikian kondisi ini </w:t>
      </w:r>
      <w:proofErr w:type="gramStart"/>
      <w:r w:rsidRPr="001B2CD1">
        <w:t>akan</w:t>
      </w:r>
      <w:proofErr w:type="gramEnd"/>
      <w:r w:rsidRPr="001B2CD1">
        <w:t xml:space="preserve"> berbahaya bagi operasional bank bila tidak dilakuakn upaya untuk menjaga nilai rasio sesuai dengan ketentuan kesehatan. </w:t>
      </w:r>
    </w:p>
    <w:p w:rsidR="005720E4" w:rsidRDefault="005720E4" w:rsidP="005720E4">
      <w:pPr>
        <w:spacing w:before="3" w:line="235" w:lineRule="auto"/>
        <w:ind w:left="119" w:right="183" w:firstLine="566"/>
        <w:jc w:val="both"/>
      </w:pPr>
    </w:p>
    <w:p w:rsidR="005720E4" w:rsidRDefault="001B2CD1" w:rsidP="001B2CD1">
      <w:pPr>
        <w:spacing w:before="3" w:line="235" w:lineRule="auto"/>
        <w:ind w:left="119" w:right="183" w:firstLine="566"/>
        <w:jc w:val="both"/>
      </w:pPr>
      <w:r w:rsidRPr="005720E4">
        <w:t xml:space="preserve">Hasil </w:t>
      </w:r>
      <w:r w:rsidRPr="005720E4">
        <w:rPr>
          <w:i/>
        </w:rPr>
        <w:t>self assessment</w:t>
      </w:r>
      <w:r w:rsidRPr="005720E4">
        <w:t xml:space="preserve"> GCG yang dilakukan oleh Bank Tabungan Negara (Persero), Tbk menunjukkan bahwa bank memperoleh nilai kredit sebesar 2 selama tiga periode berturut-turut (2017-2019).  </w:t>
      </w:r>
      <w:proofErr w:type="gramStart"/>
      <w:r w:rsidRPr="005720E4">
        <w:t>Nilai kredit tersebut masuk ke dalam kriteria sehat.</w:t>
      </w:r>
      <w:proofErr w:type="gramEnd"/>
      <w:r w:rsidRPr="005720E4">
        <w:t xml:space="preserve">  </w:t>
      </w:r>
      <w:proofErr w:type="gramStart"/>
      <w:r w:rsidRPr="001B2CD1">
        <w:t>Nilai kredit GCG menunjukkan pelaksanaan operasional bank yang telah mengikuti kaidah-kaidah tata pemerintahan yang baik.</w:t>
      </w:r>
      <w:proofErr w:type="gramEnd"/>
      <w:r w:rsidRPr="001B2CD1">
        <w:t xml:space="preserve">  Penerapan GCG yang baik di bank terutama untuk Bank BUMN sangatlah penting untuk menunjukkan kemampuan bank dalam mengelola asset-aset yang dimilikinya terutama asset yang berasal dari </w:t>
      </w:r>
      <w:proofErr w:type="gramStart"/>
      <w:r w:rsidRPr="001B2CD1">
        <w:t>dana</w:t>
      </w:r>
      <w:proofErr w:type="gramEnd"/>
      <w:r w:rsidRPr="001B2CD1">
        <w:t xml:space="preserve"> pihak ketiga.  </w:t>
      </w:r>
    </w:p>
    <w:p w:rsidR="005720E4" w:rsidRDefault="001B2CD1" w:rsidP="001B2CD1">
      <w:pPr>
        <w:spacing w:before="3" w:line="235" w:lineRule="auto"/>
        <w:ind w:left="119" w:right="183" w:firstLine="566"/>
        <w:jc w:val="both"/>
      </w:pPr>
      <w:proofErr w:type="gramStart"/>
      <w:r w:rsidRPr="005720E4">
        <w:rPr>
          <w:i/>
        </w:rPr>
        <w:t>Self assestment</w:t>
      </w:r>
      <w:r w:rsidRPr="001B2CD1">
        <w:t xml:space="preserve"> yang dilakukan oleh bank kadang-kadang kala menimbulkan keraguan apakah bank benar-beanr melakukan poin-poin yang ada di dalam atas kegiatan operasionalnya.</w:t>
      </w:r>
      <w:proofErr w:type="gramEnd"/>
      <w:r w:rsidRPr="001B2CD1">
        <w:t xml:space="preserve">  </w:t>
      </w:r>
      <w:proofErr w:type="gramStart"/>
      <w:r w:rsidRPr="001B2CD1">
        <w:t>Pemerintah tidak memiliki mekanisme atau sanksi bagi bank yang melanggar penerapan GCG atau tidak menerapkan GCG.</w:t>
      </w:r>
      <w:proofErr w:type="gramEnd"/>
      <w:r w:rsidRPr="001B2CD1">
        <w:t xml:space="preserve">  </w:t>
      </w:r>
      <w:proofErr w:type="gramStart"/>
      <w:r w:rsidRPr="001B2CD1">
        <w:t>Hal ini dikarenakan penerapan GCG didasarkan atas himbauan pemerintah dan bersifat sukarela.</w:t>
      </w:r>
      <w:proofErr w:type="gramEnd"/>
      <w:r w:rsidRPr="001B2CD1">
        <w:t xml:space="preserve">  </w:t>
      </w:r>
      <w:proofErr w:type="gramStart"/>
      <w:r w:rsidRPr="001B2CD1">
        <w:t>Pelanggaran penerapan GCG tidak mendapatkan sanksi dari pemerintah, sehingga seringkali bank mengalami masalah karena adanya poin-poin GCG yang tidak dijalankan dengan baik.</w:t>
      </w:r>
      <w:proofErr w:type="gramEnd"/>
      <w:r w:rsidRPr="001B2CD1">
        <w:t xml:space="preserve"> </w:t>
      </w:r>
    </w:p>
    <w:p w:rsidR="005720E4" w:rsidRDefault="005720E4" w:rsidP="001B2CD1">
      <w:pPr>
        <w:spacing w:before="3" w:line="235" w:lineRule="auto"/>
        <w:ind w:left="119" w:right="183" w:firstLine="566"/>
        <w:jc w:val="both"/>
      </w:pPr>
    </w:p>
    <w:p w:rsidR="001B2CD1" w:rsidRPr="001B2CD1" w:rsidRDefault="001B2CD1" w:rsidP="001B2CD1">
      <w:pPr>
        <w:spacing w:before="3" w:line="235" w:lineRule="auto"/>
        <w:ind w:left="119" w:right="183" w:firstLine="566"/>
        <w:jc w:val="both"/>
      </w:pPr>
      <w:proofErr w:type="gramStart"/>
      <w:r w:rsidRPr="001B2CD1">
        <w:t xml:space="preserve">Aspek </w:t>
      </w:r>
      <w:r w:rsidRPr="001B2CD1">
        <w:rPr>
          <w:i/>
        </w:rPr>
        <w:t xml:space="preserve">earnings </w:t>
      </w:r>
      <w:r w:rsidRPr="001B2CD1">
        <w:t xml:space="preserve">diukur dengan menggunakan </w:t>
      </w:r>
      <w:r w:rsidRPr="001B2CD1">
        <w:rPr>
          <w:i/>
        </w:rPr>
        <w:t>return on assets (ROA).</w:t>
      </w:r>
      <w:proofErr w:type="gramEnd"/>
      <w:r w:rsidRPr="001B2CD1">
        <w:rPr>
          <w:i/>
        </w:rPr>
        <w:t xml:space="preserve">  </w:t>
      </w:r>
      <w:proofErr w:type="gramStart"/>
      <w:r w:rsidRPr="001B2CD1">
        <w:t xml:space="preserve">Pada aspek </w:t>
      </w:r>
      <w:r w:rsidRPr="001B2CD1">
        <w:rPr>
          <w:i/>
        </w:rPr>
        <w:t xml:space="preserve">earnings </w:t>
      </w:r>
      <w:r w:rsidRPr="001B2CD1">
        <w:t xml:space="preserve">menunjukkan bahwa Bank Tabungan Negara (Persero), Tbk memiliki tingkat </w:t>
      </w:r>
      <w:r w:rsidRPr="001B2CD1">
        <w:lastRenderedPageBreak/>
        <w:t>kesehatan yang cukup sehat.</w:t>
      </w:r>
      <w:proofErr w:type="gramEnd"/>
      <w:r w:rsidRPr="001B2CD1">
        <w:t xml:space="preserve"> Pada aspek </w:t>
      </w:r>
      <w:r w:rsidRPr="001B2CD1">
        <w:rPr>
          <w:i/>
        </w:rPr>
        <w:t xml:space="preserve">earnings, </w:t>
      </w:r>
      <w:r w:rsidRPr="001B2CD1">
        <w:t xml:space="preserve">terjadi penurunan tingkat kesehatan bank yang semula sehat menjadi cukup sehat.  </w:t>
      </w:r>
      <w:proofErr w:type="gramStart"/>
      <w:r w:rsidRPr="001B2CD1">
        <w:t>Hal ini terjadi karena adanya penurunan nilai laba bersih yang berhasil dibukukan oleh bank.</w:t>
      </w:r>
      <w:proofErr w:type="gramEnd"/>
    </w:p>
    <w:p w:rsidR="001B2CD1" w:rsidRDefault="001B2CD1" w:rsidP="001B2CD1">
      <w:pPr>
        <w:spacing w:before="3" w:line="235" w:lineRule="auto"/>
        <w:ind w:left="119" w:right="183" w:firstLine="566"/>
        <w:jc w:val="both"/>
      </w:pPr>
      <w:r w:rsidRPr="001B2CD1">
        <w:t xml:space="preserve">Peningkatan total asset yang dimiliki oleh bank tidak diikuti oleh besarnya laba bersih yang didapat, sehingga menyebabkan menurunnya nilai ROA.  Secara teori, peningkatan total asset seharusnya diikuti dengan peningkatan laba, karena semakin besar asset yang dimiliki maka semakin besar laba yang diperoleh.  </w:t>
      </w:r>
      <w:proofErr w:type="gramStart"/>
      <w:r w:rsidRPr="001B2CD1">
        <w:t>Oleh sebab itu, peningkatan asset yang dimiliki oleh bank, tetapi tidak diikuti dengan peningkatan laba bersih menunjukkan bahwa bank belum maksimal dalam mengelola asetnya, sehingga besaran laba yang diperolehnya pun tidak maksimal.</w:t>
      </w:r>
      <w:proofErr w:type="gramEnd"/>
      <w:r w:rsidRPr="001B2CD1">
        <w:t xml:space="preserve"> </w:t>
      </w:r>
    </w:p>
    <w:p w:rsidR="005720E4" w:rsidRPr="001B2CD1" w:rsidRDefault="005720E4" w:rsidP="001B2CD1">
      <w:pPr>
        <w:spacing w:before="3" w:line="235" w:lineRule="auto"/>
        <w:ind w:left="119" w:right="183" w:firstLine="566"/>
        <w:jc w:val="both"/>
      </w:pPr>
    </w:p>
    <w:p w:rsidR="001B2CD1" w:rsidRPr="001B2CD1" w:rsidRDefault="001B2CD1" w:rsidP="001B2CD1">
      <w:pPr>
        <w:spacing w:before="3" w:line="235" w:lineRule="auto"/>
        <w:ind w:left="119" w:right="183" w:firstLine="566"/>
        <w:jc w:val="both"/>
      </w:pPr>
      <w:proofErr w:type="gramStart"/>
      <w:r w:rsidRPr="001B2CD1">
        <w:t xml:space="preserve">Aspek </w:t>
      </w:r>
      <w:r w:rsidRPr="001B2CD1">
        <w:rPr>
          <w:i/>
        </w:rPr>
        <w:t xml:space="preserve">capital </w:t>
      </w:r>
      <w:r w:rsidRPr="001B2CD1">
        <w:t>bank diukur berdasarkan rasio CAR atau rasio kecukupan modal.</w:t>
      </w:r>
      <w:proofErr w:type="gramEnd"/>
      <w:r w:rsidRPr="001B2CD1">
        <w:t xml:space="preserve">  Bank Tabungan Negara (Persero), Tbk memiliki tingkat rasio kecukupan modal yang baik dan masuk ke dalam kategori sangat sehat.  Hal ini menunjukkan bahwa Bank Tabungan Negara (Persero), Tbk</w:t>
      </w:r>
      <w:proofErr w:type="gramStart"/>
      <w:r w:rsidRPr="001B2CD1">
        <w:t>,  menjaga</w:t>
      </w:r>
      <w:proofErr w:type="gramEnd"/>
      <w:r w:rsidRPr="001B2CD1">
        <w:t xml:space="preserve"> dengan baik rasio kecukupan modalnya. Bank Tabungan Negara (Persero), Tbk mengalami penurunan nilai CAR di Tahun 2019.  </w:t>
      </w:r>
      <w:proofErr w:type="gramStart"/>
      <w:r w:rsidRPr="001B2CD1">
        <w:t>Akan tetapi nilai CAR masih masuk ke dalam kategori sangat sehat, sehingga dapat dinyatakan bahwa bank menjaga rasio kecukupan modalnya dengan baik.</w:t>
      </w:r>
      <w:proofErr w:type="gramEnd"/>
      <w:r w:rsidRPr="001B2CD1">
        <w:t xml:space="preserve"> </w:t>
      </w:r>
    </w:p>
    <w:p w:rsidR="001B2CD1" w:rsidRDefault="001B2CD1">
      <w:pPr>
        <w:spacing w:before="3" w:line="235" w:lineRule="auto"/>
        <w:ind w:left="119" w:right="183" w:firstLine="566"/>
        <w:jc w:val="both"/>
      </w:pPr>
    </w:p>
    <w:p w:rsidR="003E4E01" w:rsidRDefault="00CA54B4">
      <w:pPr>
        <w:pStyle w:val="Heading1"/>
        <w:spacing w:before="91"/>
      </w:pPr>
      <w:r>
        <w:t>KESIMPULAN</w:t>
      </w:r>
    </w:p>
    <w:p w:rsidR="005720E4" w:rsidRDefault="005720E4">
      <w:pPr>
        <w:pStyle w:val="Heading2"/>
        <w:spacing w:before="4" w:line="237" w:lineRule="auto"/>
        <w:ind w:right="179"/>
      </w:pPr>
      <w:r>
        <w:t xml:space="preserve">Hasil pengukuran tingkat kesehatan PT. Bank Tabungan Negara (Persero), Tbk dengan metode RGEC menunjukkan bahwa secara </w:t>
      </w:r>
      <w:r>
        <w:rPr>
          <w:i/>
        </w:rPr>
        <w:t xml:space="preserve">risk profile </w:t>
      </w:r>
      <w:r>
        <w:t xml:space="preserve">bank masuk ke dalam kategori sehat meski terjadi peningkatan jumlah kredit bermasalah.  Hasil assessment </w:t>
      </w:r>
      <w:r>
        <w:rPr>
          <w:i/>
        </w:rPr>
        <w:t xml:space="preserve">good corporate governance </w:t>
      </w:r>
      <w:r>
        <w:t xml:space="preserve">menunjukkan bahwa selama tiga tahun berturut-turut bank masuk ke dalam kategori sehat. Dari aspek </w:t>
      </w:r>
      <w:r>
        <w:rPr>
          <w:i/>
        </w:rPr>
        <w:t xml:space="preserve">earnings, </w:t>
      </w:r>
      <w:r>
        <w:t xml:space="preserve">meskipun mengalami penurunan nilai laba bersih, tetapi bank masih mampu bertahan pada kategori sehat.  Pada aspek </w:t>
      </w:r>
      <w:r>
        <w:rPr>
          <w:i/>
        </w:rPr>
        <w:t xml:space="preserve">capital </w:t>
      </w:r>
      <w:r>
        <w:t xml:space="preserve">adanya penurunan nilai CAR tidak menurunkan kriteria kesehatan PT. Bank Tabungan Negara, (Persero), Tbk. </w:t>
      </w:r>
    </w:p>
    <w:p w:rsidR="005720E4" w:rsidRPr="005720E4" w:rsidRDefault="005720E4">
      <w:pPr>
        <w:pStyle w:val="Heading2"/>
        <w:spacing w:before="4" w:line="237" w:lineRule="auto"/>
        <w:ind w:right="179"/>
      </w:pPr>
      <w:r>
        <w:t xml:space="preserve">Hasil pengukuran kesehatan menggunakan metode RGEC menunjukkan adanya aspek-aspek yang perlu diberi perhatian khusus terutama pada aspek </w:t>
      </w:r>
      <w:r>
        <w:rPr>
          <w:i/>
        </w:rPr>
        <w:t xml:space="preserve">risk profile </w:t>
      </w:r>
      <w:r>
        <w:t xml:space="preserve">dan </w:t>
      </w:r>
      <w:r>
        <w:rPr>
          <w:i/>
        </w:rPr>
        <w:t xml:space="preserve">earning, </w:t>
      </w:r>
      <w:r>
        <w:t xml:space="preserve">karena meski masih </w:t>
      </w:r>
      <w:r w:rsidR="00293B93">
        <w:t xml:space="preserve">masuk ke dalam kategori sehat adanya penurunan tingkat kriteria kesehatan bank menunjukkan adanya peningkatan risiko perbankan dan penurunan laba. </w:t>
      </w:r>
    </w:p>
    <w:p w:rsidR="005720E4" w:rsidRPr="005720E4" w:rsidRDefault="005720E4">
      <w:pPr>
        <w:pStyle w:val="Heading2"/>
        <w:spacing w:before="4" w:line="237" w:lineRule="auto"/>
        <w:ind w:right="179"/>
      </w:pPr>
    </w:p>
    <w:p w:rsidR="003E4E01" w:rsidRDefault="003E4E01">
      <w:pPr>
        <w:pStyle w:val="BodyText"/>
        <w:spacing w:before="8"/>
        <w:rPr>
          <w:sz w:val="22"/>
        </w:rPr>
      </w:pPr>
    </w:p>
    <w:p w:rsidR="003E4E01" w:rsidRDefault="00CA54B4">
      <w:pPr>
        <w:spacing w:line="251" w:lineRule="exact"/>
        <w:ind w:left="119"/>
        <w:rPr>
          <w:b/>
        </w:rPr>
      </w:pPr>
      <w:r>
        <w:rPr>
          <w:b/>
        </w:rPr>
        <w:t>DAFTAR PUSTAKA</w:t>
      </w:r>
    </w:p>
    <w:p w:rsidR="00293B93" w:rsidRDefault="00293B93" w:rsidP="00293B93">
      <w:pPr>
        <w:spacing w:before="2" w:line="235" w:lineRule="auto"/>
        <w:ind w:left="720" w:right="180" w:hanging="720"/>
        <w:jc w:val="both"/>
        <w:rPr>
          <w:lang w:val="en-ID"/>
        </w:rPr>
      </w:pPr>
      <w:r w:rsidRPr="00293B93">
        <w:rPr>
          <w:lang w:val="en-ID"/>
        </w:rPr>
        <w:t xml:space="preserve">Arikunto, Suharsimi. </w:t>
      </w:r>
      <w:proofErr w:type="gramStart"/>
      <w:r w:rsidRPr="00293B93">
        <w:rPr>
          <w:lang w:val="en-ID"/>
        </w:rPr>
        <w:t xml:space="preserve">(2014). </w:t>
      </w:r>
      <w:r w:rsidRPr="00293B93">
        <w:rPr>
          <w:i/>
          <w:lang w:val="en-ID"/>
        </w:rPr>
        <w:t>Prosedur Penelitian Suatu Pendekatan Praktik.</w:t>
      </w:r>
      <w:proofErr w:type="gramEnd"/>
      <w:r w:rsidRPr="00293B93">
        <w:rPr>
          <w:i/>
          <w:lang w:val="en-ID"/>
        </w:rPr>
        <w:t xml:space="preserve"> </w:t>
      </w:r>
      <w:r w:rsidRPr="00293B93">
        <w:rPr>
          <w:lang w:val="en-ID"/>
        </w:rPr>
        <w:t xml:space="preserve">Jakarta: Rineka Cipta. </w:t>
      </w:r>
    </w:p>
    <w:p w:rsidR="00293B93" w:rsidRPr="00293B93" w:rsidRDefault="00293B93" w:rsidP="00293B93">
      <w:pPr>
        <w:spacing w:before="2" w:line="235" w:lineRule="auto"/>
        <w:ind w:left="720" w:right="180" w:hanging="720"/>
        <w:jc w:val="both"/>
        <w:rPr>
          <w:lang w:val="en-ID"/>
        </w:rPr>
      </w:pPr>
    </w:p>
    <w:p w:rsidR="00293B93" w:rsidRDefault="00293B93" w:rsidP="00293B93">
      <w:pPr>
        <w:spacing w:before="2" w:line="235" w:lineRule="auto"/>
        <w:ind w:left="720" w:right="180" w:hanging="720"/>
        <w:jc w:val="both"/>
        <w:rPr>
          <w:lang w:val="en-ID"/>
        </w:rPr>
      </w:pPr>
      <w:proofErr w:type="gramStart"/>
      <w:r w:rsidRPr="00293B93">
        <w:rPr>
          <w:lang w:val="en-ID"/>
        </w:rPr>
        <w:t>Fitrawati, M, Saifi dan Zahroh ZA.</w:t>
      </w:r>
      <w:proofErr w:type="gramEnd"/>
      <w:r w:rsidRPr="00293B93">
        <w:rPr>
          <w:lang w:val="en-ID"/>
        </w:rPr>
        <w:t xml:space="preserve"> </w:t>
      </w:r>
      <w:proofErr w:type="gramStart"/>
      <w:r w:rsidRPr="00293B93">
        <w:rPr>
          <w:lang w:val="en-ID"/>
        </w:rPr>
        <w:t>(2016). Penerapan Pendekatan RGEC (</w:t>
      </w:r>
      <w:r w:rsidRPr="00293B93">
        <w:rPr>
          <w:i/>
          <w:lang w:val="en-ID"/>
        </w:rPr>
        <w:t xml:space="preserve">Risk Profile, Good Corporate Governance, Earning </w:t>
      </w:r>
      <w:r w:rsidRPr="00293B93">
        <w:rPr>
          <w:lang w:val="en-ID"/>
        </w:rPr>
        <w:t>dan</w:t>
      </w:r>
      <w:r w:rsidRPr="00293B93">
        <w:rPr>
          <w:i/>
          <w:lang w:val="en-ID"/>
        </w:rPr>
        <w:t xml:space="preserve"> Capital) </w:t>
      </w:r>
      <w:r w:rsidRPr="00293B93">
        <w:rPr>
          <w:lang w:val="en-ID"/>
        </w:rPr>
        <w:t>dalam Menganalisis Kinerja Bank untuk Mengetahui Tingkat Kesehatan Bank (Studi Kasus Pada PT. Bank Tabungan Negara (Persero) Tbk Periode 2013-2015).</w:t>
      </w:r>
      <w:proofErr w:type="gramEnd"/>
      <w:r w:rsidRPr="00293B93">
        <w:rPr>
          <w:lang w:val="en-ID"/>
        </w:rPr>
        <w:t xml:space="preserve">  </w:t>
      </w:r>
      <w:r w:rsidRPr="00293B93">
        <w:rPr>
          <w:i/>
          <w:lang w:val="en-ID"/>
        </w:rPr>
        <w:t>Jurnal Administrasi Bisnis (JAB)</w:t>
      </w:r>
      <w:r w:rsidRPr="00293B93">
        <w:rPr>
          <w:lang w:val="en-ID"/>
        </w:rPr>
        <w:t xml:space="preserve">. </w:t>
      </w:r>
      <w:proofErr w:type="gramStart"/>
      <w:r w:rsidRPr="00293B93">
        <w:rPr>
          <w:lang w:val="en-ID"/>
        </w:rPr>
        <w:t>Vol. 37, No. 1, hal.</w:t>
      </w:r>
      <w:proofErr w:type="gramEnd"/>
      <w:r w:rsidRPr="00293B93">
        <w:rPr>
          <w:lang w:val="en-ID"/>
        </w:rPr>
        <w:t xml:space="preserve"> </w:t>
      </w:r>
      <w:proofErr w:type="gramStart"/>
      <w:r w:rsidRPr="00293B93">
        <w:rPr>
          <w:lang w:val="en-ID"/>
        </w:rPr>
        <w:t>28-36.</w:t>
      </w:r>
      <w:proofErr w:type="gramEnd"/>
    </w:p>
    <w:p w:rsidR="00293B93" w:rsidRPr="00293B93" w:rsidRDefault="00293B93" w:rsidP="00293B93">
      <w:pPr>
        <w:spacing w:before="2" w:line="235" w:lineRule="auto"/>
        <w:ind w:left="720" w:right="180" w:hanging="720"/>
        <w:jc w:val="both"/>
        <w:rPr>
          <w:lang w:val="en-ID"/>
        </w:rPr>
      </w:pPr>
    </w:p>
    <w:p w:rsidR="00293B93" w:rsidRDefault="00293B93" w:rsidP="00293B93">
      <w:pPr>
        <w:spacing w:before="2" w:line="235" w:lineRule="auto"/>
        <w:ind w:left="720" w:right="180" w:hanging="720"/>
        <w:jc w:val="both"/>
        <w:rPr>
          <w:lang w:val="en-ID"/>
        </w:rPr>
      </w:pPr>
      <w:r w:rsidRPr="00293B93">
        <w:rPr>
          <w:lang w:val="en-ID"/>
        </w:rPr>
        <w:t xml:space="preserve">Jaya, I Made Laut Mertha. </w:t>
      </w:r>
      <w:proofErr w:type="gramStart"/>
      <w:r w:rsidRPr="00293B93">
        <w:rPr>
          <w:lang w:val="en-ID"/>
        </w:rPr>
        <w:t>(2018). Analisis Tingkat Kesehatan Bank dengan Metode RGEC pada Bank Umum BUMN yang terdaftar di Bursa Efek Indonesia Tahun 2014-2016.</w:t>
      </w:r>
      <w:proofErr w:type="gramEnd"/>
      <w:r w:rsidRPr="00293B93">
        <w:rPr>
          <w:lang w:val="en-ID"/>
        </w:rPr>
        <w:t xml:space="preserve"> </w:t>
      </w:r>
      <w:proofErr w:type="gramStart"/>
      <w:r w:rsidRPr="00293B93">
        <w:rPr>
          <w:i/>
          <w:lang w:val="en-ID"/>
        </w:rPr>
        <w:t>EBBANK.</w:t>
      </w:r>
      <w:proofErr w:type="gramEnd"/>
      <w:r w:rsidRPr="00293B93">
        <w:rPr>
          <w:i/>
          <w:lang w:val="en-ID"/>
        </w:rPr>
        <w:t xml:space="preserve"> </w:t>
      </w:r>
      <w:proofErr w:type="gramStart"/>
      <w:r w:rsidRPr="00293B93">
        <w:rPr>
          <w:lang w:val="en-ID"/>
        </w:rPr>
        <w:t>Vol. 9, No. 1, hal.</w:t>
      </w:r>
      <w:proofErr w:type="gramEnd"/>
      <w:r w:rsidRPr="00293B93">
        <w:rPr>
          <w:lang w:val="en-ID"/>
        </w:rPr>
        <w:t xml:space="preserve"> </w:t>
      </w:r>
      <w:proofErr w:type="gramStart"/>
      <w:r w:rsidRPr="00293B93">
        <w:rPr>
          <w:lang w:val="en-ID"/>
        </w:rPr>
        <w:t>32-52.</w:t>
      </w:r>
      <w:proofErr w:type="gramEnd"/>
    </w:p>
    <w:p w:rsidR="00293B93" w:rsidRPr="00293B93" w:rsidRDefault="00293B93" w:rsidP="00293B93">
      <w:pPr>
        <w:spacing w:before="2" w:line="235" w:lineRule="auto"/>
        <w:ind w:left="720" w:right="180" w:hanging="720"/>
        <w:jc w:val="both"/>
        <w:rPr>
          <w:lang w:val="en-ID"/>
        </w:rPr>
      </w:pPr>
    </w:p>
    <w:p w:rsidR="00293B93" w:rsidRDefault="00293B93" w:rsidP="00293B93">
      <w:pPr>
        <w:spacing w:before="2" w:line="235" w:lineRule="auto"/>
        <w:ind w:left="720" w:right="180" w:hanging="720"/>
        <w:jc w:val="both"/>
        <w:rPr>
          <w:lang w:val="en-ID"/>
        </w:rPr>
      </w:pPr>
      <w:r w:rsidRPr="00293B93">
        <w:rPr>
          <w:lang w:val="en-ID"/>
        </w:rPr>
        <w:t xml:space="preserve">Purwandari, Fitriana. </w:t>
      </w:r>
      <w:proofErr w:type="gramStart"/>
      <w:r w:rsidRPr="00293B93">
        <w:rPr>
          <w:lang w:val="en-ID"/>
        </w:rPr>
        <w:t xml:space="preserve">(2017). Penilaian Kesehatan Bank dengan Metode RGEC pada PT. Bank Rakyat Indonesia (Persero) Tbk dan Bank Tabungan Negara (Persero) Tbk. </w:t>
      </w:r>
      <w:r w:rsidRPr="00293B93">
        <w:rPr>
          <w:i/>
          <w:lang w:val="en-ID"/>
        </w:rPr>
        <w:t>Jurnal Mahasiswa Prodi Akuntansi Fakultas Ekonomi Universitas Pasir Pengairan.</w:t>
      </w:r>
      <w:proofErr w:type="gramEnd"/>
      <w:r w:rsidRPr="00293B93">
        <w:rPr>
          <w:i/>
          <w:lang w:val="en-ID"/>
        </w:rPr>
        <w:t xml:space="preserve"> </w:t>
      </w:r>
      <w:proofErr w:type="gramStart"/>
      <w:r w:rsidRPr="00293B93">
        <w:rPr>
          <w:lang w:val="en-ID"/>
        </w:rPr>
        <w:t>Vol. 3, No. 2, hal.</w:t>
      </w:r>
      <w:proofErr w:type="gramEnd"/>
      <w:r w:rsidRPr="00293B93">
        <w:rPr>
          <w:lang w:val="en-ID"/>
        </w:rPr>
        <w:t xml:space="preserve"> </w:t>
      </w:r>
      <w:proofErr w:type="gramStart"/>
      <w:r w:rsidRPr="00293B93">
        <w:rPr>
          <w:lang w:val="en-ID"/>
        </w:rPr>
        <w:t>1-8.</w:t>
      </w:r>
      <w:proofErr w:type="gramEnd"/>
    </w:p>
    <w:p w:rsidR="00293B93" w:rsidRPr="00293B93" w:rsidRDefault="00293B93" w:rsidP="00293B93">
      <w:pPr>
        <w:spacing w:before="2" w:line="235" w:lineRule="auto"/>
        <w:ind w:left="720" w:right="180" w:hanging="720"/>
        <w:jc w:val="both"/>
        <w:rPr>
          <w:lang w:val="en-ID"/>
        </w:rPr>
      </w:pPr>
    </w:p>
    <w:p w:rsidR="00293B93" w:rsidRDefault="00293B93" w:rsidP="00293B93">
      <w:pPr>
        <w:spacing w:before="2" w:line="235" w:lineRule="auto"/>
        <w:ind w:left="720" w:right="180" w:hanging="720"/>
        <w:jc w:val="both"/>
        <w:rPr>
          <w:lang w:val="en-ID"/>
        </w:rPr>
      </w:pPr>
      <w:proofErr w:type="gramStart"/>
      <w:r w:rsidRPr="00293B93">
        <w:rPr>
          <w:lang w:val="en-ID"/>
        </w:rPr>
        <w:t>Putri, P. A.C dan A.A. Gede Suarjaya.</w:t>
      </w:r>
      <w:proofErr w:type="gramEnd"/>
      <w:r w:rsidRPr="00293B93">
        <w:rPr>
          <w:lang w:val="en-ID"/>
        </w:rPr>
        <w:t xml:space="preserve"> </w:t>
      </w:r>
      <w:proofErr w:type="gramStart"/>
      <w:r w:rsidRPr="00293B93">
        <w:rPr>
          <w:lang w:val="en-ID"/>
        </w:rPr>
        <w:t xml:space="preserve">(2017). Analisis Tingkat Kesehatan Bank dengan Metode RGEC pada PT. Bank Tabungan Negara (Persero) Tbk. </w:t>
      </w:r>
      <w:r w:rsidRPr="00293B93">
        <w:rPr>
          <w:i/>
          <w:lang w:val="en-ID"/>
        </w:rPr>
        <w:t>E-Jurnal Manajemen Unud.</w:t>
      </w:r>
      <w:proofErr w:type="gramEnd"/>
      <w:r w:rsidRPr="00293B93">
        <w:rPr>
          <w:i/>
          <w:lang w:val="en-ID"/>
        </w:rPr>
        <w:t xml:space="preserve"> </w:t>
      </w:r>
      <w:proofErr w:type="gramStart"/>
      <w:r w:rsidRPr="00293B93">
        <w:rPr>
          <w:lang w:val="en-ID"/>
        </w:rPr>
        <w:t>Vol. 6, No.7, hal.</w:t>
      </w:r>
      <w:proofErr w:type="gramEnd"/>
      <w:r w:rsidRPr="00293B93">
        <w:rPr>
          <w:lang w:val="en-ID"/>
        </w:rPr>
        <w:t xml:space="preserve"> 3595-3621.</w:t>
      </w:r>
    </w:p>
    <w:p w:rsidR="00293B93" w:rsidRPr="00293B93" w:rsidRDefault="00293B93" w:rsidP="00293B93">
      <w:pPr>
        <w:spacing w:before="2" w:line="235" w:lineRule="auto"/>
        <w:ind w:left="720" w:right="180" w:hanging="720"/>
        <w:jc w:val="both"/>
        <w:rPr>
          <w:lang w:val="en-ID"/>
        </w:rPr>
      </w:pPr>
    </w:p>
    <w:p w:rsidR="00293B93" w:rsidRDefault="00293B93" w:rsidP="00293B93">
      <w:pPr>
        <w:spacing w:before="2" w:line="235" w:lineRule="auto"/>
        <w:ind w:left="720" w:right="180" w:hanging="720"/>
        <w:jc w:val="both"/>
        <w:rPr>
          <w:lang w:val="en-ID"/>
        </w:rPr>
      </w:pPr>
      <w:r w:rsidRPr="00293B93">
        <w:rPr>
          <w:lang w:val="en-ID"/>
        </w:rPr>
        <w:t xml:space="preserve">Rahman, T.A, Nengah S dan Zahroh, ZA. </w:t>
      </w:r>
      <w:proofErr w:type="gramStart"/>
      <w:r w:rsidRPr="00293B93">
        <w:rPr>
          <w:lang w:val="en-ID"/>
        </w:rPr>
        <w:t xml:space="preserve">(2016). Analisis Kinerja Perbankan dengan Pendekatan </w:t>
      </w:r>
      <w:r w:rsidRPr="00293B93">
        <w:rPr>
          <w:lang w:val="en-ID"/>
        </w:rPr>
        <w:lastRenderedPageBreak/>
        <w:t>RGEC (</w:t>
      </w:r>
      <w:r w:rsidRPr="00293B93">
        <w:rPr>
          <w:i/>
          <w:lang w:val="en-ID"/>
        </w:rPr>
        <w:t xml:space="preserve">Risk Profile, Good Corporate Governance, Earning and Capital) </w:t>
      </w:r>
      <w:r w:rsidRPr="00293B93">
        <w:rPr>
          <w:lang w:val="en-ID"/>
        </w:rPr>
        <w:t>untuk mengetahui Tingkat Kesehatan Bank (Studi Pada Bank BUMN dan Bank Pembangunan Daerah Periode 2012 – 2014).</w:t>
      </w:r>
      <w:proofErr w:type="gramEnd"/>
      <w:r w:rsidRPr="00293B93">
        <w:rPr>
          <w:lang w:val="en-ID"/>
        </w:rPr>
        <w:t xml:space="preserve"> </w:t>
      </w:r>
      <w:r w:rsidRPr="00293B93">
        <w:rPr>
          <w:i/>
          <w:lang w:val="en-ID"/>
        </w:rPr>
        <w:t>Jurnal Administrasi Bisnis (JAB)</w:t>
      </w:r>
      <w:r w:rsidRPr="00293B93">
        <w:rPr>
          <w:lang w:val="en-ID"/>
        </w:rPr>
        <w:t xml:space="preserve">. </w:t>
      </w:r>
      <w:proofErr w:type="gramStart"/>
      <w:r w:rsidRPr="00293B93">
        <w:rPr>
          <w:lang w:val="en-ID"/>
        </w:rPr>
        <w:t>Vol. 35, No. 1, hal.</w:t>
      </w:r>
      <w:proofErr w:type="gramEnd"/>
      <w:r w:rsidRPr="00293B93">
        <w:rPr>
          <w:lang w:val="en-ID"/>
        </w:rPr>
        <w:t xml:space="preserve"> </w:t>
      </w:r>
      <w:proofErr w:type="gramStart"/>
      <w:r w:rsidRPr="00293B93">
        <w:rPr>
          <w:lang w:val="en-ID"/>
        </w:rPr>
        <w:t>96-103.</w:t>
      </w:r>
      <w:proofErr w:type="gramEnd"/>
    </w:p>
    <w:p w:rsidR="00293B93" w:rsidRPr="00293B93" w:rsidRDefault="00293B93" w:rsidP="00293B93">
      <w:pPr>
        <w:spacing w:before="2" w:line="235" w:lineRule="auto"/>
        <w:ind w:left="720" w:right="180" w:hanging="720"/>
        <w:jc w:val="both"/>
        <w:rPr>
          <w:lang w:val="en-ID"/>
        </w:rPr>
      </w:pPr>
    </w:p>
    <w:p w:rsidR="00293B93" w:rsidRDefault="00293B93" w:rsidP="00293B93">
      <w:pPr>
        <w:spacing w:before="2" w:line="235" w:lineRule="auto"/>
        <w:ind w:left="720" w:right="180" w:hanging="720"/>
        <w:jc w:val="both"/>
        <w:rPr>
          <w:lang w:val="en-ID"/>
        </w:rPr>
      </w:pPr>
      <w:proofErr w:type="gramStart"/>
      <w:r w:rsidRPr="00293B93">
        <w:rPr>
          <w:lang w:val="en-ID"/>
        </w:rPr>
        <w:t>Shinta, Nur dan Indra Wijaya.</w:t>
      </w:r>
      <w:proofErr w:type="gramEnd"/>
      <w:r w:rsidRPr="00293B93">
        <w:rPr>
          <w:lang w:val="en-ID"/>
        </w:rPr>
        <w:t xml:space="preserve"> </w:t>
      </w:r>
      <w:proofErr w:type="gramStart"/>
      <w:r w:rsidRPr="00293B93">
        <w:rPr>
          <w:lang w:val="en-ID"/>
        </w:rPr>
        <w:t>(2016). Analisis Tingkat Kesehatan Keuangan Perbankan menggunakan Metode RGEC (Studi Kasus Pada Bank BUMN Periode 2011-2014).</w:t>
      </w:r>
      <w:proofErr w:type="gramEnd"/>
      <w:r w:rsidRPr="00293B93">
        <w:rPr>
          <w:lang w:val="en-ID"/>
        </w:rPr>
        <w:t xml:space="preserve"> </w:t>
      </w:r>
      <w:r w:rsidRPr="00293B93">
        <w:rPr>
          <w:i/>
          <w:lang w:val="en-ID"/>
        </w:rPr>
        <w:t xml:space="preserve">Jurnal Mahasiswa Bina Insani. </w:t>
      </w:r>
      <w:proofErr w:type="gramStart"/>
      <w:r w:rsidRPr="00293B93">
        <w:rPr>
          <w:lang w:val="en-ID"/>
        </w:rPr>
        <w:t>Vol. 1, No.1, hal.</w:t>
      </w:r>
      <w:proofErr w:type="gramEnd"/>
      <w:r w:rsidRPr="00293B93">
        <w:rPr>
          <w:lang w:val="en-ID"/>
        </w:rPr>
        <w:t xml:space="preserve"> </w:t>
      </w:r>
      <w:proofErr w:type="gramStart"/>
      <w:r w:rsidRPr="00293B93">
        <w:rPr>
          <w:lang w:val="en-ID"/>
        </w:rPr>
        <w:t>62-76.</w:t>
      </w:r>
      <w:proofErr w:type="gramEnd"/>
    </w:p>
    <w:p w:rsidR="00293B93" w:rsidRPr="00293B93" w:rsidRDefault="00293B93" w:rsidP="00293B93">
      <w:pPr>
        <w:spacing w:before="2" w:line="235" w:lineRule="auto"/>
        <w:ind w:left="720" w:right="180" w:hanging="720"/>
        <w:jc w:val="both"/>
        <w:rPr>
          <w:lang w:val="en-ID"/>
        </w:rPr>
      </w:pPr>
    </w:p>
    <w:p w:rsidR="00293B93" w:rsidRPr="00293B93" w:rsidRDefault="00293B93" w:rsidP="00293B93">
      <w:pPr>
        <w:spacing w:before="2" w:line="235" w:lineRule="auto"/>
        <w:ind w:left="720" w:right="180" w:hanging="720"/>
        <w:jc w:val="both"/>
      </w:pPr>
      <w:proofErr w:type="gramStart"/>
      <w:r w:rsidRPr="00293B93">
        <w:t>Sugiyono.</w:t>
      </w:r>
      <w:proofErr w:type="gramEnd"/>
      <w:r w:rsidRPr="00293B93">
        <w:t xml:space="preserve"> (2016)</w:t>
      </w:r>
      <w:r w:rsidRPr="00293B93">
        <w:rPr>
          <w:i/>
          <w:iCs/>
        </w:rPr>
        <w:t>. Metode Penelitian Kuantitatif, Kualitatif dan R&amp;D</w:t>
      </w:r>
      <w:r w:rsidRPr="00293B93">
        <w:t>. Bandung: Alfabeta.</w:t>
      </w:r>
    </w:p>
    <w:p w:rsidR="00293B93" w:rsidRDefault="00293B93">
      <w:pPr>
        <w:spacing w:before="2" w:line="235" w:lineRule="auto"/>
        <w:ind w:left="119" w:right="180" w:firstLine="566"/>
        <w:jc w:val="both"/>
      </w:pPr>
    </w:p>
    <w:p w:rsidR="00293B93" w:rsidRDefault="00293B93">
      <w:pPr>
        <w:spacing w:before="2" w:line="235" w:lineRule="auto"/>
        <w:ind w:left="119" w:right="180" w:firstLine="566"/>
        <w:jc w:val="both"/>
      </w:pPr>
    </w:p>
    <w:p w:rsidR="00293B93" w:rsidRDefault="00293B93">
      <w:pPr>
        <w:spacing w:before="2" w:line="235" w:lineRule="auto"/>
        <w:ind w:left="119" w:right="180" w:firstLine="566"/>
        <w:jc w:val="both"/>
      </w:pPr>
    </w:p>
    <w:p w:rsidR="00293B93" w:rsidRDefault="00293B93">
      <w:pPr>
        <w:spacing w:before="2" w:line="235" w:lineRule="auto"/>
        <w:ind w:left="119" w:right="180" w:firstLine="566"/>
        <w:jc w:val="both"/>
      </w:pPr>
    </w:p>
    <w:p w:rsidR="003E4E01" w:rsidRDefault="003E4E01">
      <w:pPr>
        <w:spacing w:line="225" w:lineRule="exact"/>
        <w:jc w:val="center"/>
        <w:rPr>
          <w:sz w:val="20"/>
        </w:rPr>
        <w:sectPr w:rsidR="003E4E01">
          <w:headerReference w:type="default" r:id="rId10"/>
          <w:footerReference w:type="even" r:id="rId11"/>
          <w:footerReference w:type="default" r:id="rId12"/>
          <w:pgSz w:w="11900" w:h="16840"/>
          <w:pgMar w:top="1580" w:right="1520" w:bottom="720" w:left="1580" w:header="333" w:footer="535" w:gutter="0"/>
          <w:cols w:space="720"/>
        </w:sectPr>
      </w:pPr>
    </w:p>
    <w:p w:rsidR="003E4E01" w:rsidRDefault="003E4E01" w:rsidP="00293B93">
      <w:pPr>
        <w:pStyle w:val="BodyText"/>
        <w:spacing w:line="232" w:lineRule="auto"/>
        <w:ind w:left="1821" w:right="707" w:hanging="874"/>
      </w:pPr>
    </w:p>
    <w:sectPr w:rsidR="003E4E01">
      <w:type w:val="continuous"/>
      <w:pgSz w:w="11900" w:h="16840"/>
      <w:pgMar w:top="1580" w:right="1520" w:bottom="72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45" w:rsidRDefault="008D1545">
      <w:r>
        <w:separator/>
      </w:r>
    </w:p>
  </w:endnote>
  <w:endnote w:type="continuationSeparator" w:id="0">
    <w:p w:rsidR="008D1545" w:rsidRDefault="008D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01" w:rsidRDefault="00DC053C">
    <w:pPr>
      <w:pStyle w:val="BodyText"/>
      <w:spacing w:line="14" w:lineRule="auto"/>
      <w:rPr>
        <w:sz w:val="20"/>
      </w:rPr>
    </w:pPr>
    <w:r>
      <w:rPr>
        <w:noProof/>
      </w:rPr>
      <mc:AlternateContent>
        <mc:Choice Requires="wps">
          <w:drawing>
            <wp:anchor distT="0" distB="0" distL="114300" distR="114300" simplePos="0" relativeHeight="487422464" behindDoc="1" locked="0" layoutInCell="1" allowOverlap="1">
              <wp:simplePos x="0" y="0"/>
              <wp:positionH relativeFrom="page">
                <wp:posOffset>876300</wp:posOffset>
              </wp:positionH>
              <wp:positionV relativeFrom="page">
                <wp:posOffset>10212705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01" w:rsidRDefault="00CA54B4">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0B0B43">
                            <w:rPr>
                              <w:rFonts w:ascii="Carlito"/>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pt;margin-top:804.15pt;width:11.05pt;height:12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VjrA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" filled="f" stroked="f">
              <v:textbox inset="0,0,0,0">
                <w:txbxContent>
                  <w:p w:rsidR="003E4E01" w:rsidRDefault="00CA54B4">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0B0B43">
                      <w:rPr>
                        <w:rFonts w:ascii="Carlito"/>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01" w:rsidRDefault="00DC053C">
    <w:pPr>
      <w:pStyle w:val="BodyText"/>
      <w:spacing w:line="14" w:lineRule="auto"/>
      <w:rPr>
        <w:sz w:val="20"/>
      </w:rPr>
    </w:pPr>
    <w:r>
      <w:rPr>
        <w:noProof/>
      </w:rPr>
      <mc:AlternateContent>
        <mc:Choice Requires="wps">
          <w:drawing>
            <wp:anchor distT="0" distB="0" distL="114300" distR="114300" simplePos="0" relativeHeight="487421952" behindDoc="1" locked="0" layoutInCell="1" allowOverlap="1">
              <wp:simplePos x="0" y="0"/>
              <wp:positionH relativeFrom="page">
                <wp:posOffset>6540500</wp:posOffset>
              </wp:positionH>
              <wp:positionV relativeFrom="page">
                <wp:posOffset>10212705</wp:posOffset>
              </wp:positionV>
              <wp:extent cx="14033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01" w:rsidRDefault="00CA54B4">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0B0B43">
                            <w:rPr>
                              <w:rFonts w:ascii="Carlito"/>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5pt;margin-top:804.15pt;width:11.05pt;height:12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aNrwIAAK8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" filled="f" stroked="f">
              <v:textbox inset="0,0,0,0">
                <w:txbxContent>
                  <w:p w:rsidR="003E4E01" w:rsidRDefault="00CA54B4">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0B0B43">
                      <w:rPr>
                        <w:rFonts w:ascii="Carlito"/>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45" w:rsidRDefault="008D1545">
      <w:r>
        <w:separator/>
      </w:r>
    </w:p>
  </w:footnote>
  <w:footnote w:type="continuationSeparator" w:id="0">
    <w:p w:rsidR="008D1545" w:rsidRDefault="008D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01" w:rsidRDefault="003E4E0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B658D5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0000016"/>
    <w:multiLevelType w:val="hybridMultilevel"/>
    <w:tmpl w:val="0E8ED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01"/>
    <w:rsid w:val="000B0B43"/>
    <w:rsid w:val="001351A8"/>
    <w:rsid w:val="001740D2"/>
    <w:rsid w:val="001B2CD1"/>
    <w:rsid w:val="00293B93"/>
    <w:rsid w:val="002F24D2"/>
    <w:rsid w:val="003E4E01"/>
    <w:rsid w:val="003F439B"/>
    <w:rsid w:val="005720E4"/>
    <w:rsid w:val="0079158E"/>
    <w:rsid w:val="007963DA"/>
    <w:rsid w:val="008D1545"/>
    <w:rsid w:val="00B936AA"/>
    <w:rsid w:val="00CA54B4"/>
    <w:rsid w:val="00DC053C"/>
    <w:rsid w:val="00E4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rPr>
  </w:style>
  <w:style w:type="paragraph" w:styleId="Heading2">
    <w:name w:val="heading 2"/>
    <w:basedOn w:val="Normal"/>
    <w:uiPriority w:val="1"/>
    <w:qFormat/>
    <w:pPr>
      <w:spacing w:before="2"/>
      <w:ind w:left="119" w:right="152" w:firstLine="566"/>
      <w:jc w:val="both"/>
      <w:outlineLvl w:val="1"/>
    </w:pPr>
  </w:style>
  <w:style w:type="paragraph" w:styleId="Heading3">
    <w:name w:val="heading 3"/>
    <w:basedOn w:val="Normal"/>
    <w:uiPriority w:val="1"/>
    <w:qFormat/>
    <w:pPr>
      <w:ind w:left="1827" w:right="1885"/>
      <w:jc w:val="center"/>
      <w:outlineLvl w:val="2"/>
    </w:pPr>
    <w:rPr>
      <w:i/>
      <w:u w:val="single" w:color="000000"/>
    </w:rPr>
  </w:style>
  <w:style w:type="paragraph" w:styleId="Heading4">
    <w:name w:val="heading 4"/>
    <w:basedOn w:val="Normal"/>
    <w:uiPriority w:val="1"/>
    <w:qFormat/>
    <w:pPr>
      <w:spacing w:line="225" w:lineRule="exact"/>
      <w:ind w:left="123" w:right="185"/>
      <w:jc w:val="center"/>
      <w:outlineLvl w:val="3"/>
    </w:pPr>
    <w:rPr>
      <w:b/>
      <w:bCs/>
      <w:sz w:val="20"/>
      <w:szCs w:val="20"/>
    </w:rPr>
  </w:style>
  <w:style w:type="paragraph" w:styleId="Heading5">
    <w:name w:val="heading 5"/>
    <w:basedOn w:val="Normal"/>
    <w:uiPriority w:val="1"/>
    <w:qFormat/>
    <w:pPr>
      <w:ind w:left="60"/>
      <w:outlineLvl w:val="4"/>
    </w:pPr>
    <w:rPr>
      <w:sz w:val="20"/>
      <w:szCs w:val="20"/>
    </w:rPr>
  </w:style>
  <w:style w:type="paragraph" w:styleId="Heading6">
    <w:name w:val="heading 6"/>
    <w:basedOn w:val="Normal"/>
    <w:uiPriority w:val="1"/>
    <w:qFormat/>
    <w:pPr>
      <w:spacing w:line="204" w:lineRule="exact"/>
      <w:ind w:left="239"/>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98"/>
      <w:ind w:left="1264" w:right="1325" w:hanging="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8" w:lineRule="exact"/>
      <w:ind w:left="299"/>
    </w:pPr>
  </w:style>
  <w:style w:type="character" w:styleId="Hyperlink">
    <w:name w:val="Hyperlink"/>
    <w:basedOn w:val="DefaultParagraphFont"/>
    <w:uiPriority w:val="99"/>
    <w:unhideWhenUsed/>
    <w:rsid w:val="00B936AA"/>
    <w:rPr>
      <w:color w:val="0000FF" w:themeColor="hyperlink"/>
      <w:u w:val="single"/>
    </w:rPr>
  </w:style>
  <w:style w:type="table" w:styleId="TableGrid">
    <w:name w:val="Table Grid"/>
    <w:basedOn w:val="TableNormal"/>
    <w:uiPriority w:val="59"/>
    <w:rsid w:val="00791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58E"/>
    <w:rPr>
      <w:rFonts w:ascii="Tahoma" w:hAnsi="Tahoma" w:cs="Tahoma"/>
      <w:sz w:val="16"/>
      <w:szCs w:val="16"/>
    </w:rPr>
  </w:style>
  <w:style w:type="character" w:customStyle="1" w:styleId="BalloonTextChar">
    <w:name w:val="Balloon Text Char"/>
    <w:basedOn w:val="DefaultParagraphFont"/>
    <w:link w:val="BalloonText"/>
    <w:uiPriority w:val="99"/>
    <w:semiHidden/>
    <w:rsid w:val="0079158E"/>
    <w:rPr>
      <w:rFonts w:ascii="Tahoma" w:eastAsia="Times New Roman" w:hAnsi="Tahoma" w:cs="Tahoma"/>
      <w:sz w:val="16"/>
      <w:szCs w:val="16"/>
    </w:rPr>
  </w:style>
  <w:style w:type="paragraph" w:styleId="Header">
    <w:name w:val="header"/>
    <w:basedOn w:val="Normal"/>
    <w:link w:val="HeaderChar"/>
    <w:uiPriority w:val="99"/>
    <w:unhideWhenUsed/>
    <w:rsid w:val="000B0B43"/>
    <w:pPr>
      <w:tabs>
        <w:tab w:val="center" w:pos="4680"/>
        <w:tab w:val="right" w:pos="9360"/>
      </w:tabs>
    </w:pPr>
  </w:style>
  <w:style w:type="character" w:customStyle="1" w:styleId="HeaderChar">
    <w:name w:val="Header Char"/>
    <w:basedOn w:val="DefaultParagraphFont"/>
    <w:link w:val="Header"/>
    <w:uiPriority w:val="99"/>
    <w:rsid w:val="000B0B43"/>
    <w:rPr>
      <w:rFonts w:ascii="Times New Roman" w:eastAsia="Times New Roman" w:hAnsi="Times New Roman" w:cs="Times New Roman"/>
    </w:rPr>
  </w:style>
  <w:style w:type="paragraph" w:styleId="Footer">
    <w:name w:val="footer"/>
    <w:basedOn w:val="Normal"/>
    <w:link w:val="FooterChar"/>
    <w:uiPriority w:val="99"/>
    <w:unhideWhenUsed/>
    <w:rsid w:val="000B0B43"/>
    <w:pPr>
      <w:tabs>
        <w:tab w:val="center" w:pos="4680"/>
        <w:tab w:val="right" w:pos="9360"/>
      </w:tabs>
    </w:pPr>
  </w:style>
  <w:style w:type="character" w:customStyle="1" w:styleId="FooterChar">
    <w:name w:val="Footer Char"/>
    <w:basedOn w:val="DefaultParagraphFont"/>
    <w:link w:val="Footer"/>
    <w:uiPriority w:val="99"/>
    <w:rsid w:val="000B0B4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rPr>
  </w:style>
  <w:style w:type="paragraph" w:styleId="Heading2">
    <w:name w:val="heading 2"/>
    <w:basedOn w:val="Normal"/>
    <w:uiPriority w:val="1"/>
    <w:qFormat/>
    <w:pPr>
      <w:spacing w:before="2"/>
      <w:ind w:left="119" w:right="152" w:firstLine="566"/>
      <w:jc w:val="both"/>
      <w:outlineLvl w:val="1"/>
    </w:pPr>
  </w:style>
  <w:style w:type="paragraph" w:styleId="Heading3">
    <w:name w:val="heading 3"/>
    <w:basedOn w:val="Normal"/>
    <w:uiPriority w:val="1"/>
    <w:qFormat/>
    <w:pPr>
      <w:ind w:left="1827" w:right="1885"/>
      <w:jc w:val="center"/>
      <w:outlineLvl w:val="2"/>
    </w:pPr>
    <w:rPr>
      <w:i/>
      <w:u w:val="single" w:color="000000"/>
    </w:rPr>
  </w:style>
  <w:style w:type="paragraph" w:styleId="Heading4">
    <w:name w:val="heading 4"/>
    <w:basedOn w:val="Normal"/>
    <w:uiPriority w:val="1"/>
    <w:qFormat/>
    <w:pPr>
      <w:spacing w:line="225" w:lineRule="exact"/>
      <w:ind w:left="123" w:right="185"/>
      <w:jc w:val="center"/>
      <w:outlineLvl w:val="3"/>
    </w:pPr>
    <w:rPr>
      <w:b/>
      <w:bCs/>
      <w:sz w:val="20"/>
      <w:szCs w:val="20"/>
    </w:rPr>
  </w:style>
  <w:style w:type="paragraph" w:styleId="Heading5">
    <w:name w:val="heading 5"/>
    <w:basedOn w:val="Normal"/>
    <w:uiPriority w:val="1"/>
    <w:qFormat/>
    <w:pPr>
      <w:ind w:left="60"/>
      <w:outlineLvl w:val="4"/>
    </w:pPr>
    <w:rPr>
      <w:sz w:val="20"/>
      <w:szCs w:val="20"/>
    </w:rPr>
  </w:style>
  <w:style w:type="paragraph" w:styleId="Heading6">
    <w:name w:val="heading 6"/>
    <w:basedOn w:val="Normal"/>
    <w:uiPriority w:val="1"/>
    <w:qFormat/>
    <w:pPr>
      <w:spacing w:line="204" w:lineRule="exact"/>
      <w:ind w:left="239"/>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98"/>
      <w:ind w:left="1264" w:right="1325" w:hanging="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8" w:lineRule="exact"/>
      <w:ind w:left="299"/>
    </w:pPr>
  </w:style>
  <w:style w:type="character" w:styleId="Hyperlink">
    <w:name w:val="Hyperlink"/>
    <w:basedOn w:val="DefaultParagraphFont"/>
    <w:uiPriority w:val="99"/>
    <w:unhideWhenUsed/>
    <w:rsid w:val="00B936AA"/>
    <w:rPr>
      <w:color w:val="0000FF" w:themeColor="hyperlink"/>
      <w:u w:val="single"/>
    </w:rPr>
  </w:style>
  <w:style w:type="table" w:styleId="TableGrid">
    <w:name w:val="Table Grid"/>
    <w:basedOn w:val="TableNormal"/>
    <w:uiPriority w:val="59"/>
    <w:rsid w:val="00791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58E"/>
    <w:rPr>
      <w:rFonts w:ascii="Tahoma" w:hAnsi="Tahoma" w:cs="Tahoma"/>
      <w:sz w:val="16"/>
      <w:szCs w:val="16"/>
    </w:rPr>
  </w:style>
  <w:style w:type="character" w:customStyle="1" w:styleId="BalloonTextChar">
    <w:name w:val="Balloon Text Char"/>
    <w:basedOn w:val="DefaultParagraphFont"/>
    <w:link w:val="BalloonText"/>
    <w:uiPriority w:val="99"/>
    <w:semiHidden/>
    <w:rsid w:val="0079158E"/>
    <w:rPr>
      <w:rFonts w:ascii="Tahoma" w:eastAsia="Times New Roman" w:hAnsi="Tahoma" w:cs="Tahoma"/>
      <w:sz w:val="16"/>
      <w:szCs w:val="16"/>
    </w:rPr>
  </w:style>
  <w:style w:type="paragraph" w:styleId="Header">
    <w:name w:val="header"/>
    <w:basedOn w:val="Normal"/>
    <w:link w:val="HeaderChar"/>
    <w:uiPriority w:val="99"/>
    <w:unhideWhenUsed/>
    <w:rsid w:val="000B0B43"/>
    <w:pPr>
      <w:tabs>
        <w:tab w:val="center" w:pos="4680"/>
        <w:tab w:val="right" w:pos="9360"/>
      </w:tabs>
    </w:pPr>
  </w:style>
  <w:style w:type="character" w:customStyle="1" w:styleId="HeaderChar">
    <w:name w:val="Header Char"/>
    <w:basedOn w:val="DefaultParagraphFont"/>
    <w:link w:val="Header"/>
    <w:uiPriority w:val="99"/>
    <w:rsid w:val="000B0B43"/>
    <w:rPr>
      <w:rFonts w:ascii="Times New Roman" w:eastAsia="Times New Roman" w:hAnsi="Times New Roman" w:cs="Times New Roman"/>
    </w:rPr>
  </w:style>
  <w:style w:type="paragraph" w:styleId="Footer">
    <w:name w:val="footer"/>
    <w:basedOn w:val="Normal"/>
    <w:link w:val="FooterChar"/>
    <w:uiPriority w:val="99"/>
    <w:unhideWhenUsed/>
    <w:rsid w:val="000B0B43"/>
    <w:pPr>
      <w:tabs>
        <w:tab w:val="center" w:pos="4680"/>
        <w:tab w:val="right" w:pos="9360"/>
      </w:tabs>
    </w:pPr>
  </w:style>
  <w:style w:type="character" w:customStyle="1" w:styleId="FooterChar">
    <w:name w:val="Footer Char"/>
    <w:basedOn w:val="DefaultParagraphFont"/>
    <w:link w:val="Footer"/>
    <w:uiPriority w:val="99"/>
    <w:rsid w:val="000B0B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75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andreasbagus96@Gmail.com%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C258-C94C-47C7-A391-EA92FF50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5</cp:revision>
  <cp:lastPrinted>2021-07-25T04:53:00Z</cp:lastPrinted>
  <dcterms:created xsi:type="dcterms:W3CDTF">2021-07-25T04:53:00Z</dcterms:created>
  <dcterms:modified xsi:type="dcterms:W3CDTF">2021-07-28T13:50:00Z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2010</vt:lpwstr>
  </property>
  <property fmtid="{D5CDD505-2E9C-101B-9397-08002B2CF9AE}" pid="4" name="LastSaved">
    <vt:filetime>2021-07-24T00:00:00Z</vt:filetime>
  </property>
</Properties>
</file>