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1B" w:rsidRDefault="00582E1B" w:rsidP="00582E1B">
      <w:pPr>
        <w:spacing w:line="240" w:lineRule="auto"/>
        <w:ind w:firstLine="0"/>
        <w:jc w:val="center"/>
        <w:rPr>
          <w:b/>
        </w:rPr>
      </w:pPr>
      <w:r>
        <w:rPr>
          <w:b/>
        </w:rPr>
        <w:t>PENGARUH PROFITABILITAS DAN LIKUIDITAS TERHADAP KEBIJAKAN DIVIDEN PADA PERUSAHAAN MANUFAKTUR SUB SEKTOR FARMASI YANG TERDAFTAR DI BURSA EFEK INDONESIA TAHUN 2016-2020</w:t>
      </w:r>
    </w:p>
    <w:p w:rsidR="00582E1B" w:rsidRDefault="00582E1B" w:rsidP="00582E1B">
      <w:pPr>
        <w:spacing w:line="240" w:lineRule="auto"/>
      </w:pPr>
    </w:p>
    <w:p w:rsidR="00582E1B" w:rsidRDefault="00582E1B" w:rsidP="00582E1B">
      <w:pPr>
        <w:spacing w:line="240" w:lineRule="auto"/>
        <w:jc w:val="center"/>
        <w:rPr>
          <w:b/>
        </w:rPr>
      </w:pPr>
      <w:r>
        <w:rPr>
          <w:b/>
        </w:rPr>
        <w:t>Haniva Rawa Dore</w:t>
      </w:r>
    </w:p>
    <w:p w:rsidR="00582E1B" w:rsidRPr="00582E1B" w:rsidRDefault="00582E1B" w:rsidP="00582E1B">
      <w:pPr>
        <w:spacing w:line="240" w:lineRule="auto"/>
        <w:jc w:val="center"/>
      </w:pPr>
      <w:r w:rsidRPr="00582E1B">
        <w:t>Program Studi Akuntansi Fakultas Ekonomi</w:t>
      </w:r>
    </w:p>
    <w:p w:rsidR="00582E1B" w:rsidRPr="00582E1B" w:rsidRDefault="00582E1B" w:rsidP="00582E1B">
      <w:pPr>
        <w:spacing w:line="240" w:lineRule="auto"/>
        <w:jc w:val="center"/>
      </w:pPr>
      <w:r w:rsidRPr="00582E1B">
        <w:t>Universitas Mercu Buana Yogyakarta</w:t>
      </w:r>
    </w:p>
    <w:p w:rsidR="00582E1B" w:rsidRPr="00582E1B" w:rsidRDefault="008872EB" w:rsidP="00582E1B">
      <w:pPr>
        <w:spacing w:line="240" w:lineRule="auto"/>
        <w:jc w:val="center"/>
        <w:rPr>
          <w:u w:val="single"/>
        </w:rPr>
      </w:pPr>
      <w:hyperlink r:id="rId5" w:history="1">
        <w:r w:rsidR="00582E1B" w:rsidRPr="00582E1B">
          <w:rPr>
            <w:rStyle w:val="Hyperlink"/>
          </w:rPr>
          <w:t>hanivadore@gmail.com</w:t>
        </w:r>
      </w:hyperlink>
    </w:p>
    <w:p w:rsidR="00582E1B" w:rsidRPr="00582E1B" w:rsidRDefault="00582E1B" w:rsidP="00582E1B">
      <w:pPr>
        <w:spacing w:line="240" w:lineRule="auto"/>
        <w:jc w:val="center"/>
        <w:rPr>
          <w:u w:val="single"/>
        </w:rPr>
      </w:pPr>
    </w:p>
    <w:p w:rsidR="00582E1B" w:rsidRDefault="00582E1B" w:rsidP="00582E1B">
      <w:pPr>
        <w:pStyle w:val="Heading1"/>
        <w:jc w:val="center"/>
        <w:rPr>
          <w:sz w:val="24"/>
          <w:szCs w:val="24"/>
        </w:rPr>
      </w:pPr>
      <w:bookmarkStart w:id="0" w:name="_Toc90510892"/>
      <w:bookmarkStart w:id="1" w:name="_Toc94248644"/>
      <w:r>
        <w:rPr>
          <w:sz w:val="24"/>
          <w:szCs w:val="24"/>
        </w:rPr>
        <w:t>ABSTRAK</w:t>
      </w:r>
      <w:bookmarkEnd w:id="0"/>
      <w:bookmarkEnd w:id="1"/>
    </w:p>
    <w:p w:rsidR="00582E1B" w:rsidRDefault="00582E1B" w:rsidP="00582E1B">
      <w:pPr>
        <w:spacing w:line="240" w:lineRule="auto"/>
        <w:jc w:val="both"/>
      </w:pPr>
      <w:r>
        <w:t xml:space="preserve">Tujuan dari penelitian ini adalah untuk mengetahui pengaruh profitabilitas dan likuiditas perusahaan baik secara simultan maupun parsial terhadap kebijakan dividen perusahaan manufaktur sub sektor farmasi yang terdaftar di Bursa Efek Indonesia periode tahun 2016-2020. Pengambilan sampel dilakukan dengan teknik </w:t>
      </w:r>
      <w:r>
        <w:rPr>
          <w:i/>
        </w:rPr>
        <w:t>purposif sampling</w:t>
      </w:r>
      <w:r>
        <w:t xml:space="preserve"> dengan perolehan sebanyak 7 perusahaan sebagai sampel penelitian. Data yang digunakan dalam penelitian ini adalah data sekunder. Penelitian ini menggunakan regresi linear berganda sebagai teknik analisis datanya. Uji secara parsial (Uji t) menunjukan bahwa variabel profitabilitas tidak berpengaruh signifikan terhadap kebijakan dividen, sementara variabel likuiditas berpengaruh signifikan terhadap kebijkan dividen. Secara simultan, variabel profitabilitas dan likuiditas berpengaruh signifikan terhadap kebijakan dividen. </w:t>
      </w:r>
    </w:p>
    <w:p w:rsidR="00582E1B" w:rsidRDefault="00582E1B" w:rsidP="00582E1B">
      <w:pPr>
        <w:spacing w:line="240" w:lineRule="auto"/>
        <w:ind w:firstLine="0"/>
        <w:jc w:val="both"/>
      </w:pPr>
      <w:r>
        <w:t>Kata kunci: profitabilitas, likuiditas dan kebijakan dividen</w:t>
      </w:r>
    </w:p>
    <w:p w:rsidR="00582E1B" w:rsidRDefault="00582E1B" w:rsidP="00582E1B">
      <w:pPr>
        <w:spacing w:line="240" w:lineRule="auto"/>
        <w:ind w:firstLine="0"/>
        <w:jc w:val="both"/>
      </w:pPr>
    </w:p>
    <w:p w:rsidR="00582E1B" w:rsidRDefault="00582E1B">
      <w:pPr>
        <w:spacing w:line="259" w:lineRule="auto"/>
        <w:ind w:firstLine="0"/>
      </w:pPr>
      <w:r>
        <w:br w:type="page"/>
      </w:r>
    </w:p>
    <w:p w:rsidR="005C7459" w:rsidRDefault="005C7459" w:rsidP="005C7459">
      <w:pPr>
        <w:spacing w:line="240" w:lineRule="auto"/>
        <w:ind w:firstLine="0"/>
        <w:jc w:val="center"/>
        <w:rPr>
          <w:b/>
          <w:color w:val="000000"/>
        </w:rPr>
      </w:pPr>
      <w:r>
        <w:lastRenderedPageBreak/>
        <w:t>ABSTRAK</w:t>
      </w:r>
    </w:p>
    <w:p w:rsidR="005C7459" w:rsidRDefault="005C7459" w:rsidP="005C7459">
      <w:pPr>
        <w:pStyle w:val="NormalWeb"/>
        <w:spacing w:before="179" w:beforeAutospacing="0" w:after="0" w:afterAutospacing="0"/>
        <w:ind w:firstLine="567"/>
        <w:jc w:val="both"/>
        <w:rPr>
          <w:i/>
        </w:rPr>
      </w:pPr>
      <w:r>
        <w:rPr>
          <w:i/>
        </w:rPr>
        <w:t xml:space="preserve">The purpose of this study was to determine the effect of the profitability and liquidity of the company, either simultaneously or partially, on the dividend policy of the pharmaceutical sub-sector manufacturing companies listed on the Indonesia Stock Exchange for the period 2016-2020. Sampling was done by </w:t>
      </w:r>
      <w:r>
        <w:rPr>
          <w:i/>
          <w:iCs/>
        </w:rPr>
        <w:t xml:space="preserve">purposive sampling technique </w:t>
      </w:r>
      <w:r>
        <w:rPr>
          <w:i/>
        </w:rPr>
        <w:t>with the acquisition of 7 companies as research samples. The data used in this research is secondary data. This study uses multiple linear regression as the data analysis technique. The partial test shows that the profitability variable has no significant effect on dividend policy, while the liquidity variable has a significant effect on policy dividend. Simultaneously, profitability and liquidity variables have aeffect significant on dividend policy.  </w:t>
      </w:r>
    </w:p>
    <w:p w:rsidR="005C7459" w:rsidRDefault="005C7459" w:rsidP="005C7459">
      <w:pPr>
        <w:pStyle w:val="NormalWeb"/>
        <w:spacing w:before="165" w:beforeAutospacing="0" w:after="0" w:afterAutospacing="0"/>
        <w:ind w:left="7"/>
        <w:rPr>
          <w:i/>
        </w:rPr>
      </w:pPr>
      <w:r>
        <w:rPr>
          <w:i/>
        </w:rPr>
        <w:t>Keywords: profitability, liquidity and dividend policy</w:t>
      </w:r>
    </w:p>
    <w:p w:rsidR="005C7459" w:rsidRDefault="005C7459" w:rsidP="005C7459">
      <w:pPr>
        <w:spacing w:line="240" w:lineRule="auto"/>
        <w:ind w:firstLine="0"/>
        <w:jc w:val="center"/>
      </w:pPr>
    </w:p>
    <w:p w:rsidR="005C7459" w:rsidRDefault="005C7459">
      <w:pPr>
        <w:spacing w:line="259" w:lineRule="auto"/>
        <w:ind w:firstLine="0"/>
      </w:pPr>
      <w:r>
        <w:br w:type="page"/>
      </w:r>
    </w:p>
    <w:p w:rsidR="00582E1B" w:rsidRPr="005C7459" w:rsidRDefault="005C7459" w:rsidP="005C7459">
      <w:pPr>
        <w:spacing w:line="240" w:lineRule="auto"/>
        <w:ind w:firstLine="0"/>
        <w:jc w:val="both"/>
        <w:rPr>
          <w:b/>
        </w:rPr>
      </w:pPr>
      <w:r w:rsidRPr="005C7459">
        <w:rPr>
          <w:b/>
        </w:rPr>
        <w:lastRenderedPageBreak/>
        <w:t>PENDAHULUAN</w:t>
      </w:r>
    </w:p>
    <w:p w:rsidR="005C7459" w:rsidRDefault="005C7459" w:rsidP="005C7459">
      <w:pPr>
        <w:jc w:val="both"/>
      </w:pPr>
      <w:r>
        <w:t xml:space="preserve">Dalam kondisi pandemi seperti sekarang, investasi memegang peranan besar sebagai upaya untuk untuk meningkatkan pertumbuhan Ekonomi. Keberadaan pasar modal diharapkan mampu meningkatkan aktivitas perekonomian, karena pasar modal menjadi alternatif bagi perusahaan mendapatkan pendanaan untuk kegiatan operasionalnya dalam skala besar, sehingga mampu meningkatkan pendapatan perusahaan dan kemakmuran masyarakat umum. Saham adalah salah satu instrumen investasi yang diperdagangkan di Bursa Efek Indonesia. Keputusan untuk berinvestasi saham di bursa efek dapat membantu memberikan pendanaan terhadap pertumbuhan perusahaan-perusahaan yang terdaftar di bursa efek Indonesia. Sebagai imbalan, para investor yang berinvestasi saham </w:t>
      </w:r>
      <w:proofErr w:type="gramStart"/>
      <w:r>
        <w:t>akan</w:t>
      </w:r>
      <w:proofErr w:type="gramEnd"/>
      <w:r>
        <w:t xml:space="preserve"> mendapatkan keuntungan berupa dividen dan </w:t>
      </w:r>
      <w:r>
        <w:rPr>
          <w:i/>
        </w:rPr>
        <w:t xml:space="preserve">capital gain </w:t>
      </w:r>
      <w:r>
        <w:t>yang diberikan oleh perusahaan.</w:t>
      </w:r>
    </w:p>
    <w:p w:rsidR="005C7459" w:rsidRDefault="005C7459" w:rsidP="005C7459">
      <w:pPr>
        <w:jc w:val="both"/>
      </w:pPr>
      <w:r>
        <w:t xml:space="preserve">Kebijakan dividen mempunyai peranan dan pengaruh yang besar terhadap kelangsungan finansial perusahaan. Kebijakan dividen merupakan keputusan dalam pembiayaan investasi dimasa yang </w:t>
      </w:r>
      <w:proofErr w:type="gramStart"/>
      <w:r>
        <w:t>akan</w:t>
      </w:r>
      <w:proofErr w:type="gramEnd"/>
      <w:r>
        <w:t xml:space="preserve"> datang dengan menentukan besarnya persentase laba yang dihasilkan oleh perusahaan akan dibagikan kepada para investor dan berapa persen dari laba tersebut ditahan dalam bentuk laba ditahan. Kebijakan dividen selain berpengaruh penting terhadap keputusan investasi dan keputusan pendanaan perusahaan, kebijakan dividen juga berdampak secara langsung kepada para investor yang telah menanamkan modalnya di perusahaan. Dalam menentukan kebijakan dividen, perlu dipertimbangkan faktor kinerja perusahaan melalui rasio keuangan. </w:t>
      </w:r>
    </w:p>
    <w:p w:rsidR="005C7459" w:rsidRDefault="005C7459" w:rsidP="005C7459">
      <w:pPr>
        <w:jc w:val="both"/>
      </w:pPr>
      <w:r>
        <w:t xml:space="preserve">Menurut Kasmir (2016) profitabilitas merupakan rasio untuk menilai kemampuan perusahaan dalam mencari keuntungan dan berpengaruh terhadap nilai perusahaan. Profitabilitas juga memberikan ukuran apakah pihak manajemen perusahaan telah bekerja secara efektif atau </w:t>
      </w:r>
      <w:r>
        <w:lastRenderedPageBreak/>
        <w:t xml:space="preserve">tidak. Kemampuan perusahaan dalam mencari atau menghasilkan keuntungan memberikan gambaran baik terhadap efektivitas manajemen perusahaan serta </w:t>
      </w:r>
      <w:proofErr w:type="gramStart"/>
      <w:r>
        <w:t>cara</w:t>
      </w:r>
      <w:proofErr w:type="gramEnd"/>
      <w:r>
        <w:t xml:space="preserve"> pandang investor terhadap kinerja perusahaan. Salah satu alat untuk melihat profitabilitas suatu perusahaan adalah </w:t>
      </w:r>
      <w:r>
        <w:rPr>
          <w:i/>
        </w:rPr>
        <w:t xml:space="preserve">Return </w:t>
      </w:r>
      <w:proofErr w:type="gramStart"/>
      <w:r>
        <w:rPr>
          <w:i/>
        </w:rPr>
        <w:t>On</w:t>
      </w:r>
      <w:proofErr w:type="gramEnd"/>
      <w:r>
        <w:rPr>
          <w:i/>
        </w:rPr>
        <w:t xml:space="preserve"> Equity </w:t>
      </w:r>
      <w:r>
        <w:t xml:space="preserve">(ROE) karena ROE merupakan indikator yang tepat untuk mengukur suatu keberhasilan bisnis dengan memperkaya pemegang sahamnya (Detiana, 2009). Penelitian Nur (2018), Silaban dan Purnawati (2016), Tjiang dkk (2018), Astutui dan Nurpadilah (2015) dan Idawati dan Sudiartha (2014) menyatakan bahwa profitabilitas berpengaruh terhadap kebijakan dividen tetapi beberapa hasil penelitian berbeda dikemukakan oleh Darmawan dkk (2019), Permanasari (2017) dan Sari (2015) yang menyatakan bahwa profitabilitas tidak berpengaruh terhadap kebijakan dividen. </w:t>
      </w:r>
    </w:p>
    <w:p w:rsidR="00493A17" w:rsidRDefault="005C7459" w:rsidP="005C7459">
      <w:r>
        <w:t xml:space="preserve">Freed Waston dalam Kasmir (2021) menyebutkan bahwa rasio likuiditas </w:t>
      </w:r>
      <w:r>
        <w:rPr>
          <w:i/>
        </w:rPr>
        <w:t>(liquidity ratio)</w:t>
      </w:r>
      <w:r>
        <w:t xml:space="preserve"> merupakan rasio yang menggambarkan kemampuan perusahaan dalam memenuhi kewajiban (utang) jangka pendek. Bahwa ketika perusahaan ditagih, perusahaan </w:t>
      </w:r>
      <w:proofErr w:type="gramStart"/>
      <w:r>
        <w:t>akan</w:t>
      </w:r>
      <w:proofErr w:type="gramEnd"/>
      <w:r>
        <w:t xml:space="preserve"> mampu untuk membayar utang tersebut terutama yang sudah jatuh tempo. Likuiditas menjadi salah satu faktor yang dapat berpengaruh terhadap dividen </w:t>
      </w:r>
      <w:r>
        <w:rPr>
          <w:i/>
        </w:rPr>
        <w:t xml:space="preserve">payout. </w:t>
      </w:r>
      <w:r>
        <w:t>Perusahaan dengan tingkat likuiditas tinggi mencerminkan perusahaan yang mampu memenuhi kewajiban jangka pendeknya. Kondisi ini dapat menarik perhatian investor untuk berinvestasi pada perusahaan dengan maksud memperoleh deviden.</w:t>
      </w:r>
    </w:p>
    <w:p w:rsidR="005C7459" w:rsidRDefault="005C7459" w:rsidP="005C7459">
      <w:pPr>
        <w:jc w:val="both"/>
      </w:pPr>
      <w:r>
        <w:t xml:space="preserve">Salah satu alat untuk mengukur likuiditas suatu perusahaan adalah </w:t>
      </w:r>
      <w:r>
        <w:rPr>
          <w:i/>
        </w:rPr>
        <w:t>current ratio</w:t>
      </w:r>
      <w:r>
        <w:t xml:space="preserve">. Rasio ini mengukur perbandingan antara total aktiva lancar dengan kewajiban lancar. Semakin besar rasio ini semakin baik karena dianggap bahwa perusahaan memiliki kemampuan yang baik dalam menghasilkan laba sehingga laba tersebut mampu melunasi kewajiban perusahaanLikuiditas berpengaruh positif dan signifikan ditemukan oleh Idawati dan Sudiartha (2014), sedangkan </w:t>
      </w:r>
      <w:r>
        <w:lastRenderedPageBreak/>
        <w:t xml:space="preserve">Tjiang dkk (2018), Nur (2018), Attahiriah dkk (2020) mengemukakan pendapat yang berbeda yakni likuiditas berpengaruh negatif terhadap kebijakan dividen. </w:t>
      </w:r>
    </w:p>
    <w:p w:rsidR="000C4419" w:rsidRPr="000C4419" w:rsidRDefault="000C4419" w:rsidP="000C4419">
      <w:pPr>
        <w:rPr>
          <w:b/>
        </w:rPr>
      </w:pPr>
      <w:bookmarkStart w:id="2" w:name="_Toc86297162"/>
      <w:bookmarkStart w:id="3" w:name="_Toc90510897"/>
      <w:bookmarkStart w:id="4" w:name="_Toc94248648"/>
      <w:r w:rsidRPr="000C4419">
        <w:rPr>
          <w:b/>
        </w:rPr>
        <w:t>Rumusan Masalah</w:t>
      </w:r>
      <w:bookmarkEnd w:id="2"/>
      <w:bookmarkEnd w:id="3"/>
      <w:bookmarkEnd w:id="4"/>
      <w:r w:rsidRPr="000C4419">
        <w:rPr>
          <w:b/>
        </w:rPr>
        <w:t xml:space="preserve"> </w:t>
      </w:r>
    </w:p>
    <w:p w:rsidR="000C4419" w:rsidRDefault="000C4419" w:rsidP="000C4419">
      <w:pPr>
        <w:jc w:val="both"/>
      </w:pPr>
      <w:r>
        <w:t>Berdasarkan latar belakang diatas, rumusan masalah pada penelitian ini adalah:</w:t>
      </w:r>
    </w:p>
    <w:p w:rsidR="000C4419" w:rsidRDefault="000C4419" w:rsidP="000C4419">
      <w:pPr>
        <w:numPr>
          <w:ilvl w:val="0"/>
          <w:numId w:val="2"/>
        </w:numPr>
        <w:pBdr>
          <w:top w:val="nil"/>
          <w:left w:val="nil"/>
          <w:bottom w:val="nil"/>
          <w:right w:val="nil"/>
          <w:between w:val="nil"/>
        </w:pBdr>
        <w:spacing w:after="0"/>
        <w:jc w:val="both"/>
      </w:pPr>
      <w:r>
        <w:t>Apakah profitabilitas berpengaruh terhadap kebijakan dividen pada perusahaan manufaktur sub sektor farmasi yang terdaftar di Bursa Efek Indonesia tahun 2016-</w:t>
      </w:r>
      <w:proofErr w:type="gramStart"/>
      <w:r>
        <w:t>2020 ?</w:t>
      </w:r>
      <w:proofErr w:type="gramEnd"/>
    </w:p>
    <w:p w:rsidR="000C4419" w:rsidRDefault="000C4419" w:rsidP="000C4419">
      <w:pPr>
        <w:numPr>
          <w:ilvl w:val="0"/>
          <w:numId w:val="2"/>
        </w:numPr>
        <w:pBdr>
          <w:top w:val="nil"/>
          <w:left w:val="nil"/>
          <w:bottom w:val="nil"/>
          <w:right w:val="nil"/>
          <w:between w:val="nil"/>
        </w:pBdr>
        <w:spacing w:after="0"/>
        <w:jc w:val="both"/>
      </w:pPr>
      <w:r>
        <w:t>Apakah likuiditas berpengaruh terhadap kebijakan dividen pada perusahaan manufaktur sub sektor farmasi yang terdaftar di Bursa Efek Indonesia tahun 2016-</w:t>
      </w:r>
      <w:proofErr w:type="gramStart"/>
      <w:r>
        <w:t>2020 ?</w:t>
      </w:r>
      <w:proofErr w:type="gramEnd"/>
    </w:p>
    <w:p w:rsidR="000C4419" w:rsidRDefault="000C4419" w:rsidP="000C4419">
      <w:pPr>
        <w:numPr>
          <w:ilvl w:val="0"/>
          <w:numId w:val="2"/>
        </w:numPr>
        <w:pBdr>
          <w:top w:val="nil"/>
          <w:left w:val="nil"/>
          <w:bottom w:val="nil"/>
          <w:right w:val="nil"/>
          <w:between w:val="nil"/>
        </w:pBdr>
        <w:spacing w:after="0"/>
        <w:jc w:val="both"/>
      </w:pPr>
      <w:r>
        <w:t>Apakah profitabilitas dan likuiditas berpengaruh secara simultan terhadap kebijakan dividen pada perusahaan manufaktur sub sektor farmasi tahun 2016-</w:t>
      </w:r>
      <w:proofErr w:type="gramStart"/>
      <w:r>
        <w:t>2020 ?</w:t>
      </w:r>
      <w:proofErr w:type="gramEnd"/>
      <w:r>
        <w:t xml:space="preserve"> </w:t>
      </w:r>
    </w:p>
    <w:p w:rsidR="000C4419" w:rsidRDefault="000C4419" w:rsidP="005C7459">
      <w:pPr>
        <w:jc w:val="both"/>
      </w:pPr>
    </w:p>
    <w:p w:rsidR="005C7459" w:rsidRPr="006368E5" w:rsidRDefault="000C4419" w:rsidP="000C4419">
      <w:pPr>
        <w:ind w:firstLine="0"/>
        <w:rPr>
          <w:b/>
        </w:rPr>
      </w:pPr>
      <w:r w:rsidRPr="006368E5">
        <w:rPr>
          <w:b/>
        </w:rPr>
        <w:t>LANDASAN TEORI DAN PENGEMBANGAN HIPOTESIS</w:t>
      </w:r>
    </w:p>
    <w:p w:rsidR="000C4419" w:rsidRPr="000C4419" w:rsidRDefault="000C4419" w:rsidP="000C4419">
      <w:pPr>
        <w:ind w:firstLine="0"/>
        <w:rPr>
          <w:b/>
        </w:rPr>
      </w:pPr>
      <w:r w:rsidRPr="000C4419">
        <w:rPr>
          <w:b/>
        </w:rPr>
        <w:t xml:space="preserve">Kebijakan Dividen </w:t>
      </w:r>
    </w:p>
    <w:p w:rsidR="000C4419" w:rsidRDefault="000C4419" w:rsidP="000C4419">
      <w:pPr>
        <w:pBdr>
          <w:top w:val="nil"/>
          <w:left w:val="nil"/>
          <w:bottom w:val="nil"/>
          <w:right w:val="nil"/>
          <w:between w:val="nil"/>
        </w:pBdr>
        <w:spacing w:after="0"/>
        <w:jc w:val="both"/>
      </w:pPr>
      <w:r>
        <w:t xml:space="preserve">Menurut Nicho (2017), kebijakan dividen adalah keputusan apakah laba yang dihasilkan perusahaan pada akhir periode </w:t>
      </w:r>
      <w:proofErr w:type="gramStart"/>
      <w:r>
        <w:t>akan</w:t>
      </w:r>
      <w:proofErr w:type="gramEnd"/>
      <w:r>
        <w:t xml:space="preserve"> dibagikan kepada para pemegang saham sebagai dividen atau laba tersebut ditahan sebagai penambahan modal perusahaan yang akan digunakan sebagai investasi pengembangan perusahaan dimasa mendatang. </w:t>
      </w:r>
    </w:p>
    <w:p w:rsidR="000C4419" w:rsidRDefault="000C4419" w:rsidP="000C4419">
      <w:pPr>
        <w:pBdr>
          <w:top w:val="nil"/>
          <w:left w:val="nil"/>
          <w:bottom w:val="nil"/>
          <w:right w:val="nil"/>
          <w:between w:val="nil"/>
        </w:pBdr>
        <w:spacing w:after="0"/>
        <w:jc w:val="both"/>
      </w:pPr>
      <w:r>
        <w:t xml:space="preserve">Kebijakan dividen merupakan salah satu kebijakan penting yang dilakukan oleh manajemen perusahaan, karena ketika perusahaan memutuskan untuk membagikan laba yang diperoleh sebagai dividen tentunya </w:t>
      </w:r>
      <w:proofErr w:type="gramStart"/>
      <w:r>
        <w:t>akan</w:t>
      </w:r>
      <w:proofErr w:type="gramEnd"/>
      <w:r>
        <w:t xml:space="preserve"> mengurangi dana internal.</w:t>
      </w:r>
    </w:p>
    <w:p w:rsidR="000C4419" w:rsidRPr="000C4419" w:rsidRDefault="000C4419" w:rsidP="000C4419">
      <w:pPr>
        <w:pBdr>
          <w:top w:val="nil"/>
          <w:left w:val="nil"/>
          <w:bottom w:val="nil"/>
          <w:right w:val="nil"/>
          <w:between w:val="nil"/>
        </w:pBdr>
        <w:spacing w:after="0"/>
        <w:ind w:firstLine="0"/>
        <w:jc w:val="both"/>
        <w:rPr>
          <w:b/>
        </w:rPr>
      </w:pPr>
      <w:r w:rsidRPr="000C4419">
        <w:rPr>
          <w:b/>
        </w:rPr>
        <w:t xml:space="preserve">Profitabilitas </w:t>
      </w:r>
    </w:p>
    <w:p w:rsidR="000C4419" w:rsidRDefault="00542F96" w:rsidP="00542F96">
      <w:pPr>
        <w:jc w:val="both"/>
      </w:pPr>
      <w:r>
        <w:lastRenderedPageBreak/>
        <w:t xml:space="preserve">Menurut Kasmir (2021) rasio profitabilitas merupakan rasio untuk menilai kemampuan perusahaan dalam mencari keuntungan. Rasio ini juga memberikan ukuran tingkat efektivitas manajemen suatu perusahaan. Hal ini ditunjukan oleh laba yang dihasilkan dari penjualan dan pendapatan investasi. Penggunaan rasio profitabilitas menggambarkan efisiensi perusahaan dalam menghasilkan laba. </w:t>
      </w:r>
    </w:p>
    <w:p w:rsidR="00542F96" w:rsidRPr="00542F96" w:rsidRDefault="00542F96" w:rsidP="00542F96">
      <w:pPr>
        <w:ind w:firstLine="0"/>
        <w:jc w:val="both"/>
        <w:rPr>
          <w:b/>
        </w:rPr>
      </w:pPr>
      <w:r w:rsidRPr="00542F96">
        <w:rPr>
          <w:b/>
        </w:rPr>
        <w:t xml:space="preserve">Likuiditas </w:t>
      </w:r>
    </w:p>
    <w:p w:rsidR="00542F96" w:rsidRDefault="00542F96" w:rsidP="00542F96">
      <w:pPr>
        <w:ind w:firstLine="0"/>
        <w:jc w:val="both"/>
      </w:pPr>
      <w:r>
        <w:t>Menurut (Sirait, 2019) likuiditas adalah kemampuan perusahaan membayar atau menyelesaikan segala kewajiban jangka pendeknya yang jatuh tempo. Bila perusahaan mampu membayar utangnya disebut dengan likuid, sedangkan bila perusahaan tidak mampu membayar utangnya disebut dengan illikuid</w:t>
      </w:r>
    </w:p>
    <w:p w:rsidR="000C4419" w:rsidRPr="006368E5" w:rsidRDefault="006368E5" w:rsidP="000C4419">
      <w:pPr>
        <w:ind w:firstLine="0"/>
        <w:rPr>
          <w:b/>
        </w:rPr>
      </w:pPr>
      <w:r w:rsidRPr="006368E5">
        <w:rPr>
          <w:b/>
        </w:rPr>
        <w:t>Pengembangan Hipotesis</w:t>
      </w:r>
    </w:p>
    <w:p w:rsidR="006368E5" w:rsidRDefault="006368E5" w:rsidP="006368E5">
      <w:pPr>
        <w:numPr>
          <w:ilvl w:val="6"/>
          <w:numId w:val="4"/>
        </w:numPr>
        <w:pBdr>
          <w:top w:val="nil"/>
          <w:left w:val="nil"/>
          <w:bottom w:val="nil"/>
          <w:right w:val="nil"/>
          <w:between w:val="nil"/>
        </w:pBdr>
        <w:spacing w:after="0"/>
        <w:ind w:left="425"/>
        <w:jc w:val="both"/>
        <w:rPr>
          <w:b/>
        </w:rPr>
      </w:pPr>
      <w:r>
        <w:rPr>
          <w:b/>
        </w:rPr>
        <w:t xml:space="preserve">Pengaruh Profitabilitas terhadap Kebijakan Dividen </w:t>
      </w:r>
    </w:p>
    <w:p w:rsidR="006368E5" w:rsidRDefault="006368E5" w:rsidP="006368E5">
      <w:pPr>
        <w:pBdr>
          <w:top w:val="nil"/>
          <w:left w:val="nil"/>
          <w:bottom w:val="nil"/>
          <w:right w:val="nil"/>
          <w:between w:val="nil"/>
        </w:pBdr>
        <w:spacing w:after="0"/>
        <w:ind w:left="425"/>
        <w:jc w:val="both"/>
      </w:pPr>
      <w:r>
        <w:t xml:space="preserve">Menurut Hery (2016) rasio profitabilitas merupakan rasio yang digunakan untuk mengukur kemampuan perusahaan dalam menghasilkan laba dari aktivitas normal bisnisnya. Tingginya tingkat profitabilitas suatu perusahaan mencerminkan bahwa perusahaan tersebut mampu menghasilkan tingkat keuntungan yang tinggi dalam operasionalnya. Dalam teori sinyal, investor dapat menduga informasi tentang tingkat profitabilitas atau laba perusahaan melalui sinyal yang muncul dari pengumuman tentang kebijakan dividen. </w:t>
      </w:r>
    </w:p>
    <w:p w:rsidR="006368E5" w:rsidRDefault="006368E5" w:rsidP="006368E5">
      <w:pPr>
        <w:pBdr>
          <w:top w:val="nil"/>
          <w:left w:val="nil"/>
          <w:bottom w:val="nil"/>
          <w:right w:val="nil"/>
          <w:between w:val="nil"/>
        </w:pBdr>
        <w:spacing w:after="0"/>
        <w:ind w:left="425"/>
        <w:jc w:val="both"/>
      </w:pPr>
      <w:r>
        <w:t>Hasil penelitian Triasesiarta (2018) menunjukan bahwa profitabilitas berpengaruh signifikan terhadap kebijakan dividen. Hasil serupa dikemukakan oleh Idawati dan sudiartha (2016), serta Susilo dan Atmini (2020) dalam penelitianya. Berdasarkan hasil penelitian sebelumnya dan uraian tersebut diatas maka dapat dirumuskan hipotesis sebagai berikut:</w:t>
      </w:r>
    </w:p>
    <w:p w:rsidR="006368E5" w:rsidRDefault="006368E5" w:rsidP="006368E5">
      <w:pPr>
        <w:pBdr>
          <w:top w:val="nil"/>
          <w:left w:val="nil"/>
          <w:bottom w:val="nil"/>
          <w:right w:val="nil"/>
          <w:between w:val="nil"/>
        </w:pBdr>
        <w:spacing w:after="0"/>
        <w:ind w:left="425"/>
        <w:jc w:val="both"/>
        <w:rPr>
          <w:b/>
        </w:rPr>
      </w:pPr>
      <w:proofErr w:type="gramStart"/>
      <w:r>
        <w:rPr>
          <w:b/>
        </w:rPr>
        <w:lastRenderedPageBreak/>
        <w:t>H</w:t>
      </w:r>
      <w:r>
        <w:rPr>
          <w:b/>
          <w:vertAlign w:val="subscript"/>
        </w:rPr>
        <w:t xml:space="preserve">1 </w:t>
      </w:r>
      <w:r>
        <w:rPr>
          <w:b/>
        </w:rPr>
        <w:t>:</w:t>
      </w:r>
      <w:proofErr w:type="gramEnd"/>
      <w:r>
        <w:rPr>
          <w:b/>
        </w:rPr>
        <w:t xml:space="preserve"> Profitabilitas berpengaruh signifikan terhadap kebijakan dividen.</w:t>
      </w:r>
    </w:p>
    <w:p w:rsidR="006368E5" w:rsidRDefault="006368E5" w:rsidP="006368E5">
      <w:pPr>
        <w:numPr>
          <w:ilvl w:val="6"/>
          <w:numId w:val="4"/>
        </w:numPr>
        <w:pBdr>
          <w:top w:val="nil"/>
          <w:left w:val="nil"/>
          <w:bottom w:val="nil"/>
          <w:right w:val="nil"/>
          <w:between w:val="nil"/>
        </w:pBdr>
        <w:spacing w:after="0"/>
        <w:ind w:left="284"/>
        <w:jc w:val="both"/>
        <w:rPr>
          <w:b/>
        </w:rPr>
      </w:pPr>
      <w:r>
        <w:rPr>
          <w:b/>
        </w:rPr>
        <w:t xml:space="preserve">Pengaruh Likuiditas terhadap Kebijakan Dividen </w:t>
      </w:r>
    </w:p>
    <w:p w:rsidR="006368E5" w:rsidRDefault="006368E5" w:rsidP="006368E5">
      <w:pPr>
        <w:pBdr>
          <w:top w:val="nil"/>
          <w:left w:val="nil"/>
          <w:bottom w:val="nil"/>
          <w:right w:val="nil"/>
          <w:between w:val="nil"/>
        </w:pBdr>
        <w:spacing w:after="0"/>
        <w:ind w:left="284"/>
        <w:jc w:val="both"/>
      </w:pPr>
      <w:r>
        <w:t xml:space="preserve">Weston dalam kasmir (2021) menyebutkan bahwa rasio likuiditas merupakan rasio yang menggambarkan kemampuan perusahaan dalam memenuhi kewajiban (utang) jangka pendek. Artinya apabila perusahaan ditagih, perusahaan </w:t>
      </w:r>
      <w:proofErr w:type="gramStart"/>
      <w:r>
        <w:t>akan</w:t>
      </w:r>
      <w:proofErr w:type="gramEnd"/>
      <w:r>
        <w:t xml:space="preserve"> mampu memenuhi utang tersebut terutama hutang yang sudah jatuh tempo. </w:t>
      </w:r>
    </w:p>
    <w:p w:rsidR="006368E5" w:rsidRDefault="006368E5" w:rsidP="006368E5">
      <w:pPr>
        <w:pBdr>
          <w:top w:val="nil"/>
          <w:left w:val="nil"/>
          <w:bottom w:val="nil"/>
          <w:right w:val="nil"/>
          <w:between w:val="nil"/>
        </w:pBdr>
        <w:spacing w:after="0"/>
        <w:ind w:left="284"/>
        <w:jc w:val="both"/>
      </w:pPr>
      <w:r>
        <w:t>Likuiditas berpengaruh signifikan terhadap kebijakan dividen dikemukakan oleh Idawati dan Sudiartha (2014) dalam penelitian mereka. Kemudian Hasil penelitian ini didukung oleh penelitian Ratnasari dan Purnawari (2019). Berdasarkan hasil penelitian terdahulu dan juga uraian tersebut diatas, maka dapat dirumuskan hipotesis sebagai berikut:</w:t>
      </w:r>
    </w:p>
    <w:p w:rsidR="006368E5" w:rsidRDefault="006368E5" w:rsidP="006368E5">
      <w:pPr>
        <w:pBdr>
          <w:top w:val="nil"/>
          <w:left w:val="nil"/>
          <w:bottom w:val="nil"/>
          <w:right w:val="nil"/>
          <w:between w:val="nil"/>
        </w:pBdr>
        <w:spacing w:after="0"/>
        <w:ind w:left="284"/>
        <w:jc w:val="both"/>
      </w:pPr>
      <w:proofErr w:type="gramStart"/>
      <w:r>
        <w:rPr>
          <w:b/>
        </w:rPr>
        <w:t>H2 :</w:t>
      </w:r>
      <w:proofErr w:type="gramEnd"/>
      <w:r>
        <w:rPr>
          <w:b/>
        </w:rPr>
        <w:t xml:space="preserve"> Likuiditas Berpengaruh signifikan terhadap Kebijakan Dividen </w:t>
      </w:r>
    </w:p>
    <w:p w:rsidR="006368E5" w:rsidRDefault="006368E5" w:rsidP="006368E5">
      <w:pPr>
        <w:numPr>
          <w:ilvl w:val="6"/>
          <w:numId w:val="4"/>
        </w:numPr>
        <w:pBdr>
          <w:top w:val="nil"/>
          <w:left w:val="nil"/>
          <w:bottom w:val="nil"/>
          <w:right w:val="nil"/>
          <w:between w:val="nil"/>
        </w:pBdr>
        <w:spacing w:after="0"/>
        <w:ind w:left="284" w:hanging="426"/>
        <w:jc w:val="both"/>
        <w:rPr>
          <w:b/>
        </w:rPr>
      </w:pPr>
      <w:r>
        <w:rPr>
          <w:b/>
        </w:rPr>
        <w:t>Pengaruh Profitabilitas dan Likuiditas terhadap Kebijakan Dividen</w:t>
      </w:r>
    </w:p>
    <w:p w:rsidR="006368E5" w:rsidRDefault="006368E5" w:rsidP="006368E5">
      <w:pPr>
        <w:pBdr>
          <w:top w:val="nil"/>
          <w:left w:val="nil"/>
          <w:bottom w:val="nil"/>
          <w:right w:val="nil"/>
          <w:between w:val="nil"/>
        </w:pBdr>
        <w:spacing w:after="0"/>
        <w:ind w:left="284"/>
        <w:jc w:val="both"/>
      </w:pPr>
      <w:r>
        <w:t xml:space="preserve">Kebijakan dividen merupakan keputusan perusahaan terkait apakah laba yang diperoleh perusahaan </w:t>
      </w:r>
      <w:proofErr w:type="gramStart"/>
      <w:r>
        <w:t>akan</w:t>
      </w:r>
      <w:proofErr w:type="gramEnd"/>
      <w:r>
        <w:t xml:space="preserve"> dibagikan kepada para pemegang saham sebagai dividen atau laba tersebut ditahan untuk penambahan modal sebagai investasi perusahaan di masa depan. Keputusan perusahaan dalam bentuk kebijakan dividen </w:t>
      </w:r>
      <w:proofErr w:type="gramStart"/>
      <w:r>
        <w:t>akan</w:t>
      </w:r>
      <w:proofErr w:type="gramEnd"/>
      <w:r>
        <w:t xml:space="preserve"> sangat mempengaruhi posisi finansial perusahaan, karena pembayaran dividen membutuhkan dana. Besar kecilnya dividen yang dibagikan merupakan cermin dari kemampuan perusahaan dalam memperoleh laba. </w:t>
      </w:r>
    </w:p>
    <w:p w:rsidR="006368E5" w:rsidRDefault="006368E5" w:rsidP="006368E5">
      <w:pPr>
        <w:pBdr>
          <w:top w:val="nil"/>
          <w:left w:val="nil"/>
          <w:bottom w:val="nil"/>
          <w:right w:val="nil"/>
          <w:between w:val="nil"/>
        </w:pBdr>
        <w:spacing w:after="0"/>
        <w:ind w:left="284"/>
        <w:jc w:val="both"/>
      </w:pPr>
      <w:r>
        <w:t>Penelitian yang dilakukan oleh Idawati dkk (2014) menyatakan bahwa profitabilitas dan likuiditas berpengaruh secara simultan terhadap kebijakan dividen. Berdasarkan hasil penelitian terdahulu dan uraian tersebut diatas maka dapat dirumuskan hipotesis sebagai berikut:</w:t>
      </w:r>
    </w:p>
    <w:p w:rsidR="006368E5" w:rsidRDefault="006368E5" w:rsidP="008872EB">
      <w:pPr>
        <w:ind w:firstLine="720"/>
        <w:rPr>
          <w:b/>
        </w:rPr>
      </w:pPr>
      <w:bookmarkStart w:id="5" w:name="_heading=h.1hmsyys" w:colFirst="0" w:colLast="0"/>
      <w:bookmarkEnd w:id="5"/>
      <w:r>
        <w:rPr>
          <w:b/>
        </w:rPr>
        <w:t>H3: Profitabilitas dan Likuiditas secara simultan berpengaruh</w:t>
      </w:r>
    </w:p>
    <w:p w:rsidR="006E0318" w:rsidRDefault="006E0318" w:rsidP="006368E5">
      <w:pPr>
        <w:ind w:firstLine="0"/>
        <w:rPr>
          <w:b/>
        </w:rPr>
      </w:pPr>
    </w:p>
    <w:p w:rsidR="006E0318" w:rsidRDefault="006E0318" w:rsidP="006368E5">
      <w:pPr>
        <w:ind w:firstLine="0"/>
        <w:rPr>
          <w:b/>
        </w:rPr>
      </w:pPr>
      <w:r>
        <w:rPr>
          <w:b/>
        </w:rPr>
        <w:lastRenderedPageBreak/>
        <w:t>METODE PENELITIAN</w:t>
      </w:r>
    </w:p>
    <w:p w:rsidR="006E0318" w:rsidRDefault="006E0318" w:rsidP="006E0318">
      <w:pPr>
        <w:pBdr>
          <w:top w:val="nil"/>
          <w:left w:val="nil"/>
          <w:bottom w:val="nil"/>
          <w:right w:val="nil"/>
          <w:between w:val="nil"/>
        </w:pBdr>
        <w:spacing w:after="0"/>
        <w:ind w:left="244"/>
        <w:jc w:val="both"/>
      </w:pPr>
      <w:r>
        <w:t xml:space="preserve">Metode penelitian yang digunakan dalam penelitian ini adalah metode penelitian kuantitatif. Data yang digunakan dalam penelitian ini adalah berupa data sekunder. Populasi dalam penelitian ini adalah perusahaan manufaktur sub sektor Farmasi yang terdaftar di Bursa Efek Indonesia (BEI) tahun 2016-2020 dengan jumlah sampel perusahaan sebanyak 7 perusahaan yang yang ditentukan dengan metode </w:t>
      </w:r>
      <w:r w:rsidRPr="006E0318">
        <w:rPr>
          <w:i/>
        </w:rPr>
        <w:t>purposive sampling</w:t>
      </w:r>
      <w:r>
        <w:t xml:space="preserve">. Objek dalam penelitian ini adalah Profitabilitas yang diproksikan dengan </w:t>
      </w:r>
      <w:r w:rsidR="00A21566" w:rsidRPr="00A21566">
        <w:rPr>
          <w:i/>
        </w:rPr>
        <w:t>return on equity</w:t>
      </w:r>
      <w:r w:rsidR="00A21566">
        <w:t xml:space="preserve"> (</w:t>
      </w:r>
      <w:r>
        <w:t>ROE</w:t>
      </w:r>
      <w:r w:rsidR="00A21566">
        <w:t>)</w:t>
      </w:r>
      <w:r>
        <w:t>, Likuiditas yang diproksikan dengan</w:t>
      </w:r>
      <w:r w:rsidR="00A21566">
        <w:t xml:space="preserve"> </w:t>
      </w:r>
      <w:r w:rsidR="00A21566" w:rsidRPr="00A21566">
        <w:rPr>
          <w:i/>
        </w:rPr>
        <w:t>current ratio</w:t>
      </w:r>
      <w:r w:rsidR="00A21566">
        <w:t xml:space="preserve"> (</w:t>
      </w:r>
      <w:r>
        <w:t>CR</w:t>
      </w:r>
      <w:r w:rsidR="00A21566">
        <w:t>)</w:t>
      </w:r>
      <w:r>
        <w:t xml:space="preserve">, dan Kebijakan Dividen dengan proksi </w:t>
      </w:r>
      <w:r w:rsidR="00A21566" w:rsidRPr="00A21566">
        <w:rPr>
          <w:i/>
        </w:rPr>
        <w:t>dividend payout ratio</w:t>
      </w:r>
      <w:r w:rsidR="00A21566">
        <w:t xml:space="preserve"> (DPR). Metode analisis data yang digunakan dalam penelitian ini yaitu yaitu regresi linear berganda.</w:t>
      </w:r>
    </w:p>
    <w:p w:rsidR="00A21566" w:rsidRPr="00A21566" w:rsidRDefault="00A21566" w:rsidP="00A21566">
      <w:pPr>
        <w:pBdr>
          <w:top w:val="nil"/>
          <w:left w:val="nil"/>
          <w:bottom w:val="nil"/>
          <w:right w:val="nil"/>
          <w:between w:val="nil"/>
        </w:pBdr>
        <w:spacing w:after="0"/>
        <w:ind w:firstLine="0"/>
        <w:jc w:val="both"/>
        <w:rPr>
          <w:b/>
        </w:rPr>
      </w:pPr>
      <w:r w:rsidRPr="00A21566">
        <w:rPr>
          <w:b/>
        </w:rPr>
        <w:t>HASIL DAN PEMBAHASAN</w:t>
      </w:r>
    </w:p>
    <w:p w:rsidR="006E0318" w:rsidRDefault="006E0318" w:rsidP="006368E5">
      <w:pPr>
        <w:ind w:firstLine="0"/>
        <w:rPr>
          <w:b/>
        </w:rPr>
      </w:pPr>
      <w:r>
        <w:t xml:space="preserve"> </w:t>
      </w:r>
      <w:r w:rsidR="00A21566" w:rsidRPr="00A21566">
        <w:rPr>
          <w:b/>
        </w:rPr>
        <w:t>Regresi Linear Berganda</w:t>
      </w:r>
    </w:p>
    <w:p w:rsidR="00A21566" w:rsidRDefault="00A21566" w:rsidP="00A21566">
      <w:pPr>
        <w:pStyle w:val="Caption"/>
        <w:jc w:val="center"/>
        <w:rPr>
          <w:b/>
          <w:i w:val="0"/>
          <w:color w:val="auto"/>
          <w:sz w:val="24"/>
          <w:szCs w:val="24"/>
        </w:rPr>
      </w:pPr>
      <w:bookmarkStart w:id="6" w:name="_Toc90050920"/>
      <w:bookmarkStart w:id="7" w:name="_Toc90051767"/>
      <w:bookmarkStart w:id="8" w:name="_Toc90051978"/>
      <w:r>
        <w:rPr>
          <w:b/>
          <w:i w:val="0"/>
          <w:color w:val="auto"/>
          <w:sz w:val="24"/>
          <w:szCs w:val="24"/>
        </w:rPr>
        <w:t>Tabel Hasil Uji Regresi Linear Berganda</w:t>
      </w:r>
      <w:bookmarkEnd w:id="6"/>
      <w:bookmarkEnd w:id="7"/>
      <w:bookmarkEnd w:id="8"/>
    </w:p>
    <w:tbl>
      <w:tblPr>
        <w:tblpPr w:leftFromText="180" w:rightFromText="180" w:vertAnchor="text" w:horzAnchor="margin" w:tblpY="64"/>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134"/>
        <w:gridCol w:w="850"/>
        <w:gridCol w:w="1134"/>
        <w:gridCol w:w="1276"/>
        <w:gridCol w:w="709"/>
        <w:gridCol w:w="850"/>
        <w:gridCol w:w="992"/>
        <w:gridCol w:w="709"/>
      </w:tblGrid>
      <w:tr w:rsidR="00A21566" w:rsidRPr="00074ED0" w:rsidTr="004F1B7B">
        <w:trPr>
          <w:cantSplit/>
        </w:trPr>
        <w:tc>
          <w:tcPr>
            <w:tcW w:w="8085" w:type="dxa"/>
            <w:gridSpan w:val="9"/>
            <w:shd w:val="clear" w:color="auto" w:fill="FFFFFF"/>
            <w:vAlign w:val="center"/>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22"/>
                <w:szCs w:val="22"/>
              </w:rPr>
            </w:pPr>
            <w:r w:rsidRPr="00074ED0">
              <w:rPr>
                <w:rFonts w:ascii="Arial" w:hAnsi="Arial" w:cs="Arial"/>
                <w:b/>
                <w:bCs/>
                <w:sz w:val="22"/>
                <w:szCs w:val="22"/>
              </w:rPr>
              <w:t>Coefficients</w:t>
            </w:r>
            <w:r w:rsidRPr="00074ED0">
              <w:rPr>
                <w:rFonts w:ascii="Arial" w:hAnsi="Arial" w:cs="Arial"/>
                <w:b/>
                <w:bCs/>
                <w:sz w:val="22"/>
                <w:szCs w:val="22"/>
                <w:vertAlign w:val="superscript"/>
              </w:rPr>
              <w:t>a</w:t>
            </w:r>
          </w:p>
        </w:tc>
      </w:tr>
      <w:tr w:rsidR="00A21566" w:rsidRPr="00074ED0" w:rsidTr="004F1B7B">
        <w:trPr>
          <w:cantSplit/>
        </w:trPr>
        <w:tc>
          <w:tcPr>
            <w:tcW w:w="1565" w:type="dxa"/>
            <w:gridSpan w:val="2"/>
            <w:vMerge w:val="restart"/>
            <w:shd w:val="clear" w:color="auto" w:fill="FFFFFF"/>
            <w:vAlign w:val="bottom"/>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Model</w:t>
            </w:r>
          </w:p>
        </w:tc>
        <w:tc>
          <w:tcPr>
            <w:tcW w:w="1984" w:type="dxa"/>
            <w:gridSpan w:val="2"/>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Unstandardized Coefficients</w:t>
            </w:r>
          </w:p>
        </w:tc>
        <w:tc>
          <w:tcPr>
            <w:tcW w:w="1276"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Standardized Coefficients</w:t>
            </w:r>
          </w:p>
        </w:tc>
        <w:tc>
          <w:tcPr>
            <w:tcW w:w="709" w:type="dxa"/>
            <w:vMerge w:val="restart"/>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t</w:t>
            </w:r>
          </w:p>
        </w:tc>
        <w:tc>
          <w:tcPr>
            <w:tcW w:w="850" w:type="dxa"/>
            <w:vMerge w:val="restart"/>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Sig.</w:t>
            </w:r>
          </w:p>
        </w:tc>
        <w:tc>
          <w:tcPr>
            <w:tcW w:w="1701" w:type="dxa"/>
            <w:gridSpan w:val="2"/>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Collinearity Statistics</w:t>
            </w:r>
          </w:p>
        </w:tc>
      </w:tr>
      <w:tr w:rsidR="00A21566" w:rsidRPr="00074ED0" w:rsidTr="004F1B7B">
        <w:trPr>
          <w:cantSplit/>
        </w:trPr>
        <w:tc>
          <w:tcPr>
            <w:tcW w:w="1565" w:type="dxa"/>
            <w:gridSpan w:val="2"/>
            <w:vMerge/>
            <w:shd w:val="clear" w:color="auto" w:fill="FFFFFF"/>
            <w:vAlign w:val="bottom"/>
          </w:tcPr>
          <w:p w:rsidR="00A21566" w:rsidRPr="00074ED0" w:rsidRDefault="00A21566" w:rsidP="004F1B7B">
            <w:pPr>
              <w:autoSpaceDE w:val="0"/>
              <w:autoSpaceDN w:val="0"/>
              <w:adjustRightInd w:val="0"/>
              <w:spacing w:after="0" w:line="240" w:lineRule="auto"/>
              <w:ind w:firstLine="0"/>
              <w:rPr>
                <w:rFonts w:ascii="Arial" w:hAnsi="Arial" w:cs="Arial"/>
                <w:sz w:val="18"/>
                <w:szCs w:val="18"/>
              </w:rPr>
            </w:pPr>
          </w:p>
        </w:tc>
        <w:tc>
          <w:tcPr>
            <w:tcW w:w="850"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B</w:t>
            </w:r>
          </w:p>
        </w:tc>
        <w:tc>
          <w:tcPr>
            <w:tcW w:w="1134"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Std. Error</w:t>
            </w:r>
          </w:p>
        </w:tc>
        <w:tc>
          <w:tcPr>
            <w:tcW w:w="1276"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Beta</w:t>
            </w:r>
          </w:p>
        </w:tc>
        <w:tc>
          <w:tcPr>
            <w:tcW w:w="709" w:type="dxa"/>
            <w:vMerge/>
            <w:shd w:val="clear" w:color="auto" w:fill="FFFFFF"/>
            <w:vAlign w:val="bottom"/>
          </w:tcPr>
          <w:p w:rsidR="00A21566" w:rsidRPr="00074ED0" w:rsidRDefault="00A21566" w:rsidP="004F1B7B">
            <w:pPr>
              <w:autoSpaceDE w:val="0"/>
              <w:autoSpaceDN w:val="0"/>
              <w:adjustRightInd w:val="0"/>
              <w:spacing w:after="0" w:line="240" w:lineRule="auto"/>
              <w:ind w:firstLine="0"/>
              <w:rPr>
                <w:rFonts w:ascii="Arial" w:hAnsi="Arial" w:cs="Arial"/>
                <w:sz w:val="18"/>
                <w:szCs w:val="18"/>
              </w:rPr>
            </w:pPr>
          </w:p>
        </w:tc>
        <w:tc>
          <w:tcPr>
            <w:tcW w:w="850" w:type="dxa"/>
            <w:vMerge/>
            <w:shd w:val="clear" w:color="auto" w:fill="FFFFFF"/>
            <w:vAlign w:val="bottom"/>
          </w:tcPr>
          <w:p w:rsidR="00A21566" w:rsidRPr="00074ED0" w:rsidRDefault="00A21566" w:rsidP="004F1B7B">
            <w:pPr>
              <w:autoSpaceDE w:val="0"/>
              <w:autoSpaceDN w:val="0"/>
              <w:adjustRightInd w:val="0"/>
              <w:spacing w:after="0" w:line="240" w:lineRule="auto"/>
              <w:ind w:firstLine="0"/>
              <w:rPr>
                <w:rFonts w:ascii="Arial" w:hAnsi="Arial" w:cs="Arial"/>
                <w:sz w:val="18"/>
                <w:szCs w:val="18"/>
              </w:rPr>
            </w:pPr>
          </w:p>
        </w:tc>
        <w:tc>
          <w:tcPr>
            <w:tcW w:w="992"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Tolerance</w:t>
            </w:r>
          </w:p>
        </w:tc>
        <w:tc>
          <w:tcPr>
            <w:tcW w:w="709"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VIF</w:t>
            </w:r>
          </w:p>
        </w:tc>
      </w:tr>
      <w:tr w:rsidR="00A21566" w:rsidRPr="00074ED0" w:rsidTr="004F1B7B">
        <w:trPr>
          <w:cantSplit/>
        </w:trPr>
        <w:tc>
          <w:tcPr>
            <w:tcW w:w="431" w:type="dxa"/>
            <w:vMerge w:val="restart"/>
            <w:shd w:val="clear" w:color="auto" w:fill="E0E0E0"/>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1</w:t>
            </w:r>
          </w:p>
        </w:tc>
        <w:tc>
          <w:tcPr>
            <w:tcW w:w="1134" w:type="dxa"/>
            <w:shd w:val="clear" w:color="auto" w:fill="E0E0E0"/>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(Constant)</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0.283</w:t>
            </w:r>
          </w:p>
        </w:tc>
        <w:tc>
          <w:tcPr>
            <w:tcW w:w="1134"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0.081</w:t>
            </w:r>
          </w:p>
        </w:tc>
        <w:tc>
          <w:tcPr>
            <w:tcW w:w="1276" w:type="dxa"/>
            <w:shd w:val="clear" w:color="auto" w:fill="FFFFFF"/>
            <w:vAlign w:val="center"/>
          </w:tcPr>
          <w:p w:rsidR="00A21566" w:rsidRPr="00074ED0" w:rsidRDefault="00A21566" w:rsidP="004F1B7B">
            <w:pPr>
              <w:autoSpaceDE w:val="0"/>
              <w:autoSpaceDN w:val="0"/>
              <w:adjustRightInd w:val="0"/>
              <w:spacing w:after="0" w:line="240" w:lineRule="auto"/>
              <w:ind w:firstLine="0"/>
            </w:pP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3.489</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0.001</w:t>
            </w:r>
          </w:p>
        </w:tc>
        <w:tc>
          <w:tcPr>
            <w:tcW w:w="992" w:type="dxa"/>
            <w:shd w:val="clear" w:color="auto" w:fill="FFFFFF"/>
            <w:vAlign w:val="center"/>
          </w:tcPr>
          <w:p w:rsidR="00A21566" w:rsidRPr="00074ED0" w:rsidRDefault="00A21566" w:rsidP="004F1B7B">
            <w:pPr>
              <w:autoSpaceDE w:val="0"/>
              <w:autoSpaceDN w:val="0"/>
              <w:adjustRightInd w:val="0"/>
              <w:spacing w:after="0" w:line="240" w:lineRule="auto"/>
              <w:ind w:firstLine="0"/>
            </w:pPr>
          </w:p>
        </w:tc>
        <w:tc>
          <w:tcPr>
            <w:tcW w:w="709" w:type="dxa"/>
            <w:shd w:val="clear" w:color="auto" w:fill="FFFFFF"/>
            <w:vAlign w:val="center"/>
          </w:tcPr>
          <w:p w:rsidR="00A21566" w:rsidRPr="00074ED0" w:rsidRDefault="00A21566" w:rsidP="004F1B7B">
            <w:pPr>
              <w:autoSpaceDE w:val="0"/>
              <w:autoSpaceDN w:val="0"/>
              <w:adjustRightInd w:val="0"/>
              <w:spacing w:after="0" w:line="240" w:lineRule="auto"/>
              <w:ind w:firstLine="0"/>
            </w:pPr>
          </w:p>
        </w:tc>
      </w:tr>
      <w:tr w:rsidR="00A21566" w:rsidRPr="00074ED0" w:rsidTr="004F1B7B">
        <w:trPr>
          <w:cantSplit/>
        </w:trPr>
        <w:tc>
          <w:tcPr>
            <w:tcW w:w="431" w:type="dxa"/>
            <w:vMerge/>
            <w:shd w:val="clear" w:color="auto" w:fill="E0E0E0"/>
          </w:tcPr>
          <w:p w:rsidR="00A21566" w:rsidRPr="00074ED0" w:rsidRDefault="00A21566" w:rsidP="004F1B7B">
            <w:pPr>
              <w:autoSpaceDE w:val="0"/>
              <w:autoSpaceDN w:val="0"/>
              <w:adjustRightInd w:val="0"/>
              <w:spacing w:after="0" w:line="240" w:lineRule="auto"/>
              <w:ind w:firstLine="0"/>
            </w:pPr>
          </w:p>
        </w:tc>
        <w:tc>
          <w:tcPr>
            <w:tcW w:w="1134" w:type="dxa"/>
            <w:shd w:val="clear" w:color="auto" w:fill="E0E0E0"/>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Profitabilitas</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-0.111</w:t>
            </w:r>
          </w:p>
        </w:tc>
        <w:tc>
          <w:tcPr>
            <w:tcW w:w="1134"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0.103</w:t>
            </w:r>
          </w:p>
        </w:tc>
        <w:tc>
          <w:tcPr>
            <w:tcW w:w="1276"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-0.172</w:t>
            </w: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-1.070</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0.293</w:t>
            </w:r>
          </w:p>
        </w:tc>
        <w:tc>
          <w:tcPr>
            <w:tcW w:w="992"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0.996</w:t>
            </w: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1.004</w:t>
            </w:r>
          </w:p>
        </w:tc>
      </w:tr>
      <w:tr w:rsidR="00A21566" w:rsidRPr="00074ED0" w:rsidTr="004F1B7B">
        <w:trPr>
          <w:cantSplit/>
        </w:trPr>
        <w:tc>
          <w:tcPr>
            <w:tcW w:w="431" w:type="dxa"/>
            <w:vMerge/>
            <w:shd w:val="clear" w:color="auto" w:fill="E0E0E0"/>
          </w:tcPr>
          <w:p w:rsidR="00A21566" w:rsidRPr="00074ED0" w:rsidRDefault="00A21566" w:rsidP="004F1B7B">
            <w:pPr>
              <w:autoSpaceDE w:val="0"/>
              <w:autoSpaceDN w:val="0"/>
              <w:adjustRightInd w:val="0"/>
              <w:spacing w:after="0" w:line="240" w:lineRule="auto"/>
              <w:ind w:firstLine="0"/>
              <w:rPr>
                <w:rFonts w:ascii="Arial" w:hAnsi="Arial" w:cs="Arial"/>
                <w:sz w:val="18"/>
                <w:szCs w:val="18"/>
              </w:rPr>
            </w:pPr>
          </w:p>
        </w:tc>
        <w:tc>
          <w:tcPr>
            <w:tcW w:w="1134" w:type="dxa"/>
            <w:shd w:val="clear" w:color="auto" w:fill="E0E0E0"/>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Likuiditas</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0.053</w:t>
            </w:r>
          </w:p>
        </w:tc>
        <w:tc>
          <w:tcPr>
            <w:tcW w:w="1134"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0.023</w:t>
            </w:r>
          </w:p>
        </w:tc>
        <w:tc>
          <w:tcPr>
            <w:tcW w:w="1276"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0.376</w:t>
            </w: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2.346</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0.025</w:t>
            </w:r>
          </w:p>
        </w:tc>
        <w:tc>
          <w:tcPr>
            <w:tcW w:w="992"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0.996</w:t>
            </w: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1.004</w:t>
            </w:r>
          </w:p>
        </w:tc>
      </w:tr>
      <w:tr w:rsidR="00A21566" w:rsidRPr="00074ED0" w:rsidTr="004F1B7B">
        <w:trPr>
          <w:cantSplit/>
        </w:trPr>
        <w:tc>
          <w:tcPr>
            <w:tcW w:w="8085" w:type="dxa"/>
            <w:gridSpan w:val="9"/>
            <w:shd w:val="clear" w:color="auto" w:fill="FFFFFF"/>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a. Dependent Variable: Kebijakan Dividen</w:t>
            </w:r>
          </w:p>
        </w:tc>
      </w:tr>
    </w:tbl>
    <w:p w:rsidR="00A21566" w:rsidRDefault="00A21566" w:rsidP="00A21566">
      <w:pPr>
        <w:ind w:firstLine="0"/>
      </w:pPr>
      <w:r>
        <w:rPr>
          <w:b/>
        </w:rPr>
        <w:t xml:space="preserve"> </w:t>
      </w:r>
      <w:proofErr w:type="gramStart"/>
      <w:r>
        <w:rPr>
          <w:i/>
        </w:rPr>
        <w:t>Sumber :</w:t>
      </w:r>
      <w:proofErr w:type="gramEnd"/>
      <w:r>
        <w:t xml:space="preserve"> Hasil Pengolahan Data SPSS 2021</w:t>
      </w:r>
    </w:p>
    <w:p w:rsidR="00A21566" w:rsidRDefault="00A21566" w:rsidP="00A21566">
      <w:pPr>
        <w:autoSpaceDE w:val="0"/>
        <w:autoSpaceDN w:val="0"/>
        <w:adjustRightInd w:val="0"/>
        <w:spacing w:after="0"/>
        <w:ind w:firstLine="284"/>
        <w:jc w:val="both"/>
      </w:pPr>
      <w:r>
        <w:t xml:space="preserve">Berdasarkan hasil analisis data pada tabel 4.7 maka dapat dirumuskan persamaan regresi linear berganda sebagai </w:t>
      </w:r>
      <w:proofErr w:type="gramStart"/>
      <w:r>
        <w:t>berikut :</w:t>
      </w:r>
      <w:proofErr w:type="gramEnd"/>
    </w:p>
    <w:p w:rsidR="00A21566" w:rsidRPr="00A969F4" w:rsidRDefault="00A21566" w:rsidP="00A21566">
      <w:pPr>
        <w:autoSpaceDE w:val="0"/>
        <w:autoSpaceDN w:val="0"/>
        <w:adjustRightInd w:val="0"/>
        <w:spacing w:after="0"/>
        <w:ind w:left="284"/>
      </w:pPr>
      <w:r w:rsidRPr="00A969F4">
        <w:t xml:space="preserve">DPR = 0,283 – 0.111 </w:t>
      </w:r>
      <w:r>
        <w:t xml:space="preserve">ROE </w:t>
      </w:r>
      <w:r w:rsidRPr="00A969F4">
        <w:t xml:space="preserve">+ 0,053 </w:t>
      </w:r>
      <w:r>
        <w:t>CR</w:t>
      </w:r>
    </w:p>
    <w:p w:rsidR="00A21566" w:rsidRDefault="00A21566" w:rsidP="00A21566">
      <w:pPr>
        <w:pStyle w:val="ListParagraph"/>
        <w:numPr>
          <w:ilvl w:val="0"/>
          <w:numId w:val="5"/>
        </w:numPr>
        <w:autoSpaceDE w:val="0"/>
        <w:autoSpaceDN w:val="0"/>
        <w:adjustRightInd w:val="0"/>
        <w:spacing w:after="0"/>
        <w:ind w:left="709"/>
        <w:jc w:val="both"/>
      </w:pPr>
      <w:r>
        <w:t>Konstanta = 0,283</w:t>
      </w:r>
    </w:p>
    <w:p w:rsidR="00A21566" w:rsidRPr="004362B2" w:rsidRDefault="00A21566" w:rsidP="00A21566">
      <w:pPr>
        <w:autoSpaceDE w:val="0"/>
        <w:autoSpaceDN w:val="0"/>
        <w:adjustRightInd w:val="0"/>
        <w:spacing w:after="0"/>
        <w:ind w:left="709" w:firstLine="0"/>
        <w:jc w:val="both"/>
      </w:pPr>
      <w:r>
        <w:lastRenderedPageBreak/>
        <w:t xml:space="preserve">Artinya apabila variabel independen yaitu variabel profitabilitas yang diproksikan dengan ROE dan Likuiditas yang diproksikan dengan CR dianggap konstan (bernilai 0), maka variabel kebijakan dividen yang </w:t>
      </w:r>
      <w:r w:rsidRPr="004362B2">
        <w:t xml:space="preserve">diproksikan dengan DPR </w:t>
      </w:r>
      <w:proofErr w:type="gramStart"/>
      <w:r w:rsidRPr="004362B2">
        <w:t>akan</w:t>
      </w:r>
      <w:proofErr w:type="gramEnd"/>
      <w:r w:rsidRPr="004362B2">
        <w:t xml:space="preserve"> bernilai sebesar 0,283 satuan.</w:t>
      </w:r>
    </w:p>
    <w:p w:rsidR="00A21566" w:rsidRPr="004362B2" w:rsidRDefault="00A21566" w:rsidP="00A21566">
      <w:pPr>
        <w:pStyle w:val="ListParagraph"/>
        <w:numPr>
          <w:ilvl w:val="0"/>
          <w:numId w:val="5"/>
        </w:numPr>
        <w:autoSpaceDE w:val="0"/>
        <w:autoSpaceDN w:val="0"/>
        <w:adjustRightInd w:val="0"/>
        <w:spacing w:after="0"/>
        <w:ind w:left="709"/>
        <w:jc w:val="both"/>
      </w:pPr>
      <w:r w:rsidRPr="004362B2">
        <w:t>Profitabilitas = -0,111</w:t>
      </w:r>
    </w:p>
    <w:p w:rsidR="00A21566" w:rsidRDefault="00A21566" w:rsidP="00A21566">
      <w:pPr>
        <w:pStyle w:val="ListParagraph"/>
        <w:autoSpaceDE w:val="0"/>
        <w:autoSpaceDN w:val="0"/>
        <w:adjustRightInd w:val="0"/>
        <w:spacing w:after="0"/>
        <w:ind w:left="709" w:firstLine="0"/>
        <w:jc w:val="both"/>
      </w:pPr>
      <w:r w:rsidRPr="004362B2">
        <w:t xml:space="preserve">Jika variabel profitabilitas yang diproksikan dengan ROE meningkat sebesar satu satuan maka kebijakan dividen yang diproksikan dengan DPR </w:t>
      </w:r>
      <w:proofErr w:type="gramStart"/>
      <w:r w:rsidRPr="004362B2">
        <w:t>akan</w:t>
      </w:r>
      <w:proofErr w:type="gramEnd"/>
      <w:r w:rsidRPr="004362B2">
        <w:t xml:space="preserve"> menurun sebesar 0,111 </w:t>
      </w:r>
      <w:r>
        <w:t xml:space="preserve">satuan dengan anggapan variabel lainnya tetap. </w:t>
      </w:r>
    </w:p>
    <w:p w:rsidR="00A21566" w:rsidRDefault="00A21566" w:rsidP="00A21566">
      <w:pPr>
        <w:pStyle w:val="ListParagraph"/>
        <w:numPr>
          <w:ilvl w:val="0"/>
          <w:numId w:val="5"/>
        </w:numPr>
        <w:autoSpaceDE w:val="0"/>
        <w:autoSpaceDN w:val="0"/>
        <w:adjustRightInd w:val="0"/>
        <w:spacing w:after="0"/>
        <w:ind w:left="709"/>
        <w:jc w:val="both"/>
      </w:pPr>
      <w:r>
        <w:t>Likuiditas = 0,053</w:t>
      </w:r>
    </w:p>
    <w:p w:rsidR="00A21566" w:rsidRDefault="00A21566" w:rsidP="00A21566">
      <w:pPr>
        <w:pStyle w:val="ListParagraph"/>
        <w:autoSpaceDE w:val="0"/>
        <w:autoSpaceDN w:val="0"/>
        <w:adjustRightInd w:val="0"/>
        <w:spacing w:after="0"/>
        <w:ind w:left="709" w:firstLine="0"/>
        <w:jc w:val="both"/>
      </w:pPr>
      <w:r>
        <w:t xml:space="preserve">Jika variabel likuiditas yang diproksikan dengan CR meningkat sebesar satu satuan maka kebijakan dividen yang diproksikan dengan DPR </w:t>
      </w:r>
      <w:proofErr w:type="gramStart"/>
      <w:r>
        <w:t>akan</w:t>
      </w:r>
      <w:proofErr w:type="gramEnd"/>
      <w:r>
        <w:t xml:space="preserve"> meningkat sebesar 0,053 satuan dengan anggapan variabel lainnya tetap. </w:t>
      </w:r>
    </w:p>
    <w:p w:rsidR="00A21566" w:rsidRDefault="00A21566" w:rsidP="006368E5">
      <w:pPr>
        <w:ind w:firstLine="0"/>
        <w:rPr>
          <w:b/>
        </w:rPr>
      </w:pPr>
      <w:r>
        <w:rPr>
          <w:b/>
        </w:rPr>
        <w:t xml:space="preserve">Uji </w:t>
      </w:r>
      <w:r w:rsidR="008872EB">
        <w:rPr>
          <w:b/>
        </w:rPr>
        <w:t xml:space="preserve">Parsial (uji </w:t>
      </w:r>
      <w:r>
        <w:rPr>
          <w:b/>
        </w:rPr>
        <w:t>t</w:t>
      </w:r>
      <w:r w:rsidR="008872EB">
        <w:rPr>
          <w:b/>
        </w:rPr>
        <w:t>)</w:t>
      </w:r>
    </w:p>
    <w:p w:rsidR="00A21566" w:rsidRDefault="00A21566" w:rsidP="00A21566">
      <w:pPr>
        <w:pStyle w:val="Caption"/>
        <w:jc w:val="center"/>
        <w:rPr>
          <w:b/>
          <w:i w:val="0"/>
          <w:color w:val="auto"/>
          <w:sz w:val="24"/>
          <w:szCs w:val="24"/>
        </w:rPr>
      </w:pPr>
      <w:bookmarkStart w:id="9" w:name="_Toc90050921"/>
      <w:bookmarkStart w:id="10" w:name="_Toc90051768"/>
      <w:bookmarkStart w:id="11" w:name="_Toc90051979"/>
      <w:r>
        <w:rPr>
          <w:b/>
          <w:i w:val="0"/>
          <w:color w:val="auto"/>
          <w:sz w:val="24"/>
          <w:szCs w:val="24"/>
        </w:rPr>
        <w:t>Tabel Hasil Uji Parsial</w:t>
      </w:r>
      <w:bookmarkEnd w:id="9"/>
      <w:bookmarkEnd w:id="10"/>
      <w:bookmarkEnd w:id="11"/>
    </w:p>
    <w:tbl>
      <w:tblPr>
        <w:tblpPr w:leftFromText="180" w:rightFromText="180" w:vertAnchor="text" w:horzAnchor="margin" w:tblpY="64"/>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134"/>
        <w:gridCol w:w="850"/>
        <w:gridCol w:w="1134"/>
        <w:gridCol w:w="1276"/>
        <w:gridCol w:w="709"/>
        <w:gridCol w:w="850"/>
        <w:gridCol w:w="992"/>
        <w:gridCol w:w="709"/>
      </w:tblGrid>
      <w:tr w:rsidR="00A21566" w:rsidRPr="00074ED0" w:rsidTr="004F1B7B">
        <w:trPr>
          <w:cantSplit/>
        </w:trPr>
        <w:tc>
          <w:tcPr>
            <w:tcW w:w="8085" w:type="dxa"/>
            <w:gridSpan w:val="9"/>
            <w:shd w:val="clear" w:color="auto" w:fill="FFFFFF"/>
            <w:vAlign w:val="center"/>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22"/>
                <w:szCs w:val="22"/>
              </w:rPr>
            </w:pPr>
            <w:r w:rsidRPr="00074ED0">
              <w:rPr>
                <w:rFonts w:ascii="Arial" w:hAnsi="Arial" w:cs="Arial"/>
                <w:b/>
                <w:bCs/>
                <w:sz w:val="22"/>
                <w:szCs w:val="22"/>
              </w:rPr>
              <w:t>Coefficients</w:t>
            </w:r>
            <w:r w:rsidRPr="00074ED0">
              <w:rPr>
                <w:rFonts w:ascii="Arial" w:hAnsi="Arial" w:cs="Arial"/>
                <w:b/>
                <w:bCs/>
                <w:sz w:val="22"/>
                <w:szCs w:val="22"/>
                <w:vertAlign w:val="superscript"/>
              </w:rPr>
              <w:t>a</w:t>
            </w:r>
          </w:p>
        </w:tc>
      </w:tr>
      <w:tr w:rsidR="00A21566" w:rsidRPr="00074ED0" w:rsidTr="004F1B7B">
        <w:trPr>
          <w:cantSplit/>
        </w:trPr>
        <w:tc>
          <w:tcPr>
            <w:tcW w:w="1565" w:type="dxa"/>
            <w:gridSpan w:val="2"/>
            <w:vMerge w:val="restart"/>
            <w:shd w:val="clear" w:color="auto" w:fill="FFFFFF"/>
            <w:vAlign w:val="bottom"/>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Model</w:t>
            </w:r>
          </w:p>
        </w:tc>
        <w:tc>
          <w:tcPr>
            <w:tcW w:w="1984" w:type="dxa"/>
            <w:gridSpan w:val="2"/>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Unstandardized Coefficients</w:t>
            </w:r>
          </w:p>
        </w:tc>
        <w:tc>
          <w:tcPr>
            <w:tcW w:w="1276"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Standardized Coefficients</w:t>
            </w:r>
          </w:p>
        </w:tc>
        <w:tc>
          <w:tcPr>
            <w:tcW w:w="709" w:type="dxa"/>
            <w:vMerge w:val="restart"/>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t</w:t>
            </w:r>
          </w:p>
        </w:tc>
        <w:tc>
          <w:tcPr>
            <w:tcW w:w="850" w:type="dxa"/>
            <w:vMerge w:val="restart"/>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Sig.</w:t>
            </w:r>
          </w:p>
        </w:tc>
        <w:tc>
          <w:tcPr>
            <w:tcW w:w="1701" w:type="dxa"/>
            <w:gridSpan w:val="2"/>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Collinearity Statistics</w:t>
            </w:r>
          </w:p>
        </w:tc>
      </w:tr>
      <w:tr w:rsidR="00A21566" w:rsidRPr="00074ED0" w:rsidTr="004F1B7B">
        <w:trPr>
          <w:cantSplit/>
        </w:trPr>
        <w:tc>
          <w:tcPr>
            <w:tcW w:w="1565" w:type="dxa"/>
            <w:gridSpan w:val="2"/>
            <w:vMerge/>
            <w:shd w:val="clear" w:color="auto" w:fill="FFFFFF"/>
            <w:vAlign w:val="bottom"/>
          </w:tcPr>
          <w:p w:rsidR="00A21566" w:rsidRPr="00074ED0" w:rsidRDefault="00A21566" w:rsidP="004F1B7B">
            <w:pPr>
              <w:autoSpaceDE w:val="0"/>
              <w:autoSpaceDN w:val="0"/>
              <w:adjustRightInd w:val="0"/>
              <w:spacing w:after="0" w:line="240" w:lineRule="auto"/>
              <w:ind w:firstLine="0"/>
              <w:rPr>
                <w:rFonts w:ascii="Arial" w:hAnsi="Arial" w:cs="Arial"/>
                <w:sz w:val="18"/>
                <w:szCs w:val="18"/>
              </w:rPr>
            </w:pPr>
          </w:p>
        </w:tc>
        <w:tc>
          <w:tcPr>
            <w:tcW w:w="850"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B</w:t>
            </w:r>
          </w:p>
        </w:tc>
        <w:tc>
          <w:tcPr>
            <w:tcW w:w="1134"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Std. Error</w:t>
            </w:r>
          </w:p>
        </w:tc>
        <w:tc>
          <w:tcPr>
            <w:tcW w:w="1276"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Beta</w:t>
            </w:r>
          </w:p>
        </w:tc>
        <w:tc>
          <w:tcPr>
            <w:tcW w:w="709" w:type="dxa"/>
            <w:vMerge/>
            <w:shd w:val="clear" w:color="auto" w:fill="FFFFFF"/>
            <w:vAlign w:val="bottom"/>
          </w:tcPr>
          <w:p w:rsidR="00A21566" w:rsidRPr="00074ED0" w:rsidRDefault="00A21566" w:rsidP="004F1B7B">
            <w:pPr>
              <w:autoSpaceDE w:val="0"/>
              <w:autoSpaceDN w:val="0"/>
              <w:adjustRightInd w:val="0"/>
              <w:spacing w:after="0" w:line="240" w:lineRule="auto"/>
              <w:ind w:firstLine="0"/>
              <w:rPr>
                <w:rFonts w:ascii="Arial" w:hAnsi="Arial" w:cs="Arial"/>
                <w:sz w:val="18"/>
                <w:szCs w:val="18"/>
              </w:rPr>
            </w:pPr>
          </w:p>
        </w:tc>
        <w:tc>
          <w:tcPr>
            <w:tcW w:w="850" w:type="dxa"/>
            <w:vMerge/>
            <w:shd w:val="clear" w:color="auto" w:fill="FFFFFF"/>
            <w:vAlign w:val="bottom"/>
          </w:tcPr>
          <w:p w:rsidR="00A21566" w:rsidRPr="00074ED0" w:rsidRDefault="00A21566" w:rsidP="004F1B7B">
            <w:pPr>
              <w:autoSpaceDE w:val="0"/>
              <w:autoSpaceDN w:val="0"/>
              <w:adjustRightInd w:val="0"/>
              <w:spacing w:after="0" w:line="240" w:lineRule="auto"/>
              <w:ind w:firstLine="0"/>
              <w:rPr>
                <w:rFonts w:ascii="Arial" w:hAnsi="Arial" w:cs="Arial"/>
                <w:sz w:val="18"/>
                <w:szCs w:val="18"/>
              </w:rPr>
            </w:pPr>
          </w:p>
        </w:tc>
        <w:tc>
          <w:tcPr>
            <w:tcW w:w="992"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Tolerance</w:t>
            </w:r>
          </w:p>
        </w:tc>
        <w:tc>
          <w:tcPr>
            <w:tcW w:w="709" w:type="dxa"/>
            <w:shd w:val="clear" w:color="auto" w:fill="FFFFFF"/>
            <w:vAlign w:val="bottom"/>
          </w:tcPr>
          <w:p w:rsidR="00A21566" w:rsidRPr="00074ED0" w:rsidRDefault="00A21566" w:rsidP="004F1B7B">
            <w:pPr>
              <w:autoSpaceDE w:val="0"/>
              <w:autoSpaceDN w:val="0"/>
              <w:adjustRightInd w:val="0"/>
              <w:spacing w:after="0" w:line="320" w:lineRule="atLeast"/>
              <w:ind w:left="60" w:right="60" w:firstLine="0"/>
              <w:jc w:val="center"/>
              <w:rPr>
                <w:rFonts w:ascii="Arial" w:hAnsi="Arial" w:cs="Arial"/>
                <w:sz w:val="18"/>
                <w:szCs w:val="18"/>
              </w:rPr>
            </w:pPr>
            <w:r w:rsidRPr="00074ED0">
              <w:rPr>
                <w:rFonts w:ascii="Arial" w:hAnsi="Arial" w:cs="Arial"/>
                <w:sz w:val="18"/>
                <w:szCs w:val="18"/>
              </w:rPr>
              <w:t>VIF</w:t>
            </w:r>
          </w:p>
        </w:tc>
      </w:tr>
      <w:tr w:rsidR="00A21566" w:rsidRPr="00074ED0" w:rsidTr="004F1B7B">
        <w:trPr>
          <w:cantSplit/>
        </w:trPr>
        <w:tc>
          <w:tcPr>
            <w:tcW w:w="431" w:type="dxa"/>
            <w:vMerge w:val="restart"/>
            <w:shd w:val="clear" w:color="auto" w:fill="E0E0E0"/>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1</w:t>
            </w:r>
          </w:p>
        </w:tc>
        <w:tc>
          <w:tcPr>
            <w:tcW w:w="1134" w:type="dxa"/>
            <w:shd w:val="clear" w:color="auto" w:fill="E0E0E0"/>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(Constant)</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0.283</w:t>
            </w:r>
          </w:p>
        </w:tc>
        <w:tc>
          <w:tcPr>
            <w:tcW w:w="1134"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0.081</w:t>
            </w:r>
          </w:p>
        </w:tc>
        <w:tc>
          <w:tcPr>
            <w:tcW w:w="1276" w:type="dxa"/>
            <w:shd w:val="clear" w:color="auto" w:fill="FFFFFF"/>
            <w:vAlign w:val="center"/>
          </w:tcPr>
          <w:p w:rsidR="00A21566" w:rsidRPr="00074ED0" w:rsidRDefault="00A21566" w:rsidP="004F1B7B">
            <w:pPr>
              <w:autoSpaceDE w:val="0"/>
              <w:autoSpaceDN w:val="0"/>
              <w:adjustRightInd w:val="0"/>
              <w:spacing w:after="0" w:line="240" w:lineRule="auto"/>
              <w:ind w:firstLine="0"/>
            </w:pP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3.489</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0.001</w:t>
            </w:r>
          </w:p>
        </w:tc>
        <w:tc>
          <w:tcPr>
            <w:tcW w:w="992" w:type="dxa"/>
            <w:shd w:val="clear" w:color="auto" w:fill="FFFFFF"/>
            <w:vAlign w:val="center"/>
          </w:tcPr>
          <w:p w:rsidR="00A21566" w:rsidRPr="00074ED0" w:rsidRDefault="00A21566" w:rsidP="004F1B7B">
            <w:pPr>
              <w:autoSpaceDE w:val="0"/>
              <w:autoSpaceDN w:val="0"/>
              <w:adjustRightInd w:val="0"/>
              <w:spacing w:after="0" w:line="240" w:lineRule="auto"/>
              <w:ind w:firstLine="0"/>
            </w:pPr>
          </w:p>
        </w:tc>
        <w:tc>
          <w:tcPr>
            <w:tcW w:w="709" w:type="dxa"/>
            <w:shd w:val="clear" w:color="auto" w:fill="FFFFFF"/>
            <w:vAlign w:val="center"/>
          </w:tcPr>
          <w:p w:rsidR="00A21566" w:rsidRPr="00074ED0" w:rsidRDefault="00A21566" w:rsidP="004F1B7B">
            <w:pPr>
              <w:autoSpaceDE w:val="0"/>
              <w:autoSpaceDN w:val="0"/>
              <w:adjustRightInd w:val="0"/>
              <w:spacing w:after="0" w:line="240" w:lineRule="auto"/>
              <w:ind w:firstLine="0"/>
            </w:pPr>
          </w:p>
        </w:tc>
      </w:tr>
      <w:tr w:rsidR="00A21566" w:rsidRPr="00074ED0" w:rsidTr="004F1B7B">
        <w:trPr>
          <w:cantSplit/>
        </w:trPr>
        <w:tc>
          <w:tcPr>
            <w:tcW w:w="431" w:type="dxa"/>
            <w:vMerge/>
            <w:shd w:val="clear" w:color="auto" w:fill="E0E0E0"/>
          </w:tcPr>
          <w:p w:rsidR="00A21566" w:rsidRPr="00074ED0" w:rsidRDefault="00A21566" w:rsidP="004F1B7B">
            <w:pPr>
              <w:autoSpaceDE w:val="0"/>
              <w:autoSpaceDN w:val="0"/>
              <w:adjustRightInd w:val="0"/>
              <w:spacing w:after="0" w:line="240" w:lineRule="auto"/>
              <w:ind w:firstLine="0"/>
            </w:pPr>
          </w:p>
        </w:tc>
        <w:tc>
          <w:tcPr>
            <w:tcW w:w="1134" w:type="dxa"/>
            <w:shd w:val="clear" w:color="auto" w:fill="E0E0E0"/>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Profitabilitas</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-0.111</w:t>
            </w:r>
          </w:p>
        </w:tc>
        <w:tc>
          <w:tcPr>
            <w:tcW w:w="1134"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0.103</w:t>
            </w:r>
          </w:p>
        </w:tc>
        <w:tc>
          <w:tcPr>
            <w:tcW w:w="1276"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-0.172</w:t>
            </w: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-1.070</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0.293</w:t>
            </w:r>
          </w:p>
        </w:tc>
        <w:tc>
          <w:tcPr>
            <w:tcW w:w="992"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0.996</w:t>
            </w: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1.004</w:t>
            </w:r>
          </w:p>
        </w:tc>
      </w:tr>
      <w:tr w:rsidR="00A21566" w:rsidRPr="00074ED0" w:rsidTr="004F1B7B">
        <w:trPr>
          <w:cantSplit/>
        </w:trPr>
        <w:tc>
          <w:tcPr>
            <w:tcW w:w="431" w:type="dxa"/>
            <w:vMerge/>
            <w:shd w:val="clear" w:color="auto" w:fill="E0E0E0"/>
          </w:tcPr>
          <w:p w:rsidR="00A21566" w:rsidRPr="00074ED0" w:rsidRDefault="00A21566" w:rsidP="004F1B7B">
            <w:pPr>
              <w:autoSpaceDE w:val="0"/>
              <w:autoSpaceDN w:val="0"/>
              <w:adjustRightInd w:val="0"/>
              <w:spacing w:after="0" w:line="240" w:lineRule="auto"/>
              <w:ind w:firstLine="0"/>
              <w:rPr>
                <w:rFonts w:ascii="Arial" w:hAnsi="Arial" w:cs="Arial"/>
                <w:sz w:val="18"/>
                <w:szCs w:val="18"/>
              </w:rPr>
            </w:pPr>
          </w:p>
        </w:tc>
        <w:tc>
          <w:tcPr>
            <w:tcW w:w="1134" w:type="dxa"/>
            <w:shd w:val="clear" w:color="auto" w:fill="E0E0E0"/>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Likuiditas</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0.053</w:t>
            </w:r>
          </w:p>
        </w:tc>
        <w:tc>
          <w:tcPr>
            <w:tcW w:w="1134"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0.023</w:t>
            </w:r>
          </w:p>
        </w:tc>
        <w:tc>
          <w:tcPr>
            <w:tcW w:w="1276"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0.376</w:t>
            </w: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2.346</w:t>
            </w:r>
          </w:p>
        </w:tc>
        <w:tc>
          <w:tcPr>
            <w:tcW w:w="850"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0.025</w:t>
            </w:r>
          </w:p>
        </w:tc>
        <w:tc>
          <w:tcPr>
            <w:tcW w:w="992"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0.996</w:t>
            </w:r>
          </w:p>
        </w:tc>
        <w:tc>
          <w:tcPr>
            <w:tcW w:w="709" w:type="dxa"/>
            <w:shd w:val="clear" w:color="auto" w:fill="FFFFFF"/>
          </w:tcPr>
          <w:p w:rsidR="00A21566" w:rsidRPr="00074ED0" w:rsidRDefault="00A21566" w:rsidP="004F1B7B">
            <w:pPr>
              <w:autoSpaceDE w:val="0"/>
              <w:autoSpaceDN w:val="0"/>
              <w:adjustRightInd w:val="0"/>
              <w:spacing w:after="0" w:line="320" w:lineRule="atLeast"/>
              <w:ind w:left="60" w:right="60" w:firstLine="0"/>
              <w:jc w:val="right"/>
              <w:rPr>
                <w:rFonts w:ascii="Arial" w:hAnsi="Arial" w:cs="Arial"/>
                <w:sz w:val="18"/>
                <w:szCs w:val="18"/>
              </w:rPr>
            </w:pPr>
            <w:r w:rsidRPr="00074ED0">
              <w:rPr>
                <w:rFonts w:ascii="Arial" w:hAnsi="Arial" w:cs="Arial"/>
                <w:sz w:val="18"/>
                <w:szCs w:val="18"/>
              </w:rPr>
              <w:t>1.004</w:t>
            </w:r>
          </w:p>
        </w:tc>
      </w:tr>
      <w:tr w:rsidR="00A21566" w:rsidRPr="00074ED0" w:rsidTr="004F1B7B">
        <w:trPr>
          <w:cantSplit/>
        </w:trPr>
        <w:tc>
          <w:tcPr>
            <w:tcW w:w="8085" w:type="dxa"/>
            <w:gridSpan w:val="9"/>
            <w:shd w:val="clear" w:color="auto" w:fill="FFFFFF"/>
          </w:tcPr>
          <w:p w:rsidR="00A21566" w:rsidRPr="00074ED0" w:rsidRDefault="00A21566" w:rsidP="004F1B7B">
            <w:pPr>
              <w:autoSpaceDE w:val="0"/>
              <w:autoSpaceDN w:val="0"/>
              <w:adjustRightInd w:val="0"/>
              <w:spacing w:after="0" w:line="320" w:lineRule="atLeast"/>
              <w:ind w:left="60" w:right="60" w:firstLine="0"/>
              <w:rPr>
                <w:rFonts w:ascii="Arial" w:hAnsi="Arial" w:cs="Arial"/>
                <w:sz w:val="18"/>
                <w:szCs w:val="18"/>
              </w:rPr>
            </w:pPr>
            <w:r w:rsidRPr="00074ED0">
              <w:rPr>
                <w:rFonts w:ascii="Arial" w:hAnsi="Arial" w:cs="Arial"/>
                <w:sz w:val="18"/>
                <w:szCs w:val="18"/>
              </w:rPr>
              <w:t>a. Dependent Variable: Kebijakan Dividen</w:t>
            </w:r>
          </w:p>
        </w:tc>
      </w:tr>
    </w:tbl>
    <w:p w:rsidR="00A21566" w:rsidRDefault="00A21566" w:rsidP="00A21566">
      <w:pPr>
        <w:ind w:firstLine="0"/>
        <w:rPr>
          <w:b/>
        </w:rPr>
      </w:pPr>
      <w:r>
        <w:rPr>
          <w:b/>
        </w:rPr>
        <w:t xml:space="preserve"> </w:t>
      </w:r>
    </w:p>
    <w:p w:rsidR="00A21566" w:rsidRDefault="00A21566" w:rsidP="00A21566">
      <w:pPr>
        <w:ind w:firstLine="0"/>
        <w:rPr>
          <w:b/>
        </w:rPr>
      </w:pPr>
    </w:p>
    <w:p w:rsidR="00A21566" w:rsidRDefault="00A21566" w:rsidP="00A21566">
      <w:pPr>
        <w:ind w:firstLine="0"/>
        <w:rPr>
          <w:b/>
        </w:rPr>
      </w:pPr>
    </w:p>
    <w:p w:rsidR="00A21566" w:rsidRDefault="00A21566" w:rsidP="00A21566">
      <w:pPr>
        <w:ind w:firstLine="0"/>
        <w:rPr>
          <w:b/>
        </w:rPr>
      </w:pPr>
    </w:p>
    <w:p w:rsidR="00A21566" w:rsidRDefault="00A21566" w:rsidP="00A21566">
      <w:pPr>
        <w:ind w:firstLine="0"/>
      </w:pPr>
      <w:r>
        <w:rPr>
          <w:b/>
        </w:rPr>
        <w:t xml:space="preserve">  </w:t>
      </w:r>
      <w:r>
        <w:t xml:space="preserve"> </w:t>
      </w:r>
      <w:proofErr w:type="gramStart"/>
      <w:r>
        <w:rPr>
          <w:i/>
        </w:rPr>
        <w:t>Sumber :</w:t>
      </w:r>
      <w:proofErr w:type="gramEnd"/>
      <w:r>
        <w:t xml:space="preserve"> Hasil Pengolahan Data SPSS 2021</w:t>
      </w:r>
    </w:p>
    <w:p w:rsidR="00A21566" w:rsidRDefault="00A21566" w:rsidP="00A21566">
      <w:pPr>
        <w:jc w:val="both"/>
      </w:pPr>
      <w:r>
        <w:t xml:space="preserve">Berdasarkan pada tabel 4.8 diatas dapat diketahui pengaruh profitabilitas dan likuiditas terhadap kebijakan dividen dijelaskan sebagai </w:t>
      </w:r>
      <w:proofErr w:type="gramStart"/>
      <w:r>
        <w:t>berikut :</w:t>
      </w:r>
      <w:proofErr w:type="gramEnd"/>
    </w:p>
    <w:p w:rsidR="00A21566" w:rsidRDefault="00A21566" w:rsidP="00A21566">
      <w:pPr>
        <w:pStyle w:val="ListParagraph"/>
        <w:numPr>
          <w:ilvl w:val="0"/>
          <w:numId w:val="6"/>
        </w:numPr>
        <w:jc w:val="both"/>
      </w:pPr>
      <w:r>
        <w:lastRenderedPageBreak/>
        <w:t>Variabel Profitabilitas memiliki nilai t sebesar -1,070 dengan tingkat signifikan sebesar 0,293 yang mana lebih besar dari taraf signifikan 0,05 atau sebesar 5%, hal ini menunjukan bahwa profitabilitas tidak berpengaruh terhadap kebijakan dividen. Maka dapat disimpulkan bahwa H</w:t>
      </w:r>
      <w:r>
        <w:rPr>
          <w:vertAlign w:val="subscript"/>
        </w:rPr>
        <w:t>1</w:t>
      </w:r>
      <w:r>
        <w:t xml:space="preserve"> ditolak yakni variabel profitabilitas tidak berpengaruh signifikan terhadap kebijakan dividen pada perusahaan Manufaktur Sub Sektor Farmasi yang terdaftar di Bursa Efek Indonesia periode 2016-2020</w:t>
      </w:r>
    </w:p>
    <w:p w:rsidR="00A21566" w:rsidRDefault="00A21566" w:rsidP="00A21566">
      <w:pPr>
        <w:pStyle w:val="ListParagraph"/>
        <w:numPr>
          <w:ilvl w:val="0"/>
          <w:numId w:val="6"/>
        </w:numPr>
        <w:jc w:val="both"/>
      </w:pPr>
      <w:r>
        <w:t>Variabel Likuiditas memiliki nilai t sebesar 2,346 dengan tingkat signifikan sebesar 0,025 yang mana lebih kecil dari taraf signifikan 0,05 atau sebesar 5%, hal ini menunjukan bahwa variabel likuiditas berpengaruh terhadap kebijakan dividen. Maka dapat disimpulkan bahwa H</w:t>
      </w:r>
      <w:r>
        <w:rPr>
          <w:vertAlign w:val="subscript"/>
        </w:rPr>
        <w:t>2</w:t>
      </w:r>
      <w:r>
        <w:t xml:space="preserve"> diterima yakni variabel likuiditas berpengaruh signifikan terhadap kebijakan dividen pada perusahaan Manufaktur sub sektor Farmasi yang terdaftar di Bursa Efek Indonesia periode 2016-2020 </w:t>
      </w:r>
    </w:p>
    <w:p w:rsidR="00A21566" w:rsidRDefault="008E550A" w:rsidP="006368E5">
      <w:pPr>
        <w:ind w:firstLine="0"/>
        <w:rPr>
          <w:b/>
        </w:rPr>
      </w:pPr>
      <w:r w:rsidRPr="008E550A">
        <w:rPr>
          <w:b/>
        </w:rPr>
        <w:t xml:space="preserve">Uji </w:t>
      </w:r>
      <w:r w:rsidR="008872EB">
        <w:rPr>
          <w:b/>
        </w:rPr>
        <w:t xml:space="preserve">Simultan (uji </w:t>
      </w:r>
      <w:r w:rsidRPr="008E550A">
        <w:rPr>
          <w:b/>
        </w:rPr>
        <w:t>F</w:t>
      </w:r>
      <w:r w:rsidR="008872EB">
        <w:rPr>
          <w:b/>
        </w:rPr>
        <w:t>)</w:t>
      </w:r>
    </w:p>
    <w:p w:rsidR="008E550A" w:rsidRPr="00FA4509" w:rsidRDefault="008E550A" w:rsidP="008E550A">
      <w:pPr>
        <w:pStyle w:val="Caption"/>
        <w:jc w:val="center"/>
        <w:rPr>
          <w:b/>
          <w:i w:val="0"/>
          <w:color w:val="auto"/>
          <w:sz w:val="24"/>
          <w:szCs w:val="24"/>
        </w:rPr>
      </w:pPr>
      <w:bookmarkStart w:id="12" w:name="_Toc90050922"/>
      <w:bookmarkStart w:id="13" w:name="_Toc90051769"/>
      <w:bookmarkStart w:id="14" w:name="_Toc90051980"/>
      <w:r>
        <w:rPr>
          <w:b/>
          <w:i w:val="0"/>
          <w:color w:val="auto"/>
          <w:sz w:val="24"/>
          <w:szCs w:val="24"/>
        </w:rPr>
        <w:t>Tabel Hasil Uji Simultan</w:t>
      </w:r>
      <w:bookmarkEnd w:id="12"/>
      <w:bookmarkEnd w:id="13"/>
      <w:bookmarkEnd w:id="14"/>
    </w:p>
    <w:tbl>
      <w:tblPr>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8E550A" w:rsidRPr="00FA4509" w:rsidTr="004F1B7B">
        <w:trPr>
          <w:cantSplit/>
        </w:trPr>
        <w:tc>
          <w:tcPr>
            <w:tcW w:w="8004" w:type="dxa"/>
            <w:gridSpan w:val="7"/>
            <w:shd w:val="clear" w:color="auto" w:fill="FFFFFF"/>
            <w:vAlign w:val="center"/>
          </w:tcPr>
          <w:p w:rsidR="008E550A" w:rsidRPr="00FA4509" w:rsidRDefault="008E550A" w:rsidP="004F1B7B">
            <w:pPr>
              <w:autoSpaceDE w:val="0"/>
              <w:autoSpaceDN w:val="0"/>
              <w:adjustRightInd w:val="0"/>
              <w:spacing w:after="0" w:line="320" w:lineRule="atLeast"/>
              <w:ind w:left="60" w:right="60" w:firstLine="0"/>
              <w:jc w:val="center"/>
              <w:rPr>
                <w:rFonts w:ascii="Arial" w:hAnsi="Arial" w:cs="Arial"/>
                <w:sz w:val="22"/>
                <w:szCs w:val="22"/>
              </w:rPr>
            </w:pPr>
            <w:r w:rsidRPr="00FA4509">
              <w:rPr>
                <w:rFonts w:ascii="Arial" w:hAnsi="Arial" w:cs="Arial"/>
                <w:b/>
                <w:bCs/>
                <w:sz w:val="22"/>
                <w:szCs w:val="22"/>
              </w:rPr>
              <w:t>ANOVA</w:t>
            </w:r>
            <w:r w:rsidRPr="00FA4509">
              <w:rPr>
                <w:rFonts w:ascii="Arial" w:hAnsi="Arial" w:cs="Arial"/>
                <w:b/>
                <w:bCs/>
                <w:sz w:val="22"/>
                <w:szCs w:val="22"/>
                <w:vertAlign w:val="superscript"/>
              </w:rPr>
              <w:t>a</w:t>
            </w:r>
          </w:p>
        </w:tc>
      </w:tr>
      <w:tr w:rsidR="008E550A" w:rsidRPr="00FA4509" w:rsidTr="004F1B7B">
        <w:trPr>
          <w:cantSplit/>
        </w:trPr>
        <w:tc>
          <w:tcPr>
            <w:tcW w:w="2028" w:type="dxa"/>
            <w:gridSpan w:val="2"/>
            <w:shd w:val="clear" w:color="auto" w:fill="FFFFFF"/>
            <w:vAlign w:val="bottom"/>
          </w:tcPr>
          <w:p w:rsidR="008E550A" w:rsidRPr="00FA4509" w:rsidRDefault="008E550A" w:rsidP="004F1B7B">
            <w:pPr>
              <w:autoSpaceDE w:val="0"/>
              <w:autoSpaceDN w:val="0"/>
              <w:adjustRightInd w:val="0"/>
              <w:spacing w:after="0" w:line="320" w:lineRule="atLeast"/>
              <w:ind w:left="60" w:right="60" w:firstLine="0"/>
              <w:rPr>
                <w:rFonts w:ascii="Arial" w:hAnsi="Arial" w:cs="Arial"/>
                <w:sz w:val="18"/>
                <w:szCs w:val="18"/>
              </w:rPr>
            </w:pPr>
            <w:r w:rsidRPr="00FA4509">
              <w:rPr>
                <w:rFonts w:ascii="Arial" w:hAnsi="Arial" w:cs="Arial"/>
                <w:sz w:val="18"/>
                <w:szCs w:val="18"/>
              </w:rPr>
              <w:t>Model</w:t>
            </w:r>
          </w:p>
        </w:tc>
        <w:tc>
          <w:tcPr>
            <w:tcW w:w="1475" w:type="dxa"/>
            <w:shd w:val="clear" w:color="auto" w:fill="FFFFFF"/>
            <w:vAlign w:val="bottom"/>
          </w:tcPr>
          <w:p w:rsidR="008E550A" w:rsidRPr="00FA4509" w:rsidRDefault="008E550A" w:rsidP="004F1B7B">
            <w:pPr>
              <w:autoSpaceDE w:val="0"/>
              <w:autoSpaceDN w:val="0"/>
              <w:adjustRightInd w:val="0"/>
              <w:spacing w:after="0" w:line="320" w:lineRule="atLeast"/>
              <w:ind w:left="60" w:right="60" w:firstLine="0"/>
              <w:jc w:val="center"/>
              <w:rPr>
                <w:rFonts w:ascii="Arial" w:hAnsi="Arial" w:cs="Arial"/>
                <w:sz w:val="18"/>
                <w:szCs w:val="18"/>
              </w:rPr>
            </w:pPr>
            <w:r w:rsidRPr="00FA4509">
              <w:rPr>
                <w:rFonts w:ascii="Arial" w:hAnsi="Arial" w:cs="Arial"/>
                <w:sz w:val="18"/>
                <w:szCs w:val="18"/>
              </w:rPr>
              <w:t>Sum of Squares</w:t>
            </w:r>
          </w:p>
        </w:tc>
        <w:tc>
          <w:tcPr>
            <w:tcW w:w="1029" w:type="dxa"/>
            <w:shd w:val="clear" w:color="auto" w:fill="FFFFFF"/>
            <w:vAlign w:val="bottom"/>
          </w:tcPr>
          <w:p w:rsidR="008E550A" w:rsidRPr="00FA4509" w:rsidRDefault="008E550A" w:rsidP="004F1B7B">
            <w:pPr>
              <w:autoSpaceDE w:val="0"/>
              <w:autoSpaceDN w:val="0"/>
              <w:adjustRightInd w:val="0"/>
              <w:spacing w:after="0" w:line="320" w:lineRule="atLeast"/>
              <w:ind w:left="60" w:right="60" w:firstLine="0"/>
              <w:jc w:val="center"/>
              <w:rPr>
                <w:rFonts w:ascii="Arial" w:hAnsi="Arial" w:cs="Arial"/>
                <w:sz w:val="18"/>
                <w:szCs w:val="18"/>
              </w:rPr>
            </w:pPr>
            <w:r w:rsidRPr="00FA4509">
              <w:rPr>
                <w:rFonts w:ascii="Arial" w:hAnsi="Arial" w:cs="Arial"/>
                <w:sz w:val="18"/>
                <w:szCs w:val="18"/>
              </w:rPr>
              <w:t>df</w:t>
            </w:r>
          </w:p>
        </w:tc>
        <w:tc>
          <w:tcPr>
            <w:tcW w:w="1414" w:type="dxa"/>
            <w:shd w:val="clear" w:color="auto" w:fill="FFFFFF"/>
            <w:vAlign w:val="bottom"/>
          </w:tcPr>
          <w:p w:rsidR="008E550A" w:rsidRPr="00FA4509" w:rsidRDefault="008E550A" w:rsidP="004F1B7B">
            <w:pPr>
              <w:autoSpaceDE w:val="0"/>
              <w:autoSpaceDN w:val="0"/>
              <w:adjustRightInd w:val="0"/>
              <w:spacing w:after="0" w:line="320" w:lineRule="atLeast"/>
              <w:ind w:left="60" w:right="60" w:firstLine="0"/>
              <w:jc w:val="center"/>
              <w:rPr>
                <w:rFonts w:ascii="Arial" w:hAnsi="Arial" w:cs="Arial"/>
                <w:sz w:val="18"/>
                <w:szCs w:val="18"/>
              </w:rPr>
            </w:pPr>
            <w:r w:rsidRPr="00FA4509">
              <w:rPr>
                <w:rFonts w:ascii="Arial" w:hAnsi="Arial" w:cs="Arial"/>
                <w:sz w:val="18"/>
                <w:szCs w:val="18"/>
              </w:rPr>
              <w:t>Mean Square</w:t>
            </w:r>
          </w:p>
        </w:tc>
        <w:tc>
          <w:tcPr>
            <w:tcW w:w="1029" w:type="dxa"/>
            <w:shd w:val="clear" w:color="auto" w:fill="FFFFFF"/>
            <w:vAlign w:val="bottom"/>
          </w:tcPr>
          <w:p w:rsidR="008E550A" w:rsidRPr="00FA4509" w:rsidRDefault="008E550A" w:rsidP="004F1B7B">
            <w:pPr>
              <w:autoSpaceDE w:val="0"/>
              <w:autoSpaceDN w:val="0"/>
              <w:adjustRightInd w:val="0"/>
              <w:spacing w:after="0" w:line="320" w:lineRule="atLeast"/>
              <w:ind w:left="60" w:right="60" w:firstLine="0"/>
              <w:jc w:val="center"/>
              <w:rPr>
                <w:rFonts w:ascii="Arial" w:hAnsi="Arial" w:cs="Arial"/>
                <w:sz w:val="18"/>
                <w:szCs w:val="18"/>
              </w:rPr>
            </w:pPr>
            <w:r w:rsidRPr="00FA4509">
              <w:rPr>
                <w:rFonts w:ascii="Arial" w:hAnsi="Arial" w:cs="Arial"/>
                <w:sz w:val="18"/>
                <w:szCs w:val="18"/>
              </w:rPr>
              <w:t>F</w:t>
            </w:r>
          </w:p>
        </w:tc>
        <w:tc>
          <w:tcPr>
            <w:tcW w:w="1029" w:type="dxa"/>
            <w:shd w:val="clear" w:color="auto" w:fill="FFFFFF"/>
            <w:vAlign w:val="bottom"/>
          </w:tcPr>
          <w:p w:rsidR="008E550A" w:rsidRPr="00FA4509" w:rsidRDefault="008E550A" w:rsidP="004F1B7B">
            <w:pPr>
              <w:autoSpaceDE w:val="0"/>
              <w:autoSpaceDN w:val="0"/>
              <w:adjustRightInd w:val="0"/>
              <w:spacing w:after="0" w:line="320" w:lineRule="atLeast"/>
              <w:ind w:left="60" w:right="60" w:firstLine="0"/>
              <w:jc w:val="center"/>
              <w:rPr>
                <w:rFonts w:ascii="Arial" w:hAnsi="Arial" w:cs="Arial"/>
                <w:sz w:val="18"/>
                <w:szCs w:val="18"/>
              </w:rPr>
            </w:pPr>
            <w:r w:rsidRPr="00FA4509">
              <w:rPr>
                <w:rFonts w:ascii="Arial" w:hAnsi="Arial" w:cs="Arial"/>
                <w:sz w:val="18"/>
                <w:szCs w:val="18"/>
              </w:rPr>
              <w:t>Sig.</w:t>
            </w:r>
          </w:p>
        </w:tc>
      </w:tr>
      <w:tr w:rsidR="008E550A" w:rsidRPr="00FA4509" w:rsidTr="004F1B7B">
        <w:trPr>
          <w:cantSplit/>
        </w:trPr>
        <w:tc>
          <w:tcPr>
            <w:tcW w:w="737" w:type="dxa"/>
            <w:vMerge w:val="restart"/>
            <w:shd w:val="clear" w:color="auto" w:fill="E0E0E0"/>
          </w:tcPr>
          <w:p w:rsidR="008E550A" w:rsidRPr="00FA4509" w:rsidRDefault="008E550A" w:rsidP="004F1B7B">
            <w:pPr>
              <w:autoSpaceDE w:val="0"/>
              <w:autoSpaceDN w:val="0"/>
              <w:adjustRightInd w:val="0"/>
              <w:spacing w:after="0" w:line="320" w:lineRule="atLeast"/>
              <w:ind w:left="60" w:right="60" w:firstLine="0"/>
              <w:rPr>
                <w:rFonts w:ascii="Arial" w:hAnsi="Arial" w:cs="Arial"/>
                <w:sz w:val="18"/>
                <w:szCs w:val="18"/>
              </w:rPr>
            </w:pPr>
            <w:r w:rsidRPr="00FA4509">
              <w:rPr>
                <w:rFonts w:ascii="Arial" w:hAnsi="Arial" w:cs="Arial"/>
                <w:sz w:val="18"/>
                <w:szCs w:val="18"/>
              </w:rPr>
              <w:t>1</w:t>
            </w:r>
          </w:p>
        </w:tc>
        <w:tc>
          <w:tcPr>
            <w:tcW w:w="1291" w:type="dxa"/>
            <w:shd w:val="clear" w:color="auto" w:fill="E0E0E0"/>
          </w:tcPr>
          <w:p w:rsidR="008E550A" w:rsidRPr="00FA4509" w:rsidRDefault="008E550A" w:rsidP="004F1B7B">
            <w:pPr>
              <w:autoSpaceDE w:val="0"/>
              <w:autoSpaceDN w:val="0"/>
              <w:adjustRightInd w:val="0"/>
              <w:spacing w:after="0" w:line="320" w:lineRule="atLeast"/>
              <w:ind w:left="60" w:right="60" w:firstLine="0"/>
              <w:rPr>
                <w:rFonts w:ascii="Arial" w:hAnsi="Arial" w:cs="Arial"/>
                <w:sz w:val="18"/>
                <w:szCs w:val="18"/>
              </w:rPr>
            </w:pPr>
            <w:r w:rsidRPr="00FA4509">
              <w:rPr>
                <w:rFonts w:ascii="Arial" w:hAnsi="Arial" w:cs="Arial"/>
                <w:sz w:val="18"/>
                <w:szCs w:val="18"/>
              </w:rPr>
              <w:t>Regression</w:t>
            </w:r>
          </w:p>
        </w:tc>
        <w:tc>
          <w:tcPr>
            <w:tcW w:w="1475"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0.328</w:t>
            </w:r>
          </w:p>
        </w:tc>
        <w:tc>
          <w:tcPr>
            <w:tcW w:w="1029"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2</w:t>
            </w:r>
          </w:p>
        </w:tc>
        <w:tc>
          <w:tcPr>
            <w:tcW w:w="1414"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0.164</w:t>
            </w:r>
          </w:p>
        </w:tc>
        <w:tc>
          <w:tcPr>
            <w:tcW w:w="1029"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3.508</w:t>
            </w:r>
          </w:p>
        </w:tc>
        <w:tc>
          <w:tcPr>
            <w:tcW w:w="1029"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0.042</w:t>
            </w:r>
            <w:r w:rsidRPr="00FA4509">
              <w:rPr>
                <w:rFonts w:ascii="Arial" w:hAnsi="Arial" w:cs="Arial"/>
                <w:sz w:val="18"/>
                <w:szCs w:val="18"/>
                <w:vertAlign w:val="superscript"/>
              </w:rPr>
              <w:t>b</w:t>
            </w:r>
          </w:p>
        </w:tc>
      </w:tr>
      <w:tr w:rsidR="008E550A" w:rsidRPr="00FA4509" w:rsidTr="004F1B7B">
        <w:trPr>
          <w:cantSplit/>
        </w:trPr>
        <w:tc>
          <w:tcPr>
            <w:tcW w:w="737" w:type="dxa"/>
            <w:vMerge/>
            <w:shd w:val="clear" w:color="auto" w:fill="E0E0E0"/>
          </w:tcPr>
          <w:p w:rsidR="008E550A" w:rsidRPr="00FA4509" w:rsidRDefault="008E550A" w:rsidP="004F1B7B">
            <w:pPr>
              <w:autoSpaceDE w:val="0"/>
              <w:autoSpaceDN w:val="0"/>
              <w:adjustRightInd w:val="0"/>
              <w:spacing w:after="0" w:line="240" w:lineRule="auto"/>
              <w:ind w:firstLine="0"/>
              <w:rPr>
                <w:rFonts w:ascii="Arial" w:hAnsi="Arial" w:cs="Arial"/>
                <w:sz w:val="18"/>
                <w:szCs w:val="18"/>
              </w:rPr>
            </w:pPr>
          </w:p>
        </w:tc>
        <w:tc>
          <w:tcPr>
            <w:tcW w:w="1291" w:type="dxa"/>
            <w:shd w:val="clear" w:color="auto" w:fill="E0E0E0"/>
          </w:tcPr>
          <w:p w:rsidR="008E550A" w:rsidRPr="00FA4509" w:rsidRDefault="008E550A" w:rsidP="004F1B7B">
            <w:pPr>
              <w:autoSpaceDE w:val="0"/>
              <w:autoSpaceDN w:val="0"/>
              <w:adjustRightInd w:val="0"/>
              <w:spacing w:after="0" w:line="320" w:lineRule="atLeast"/>
              <w:ind w:left="60" w:right="60" w:firstLine="0"/>
              <w:rPr>
                <w:rFonts w:ascii="Arial" w:hAnsi="Arial" w:cs="Arial"/>
                <w:sz w:val="18"/>
                <w:szCs w:val="18"/>
              </w:rPr>
            </w:pPr>
            <w:r w:rsidRPr="00FA4509">
              <w:rPr>
                <w:rFonts w:ascii="Arial" w:hAnsi="Arial" w:cs="Arial"/>
                <w:sz w:val="18"/>
                <w:szCs w:val="18"/>
              </w:rPr>
              <w:t>Residual</w:t>
            </w:r>
          </w:p>
        </w:tc>
        <w:tc>
          <w:tcPr>
            <w:tcW w:w="1475"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1.498</w:t>
            </w:r>
          </w:p>
        </w:tc>
        <w:tc>
          <w:tcPr>
            <w:tcW w:w="1029"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32</w:t>
            </w:r>
          </w:p>
        </w:tc>
        <w:tc>
          <w:tcPr>
            <w:tcW w:w="1414"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0.047</w:t>
            </w:r>
          </w:p>
        </w:tc>
        <w:tc>
          <w:tcPr>
            <w:tcW w:w="1029" w:type="dxa"/>
            <w:shd w:val="clear" w:color="auto" w:fill="FFFFFF"/>
            <w:vAlign w:val="center"/>
          </w:tcPr>
          <w:p w:rsidR="008E550A" w:rsidRPr="00FA4509" w:rsidRDefault="008E550A" w:rsidP="004F1B7B">
            <w:pPr>
              <w:autoSpaceDE w:val="0"/>
              <w:autoSpaceDN w:val="0"/>
              <w:adjustRightInd w:val="0"/>
              <w:spacing w:after="0" w:line="240" w:lineRule="auto"/>
              <w:ind w:firstLine="0"/>
            </w:pPr>
          </w:p>
        </w:tc>
        <w:tc>
          <w:tcPr>
            <w:tcW w:w="1029" w:type="dxa"/>
            <w:shd w:val="clear" w:color="auto" w:fill="FFFFFF"/>
            <w:vAlign w:val="center"/>
          </w:tcPr>
          <w:p w:rsidR="008E550A" w:rsidRPr="00FA4509" w:rsidRDefault="008E550A" w:rsidP="004F1B7B">
            <w:pPr>
              <w:autoSpaceDE w:val="0"/>
              <w:autoSpaceDN w:val="0"/>
              <w:adjustRightInd w:val="0"/>
              <w:spacing w:after="0" w:line="240" w:lineRule="auto"/>
              <w:ind w:firstLine="0"/>
            </w:pPr>
          </w:p>
        </w:tc>
      </w:tr>
      <w:tr w:rsidR="008E550A" w:rsidRPr="00FA4509" w:rsidTr="004F1B7B">
        <w:trPr>
          <w:cantSplit/>
        </w:trPr>
        <w:tc>
          <w:tcPr>
            <w:tcW w:w="737" w:type="dxa"/>
            <w:vMerge/>
            <w:shd w:val="clear" w:color="auto" w:fill="E0E0E0"/>
          </w:tcPr>
          <w:p w:rsidR="008E550A" w:rsidRPr="00FA4509" w:rsidRDefault="008E550A" w:rsidP="004F1B7B">
            <w:pPr>
              <w:autoSpaceDE w:val="0"/>
              <w:autoSpaceDN w:val="0"/>
              <w:adjustRightInd w:val="0"/>
              <w:spacing w:after="0" w:line="240" w:lineRule="auto"/>
              <w:ind w:firstLine="0"/>
            </w:pPr>
          </w:p>
        </w:tc>
        <w:tc>
          <w:tcPr>
            <w:tcW w:w="1291" w:type="dxa"/>
            <w:shd w:val="clear" w:color="auto" w:fill="E0E0E0"/>
          </w:tcPr>
          <w:p w:rsidR="008E550A" w:rsidRPr="00FA4509" w:rsidRDefault="008E550A" w:rsidP="004F1B7B">
            <w:pPr>
              <w:autoSpaceDE w:val="0"/>
              <w:autoSpaceDN w:val="0"/>
              <w:adjustRightInd w:val="0"/>
              <w:spacing w:after="0" w:line="320" w:lineRule="atLeast"/>
              <w:ind w:left="60" w:right="60" w:firstLine="0"/>
              <w:rPr>
                <w:rFonts w:ascii="Arial" w:hAnsi="Arial" w:cs="Arial"/>
                <w:sz w:val="18"/>
                <w:szCs w:val="18"/>
              </w:rPr>
            </w:pPr>
            <w:r w:rsidRPr="00FA4509">
              <w:rPr>
                <w:rFonts w:ascii="Arial" w:hAnsi="Arial" w:cs="Arial"/>
                <w:sz w:val="18"/>
                <w:szCs w:val="18"/>
              </w:rPr>
              <w:t>Total</w:t>
            </w:r>
          </w:p>
        </w:tc>
        <w:tc>
          <w:tcPr>
            <w:tcW w:w="1475"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1.826</w:t>
            </w:r>
          </w:p>
        </w:tc>
        <w:tc>
          <w:tcPr>
            <w:tcW w:w="1029" w:type="dxa"/>
            <w:shd w:val="clear" w:color="auto" w:fill="FFFFFF"/>
          </w:tcPr>
          <w:p w:rsidR="008E550A" w:rsidRPr="00FA4509" w:rsidRDefault="008E550A" w:rsidP="004F1B7B">
            <w:pPr>
              <w:autoSpaceDE w:val="0"/>
              <w:autoSpaceDN w:val="0"/>
              <w:adjustRightInd w:val="0"/>
              <w:spacing w:after="0" w:line="320" w:lineRule="atLeast"/>
              <w:ind w:left="60" w:right="60" w:firstLine="0"/>
              <w:jc w:val="right"/>
              <w:rPr>
                <w:rFonts w:ascii="Arial" w:hAnsi="Arial" w:cs="Arial"/>
                <w:sz w:val="18"/>
                <w:szCs w:val="18"/>
              </w:rPr>
            </w:pPr>
            <w:r w:rsidRPr="00FA4509">
              <w:rPr>
                <w:rFonts w:ascii="Arial" w:hAnsi="Arial" w:cs="Arial"/>
                <w:sz w:val="18"/>
                <w:szCs w:val="18"/>
              </w:rPr>
              <w:t>34</w:t>
            </w:r>
          </w:p>
        </w:tc>
        <w:tc>
          <w:tcPr>
            <w:tcW w:w="1414" w:type="dxa"/>
            <w:shd w:val="clear" w:color="auto" w:fill="FFFFFF"/>
            <w:vAlign w:val="center"/>
          </w:tcPr>
          <w:p w:rsidR="008E550A" w:rsidRPr="00FA4509" w:rsidRDefault="008E550A" w:rsidP="004F1B7B">
            <w:pPr>
              <w:autoSpaceDE w:val="0"/>
              <w:autoSpaceDN w:val="0"/>
              <w:adjustRightInd w:val="0"/>
              <w:spacing w:after="0" w:line="240" w:lineRule="auto"/>
              <w:ind w:firstLine="0"/>
            </w:pPr>
          </w:p>
        </w:tc>
        <w:tc>
          <w:tcPr>
            <w:tcW w:w="1029" w:type="dxa"/>
            <w:shd w:val="clear" w:color="auto" w:fill="FFFFFF"/>
            <w:vAlign w:val="center"/>
          </w:tcPr>
          <w:p w:rsidR="008E550A" w:rsidRPr="00FA4509" w:rsidRDefault="008E550A" w:rsidP="004F1B7B">
            <w:pPr>
              <w:autoSpaceDE w:val="0"/>
              <w:autoSpaceDN w:val="0"/>
              <w:adjustRightInd w:val="0"/>
              <w:spacing w:after="0" w:line="240" w:lineRule="auto"/>
              <w:ind w:firstLine="0"/>
            </w:pPr>
          </w:p>
        </w:tc>
        <w:tc>
          <w:tcPr>
            <w:tcW w:w="1029" w:type="dxa"/>
            <w:shd w:val="clear" w:color="auto" w:fill="FFFFFF"/>
            <w:vAlign w:val="center"/>
          </w:tcPr>
          <w:p w:rsidR="008E550A" w:rsidRPr="00FA4509" w:rsidRDefault="008E550A" w:rsidP="004F1B7B">
            <w:pPr>
              <w:autoSpaceDE w:val="0"/>
              <w:autoSpaceDN w:val="0"/>
              <w:adjustRightInd w:val="0"/>
              <w:spacing w:after="0" w:line="240" w:lineRule="auto"/>
              <w:ind w:firstLine="0"/>
            </w:pPr>
          </w:p>
        </w:tc>
      </w:tr>
      <w:tr w:rsidR="008E550A" w:rsidRPr="00FA4509" w:rsidTr="004F1B7B">
        <w:trPr>
          <w:cantSplit/>
        </w:trPr>
        <w:tc>
          <w:tcPr>
            <w:tcW w:w="8004" w:type="dxa"/>
            <w:gridSpan w:val="7"/>
            <w:shd w:val="clear" w:color="auto" w:fill="FFFFFF"/>
          </w:tcPr>
          <w:p w:rsidR="008E550A" w:rsidRPr="00FA4509" w:rsidRDefault="008E550A" w:rsidP="004F1B7B">
            <w:pPr>
              <w:autoSpaceDE w:val="0"/>
              <w:autoSpaceDN w:val="0"/>
              <w:adjustRightInd w:val="0"/>
              <w:spacing w:after="0" w:line="320" w:lineRule="atLeast"/>
              <w:ind w:left="60" w:right="60" w:firstLine="0"/>
              <w:rPr>
                <w:rFonts w:ascii="Arial" w:hAnsi="Arial" w:cs="Arial"/>
                <w:sz w:val="18"/>
                <w:szCs w:val="18"/>
              </w:rPr>
            </w:pPr>
            <w:r w:rsidRPr="00FA4509">
              <w:rPr>
                <w:rFonts w:ascii="Arial" w:hAnsi="Arial" w:cs="Arial"/>
                <w:sz w:val="18"/>
                <w:szCs w:val="18"/>
              </w:rPr>
              <w:t>a. Dependent Variable: Kebijakan Dividen</w:t>
            </w:r>
          </w:p>
        </w:tc>
      </w:tr>
      <w:tr w:rsidR="008E550A" w:rsidRPr="00FA4509" w:rsidTr="004F1B7B">
        <w:trPr>
          <w:cantSplit/>
        </w:trPr>
        <w:tc>
          <w:tcPr>
            <w:tcW w:w="8004" w:type="dxa"/>
            <w:gridSpan w:val="7"/>
            <w:shd w:val="clear" w:color="auto" w:fill="FFFFFF"/>
          </w:tcPr>
          <w:p w:rsidR="008E550A" w:rsidRPr="00FA4509" w:rsidRDefault="008E550A" w:rsidP="004F1B7B">
            <w:pPr>
              <w:autoSpaceDE w:val="0"/>
              <w:autoSpaceDN w:val="0"/>
              <w:adjustRightInd w:val="0"/>
              <w:spacing w:after="0" w:line="320" w:lineRule="atLeast"/>
              <w:ind w:left="60" w:right="60" w:firstLine="0"/>
              <w:rPr>
                <w:rFonts w:ascii="Arial" w:hAnsi="Arial" w:cs="Arial"/>
                <w:sz w:val="18"/>
                <w:szCs w:val="18"/>
              </w:rPr>
            </w:pPr>
            <w:r w:rsidRPr="00FA4509">
              <w:rPr>
                <w:rFonts w:ascii="Arial" w:hAnsi="Arial" w:cs="Arial"/>
                <w:sz w:val="18"/>
                <w:szCs w:val="18"/>
              </w:rPr>
              <w:t>b. Predictors: (Constant), Likuiditas, Profitabilitas</w:t>
            </w:r>
          </w:p>
        </w:tc>
      </w:tr>
    </w:tbl>
    <w:p w:rsidR="008E550A" w:rsidRDefault="008E550A" w:rsidP="008E550A">
      <w:pPr>
        <w:autoSpaceDE w:val="0"/>
        <w:autoSpaceDN w:val="0"/>
        <w:adjustRightInd w:val="0"/>
        <w:spacing w:after="0"/>
        <w:ind w:firstLine="0"/>
      </w:pPr>
      <w:proofErr w:type="gramStart"/>
      <w:r>
        <w:rPr>
          <w:i/>
        </w:rPr>
        <w:t xml:space="preserve">Sumber </w:t>
      </w:r>
      <w:r>
        <w:t>:</w:t>
      </w:r>
      <w:proofErr w:type="gramEnd"/>
      <w:r>
        <w:t xml:space="preserve"> Hasil Pengolahan Data SPSS 2021</w:t>
      </w:r>
    </w:p>
    <w:p w:rsidR="008E550A" w:rsidRDefault="008E550A" w:rsidP="008E550A">
      <w:pPr>
        <w:autoSpaceDE w:val="0"/>
        <w:autoSpaceDN w:val="0"/>
        <w:adjustRightInd w:val="0"/>
        <w:spacing w:after="0"/>
        <w:jc w:val="both"/>
      </w:pPr>
      <w:r>
        <w:t xml:space="preserve">Berdasarkan tabel 4.9 di atas, menunjukan bahwa uji simultan menghasilkan tingkat signifikan 0,042 yang artinya lebih kecil dari nilai taraf signifikan 0,05 atau 5% maka dapat disimpulkan bahwa variabel profitabilitas dan likuiditas secara simultan berpengaruh signifikan </w:t>
      </w:r>
      <w:r>
        <w:lastRenderedPageBreak/>
        <w:t xml:space="preserve">terhadap kebijakan dividen pada perusahaan Manufaktur sub sektor Farmasi yang terdaftar di Bursa Efek Indonesia tahun 2016-2020. </w:t>
      </w:r>
    </w:p>
    <w:p w:rsidR="008E550A" w:rsidRDefault="008E550A" w:rsidP="006368E5">
      <w:pPr>
        <w:ind w:firstLine="0"/>
        <w:rPr>
          <w:b/>
        </w:rPr>
      </w:pPr>
      <w:r>
        <w:rPr>
          <w:b/>
        </w:rPr>
        <w:t xml:space="preserve">Pembahasan </w:t>
      </w:r>
    </w:p>
    <w:p w:rsidR="008E550A" w:rsidRDefault="008E550A" w:rsidP="008E550A">
      <w:pPr>
        <w:pStyle w:val="ListParagraph"/>
        <w:numPr>
          <w:ilvl w:val="0"/>
          <w:numId w:val="7"/>
        </w:numPr>
        <w:ind w:left="567"/>
        <w:jc w:val="both"/>
        <w:rPr>
          <w:b/>
        </w:rPr>
      </w:pPr>
      <w:r>
        <w:rPr>
          <w:b/>
        </w:rPr>
        <w:t xml:space="preserve">Pengaruh Profitabilitas (ROE) terhadap Kebijakan Dividen </w:t>
      </w:r>
    </w:p>
    <w:p w:rsidR="008E550A" w:rsidRDefault="008E550A" w:rsidP="008E550A">
      <w:pPr>
        <w:pStyle w:val="ListParagraph"/>
        <w:ind w:left="567" w:firstLine="680"/>
        <w:jc w:val="both"/>
      </w:pPr>
      <w:r>
        <w:t xml:space="preserve">Berdasarkan uji parsial hasil penelitian menunjukan bahwa tidak terdapat pengaruh yang signifikan antara profitabilitas yang diproksikan dengan </w:t>
      </w:r>
      <w:r>
        <w:rPr>
          <w:i/>
        </w:rPr>
        <w:t xml:space="preserve">Return </w:t>
      </w:r>
      <w:proofErr w:type="gramStart"/>
      <w:r>
        <w:rPr>
          <w:i/>
        </w:rPr>
        <w:t>On</w:t>
      </w:r>
      <w:proofErr w:type="gramEnd"/>
      <w:r>
        <w:rPr>
          <w:i/>
        </w:rPr>
        <w:t xml:space="preserve"> Equity </w:t>
      </w:r>
      <w:r>
        <w:t xml:space="preserve">(ROE) terhadap kebijakan dividen dengan proksi </w:t>
      </w:r>
      <w:r>
        <w:rPr>
          <w:i/>
        </w:rPr>
        <w:t>Dividend Payout Ratio</w:t>
      </w:r>
      <w:r>
        <w:t xml:space="preserve"> (DPR). Hasil penelitian tersebut tidak sesuai dengan H1 yang menyatakan bahwa profitabilitas berpengaruh signifikan terhadap kebijakan dividen. </w:t>
      </w:r>
    </w:p>
    <w:p w:rsidR="008E550A" w:rsidRDefault="008E550A" w:rsidP="008E550A">
      <w:pPr>
        <w:pStyle w:val="ListParagraph"/>
        <w:ind w:left="567" w:firstLine="680"/>
        <w:jc w:val="both"/>
      </w:pPr>
      <w:r>
        <w:t xml:space="preserve">Hasil penelitian menunjukan bahwa semakin tinggi tingkat keuntungan yang dihasilkan oleh perusahaan belum tentu tingkat pembagian dividen perusahaan tersebut juga </w:t>
      </w:r>
      <w:proofErr w:type="gramStart"/>
      <w:r>
        <w:t>akan</w:t>
      </w:r>
      <w:proofErr w:type="gramEnd"/>
      <w:r>
        <w:t xml:space="preserve"> semakin tinggi, begitupun sebaliknya perusahaan dengan tingkat keuntungan yang rendah belum tentu tidak mampu untuk membayarkan dividen. Untuk menjaga reputasi perusahaan di mata investor, manajemen tetap </w:t>
      </w:r>
      <w:proofErr w:type="gramStart"/>
      <w:r>
        <w:t>akan</w:t>
      </w:r>
      <w:proofErr w:type="gramEnd"/>
      <w:r>
        <w:t xml:space="preserve"> menjaga kestabilan dividen dan berusaha menunjukan kepada pemegang saham bahwa perusahaan mampu membayarkan dividen dalam nilai yang tinggi meskipun perusahaan menghasilkan tingkat profitabilitas yang rendah. Perusahaan dengan tingkat profitbilitas tinggi cendrung membayarkan dividen yang rendah kepada pemegang saham dan memilih untuk mengalokasikan laba tersebut sebagai laba ditahan untuk pembiayaan investasi perusahaan dimasa depan. </w:t>
      </w:r>
    </w:p>
    <w:p w:rsidR="008E550A" w:rsidRDefault="008E550A" w:rsidP="008E550A">
      <w:pPr>
        <w:pStyle w:val="ListParagraph"/>
        <w:ind w:left="567" w:firstLine="680"/>
        <w:jc w:val="both"/>
      </w:pPr>
      <w:r>
        <w:t xml:space="preserve">Hasil penelitian ini mendukung hasil penelitian sebelumnya yang dilakukan oleh Darmawan dkk (2019), Permanasari (2017), Renny Mointi dan Rina (2019), serta Sari (2015) yang menyatakan bahwa profitabilitas tidak berpengaruh signifikan terhadap kebijakan dividen. Perusahaan yang memperoleh keuntungan dalam operasionalnya belum </w:t>
      </w:r>
      <w:r>
        <w:lastRenderedPageBreak/>
        <w:t xml:space="preserve">tentu </w:t>
      </w:r>
      <w:proofErr w:type="gramStart"/>
      <w:r>
        <w:t>akan</w:t>
      </w:r>
      <w:proofErr w:type="gramEnd"/>
      <w:r>
        <w:t xml:space="preserve"> membagikan laba tersebut dalam bentuk dividen kepada para pemegang saham, terutama pada perusahaan yang merencanakan investasi asset di masa depan. </w:t>
      </w:r>
    </w:p>
    <w:p w:rsidR="008E550A" w:rsidRDefault="008E550A" w:rsidP="008E550A">
      <w:pPr>
        <w:pStyle w:val="ListParagraph"/>
        <w:numPr>
          <w:ilvl w:val="0"/>
          <w:numId w:val="8"/>
        </w:numPr>
        <w:ind w:left="567" w:hanging="283"/>
        <w:jc w:val="both"/>
        <w:rPr>
          <w:b/>
        </w:rPr>
      </w:pPr>
      <w:r>
        <w:rPr>
          <w:b/>
        </w:rPr>
        <w:t xml:space="preserve">Pengaruh likuiditas (CR) terhadap kebijakan Dividen </w:t>
      </w:r>
    </w:p>
    <w:p w:rsidR="008E550A" w:rsidRDefault="008E550A" w:rsidP="008E550A">
      <w:pPr>
        <w:pStyle w:val="ListParagraph"/>
        <w:ind w:left="709" w:firstLine="680"/>
        <w:jc w:val="both"/>
      </w:pPr>
      <w:r>
        <w:t xml:space="preserve">Berdasarkan uji parsial hasil penelitian menunjukan bahwa terdapat pengaruh yang signifikan antara likuiditas yang diproksikan dengan </w:t>
      </w:r>
      <w:r>
        <w:rPr>
          <w:i/>
        </w:rPr>
        <w:t>current ratio</w:t>
      </w:r>
      <w:r>
        <w:t xml:space="preserve"> (CR) terhadap kebijakan dividen dengan proksi </w:t>
      </w:r>
      <w:r>
        <w:rPr>
          <w:i/>
        </w:rPr>
        <w:t>dividend payout ratio</w:t>
      </w:r>
      <w:r>
        <w:t xml:space="preserve"> (DPR). Hasil penelitian tersebut sesuai dengan H2 yang menyatakan bahwa likuiditas berpengaruh signifikan terhadap kebijakan dividen. </w:t>
      </w:r>
    </w:p>
    <w:p w:rsidR="008E550A" w:rsidRDefault="008E550A" w:rsidP="008E550A">
      <w:pPr>
        <w:pStyle w:val="ListParagraph"/>
        <w:ind w:left="709" w:firstLine="680"/>
        <w:jc w:val="both"/>
      </w:pPr>
      <w:r>
        <w:t xml:space="preserve">Hasil penelitian menunjukan bahwa besar kecilnya tingkat dividen yang dibayarkan perusahaan kepada pemegang saham dipengaruhi oleh tinggi rendahnya tingkat likuiditas yang dimiliki perusahaan. Semakin </w:t>
      </w:r>
      <w:r>
        <w:rPr>
          <w:i/>
        </w:rPr>
        <w:t>likuid</w:t>
      </w:r>
      <w:r>
        <w:t xml:space="preserve"> suatu perusahaan, maka kemungkinan untuk membayar dividen oleh perusahaan tersebut </w:t>
      </w:r>
      <w:proofErr w:type="gramStart"/>
      <w:r>
        <w:t>akan</w:t>
      </w:r>
      <w:proofErr w:type="gramEnd"/>
      <w:r>
        <w:t xml:space="preserve"> semakin besar. Meningkatnya likuiditas perusahaan dapat memberikan harapan dan keyakinan investor terhadap kemampuan perusahaan untuk membayarkan dividen yang dijanjikan, karena kelancaran pembayaran hutang dapat memberikan kesimpulan bahwa perusahaan </w:t>
      </w:r>
      <w:proofErr w:type="gramStart"/>
      <w:r>
        <w:t>akan</w:t>
      </w:r>
      <w:proofErr w:type="gramEnd"/>
      <w:r>
        <w:t xml:space="preserve"> mampu membayarkan dividen. </w:t>
      </w:r>
    </w:p>
    <w:p w:rsidR="008E550A" w:rsidRDefault="008E550A" w:rsidP="008E550A">
      <w:pPr>
        <w:pStyle w:val="ListParagraph"/>
        <w:ind w:left="709" w:firstLine="680"/>
        <w:jc w:val="both"/>
      </w:pPr>
      <w:r>
        <w:t xml:space="preserve">Hasil penelitian ini mendukung hasil penelitian sebelumnya yang dilakukan oleh Sulistyaningsih (2012), Idawati dan Sudiartha (2014),  juga Ratnasari dan Purnawari (2019) yang mengatakan bahwa likuiditas berpengaruh signifikan terhadap kebijakan dividen. Perusahaan dengan posisi likuiditas yang besar, maka semakin besar pula kemampuan perusahaan tersebut membayarkan dividen kepada pemegang saham. </w:t>
      </w:r>
    </w:p>
    <w:p w:rsidR="008E550A" w:rsidRDefault="008E550A" w:rsidP="008E550A">
      <w:pPr>
        <w:pStyle w:val="ListParagraph"/>
        <w:numPr>
          <w:ilvl w:val="0"/>
          <w:numId w:val="8"/>
        </w:numPr>
        <w:jc w:val="both"/>
        <w:rPr>
          <w:b/>
        </w:rPr>
      </w:pPr>
      <w:r>
        <w:t xml:space="preserve"> </w:t>
      </w:r>
      <w:r>
        <w:rPr>
          <w:b/>
        </w:rPr>
        <w:t>Pengaruh Secara Simultan Profitabilitas dan Likuiditas terhadap Kebijakan Dividen</w:t>
      </w:r>
    </w:p>
    <w:p w:rsidR="008E550A" w:rsidRDefault="008E550A" w:rsidP="008E550A">
      <w:pPr>
        <w:pStyle w:val="ListParagraph"/>
        <w:ind w:left="788" w:firstLine="680"/>
        <w:jc w:val="both"/>
      </w:pPr>
      <w:r>
        <w:lastRenderedPageBreak/>
        <w:t>Berdasarkan pengujian secara simultan hasil penelitian menunjukan bahwa terdapat pengaruh secara simultan atau bersama-sama antara variabel independen terhadap variabel dependen. Hasil penelitian ini sesuai dengan H</w:t>
      </w:r>
      <w:r>
        <w:rPr>
          <w:vertAlign w:val="subscript"/>
        </w:rPr>
        <w:t>3</w:t>
      </w:r>
      <w:r>
        <w:t xml:space="preserve"> yaitu variabel profitabilitas dan likuiditas secara simultan berpengaruh signifikan terhadap kebijakan dividen.</w:t>
      </w:r>
    </w:p>
    <w:p w:rsidR="008E550A" w:rsidRDefault="008E550A" w:rsidP="008E550A">
      <w:pPr>
        <w:pStyle w:val="ListParagraph"/>
        <w:ind w:left="788" w:firstLine="680"/>
        <w:jc w:val="both"/>
      </w:pPr>
      <w:r>
        <w:t>Hasil penelitian ini sesuai dengan hasil penelitian sebelumnya yang dilakukan oleh Idawati dan Sudiartha (2014) yaitu secara simultan variabel profitabilitas dan likuiditas berpengaruh signifikan terhadap kebijakan dividen.</w:t>
      </w:r>
    </w:p>
    <w:p w:rsidR="008E550A" w:rsidRPr="008E550A" w:rsidRDefault="008E550A" w:rsidP="006368E5">
      <w:pPr>
        <w:ind w:firstLine="0"/>
        <w:rPr>
          <w:b/>
        </w:rPr>
      </w:pPr>
      <w:r w:rsidRPr="008E550A">
        <w:rPr>
          <w:b/>
        </w:rPr>
        <w:t>KESIMPULAN DAN SARAN</w:t>
      </w:r>
    </w:p>
    <w:p w:rsidR="008E550A" w:rsidRDefault="008E550A" w:rsidP="008E550A">
      <w:pPr>
        <w:pStyle w:val="Heading2"/>
        <w:keepNext w:val="0"/>
        <w:keepLines w:val="0"/>
        <w:spacing w:before="0" w:after="160"/>
        <w:ind w:firstLine="0"/>
        <w:jc w:val="both"/>
        <w:rPr>
          <w:b/>
        </w:rPr>
      </w:pPr>
      <w:bookmarkStart w:id="15" w:name="_Toc90510917"/>
      <w:bookmarkStart w:id="16" w:name="_Toc94248668"/>
      <w:r w:rsidRPr="008E550A">
        <w:rPr>
          <w:b/>
          <w:color w:val="auto"/>
        </w:rPr>
        <w:t>Kesimpulan</w:t>
      </w:r>
      <w:bookmarkEnd w:id="15"/>
      <w:bookmarkEnd w:id="16"/>
      <w:r>
        <w:rPr>
          <w:b/>
        </w:rPr>
        <w:t xml:space="preserve"> </w:t>
      </w:r>
    </w:p>
    <w:p w:rsidR="008E550A" w:rsidRDefault="008E550A" w:rsidP="008E550A">
      <w:pPr>
        <w:pStyle w:val="ListParagraph"/>
        <w:ind w:left="426" w:firstLine="0"/>
        <w:jc w:val="both"/>
      </w:pPr>
      <w:r>
        <w:t>Berdasarkan hasil analisis dan pengujian hipotesis mengenai pengaruh variabel independen Profitabilitas (X1) dan Likuiditas (X2) terhadap variabel dependen Kebijakan Dividen (Y) pada perusahaan Manufaktur Sub Sektor Farmasi yang terdaftar di Bursa Efek Indonesia (BEI) dengan tahun pelenilian 2016-2020, dapat ditarik kesimpulan sebagai berikut :</w:t>
      </w:r>
    </w:p>
    <w:p w:rsidR="008E550A" w:rsidRDefault="008E550A" w:rsidP="008E550A">
      <w:pPr>
        <w:pStyle w:val="ListParagraph"/>
        <w:numPr>
          <w:ilvl w:val="1"/>
          <w:numId w:val="9"/>
        </w:numPr>
        <w:ind w:left="1134"/>
        <w:jc w:val="both"/>
      </w:pPr>
      <w:r>
        <w:t>Variabel Profitabilitas secara parsial tidak berpengaruh terhadap kebijakan dividen pada perusahaan manufaktur sub sektor farmasi yang terdaftar di BEI tahun 2016-2020</w:t>
      </w:r>
    </w:p>
    <w:p w:rsidR="008E550A" w:rsidRDefault="008E550A" w:rsidP="008E550A">
      <w:pPr>
        <w:pStyle w:val="ListParagraph"/>
        <w:numPr>
          <w:ilvl w:val="1"/>
          <w:numId w:val="9"/>
        </w:numPr>
        <w:ind w:left="1134"/>
        <w:jc w:val="both"/>
      </w:pPr>
      <w:r>
        <w:t>Variabel Likuiditas secara parsial berpengaruh terhadap kebijakan dividen pada perusahaan manufaktur sub sektor farmasi yang terdaftar di BEI tahun 2016-2020</w:t>
      </w:r>
    </w:p>
    <w:p w:rsidR="008E550A" w:rsidRDefault="008E550A" w:rsidP="008E550A">
      <w:pPr>
        <w:pStyle w:val="ListParagraph"/>
        <w:numPr>
          <w:ilvl w:val="1"/>
          <w:numId w:val="9"/>
        </w:numPr>
        <w:ind w:left="1134"/>
        <w:jc w:val="both"/>
      </w:pPr>
      <w:r>
        <w:t>Variabel profitabilitas dan likuiditas secara simultan berpengaruh terhadap variabel kebijakan dividen pada perusahaan manufaktur sub sektor farmasi yang terdaftar di BEI tahun 2016-2020</w:t>
      </w:r>
    </w:p>
    <w:p w:rsidR="008E550A" w:rsidRDefault="008E550A" w:rsidP="008E550A">
      <w:pPr>
        <w:jc w:val="both"/>
      </w:pPr>
    </w:p>
    <w:p w:rsidR="008E550A" w:rsidRDefault="008E550A" w:rsidP="008E550A">
      <w:pPr>
        <w:jc w:val="both"/>
      </w:pPr>
    </w:p>
    <w:p w:rsidR="008E550A" w:rsidRPr="008E550A" w:rsidRDefault="008E550A" w:rsidP="008E550A">
      <w:pPr>
        <w:ind w:firstLine="0"/>
        <w:rPr>
          <w:b/>
        </w:rPr>
      </w:pPr>
      <w:bookmarkStart w:id="17" w:name="_Toc90510918"/>
      <w:bookmarkStart w:id="18" w:name="_Toc94248669"/>
      <w:r w:rsidRPr="008E550A">
        <w:rPr>
          <w:b/>
        </w:rPr>
        <w:lastRenderedPageBreak/>
        <w:t>Saran</w:t>
      </w:r>
      <w:bookmarkEnd w:id="17"/>
      <w:bookmarkEnd w:id="18"/>
      <w:r w:rsidRPr="008E550A">
        <w:rPr>
          <w:b/>
        </w:rPr>
        <w:t xml:space="preserve"> </w:t>
      </w:r>
    </w:p>
    <w:p w:rsidR="008E550A" w:rsidRDefault="008E550A" w:rsidP="008E550A">
      <w:pPr>
        <w:pStyle w:val="ListParagraph"/>
        <w:ind w:left="426" w:firstLine="0"/>
        <w:jc w:val="both"/>
      </w:pPr>
      <w:r>
        <w:t xml:space="preserve">Berdasarkan hasil penelitian dan kesimpulan di atas, maka dapat dikemukakan saran sebagai berikut: </w:t>
      </w:r>
    </w:p>
    <w:p w:rsidR="008E550A" w:rsidRDefault="008E550A" w:rsidP="008E550A">
      <w:pPr>
        <w:pStyle w:val="ListParagraph"/>
        <w:numPr>
          <w:ilvl w:val="6"/>
          <w:numId w:val="9"/>
        </w:numPr>
        <w:ind w:left="851"/>
        <w:jc w:val="both"/>
      </w:pPr>
      <w:r>
        <w:t>Bagi peneliti selanjutnya diharapkan supaya dapat menambahkan variabel lain seperti ukuran perusahaan dan manajemen laba yang mempengaruhi kebijakan dividen yang belum diteliti dalam penelitian ini</w:t>
      </w:r>
    </w:p>
    <w:p w:rsidR="008E550A" w:rsidRDefault="008E550A" w:rsidP="008E550A">
      <w:pPr>
        <w:pStyle w:val="ListParagraph"/>
        <w:numPr>
          <w:ilvl w:val="6"/>
          <w:numId w:val="9"/>
        </w:numPr>
        <w:ind w:left="851"/>
        <w:jc w:val="both"/>
      </w:pPr>
      <w:r>
        <w:t>Bagi peneliti selanjutnya agar dapat memperpanjang periode penelitian dan memperluas sampel perusahaan sehingga dapat diperoleh hasil yang lebih baik</w:t>
      </w:r>
    </w:p>
    <w:p w:rsidR="008E550A" w:rsidRDefault="008E550A" w:rsidP="008E550A">
      <w:pPr>
        <w:pStyle w:val="ListParagraph"/>
        <w:numPr>
          <w:ilvl w:val="6"/>
          <w:numId w:val="9"/>
        </w:numPr>
        <w:ind w:left="851"/>
        <w:jc w:val="both"/>
      </w:pPr>
      <w:r>
        <w:t>Bagi pihak akademis diharapkan penelitian ini dapat dijadikan sebagai referensi penelitian dalam mata kuliah akuntansi keuangan untuk penelitian selanjutnya</w:t>
      </w:r>
      <w:r>
        <w:tab/>
      </w:r>
    </w:p>
    <w:p w:rsidR="008E550A" w:rsidRDefault="008E550A" w:rsidP="006368E5">
      <w:pPr>
        <w:ind w:firstLine="0"/>
      </w:pPr>
    </w:p>
    <w:p w:rsidR="008E550A" w:rsidRDefault="008E550A">
      <w:pPr>
        <w:spacing w:line="259" w:lineRule="auto"/>
        <w:ind w:firstLine="0"/>
      </w:pPr>
      <w:r>
        <w:br w:type="page"/>
      </w:r>
    </w:p>
    <w:p w:rsidR="008E550A" w:rsidRDefault="008E550A" w:rsidP="008E550A">
      <w:pPr>
        <w:spacing w:line="240" w:lineRule="auto"/>
        <w:ind w:firstLine="0"/>
        <w:jc w:val="center"/>
      </w:pPr>
      <w:r>
        <w:lastRenderedPageBreak/>
        <w:t>DAFTAR PUSTAKA</w:t>
      </w:r>
    </w:p>
    <w:p w:rsidR="008E550A" w:rsidRDefault="008E550A" w:rsidP="008E550A">
      <w:pPr>
        <w:spacing w:line="240" w:lineRule="auto"/>
        <w:ind w:firstLine="0"/>
        <w:jc w:val="center"/>
        <w:rPr>
          <w:b/>
        </w:rPr>
      </w:pPr>
    </w:p>
    <w:p w:rsidR="008E550A" w:rsidRDefault="008E550A" w:rsidP="008E550A">
      <w:pPr>
        <w:pBdr>
          <w:top w:val="nil"/>
          <w:left w:val="nil"/>
          <w:bottom w:val="nil"/>
          <w:right w:val="nil"/>
          <w:between w:val="nil"/>
        </w:pBdr>
        <w:spacing w:line="240" w:lineRule="auto"/>
        <w:ind w:left="720" w:hanging="720"/>
      </w:pPr>
      <w:r>
        <w:t xml:space="preserve">Adhi Kusumastuti, Ahmad Mustami Khoiron, Taofan Ali Achmadi. (2020). </w:t>
      </w:r>
      <w:r>
        <w:rPr>
          <w:i/>
        </w:rPr>
        <w:t>Metode Penelitian Kuantitatif.</w:t>
      </w:r>
      <w:r>
        <w:t xml:space="preserve"> Yogyakarta: Deepublish Publisher.</w:t>
      </w:r>
    </w:p>
    <w:p w:rsidR="008E550A" w:rsidRDefault="008E550A" w:rsidP="008E550A">
      <w:pPr>
        <w:pBdr>
          <w:top w:val="nil"/>
          <w:left w:val="nil"/>
          <w:bottom w:val="nil"/>
          <w:right w:val="nil"/>
          <w:between w:val="nil"/>
        </w:pBdr>
        <w:spacing w:line="240" w:lineRule="auto"/>
        <w:ind w:left="720" w:hanging="720"/>
        <w:jc w:val="both"/>
        <w:rPr>
          <w:highlight w:val="white"/>
        </w:rPr>
      </w:pPr>
      <w:bookmarkStart w:id="19" w:name="_heading=h.46r0co2" w:colFirst="0" w:colLast="0"/>
      <w:bookmarkEnd w:id="19"/>
      <w:r>
        <w:rPr>
          <w:highlight w:val="white"/>
        </w:rPr>
        <w:t xml:space="preserve">Astiti, Ni Ketut Ari, Gede Adi Yuniarta, Edi Sujana. (2017). Pengaruh Debt To Equity Ratio (Der), Current Ratio (Cr), Net Present Margin (Npm), Return On Asset (Roa), Terhadap Dividend Payout Ratio (Dpr) Studi Pada Perusahaan Basic Industry Dan Properti, Real Estate &amp; Building Contruction Yang Terdaftar Di Bursa Efek Indonesia Periode 2011-2015. </w:t>
      </w:r>
      <w:r>
        <w:rPr>
          <w:i/>
          <w:highlight w:val="white"/>
        </w:rPr>
        <w:t>JIMAT: (Jurnal Ilmiah Mahasiswa Akuntansi) Undiksha</w:t>
      </w:r>
      <w:r>
        <w:rPr>
          <w:highlight w:val="white"/>
        </w:rPr>
        <w:t xml:space="preserve"> 7.1 </w:t>
      </w:r>
    </w:p>
    <w:p w:rsidR="008E550A" w:rsidRDefault="008E550A" w:rsidP="008E550A">
      <w:pPr>
        <w:pBdr>
          <w:top w:val="nil"/>
          <w:left w:val="nil"/>
          <w:bottom w:val="nil"/>
          <w:right w:val="nil"/>
          <w:between w:val="nil"/>
        </w:pBdr>
        <w:spacing w:line="240" w:lineRule="auto"/>
        <w:ind w:left="720" w:hanging="720"/>
        <w:jc w:val="both"/>
        <w:rPr>
          <w:highlight w:val="white"/>
        </w:rPr>
      </w:pPr>
      <w:r>
        <w:rPr>
          <w:highlight w:val="white"/>
        </w:rPr>
        <w:t>Attahiriah, Annisa Albi, Acep Suherman, and Ade Sudarma. (2020). Pengaruh Likuiditas Terhadap Kebijakan Dividen. </w:t>
      </w:r>
      <w:r>
        <w:rPr>
          <w:i/>
          <w:highlight w:val="white"/>
        </w:rPr>
        <w:t>SIMAK: Jurnal Sistem Informasi, Manajemen, dan Akuntansi</w:t>
      </w:r>
      <w:r>
        <w:rPr>
          <w:highlight w:val="white"/>
        </w:rPr>
        <w:t> 18.2 135-148.</w:t>
      </w:r>
    </w:p>
    <w:p w:rsidR="008E550A" w:rsidRDefault="008E550A" w:rsidP="008E550A">
      <w:pPr>
        <w:pBdr>
          <w:top w:val="nil"/>
          <w:left w:val="nil"/>
          <w:bottom w:val="nil"/>
          <w:right w:val="nil"/>
          <w:between w:val="nil"/>
        </w:pBdr>
        <w:spacing w:line="240" w:lineRule="auto"/>
        <w:ind w:left="720" w:hanging="720"/>
        <w:jc w:val="both"/>
        <w:rPr>
          <w:highlight w:val="white"/>
        </w:rPr>
      </w:pPr>
      <w:r>
        <w:rPr>
          <w:highlight w:val="white"/>
        </w:rPr>
        <w:t>Darmawan, Akhmad, Meriska Yogi Widyasmara, Sri Rejeki, Muhammad Rizqie Aris, Roqi Yasin. (2019). Pengaruh Likuiditas, Profitabilitas, dan Ukuran Perusahaan Terhadap Kebijakan Dividen dan Harga Saham (Studi kasus pada Perusahaan Manufaktur Yang Terdaftar di Bursa Efek Indonesia tahun 2013-2017).  </w:t>
      </w:r>
      <w:r>
        <w:rPr>
          <w:i/>
          <w:highlight w:val="white"/>
        </w:rPr>
        <w:t>Derivatif: Jurnal Manajemen</w:t>
      </w:r>
      <w:r>
        <w:rPr>
          <w:highlight w:val="white"/>
        </w:rPr>
        <w:t xml:space="preserve"> 13.1 </w:t>
      </w:r>
    </w:p>
    <w:p w:rsidR="008E550A" w:rsidRDefault="008E550A" w:rsidP="008E550A">
      <w:pPr>
        <w:pBdr>
          <w:top w:val="nil"/>
          <w:left w:val="nil"/>
          <w:bottom w:val="nil"/>
          <w:right w:val="nil"/>
          <w:between w:val="nil"/>
        </w:pBdr>
        <w:spacing w:line="240" w:lineRule="auto"/>
        <w:ind w:left="720" w:hanging="720"/>
        <w:jc w:val="both"/>
      </w:pPr>
      <w:r>
        <w:t xml:space="preserve">Darminto, </w:t>
      </w:r>
      <w:proofErr w:type="gramStart"/>
      <w:r>
        <w:t>Dwi</w:t>
      </w:r>
      <w:proofErr w:type="gramEnd"/>
      <w:r>
        <w:t xml:space="preserve"> Prastowo. (2019). </w:t>
      </w:r>
      <w:r>
        <w:rPr>
          <w:i/>
        </w:rPr>
        <w:t>Analisis Laporan Keuangan.</w:t>
      </w:r>
      <w:r>
        <w:t xml:space="preserve"> Yogyakarta: UPP STIM YKPN.</w:t>
      </w:r>
    </w:p>
    <w:p w:rsidR="008E550A" w:rsidRDefault="008E550A" w:rsidP="008E550A">
      <w:pPr>
        <w:pBdr>
          <w:top w:val="nil"/>
          <w:left w:val="nil"/>
          <w:bottom w:val="nil"/>
          <w:right w:val="nil"/>
          <w:between w:val="nil"/>
        </w:pBdr>
        <w:spacing w:line="240" w:lineRule="auto"/>
        <w:ind w:left="720" w:hanging="720"/>
      </w:pPr>
      <w:r>
        <w:t xml:space="preserve">Endah Saptutyningsih dan Esty Setyaningrum. (2019). </w:t>
      </w:r>
      <w:r>
        <w:rPr>
          <w:i/>
        </w:rPr>
        <w:t>Penelitian kuantitatif Metode dan Analisis.</w:t>
      </w:r>
      <w:r>
        <w:t xml:space="preserve"> Yogyakarta: Gosyen Publishing.</w:t>
      </w:r>
    </w:p>
    <w:p w:rsidR="008E550A" w:rsidRDefault="008E550A" w:rsidP="008E550A">
      <w:pPr>
        <w:pBdr>
          <w:top w:val="nil"/>
          <w:left w:val="nil"/>
          <w:bottom w:val="nil"/>
          <w:right w:val="nil"/>
          <w:between w:val="nil"/>
        </w:pBdr>
        <w:spacing w:line="240" w:lineRule="auto"/>
        <w:ind w:left="720" w:hanging="720"/>
        <w:jc w:val="both"/>
      </w:pPr>
      <w:r>
        <w:t xml:space="preserve">Gumanti, Tatang Ary. (2013). </w:t>
      </w:r>
      <w:r>
        <w:rPr>
          <w:i/>
        </w:rPr>
        <w:t>Kebijakan Dividen.</w:t>
      </w:r>
      <w:r>
        <w:t xml:space="preserve"> Yogyakarta: UPP STIM YKPN.</w:t>
      </w:r>
    </w:p>
    <w:p w:rsidR="008E550A" w:rsidRDefault="008E550A" w:rsidP="008E550A">
      <w:pPr>
        <w:pBdr>
          <w:top w:val="nil"/>
          <w:left w:val="nil"/>
          <w:bottom w:val="nil"/>
          <w:right w:val="nil"/>
          <w:between w:val="nil"/>
        </w:pBdr>
        <w:spacing w:line="240" w:lineRule="auto"/>
        <w:ind w:left="720" w:hanging="720"/>
        <w:jc w:val="both"/>
      </w:pPr>
      <w:r>
        <w:t xml:space="preserve">Hanafi, M. Mahmud dan Halim, Abdul. (2006). </w:t>
      </w:r>
      <w:r>
        <w:rPr>
          <w:i/>
        </w:rPr>
        <w:t>Analisis Laporan Keuangan.</w:t>
      </w:r>
      <w:r>
        <w:t xml:space="preserve"> Yogyakarta: Edisi Revisi UPP AMP YKPN.</w:t>
      </w:r>
    </w:p>
    <w:p w:rsidR="008E550A" w:rsidRDefault="008E550A" w:rsidP="008E550A">
      <w:pPr>
        <w:pBdr>
          <w:top w:val="nil"/>
          <w:left w:val="nil"/>
          <w:bottom w:val="nil"/>
          <w:right w:val="nil"/>
          <w:between w:val="nil"/>
        </w:pBdr>
        <w:spacing w:line="240" w:lineRule="auto"/>
        <w:ind w:left="720" w:hanging="720"/>
        <w:jc w:val="both"/>
      </w:pPr>
      <w:r>
        <w:t xml:space="preserve">Hery. (2015). </w:t>
      </w:r>
      <w:r>
        <w:rPr>
          <w:i/>
        </w:rPr>
        <w:t xml:space="preserve">Analisis Laporan Keuangan Pendekatan Rasio Keuangan. Center </w:t>
      </w:r>
      <w:proofErr w:type="gramStart"/>
      <w:r>
        <w:rPr>
          <w:i/>
        </w:rPr>
        <w:t>For</w:t>
      </w:r>
      <w:proofErr w:type="gramEnd"/>
      <w:r>
        <w:rPr>
          <w:i/>
        </w:rPr>
        <w:t xml:space="preserve"> Academic Publishing Service</w:t>
      </w:r>
      <w:r>
        <w:t>.</w:t>
      </w:r>
    </w:p>
    <w:p w:rsidR="008E550A" w:rsidRDefault="008E550A" w:rsidP="008E550A">
      <w:pPr>
        <w:pBdr>
          <w:top w:val="nil"/>
          <w:left w:val="nil"/>
          <w:bottom w:val="nil"/>
          <w:right w:val="nil"/>
          <w:between w:val="nil"/>
        </w:pBdr>
        <w:spacing w:line="360" w:lineRule="auto"/>
        <w:ind w:left="720" w:hanging="720"/>
        <w:jc w:val="both"/>
      </w:pPr>
      <w:r>
        <w:t xml:space="preserve">Hery. (2016). </w:t>
      </w:r>
      <w:r>
        <w:rPr>
          <w:i/>
        </w:rPr>
        <w:t xml:space="preserve">Financial Ratio </w:t>
      </w:r>
      <w:proofErr w:type="gramStart"/>
      <w:r>
        <w:rPr>
          <w:i/>
        </w:rPr>
        <w:t>For</w:t>
      </w:r>
      <w:proofErr w:type="gramEnd"/>
      <w:r>
        <w:rPr>
          <w:i/>
        </w:rPr>
        <w:t xml:space="preserve"> Business.</w:t>
      </w:r>
      <w:r>
        <w:t xml:space="preserve"> Jakarta: PT Gramedia Jakarta.</w:t>
      </w:r>
    </w:p>
    <w:p w:rsidR="008E550A" w:rsidRDefault="008E550A" w:rsidP="008E550A">
      <w:pPr>
        <w:pBdr>
          <w:top w:val="nil"/>
          <w:left w:val="nil"/>
          <w:bottom w:val="nil"/>
          <w:right w:val="nil"/>
          <w:between w:val="nil"/>
        </w:pBdr>
        <w:spacing w:line="240" w:lineRule="auto"/>
        <w:ind w:left="720" w:hanging="720"/>
        <w:jc w:val="both"/>
        <w:rPr>
          <w:highlight w:val="white"/>
        </w:rPr>
      </w:pPr>
      <w:r>
        <w:rPr>
          <w:highlight w:val="white"/>
        </w:rPr>
        <w:t>Idawati, Ida Ayu Agung, and Gede Merta Sudiartha. (2014). Pengaruh Profitabilitas, Likuiditas, Ukuran Perusahaanterhadap Kebijakan Deviden Perusahaan Manufaktur di BEI. Diss. Udayana University</w:t>
      </w:r>
    </w:p>
    <w:p w:rsidR="008E550A" w:rsidRDefault="008E550A" w:rsidP="008E550A">
      <w:pPr>
        <w:pBdr>
          <w:top w:val="nil"/>
          <w:left w:val="nil"/>
          <w:bottom w:val="nil"/>
          <w:right w:val="nil"/>
          <w:between w:val="nil"/>
        </w:pBdr>
        <w:spacing w:line="240" w:lineRule="auto"/>
        <w:ind w:left="720" w:hanging="720"/>
        <w:jc w:val="both"/>
        <w:rPr>
          <w:highlight w:val="white"/>
        </w:rPr>
      </w:pPr>
      <w:r>
        <w:rPr>
          <w:highlight w:val="white"/>
        </w:rPr>
        <w:t>Kasmir. 2021. Analisis Laporan Keuangan. Depok: PT Raja Grafindo Persada.</w:t>
      </w:r>
    </w:p>
    <w:p w:rsidR="008E550A" w:rsidRDefault="008E550A" w:rsidP="008E550A">
      <w:pPr>
        <w:pBdr>
          <w:top w:val="nil"/>
          <w:left w:val="nil"/>
          <w:bottom w:val="nil"/>
          <w:right w:val="nil"/>
          <w:between w:val="nil"/>
        </w:pBdr>
        <w:spacing w:line="240" w:lineRule="auto"/>
        <w:ind w:left="720" w:hanging="720"/>
      </w:pPr>
      <w:r>
        <w:t xml:space="preserve">Mentari Chandra Tjiang, Fransiskus Randa, dan Marselinus Asri. (2018). Pengaruh manajemen laba, profitabilitas, dan likuiditas terhadap kebijakan dividen. </w:t>
      </w:r>
      <w:r>
        <w:rPr>
          <w:i/>
        </w:rPr>
        <w:t>E-ISSN 2621-0320</w:t>
      </w:r>
      <w:r>
        <w:t>.</w:t>
      </w:r>
    </w:p>
    <w:p w:rsidR="008E550A" w:rsidRDefault="008E550A" w:rsidP="008E550A">
      <w:pPr>
        <w:pBdr>
          <w:top w:val="nil"/>
          <w:left w:val="nil"/>
          <w:bottom w:val="nil"/>
          <w:right w:val="nil"/>
          <w:between w:val="nil"/>
        </w:pBdr>
        <w:spacing w:line="240" w:lineRule="auto"/>
        <w:ind w:left="720" w:hanging="720"/>
        <w:jc w:val="both"/>
      </w:pPr>
      <w:r>
        <w:t>Ningsih, Siti Septia. (2018). Pengaruh profitabilitas, likuiditas dan ukuran perusahaan terhadap kebijakan dividen (studi empiris pada perusahaan manufaktur industri barang konsumsi yang terdaftar di BEI tahun 2014-2016). Diss. Universitas Mercubuana Yogyakarta</w:t>
      </w:r>
    </w:p>
    <w:p w:rsidR="008E550A" w:rsidRDefault="008E550A" w:rsidP="008E550A">
      <w:pPr>
        <w:pBdr>
          <w:top w:val="nil"/>
          <w:left w:val="nil"/>
          <w:bottom w:val="nil"/>
          <w:right w:val="nil"/>
          <w:between w:val="nil"/>
        </w:pBdr>
        <w:spacing w:line="240" w:lineRule="auto"/>
        <w:ind w:left="720" w:hanging="720"/>
        <w:jc w:val="both"/>
      </w:pPr>
      <w:r>
        <w:rPr>
          <w:highlight w:val="white"/>
        </w:rPr>
        <w:t>Nur, Triasesiarta. (2018). Pengaruh profitabilitas dan Likuiditas terhadap kebijakan Dividen dengan Firm size sebagai Pemoderasi.  </w:t>
      </w:r>
      <w:r>
        <w:rPr>
          <w:i/>
          <w:highlight w:val="white"/>
        </w:rPr>
        <w:t>ESENSI: Jurnal Manajemen Bisnis</w:t>
      </w:r>
      <w:r>
        <w:rPr>
          <w:highlight w:val="white"/>
        </w:rPr>
        <w:t> 21.2 1-15.</w:t>
      </w:r>
    </w:p>
    <w:p w:rsidR="008E550A" w:rsidRDefault="008E550A" w:rsidP="008E550A">
      <w:pPr>
        <w:pBdr>
          <w:top w:val="nil"/>
          <w:left w:val="nil"/>
          <w:bottom w:val="nil"/>
          <w:right w:val="nil"/>
          <w:between w:val="nil"/>
        </w:pBdr>
        <w:spacing w:line="240" w:lineRule="auto"/>
        <w:ind w:left="720" w:hanging="720"/>
        <w:jc w:val="both"/>
        <w:rPr>
          <w:highlight w:val="white"/>
        </w:rPr>
      </w:pPr>
      <w:r>
        <w:rPr>
          <w:highlight w:val="white"/>
        </w:rPr>
        <w:lastRenderedPageBreak/>
        <w:t>Nursaada, Nursaada, Stanly Alexander, and Novi Budiarso. (2013). Pengaruh Rasio Keuangan Terhadap Kebijakan Dividen pada Perusahaan Manufaktur yang Terdaftar di Bursa Efek Indonesia. </w:t>
      </w:r>
      <w:r>
        <w:rPr>
          <w:i/>
          <w:highlight w:val="white"/>
        </w:rPr>
        <w:t>Jurnal Accountability</w:t>
      </w:r>
      <w:r>
        <w:rPr>
          <w:highlight w:val="white"/>
        </w:rPr>
        <w:t> 2.2 26210.</w:t>
      </w:r>
    </w:p>
    <w:p w:rsidR="008E550A" w:rsidRDefault="008E550A" w:rsidP="008E550A">
      <w:pPr>
        <w:pBdr>
          <w:top w:val="nil"/>
          <w:left w:val="nil"/>
          <w:bottom w:val="nil"/>
          <w:right w:val="nil"/>
          <w:between w:val="nil"/>
        </w:pBdr>
        <w:spacing w:line="240" w:lineRule="auto"/>
        <w:ind w:left="720" w:hanging="720"/>
        <w:jc w:val="both"/>
      </w:pPr>
      <w:r>
        <w:t xml:space="preserve">Ratnasari, Putu Sri Puspytha dan, Ni Ketut Purnawati. (2019). Pengaruh Profitabilitas, likuiditas, tingkat pertumbuhan perusahaan dan leverage terhadap kebijakan dividen. </w:t>
      </w:r>
      <w:proofErr w:type="gramStart"/>
      <w:r>
        <w:rPr>
          <w:i/>
        </w:rPr>
        <w:t>e-jurnal</w:t>
      </w:r>
      <w:proofErr w:type="gramEnd"/>
      <w:r>
        <w:rPr>
          <w:i/>
        </w:rPr>
        <w:t xml:space="preserve"> Manajemen universitas udayana </w:t>
      </w:r>
      <w:r>
        <w:t>, 8 (10), 6179-6198.</w:t>
      </w:r>
    </w:p>
    <w:p w:rsidR="008E550A" w:rsidRDefault="008E550A" w:rsidP="008E550A">
      <w:pPr>
        <w:pBdr>
          <w:top w:val="nil"/>
          <w:left w:val="nil"/>
          <w:bottom w:val="nil"/>
          <w:right w:val="nil"/>
          <w:between w:val="nil"/>
        </w:pBdr>
        <w:spacing w:line="240" w:lineRule="auto"/>
        <w:ind w:left="720" w:hanging="720"/>
      </w:pPr>
      <w:r>
        <w:t xml:space="preserve">Silaban, Dame Prawira, and Ni Ketut Purnawati. (2016). Pengaruh Profitabilitas, struktur kepemilikan, pertumbuhan perusahaan dan efektivitas usaha terhadap kebijakan dividen pada perusahaan manufaktur. </w:t>
      </w:r>
      <w:proofErr w:type="gramStart"/>
      <w:r>
        <w:rPr>
          <w:i/>
        </w:rPr>
        <w:t>e-jurnal</w:t>
      </w:r>
      <w:proofErr w:type="gramEnd"/>
      <w:r>
        <w:rPr>
          <w:i/>
        </w:rPr>
        <w:t xml:space="preserve"> manajemen universitas udayana </w:t>
      </w:r>
      <w:r>
        <w:t>, 5 (2), 1251-1281.</w:t>
      </w:r>
    </w:p>
    <w:p w:rsidR="008E550A" w:rsidRDefault="008E550A" w:rsidP="008E550A">
      <w:pPr>
        <w:pBdr>
          <w:top w:val="nil"/>
          <w:left w:val="nil"/>
          <w:bottom w:val="nil"/>
          <w:right w:val="nil"/>
          <w:between w:val="nil"/>
        </w:pBdr>
        <w:spacing w:line="240" w:lineRule="auto"/>
        <w:ind w:left="720" w:hanging="720"/>
        <w:jc w:val="both"/>
      </w:pPr>
      <w:r>
        <w:t xml:space="preserve">Sirait, Primatua. (2019). </w:t>
      </w:r>
      <w:r>
        <w:rPr>
          <w:i/>
        </w:rPr>
        <w:t>Analisis Laporan Keuangan Edisi 2.</w:t>
      </w:r>
      <w:r>
        <w:t xml:space="preserve"> Yogyakarta: ISBN.</w:t>
      </w:r>
    </w:p>
    <w:p w:rsidR="008E550A" w:rsidRDefault="008E550A" w:rsidP="008E550A">
      <w:pPr>
        <w:pBdr>
          <w:top w:val="nil"/>
          <w:left w:val="nil"/>
          <w:bottom w:val="nil"/>
          <w:right w:val="nil"/>
          <w:between w:val="nil"/>
        </w:pBdr>
        <w:spacing w:line="240" w:lineRule="auto"/>
        <w:ind w:left="720" w:hanging="720"/>
        <w:jc w:val="both"/>
        <w:rPr>
          <w:highlight w:val="white"/>
        </w:rPr>
      </w:pPr>
      <w:r>
        <w:t xml:space="preserve"> </w:t>
      </w:r>
      <w:r>
        <w:rPr>
          <w:highlight w:val="white"/>
        </w:rPr>
        <w:t xml:space="preserve">Tjiang, Mentari Chandra, Fransiskus Randa, and Marselinus Asri. (2018). Pengaruh Manajemen Laba, Profitabilitas, dan Likuiditas terhadap Kebijakan Dividen. </w:t>
      </w:r>
      <w:r>
        <w:rPr>
          <w:i/>
          <w:highlight w:val="white"/>
        </w:rPr>
        <w:t>SIMAK</w:t>
      </w:r>
      <w:r>
        <w:rPr>
          <w:highlight w:val="white"/>
        </w:rPr>
        <w:t xml:space="preserve"> 16.01 79-100.</w:t>
      </w:r>
    </w:p>
    <w:p w:rsidR="008E550A" w:rsidRDefault="008E550A" w:rsidP="008E550A">
      <w:pPr>
        <w:pBdr>
          <w:top w:val="nil"/>
          <w:left w:val="nil"/>
          <w:bottom w:val="nil"/>
          <w:right w:val="nil"/>
          <w:between w:val="nil"/>
        </w:pBdr>
        <w:spacing w:line="240" w:lineRule="auto"/>
        <w:ind w:left="720" w:hanging="720"/>
        <w:jc w:val="both"/>
        <w:rPr>
          <w:highlight w:val="white"/>
        </w:rPr>
      </w:pPr>
      <w:r>
        <w:rPr>
          <w:highlight w:val="white"/>
        </w:rPr>
        <w:t xml:space="preserve">Yudhanto, Stefan, and Siti Aisjah. (2012). Pengaruh Net Profit Margin, Return on Asset, Return on Equity, Earning Per Share terhadap Kebijakan Dividen (Studi Pada Perusahaan Manufaktur yang terdaftar di Bursa Efek Indonesia). </w:t>
      </w:r>
      <w:r>
        <w:rPr>
          <w:i/>
          <w:highlight w:val="white"/>
        </w:rPr>
        <w:t>Jurnal Ilmiah Mahasiswa FEB</w:t>
      </w:r>
      <w:r>
        <w:rPr>
          <w:highlight w:val="white"/>
        </w:rPr>
        <w:t xml:space="preserve"> 1.2 </w:t>
      </w:r>
    </w:p>
    <w:p w:rsidR="008E550A" w:rsidRDefault="008E550A" w:rsidP="008E550A">
      <w:pPr>
        <w:pBdr>
          <w:top w:val="nil"/>
          <w:left w:val="nil"/>
          <w:bottom w:val="nil"/>
          <w:right w:val="nil"/>
          <w:between w:val="nil"/>
        </w:pBdr>
        <w:spacing w:line="240" w:lineRule="auto"/>
        <w:ind w:left="720" w:hanging="720"/>
        <w:jc w:val="both"/>
      </w:pPr>
      <w:r>
        <w:t xml:space="preserve">Yudiana dan Yadnyana. (2016). pengaruh kepemilikan manajerial, laverage, investment opportunity set dan profitabilitas pada kebijakan dividen perusahaan manufaktur. </w:t>
      </w:r>
      <w:proofErr w:type="gramStart"/>
      <w:r>
        <w:rPr>
          <w:i/>
        </w:rPr>
        <w:t>e-jurnal</w:t>
      </w:r>
      <w:proofErr w:type="gramEnd"/>
      <w:r>
        <w:rPr>
          <w:i/>
        </w:rPr>
        <w:t xml:space="preserve"> akuntansi, 15(1)</w:t>
      </w:r>
      <w:r>
        <w:t>, 111-141.</w:t>
      </w:r>
    </w:p>
    <w:p w:rsidR="008E550A" w:rsidRDefault="008872EB" w:rsidP="006368E5">
      <w:pPr>
        <w:ind w:firstLine="0"/>
      </w:pPr>
      <w:hyperlink r:id="rId6" w:history="1">
        <w:r w:rsidR="008E550A" w:rsidRPr="00D83EB8">
          <w:rPr>
            <w:rStyle w:val="Hyperlink"/>
          </w:rPr>
          <w:t>www.idx.co.id</w:t>
        </w:r>
      </w:hyperlink>
    </w:p>
    <w:p w:rsidR="008E550A" w:rsidRPr="008E550A" w:rsidRDefault="008E550A" w:rsidP="006368E5">
      <w:pPr>
        <w:ind w:firstLine="0"/>
      </w:pPr>
      <w:bookmarkStart w:id="20" w:name="_GoBack"/>
      <w:bookmarkEnd w:id="20"/>
    </w:p>
    <w:sectPr w:rsidR="008E550A" w:rsidRPr="008E55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B36E14A4"/>
    <w:lvl w:ilvl="0">
      <w:start w:val="1"/>
      <w:numFmt w:val="upperLetter"/>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36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9"/>
    <w:multiLevelType w:val="multilevel"/>
    <w:tmpl w:val="25EE7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A"/>
    <w:multiLevelType w:val="multilevel"/>
    <w:tmpl w:val="92CC40E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0000012"/>
    <w:multiLevelType w:val="multilevel"/>
    <w:tmpl w:val="9926B03C"/>
    <w:lvl w:ilvl="0">
      <w:start w:val="1"/>
      <w:numFmt w:val="upp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0000015"/>
    <w:multiLevelType w:val="hybridMultilevel"/>
    <w:tmpl w:val="2402E3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17"/>
    <w:multiLevelType w:val="hybridMultilevel"/>
    <w:tmpl w:val="03ECEEAA"/>
    <w:lvl w:ilvl="0" w:tplc="8612EAD2">
      <w:start w:val="1"/>
      <w:numFmt w:val="decimal"/>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6" w15:restartNumberingAfterBreak="0">
    <w:nsid w:val="00000019"/>
    <w:multiLevelType w:val="multilevel"/>
    <w:tmpl w:val="B89245AA"/>
    <w:lvl w:ilvl="0">
      <w:start w:val="1"/>
      <w:numFmt w:val="decimal"/>
      <w:lvlText w:val="%1)"/>
      <w:lvlJc w:val="left"/>
      <w:pPr>
        <w:ind w:left="1429" w:hanging="360"/>
      </w:pPr>
    </w:lvl>
    <w:lvl w:ilvl="1">
      <w:start w:val="1"/>
      <w:numFmt w:val="decimal"/>
      <w:lvlText w:val="%2."/>
      <w:lvlJc w:val="right"/>
      <w:pPr>
        <w:ind w:left="5606"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000001D"/>
    <w:multiLevelType w:val="hybridMultilevel"/>
    <w:tmpl w:val="2F180FDE"/>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00000025"/>
    <w:multiLevelType w:val="hybridMultilevel"/>
    <w:tmpl w:val="0C14CB98"/>
    <w:lvl w:ilvl="0" w:tplc="4D342844">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000002C"/>
    <w:multiLevelType w:val="hybridMultilevel"/>
    <w:tmpl w:val="FA841C62"/>
    <w:lvl w:ilvl="0" w:tplc="2D64CF44">
      <w:start w:val="1"/>
      <w:numFmt w:val="upperLetter"/>
      <w:lvlText w:val="%1."/>
      <w:lvlJc w:val="left"/>
      <w:pPr>
        <w:ind w:left="163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1B"/>
    <w:rsid w:val="000C4419"/>
    <w:rsid w:val="001B62D4"/>
    <w:rsid w:val="0036465C"/>
    <w:rsid w:val="00422882"/>
    <w:rsid w:val="00457457"/>
    <w:rsid w:val="00542F96"/>
    <w:rsid w:val="00582E1B"/>
    <w:rsid w:val="005B5EB5"/>
    <w:rsid w:val="005C7459"/>
    <w:rsid w:val="00626410"/>
    <w:rsid w:val="00631284"/>
    <w:rsid w:val="006368E5"/>
    <w:rsid w:val="006E0318"/>
    <w:rsid w:val="008872EB"/>
    <w:rsid w:val="008E550A"/>
    <w:rsid w:val="008E7858"/>
    <w:rsid w:val="00A21566"/>
    <w:rsid w:val="00B856C8"/>
    <w:rsid w:val="00C3570F"/>
    <w:rsid w:val="00E23AE5"/>
    <w:rsid w:val="00EC79F5"/>
    <w:rsid w:val="00F2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2324A-9930-42E4-9047-A071BF8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E1B"/>
    <w:pPr>
      <w:spacing w:line="480" w:lineRule="auto"/>
      <w:ind w:firstLine="624"/>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2E1B"/>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0C44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E1B"/>
    <w:rPr>
      <w:rFonts w:ascii="Times New Roman" w:eastAsia="Times New Roman" w:hAnsi="Times New Roman" w:cs="Times New Roman"/>
      <w:b/>
      <w:sz w:val="48"/>
      <w:szCs w:val="48"/>
    </w:rPr>
  </w:style>
  <w:style w:type="character" w:styleId="Hyperlink">
    <w:name w:val="Hyperlink"/>
    <w:basedOn w:val="DefaultParagraphFont"/>
    <w:uiPriority w:val="99"/>
    <w:unhideWhenUsed/>
    <w:rsid w:val="00582E1B"/>
    <w:rPr>
      <w:color w:val="0563C1" w:themeColor="hyperlink"/>
      <w:u w:val="single"/>
    </w:rPr>
  </w:style>
  <w:style w:type="paragraph" w:styleId="NormalWeb">
    <w:name w:val="Normal (Web)"/>
    <w:basedOn w:val="Normal"/>
    <w:uiPriority w:val="99"/>
    <w:rsid w:val="005C7459"/>
    <w:pPr>
      <w:spacing w:before="100" w:beforeAutospacing="1" w:after="100" w:afterAutospacing="1" w:line="240" w:lineRule="auto"/>
      <w:ind w:firstLine="0"/>
    </w:pPr>
  </w:style>
  <w:style w:type="character" w:customStyle="1" w:styleId="Heading2Char">
    <w:name w:val="Heading 2 Char"/>
    <w:basedOn w:val="DefaultParagraphFont"/>
    <w:link w:val="Heading2"/>
    <w:uiPriority w:val="9"/>
    <w:semiHidden/>
    <w:rsid w:val="000C4419"/>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qFormat/>
    <w:rsid w:val="00A21566"/>
    <w:pPr>
      <w:spacing w:after="200" w:line="240" w:lineRule="auto"/>
    </w:pPr>
    <w:rPr>
      <w:i/>
      <w:iCs/>
      <w:color w:val="1F497D"/>
      <w:sz w:val="18"/>
      <w:szCs w:val="18"/>
    </w:rPr>
  </w:style>
  <w:style w:type="paragraph" w:styleId="ListParagraph">
    <w:name w:val="List Paragraph"/>
    <w:basedOn w:val="Normal"/>
    <w:uiPriority w:val="34"/>
    <w:qFormat/>
    <w:rsid w:val="00A21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mailto:hanivado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2022-01-29T13:42:00Z</dcterms:created>
  <dcterms:modified xsi:type="dcterms:W3CDTF">2022-01-29T22:35:00Z</dcterms:modified>
</cp:coreProperties>
</file>