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9855" w14:textId="6E7F906E" w:rsidR="0095257A" w:rsidRPr="00895AED" w:rsidRDefault="00177E43" w:rsidP="009525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EFEKTIVITAS</w:t>
      </w:r>
      <w:r w:rsidR="0095257A" w:rsidRPr="00895AED">
        <w:rPr>
          <w:rFonts w:cstheme="minorHAnsi"/>
          <w:b/>
          <w:bCs/>
          <w:sz w:val="24"/>
          <w:szCs w:val="24"/>
        </w:rPr>
        <w:t xml:space="preserve"> PELATIHAN </w:t>
      </w:r>
      <w:r w:rsidR="0095257A" w:rsidRPr="00895AED">
        <w:rPr>
          <w:rFonts w:cstheme="minorHAnsi"/>
          <w:b/>
          <w:bCs/>
          <w:i/>
          <w:iCs/>
          <w:sz w:val="24"/>
          <w:szCs w:val="24"/>
        </w:rPr>
        <w:t xml:space="preserve">SELF-MANAGEMENT </w:t>
      </w:r>
      <w:r w:rsidR="0095257A" w:rsidRPr="00895AED">
        <w:rPr>
          <w:rFonts w:cstheme="minorHAnsi"/>
          <w:b/>
          <w:bCs/>
          <w:sz w:val="24"/>
          <w:szCs w:val="24"/>
        </w:rPr>
        <w:t xml:space="preserve">UNTUK MENINGKATKAN </w:t>
      </w:r>
      <w:r w:rsidR="0095257A" w:rsidRPr="00895AED">
        <w:rPr>
          <w:rFonts w:cstheme="minorHAnsi"/>
          <w:b/>
          <w:bCs/>
          <w:i/>
          <w:iCs/>
          <w:sz w:val="24"/>
          <w:szCs w:val="24"/>
        </w:rPr>
        <w:t xml:space="preserve">SUBJECTIVE WELL-BEING </w:t>
      </w:r>
      <w:r w:rsidR="0095257A" w:rsidRPr="00895AED">
        <w:rPr>
          <w:rFonts w:cstheme="minorHAnsi"/>
          <w:b/>
          <w:bCs/>
          <w:sz w:val="24"/>
          <w:szCs w:val="24"/>
        </w:rPr>
        <w:t>PADA KARYAWAN PERUSAHAAN X DI MASA PANDEMI COVID-19</w:t>
      </w:r>
    </w:p>
    <w:p w14:paraId="77BAACEC" w14:textId="75E4FC64" w:rsidR="0095257A" w:rsidRPr="00895AED" w:rsidRDefault="0095257A" w:rsidP="0095257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B3909F" w14:textId="7C3D55C5" w:rsidR="0095257A" w:rsidRPr="00895AED" w:rsidRDefault="00A97EBD" w:rsidP="0095257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Asda </w:t>
      </w:r>
      <w:proofErr w:type="spellStart"/>
      <w:r>
        <w:rPr>
          <w:rFonts w:cstheme="minorHAnsi"/>
        </w:rPr>
        <w:t>Hanida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Maranata</w:t>
      </w:r>
      <w:proofErr w:type="spellEnd"/>
      <w:r>
        <w:rPr>
          <w:rFonts w:cstheme="minorHAnsi"/>
        </w:rPr>
        <w:t xml:space="preserve"> dan </w:t>
      </w:r>
      <w:proofErr w:type="spellStart"/>
      <w:r>
        <w:rPr>
          <w:rFonts w:cstheme="minorHAnsi"/>
        </w:rPr>
        <w:t>Alimatus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Sahrah</w:t>
      </w:r>
      <w:proofErr w:type="spellEnd"/>
    </w:p>
    <w:p w14:paraId="24683C23" w14:textId="4DD7BEF0" w:rsidR="0095257A" w:rsidRPr="00895AED" w:rsidRDefault="0095257A" w:rsidP="0095257A">
      <w:pPr>
        <w:spacing w:after="0" w:line="240" w:lineRule="auto"/>
        <w:jc w:val="center"/>
        <w:rPr>
          <w:rFonts w:cstheme="minorHAnsi"/>
        </w:rPr>
      </w:pPr>
    </w:p>
    <w:p w14:paraId="68C4EE2D" w14:textId="386F60DD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5AED">
        <w:rPr>
          <w:rFonts w:cstheme="minorHAnsi"/>
          <w:sz w:val="20"/>
          <w:szCs w:val="20"/>
        </w:rPr>
        <w:t xml:space="preserve">Magister </w:t>
      </w:r>
      <w:proofErr w:type="spellStart"/>
      <w:r w:rsidRPr="00895AED">
        <w:rPr>
          <w:rFonts w:cstheme="minorHAnsi"/>
          <w:sz w:val="20"/>
          <w:szCs w:val="20"/>
        </w:rPr>
        <w:t>Psikologi</w:t>
      </w:r>
      <w:proofErr w:type="spellEnd"/>
      <w:r w:rsidRPr="00895AED">
        <w:rPr>
          <w:rFonts w:cstheme="minorHAnsi"/>
          <w:sz w:val="20"/>
          <w:szCs w:val="20"/>
        </w:rPr>
        <w:t xml:space="preserve"> </w:t>
      </w:r>
      <w:proofErr w:type="spellStart"/>
      <w:r w:rsidRPr="00895AED">
        <w:rPr>
          <w:rFonts w:cstheme="minorHAnsi"/>
          <w:sz w:val="20"/>
          <w:szCs w:val="20"/>
        </w:rPr>
        <w:t>Profesi</w:t>
      </w:r>
      <w:proofErr w:type="spellEnd"/>
      <w:r w:rsidR="0067290B" w:rsidRPr="00895AED">
        <w:rPr>
          <w:rFonts w:cstheme="minorHAnsi"/>
          <w:sz w:val="20"/>
          <w:szCs w:val="20"/>
        </w:rPr>
        <w:t xml:space="preserve"> </w:t>
      </w:r>
      <w:proofErr w:type="spellStart"/>
      <w:r w:rsidR="0067290B" w:rsidRPr="00895AED">
        <w:rPr>
          <w:rFonts w:cstheme="minorHAnsi"/>
          <w:sz w:val="20"/>
          <w:szCs w:val="20"/>
        </w:rPr>
        <w:t>Industri</w:t>
      </w:r>
      <w:proofErr w:type="spellEnd"/>
      <w:r w:rsidR="0067290B" w:rsidRPr="00895AED">
        <w:rPr>
          <w:rFonts w:cstheme="minorHAnsi"/>
          <w:sz w:val="20"/>
          <w:szCs w:val="20"/>
        </w:rPr>
        <w:t xml:space="preserve"> dan </w:t>
      </w:r>
      <w:proofErr w:type="spellStart"/>
      <w:r w:rsidR="0067290B" w:rsidRPr="00895AED">
        <w:rPr>
          <w:rFonts w:cstheme="minorHAnsi"/>
          <w:sz w:val="20"/>
          <w:szCs w:val="20"/>
        </w:rPr>
        <w:t>Organisasi</w:t>
      </w:r>
      <w:proofErr w:type="spellEnd"/>
    </w:p>
    <w:p w14:paraId="01A533D7" w14:textId="1DD77698" w:rsidR="0095257A" w:rsidRPr="00895AED" w:rsidRDefault="0067290B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95AED">
        <w:rPr>
          <w:rFonts w:cstheme="minorHAnsi"/>
          <w:sz w:val="20"/>
          <w:szCs w:val="20"/>
        </w:rPr>
        <w:t>Fakultas</w:t>
      </w:r>
      <w:proofErr w:type="spellEnd"/>
      <w:r w:rsidRPr="00895AED">
        <w:rPr>
          <w:rFonts w:cstheme="minorHAnsi"/>
          <w:sz w:val="20"/>
          <w:szCs w:val="20"/>
        </w:rPr>
        <w:t xml:space="preserve"> </w:t>
      </w:r>
      <w:proofErr w:type="spellStart"/>
      <w:r w:rsidRPr="00895AED">
        <w:rPr>
          <w:rFonts w:cstheme="minorHAnsi"/>
          <w:sz w:val="20"/>
          <w:szCs w:val="20"/>
        </w:rPr>
        <w:t>Psikologi</w:t>
      </w:r>
      <w:proofErr w:type="spellEnd"/>
      <w:r w:rsidRPr="00895AED">
        <w:rPr>
          <w:rFonts w:cstheme="minorHAnsi"/>
          <w:sz w:val="20"/>
          <w:szCs w:val="20"/>
        </w:rPr>
        <w:t xml:space="preserve"> </w:t>
      </w:r>
      <w:proofErr w:type="spellStart"/>
      <w:r w:rsidR="0095257A" w:rsidRPr="00895AED">
        <w:rPr>
          <w:rFonts w:cstheme="minorHAnsi"/>
          <w:sz w:val="20"/>
          <w:szCs w:val="20"/>
        </w:rPr>
        <w:t>Universitas</w:t>
      </w:r>
      <w:proofErr w:type="spellEnd"/>
      <w:r w:rsidR="0095257A" w:rsidRPr="00895AED">
        <w:rPr>
          <w:rFonts w:cstheme="minorHAnsi"/>
          <w:sz w:val="20"/>
          <w:szCs w:val="20"/>
        </w:rPr>
        <w:t xml:space="preserve"> </w:t>
      </w:r>
      <w:proofErr w:type="spellStart"/>
      <w:r w:rsidR="0095257A" w:rsidRPr="00895AED">
        <w:rPr>
          <w:rFonts w:cstheme="minorHAnsi"/>
          <w:sz w:val="20"/>
          <w:szCs w:val="20"/>
        </w:rPr>
        <w:t>Mercu</w:t>
      </w:r>
      <w:proofErr w:type="spellEnd"/>
      <w:r w:rsidR="0095257A" w:rsidRPr="00895AED">
        <w:rPr>
          <w:rFonts w:cstheme="minorHAnsi"/>
          <w:sz w:val="20"/>
          <w:szCs w:val="20"/>
        </w:rPr>
        <w:t xml:space="preserve"> </w:t>
      </w:r>
      <w:proofErr w:type="spellStart"/>
      <w:r w:rsidR="0095257A" w:rsidRPr="00895AED">
        <w:rPr>
          <w:rFonts w:cstheme="minorHAnsi"/>
          <w:sz w:val="20"/>
          <w:szCs w:val="20"/>
        </w:rPr>
        <w:t>Buana</w:t>
      </w:r>
      <w:proofErr w:type="spellEnd"/>
      <w:r w:rsidR="0095257A" w:rsidRPr="00895AED">
        <w:rPr>
          <w:rFonts w:cstheme="minorHAnsi"/>
          <w:sz w:val="20"/>
          <w:szCs w:val="20"/>
        </w:rPr>
        <w:t xml:space="preserve"> Yogyakarta</w:t>
      </w:r>
    </w:p>
    <w:p w14:paraId="3F9837E3" w14:textId="10DDC51D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5AED">
        <w:rPr>
          <w:rFonts w:cstheme="minorHAnsi"/>
          <w:sz w:val="20"/>
          <w:szCs w:val="20"/>
        </w:rPr>
        <w:t xml:space="preserve">Jl. </w:t>
      </w:r>
      <w:proofErr w:type="spellStart"/>
      <w:r w:rsidRPr="00895AED">
        <w:rPr>
          <w:rFonts w:cstheme="minorHAnsi"/>
          <w:sz w:val="20"/>
          <w:szCs w:val="20"/>
        </w:rPr>
        <w:t>Ringroad</w:t>
      </w:r>
      <w:proofErr w:type="spellEnd"/>
      <w:r w:rsidRPr="00895AED">
        <w:rPr>
          <w:rFonts w:cstheme="minorHAnsi"/>
          <w:sz w:val="20"/>
          <w:szCs w:val="20"/>
        </w:rPr>
        <w:t xml:space="preserve"> Utara, </w:t>
      </w:r>
      <w:proofErr w:type="spellStart"/>
      <w:r w:rsidR="0067290B" w:rsidRPr="00895AED">
        <w:rPr>
          <w:rFonts w:cstheme="minorHAnsi"/>
          <w:sz w:val="20"/>
          <w:szCs w:val="20"/>
        </w:rPr>
        <w:t>Condong</w:t>
      </w:r>
      <w:proofErr w:type="spellEnd"/>
      <w:r w:rsidR="0067290B" w:rsidRPr="00895AED">
        <w:rPr>
          <w:rFonts w:cstheme="minorHAnsi"/>
          <w:sz w:val="20"/>
          <w:szCs w:val="20"/>
        </w:rPr>
        <w:t xml:space="preserve"> </w:t>
      </w:r>
      <w:proofErr w:type="spellStart"/>
      <w:r w:rsidR="0067290B" w:rsidRPr="00895AED">
        <w:rPr>
          <w:rFonts w:cstheme="minorHAnsi"/>
          <w:sz w:val="20"/>
          <w:szCs w:val="20"/>
        </w:rPr>
        <w:t>Catur</w:t>
      </w:r>
      <w:proofErr w:type="spellEnd"/>
      <w:r w:rsidR="0067290B" w:rsidRPr="00895AED">
        <w:rPr>
          <w:rFonts w:cstheme="minorHAnsi"/>
          <w:sz w:val="20"/>
          <w:szCs w:val="20"/>
        </w:rPr>
        <w:t>, Yogyakarta</w:t>
      </w:r>
    </w:p>
    <w:p w14:paraId="5CFA542D" w14:textId="0A7C3C42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B2077C2" w14:textId="6DED72C4" w:rsidR="0095257A" w:rsidRPr="00895AED" w:rsidRDefault="0095257A" w:rsidP="0095257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95AED">
        <w:rPr>
          <w:rFonts w:cstheme="minorHAnsi"/>
          <w:i/>
          <w:iCs/>
          <w:sz w:val="20"/>
          <w:szCs w:val="20"/>
        </w:rPr>
        <w:t>E</w:t>
      </w:r>
      <w:r w:rsidR="0067290B" w:rsidRPr="00895AED">
        <w:rPr>
          <w:rFonts w:cstheme="minorHAnsi"/>
          <w:i/>
          <w:iCs/>
          <w:sz w:val="20"/>
          <w:szCs w:val="20"/>
        </w:rPr>
        <w:t>-</w:t>
      </w:r>
      <w:r w:rsidRPr="00895AED">
        <w:rPr>
          <w:rFonts w:cstheme="minorHAnsi"/>
          <w:i/>
          <w:iCs/>
          <w:sz w:val="20"/>
          <w:szCs w:val="20"/>
        </w:rPr>
        <w:t xml:space="preserve">mail: </w:t>
      </w:r>
      <w:hyperlink r:id="rId6" w:history="1">
        <w:r w:rsidRPr="00895AED">
          <w:rPr>
            <w:rStyle w:val="Hyperlink"/>
            <w:rFonts w:cstheme="minorHAnsi"/>
            <w:i/>
            <w:iCs/>
            <w:sz w:val="20"/>
            <w:szCs w:val="20"/>
          </w:rPr>
          <w:t>18511059@student.mercubuana-yogya.ac.id</w:t>
        </w:r>
      </w:hyperlink>
    </w:p>
    <w:p w14:paraId="657D4336" w14:textId="19FD2AC9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05F27E7" w14:textId="30DDEE6A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95AED">
        <w:rPr>
          <w:rFonts w:cstheme="minorHAnsi"/>
          <w:b/>
          <w:bCs/>
          <w:sz w:val="20"/>
          <w:szCs w:val="20"/>
        </w:rPr>
        <w:t>Abstrak</w:t>
      </w:r>
      <w:proofErr w:type="spellEnd"/>
    </w:p>
    <w:p w14:paraId="4D102C6D" w14:textId="00853C3A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6F3150A" w14:textId="5C5E44E8" w:rsidR="006C571C" w:rsidRPr="00895AED" w:rsidRDefault="00793945" w:rsidP="00334D5A">
      <w:pPr>
        <w:spacing w:after="0" w:line="240" w:lineRule="auto"/>
        <w:jc w:val="both"/>
        <w:rPr>
          <w:rFonts w:cstheme="minorHAnsi"/>
        </w:rPr>
      </w:pPr>
      <w:proofErr w:type="spellStart"/>
      <w:r w:rsidRPr="00793945">
        <w:rPr>
          <w:rFonts w:cstheme="minorHAnsi"/>
        </w:rPr>
        <w:t>Penelitian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ini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bertujuan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untuk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mengetahui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efektivitas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pelatihan</w:t>
      </w:r>
      <w:proofErr w:type="spellEnd"/>
      <w:r w:rsidRPr="00793945">
        <w:rPr>
          <w:rFonts w:cstheme="minorHAnsi"/>
        </w:rPr>
        <w:t xml:space="preserve"> self-management </w:t>
      </w:r>
      <w:proofErr w:type="spellStart"/>
      <w:r w:rsidRPr="00793945">
        <w:rPr>
          <w:rFonts w:cstheme="minorHAnsi"/>
        </w:rPr>
        <w:t>dalam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meningkatkan</w:t>
      </w:r>
      <w:proofErr w:type="spellEnd"/>
      <w:r w:rsidRPr="00793945">
        <w:rPr>
          <w:rFonts w:cstheme="minorHAnsi"/>
        </w:rPr>
        <w:t xml:space="preserve"> subjective well-being </w:t>
      </w:r>
      <w:proofErr w:type="spellStart"/>
      <w:r w:rsidRPr="00793945">
        <w:rPr>
          <w:rFonts w:cstheme="minorHAnsi"/>
        </w:rPr>
        <w:t>karyawan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suatu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perusahaan</w:t>
      </w:r>
      <w:proofErr w:type="spellEnd"/>
      <w:r w:rsidRPr="00793945">
        <w:rPr>
          <w:rFonts w:cstheme="minorHAnsi"/>
        </w:rPr>
        <w:t xml:space="preserve"> di masa </w:t>
      </w:r>
      <w:proofErr w:type="spellStart"/>
      <w:r w:rsidRPr="00793945">
        <w:rPr>
          <w:rFonts w:cstheme="minorHAnsi"/>
        </w:rPr>
        <w:t>pandemi</w:t>
      </w:r>
      <w:proofErr w:type="spellEnd"/>
      <w:r w:rsidRPr="00793945">
        <w:rPr>
          <w:rFonts w:cstheme="minorHAnsi"/>
        </w:rPr>
        <w:t xml:space="preserve"> covid-19. </w:t>
      </w:r>
      <w:proofErr w:type="spellStart"/>
      <w:r w:rsidRPr="00793945">
        <w:rPr>
          <w:rFonts w:cstheme="minorHAnsi"/>
        </w:rPr>
        <w:t>Hipotesis</w:t>
      </w:r>
      <w:proofErr w:type="spellEnd"/>
      <w:r w:rsidRPr="00793945">
        <w:rPr>
          <w:rFonts w:cstheme="minorHAnsi"/>
        </w:rPr>
        <w:t xml:space="preserve"> yang </w:t>
      </w:r>
      <w:proofErr w:type="spellStart"/>
      <w:r w:rsidRPr="00793945">
        <w:rPr>
          <w:rFonts w:cstheme="minorHAnsi"/>
        </w:rPr>
        <w:t>diajukan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dalam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penelitian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ini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adalah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perbedaan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tingkat</w:t>
      </w:r>
      <w:proofErr w:type="spellEnd"/>
      <w:r w:rsidRPr="00793945">
        <w:rPr>
          <w:rFonts w:cstheme="minorHAnsi"/>
        </w:rPr>
        <w:t xml:space="preserve"> subjective well-being </w:t>
      </w:r>
      <w:proofErr w:type="spellStart"/>
      <w:r w:rsidRPr="00793945">
        <w:rPr>
          <w:rFonts w:cstheme="minorHAnsi"/>
        </w:rPr>
        <w:t>karyawan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antara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sebelum</w:t>
      </w:r>
      <w:proofErr w:type="spellEnd"/>
      <w:r w:rsidRPr="00793945">
        <w:rPr>
          <w:rFonts w:cstheme="minorHAnsi"/>
        </w:rPr>
        <w:t xml:space="preserve"> dan </w:t>
      </w:r>
      <w:proofErr w:type="spellStart"/>
      <w:r w:rsidRPr="00793945">
        <w:rPr>
          <w:rFonts w:cstheme="minorHAnsi"/>
        </w:rPr>
        <w:t>sesudah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diberikan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pelatihan</w:t>
      </w:r>
      <w:proofErr w:type="spellEnd"/>
      <w:r w:rsidRPr="00793945">
        <w:rPr>
          <w:rFonts w:cstheme="minorHAnsi"/>
        </w:rPr>
        <w:t xml:space="preserve"> self-management </w:t>
      </w:r>
      <w:proofErr w:type="spellStart"/>
      <w:r w:rsidRPr="00793945">
        <w:rPr>
          <w:rFonts w:cstheme="minorHAnsi"/>
        </w:rPr>
        <w:t>serta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perbedaan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tingkat</w:t>
      </w:r>
      <w:proofErr w:type="spellEnd"/>
      <w:r w:rsidRPr="00793945">
        <w:rPr>
          <w:rFonts w:cstheme="minorHAnsi"/>
        </w:rPr>
        <w:t xml:space="preserve"> subjective well-being </w:t>
      </w:r>
      <w:proofErr w:type="spellStart"/>
      <w:r w:rsidRPr="00793945">
        <w:rPr>
          <w:rFonts w:cstheme="minorHAnsi"/>
        </w:rPr>
        <w:t>antara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kelompok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kontrol</w:t>
      </w:r>
      <w:proofErr w:type="spellEnd"/>
      <w:r w:rsidRPr="00793945">
        <w:rPr>
          <w:rFonts w:cstheme="minorHAnsi"/>
        </w:rPr>
        <w:t xml:space="preserve"> dan </w:t>
      </w:r>
      <w:proofErr w:type="spellStart"/>
      <w:r w:rsidRPr="00793945">
        <w:rPr>
          <w:rFonts w:cstheme="minorHAnsi"/>
        </w:rPr>
        <w:t>kelompok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eksperimen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setelah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diberikan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perlakuan</w:t>
      </w:r>
      <w:proofErr w:type="spellEnd"/>
      <w:r w:rsidRPr="00793945">
        <w:rPr>
          <w:rFonts w:cstheme="minorHAnsi"/>
        </w:rPr>
        <w:t xml:space="preserve">. </w:t>
      </w:r>
      <w:proofErr w:type="spellStart"/>
      <w:r w:rsidRPr="00793945">
        <w:rPr>
          <w:rFonts w:cstheme="minorHAnsi"/>
        </w:rPr>
        <w:t>Metode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pengumpulan</w:t>
      </w:r>
      <w:proofErr w:type="spellEnd"/>
      <w:r w:rsidRPr="00793945">
        <w:rPr>
          <w:rFonts w:cstheme="minorHAnsi"/>
        </w:rPr>
        <w:t xml:space="preserve"> data pada </w:t>
      </w:r>
      <w:proofErr w:type="spellStart"/>
      <w:r w:rsidRPr="00793945">
        <w:rPr>
          <w:rFonts w:cstheme="minorHAnsi"/>
        </w:rPr>
        <w:t>penelitian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ini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menggunakan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skala</w:t>
      </w:r>
      <w:proofErr w:type="spellEnd"/>
      <w:r w:rsidRPr="00793945">
        <w:rPr>
          <w:rFonts w:cstheme="minorHAnsi"/>
        </w:rPr>
        <w:t xml:space="preserve"> self-management dan </w:t>
      </w:r>
      <w:proofErr w:type="spellStart"/>
      <w:r w:rsidRPr="00793945">
        <w:rPr>
          <w:rFonts w:cstheme="minorHAnsi"/>
        </w:rPr>
        <w:t>skala</w:t>
      </w:r>
      <w:proofErr w:type="spellEnd"/>
      <w:r w:rsidRPr="00793945">
        <w:rPr>
          <w:rFonts w:cstheme="minorHAnsi"/>
        </w:rPr>
        <w:t xml:space="preserve"> subjective well-being. Teknik </w:t>
      </w:r>
      <w:proofErr w:type="spellStart"/>
      <w:r w:rsidRPr="00793945">
        <w:rPr>
          <w:rFonts w:cstheme="minorHAnsi"/>
        </w:rPr>
        <w:t>analisis</w:t>
      </w:r>
      <w:proofErr w:type="spellEnd"/>
      <w:r w:rsidRPr="00793945">
        <w:rPr>
          <w:rFonts w:cstheme="minorHAnsi"/>
        </w:rPr>
        <w:t xml:space="preserve"> data yang </w:t>
      </w:r>
      <w:proofErr w:type="spellStart"/>
      <w:r w:rsidRPr="00793945">
        <w:rPr>
          <w:rFonts w:cstheme="minorHAnsi"/>
        </w:rPr>
        <w:t>digunakan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untuk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menguji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hipotesis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penelitian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ini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adalah</w:t>
      </w:r>
      <w:proofErr w:type="spellEnd"/>
      <w:r w:rsidRPr="00793945">
        <w:rPr>
          <w:rFonts w:cstheme="minorHAnsi"/>
        </w:rPr>
        <w:t xml:space="preserve"> independent sample t test dan paired sample t test. Hasil uji independent sample t test </w:t>
      </w:r>
      <w:proofErr w:type="spellStart"/>
      <w:r w:rsidRPr="00793945">
        <w:rPr>
          <w:rFonts w:cstheme="minorHAnsi"/>
        </w:rPr>
        <w:t>menunjukkan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bahwa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terdapat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perbedaan</w:t>
      </w:r>
      <w:proofErr w:type="spellEnd"/>
      <w:r w:rsidRPr="00793945">
        <w:rPr>
          <w:rFonts w:cstheme="minorHAnsi"/>
        </w:rPr>
        <w:t xml:space="preserve"> yang </w:t>
      </w:r>
      <w:proofErr w:type="spellStart"/>
      <w:r w:rsidRPr="00793945">
        <w:rPr>
          <w:rFonts w:cstheme="minorHAnsi"/>
        </w:rPr>
        <w:t>signifikan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antara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hasil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posttest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kelompok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eksperimen</w:t>
      </w:r>
      <w:proofErr w:type="spellEnd"/>
      <w:r w:rsidRPr="00793945">
        <w:rPr>
          <w:rFonts w:cstheme="minorHAnsi"/>
        </w:rPr>
        <w:t xml:space="preserve"> dan </w:t>
      </w:r>
      <w:proofErr w:type="spellStart"/>
      <w:r w:rsidRPr="00793945">
        <w:rPr>
          <w:rFonts w:cstheme="minorHAnsi"/>
        </w:rPr>
        <w:t>kelompok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kontrol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dengan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taraf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signifikansi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sebesar</w:t>
      </w:r>
      <w:proofErr w:type="spellEnd"/>
      <w:r w:rsidRPr="00793945">
        <w:rPr>
          <w:rFonts w:cstheme="minorHAnsi"/>
        </w:rPr>
        <w:t xml:space="preserve"> 0,002</w:t>
      </w:r>
      <w:r w:rsidR="000E52CD">
        <w:rPr>
          <w:rFonts w:cstheme="minorHAnsi"/>
        </w:rPr>
        <w:t>. H</w:t>
      </w:r>
      <w:r w:rsidRPr="00793945">
        <w:rPr>
          <w:rFonts w:cstheme="minorHAnsi"/>
        </w:rPr>
        <w:t xml:space="preserve">asil uji paired sample t test </w:t>
      </w:r>
      <w:proofErr w:type="spellStart"/>
      <w:r w:rsidRPr="00793945">
        <w:rPr>
          <w:rFonts w:cstheme="minorHAnsi"/>
        </w:rPr>
        <w:t>dengan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nilai</w:t>
      </w:r>
      <w:proofErr w:type="spellEnd"/>
      <w:r w:rsidRPr="00793945">
        <w:rPr>
          <w:rFonts w:cstheme="minorHAnsi"/>
        </w:rPr>
        <w:t xml:space="preserve"> mean </w:t>
      </w:r>
      <w:proofErr w:type="spellStart"/>
      <w:r w:rsidRPr="00793945">
        <w:rPr>
          <w:rFonts w:cstheme="minorHAnsi"/>
        </w:rPr>
        <w:t>sebesar</w:t>
      </w:r>
      <w:proofErr w:type="spellEnd"/>
      <w:r w:rsidRPr="00793945">
        <w:rPr>
          <w:rFonts w:cstheme="minorHAnsi"/>
        </w:rPr>
        <w:t xml:space="preserve"> -14,200 </w:t>
      </w:r>
      <w:proofErr w:type="spellStart"/>
      <w:r w:rsidRPr="00793945">
        <w:rPr>
          <w:rFonts w:cstheme="minorHAnsi"/>
        </w:rPr>
        <w:t>menunjukkan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bahwa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terdapat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perbedaan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nilai</w:t>
      </w:r>
      <w:proofErr w:type="spellEnd"/>
      <w:r w:rsidRPr="00793945">
        <w:rPr>
          <w:rFonts w:cstheme="minorHAnsi"/>
        </w:rPr>
        <w:t xml:space="preserve"> y</w:t>
      </w:r>
      <w:bookmarkStart w:id="0" w:name="_GoBack"/>
      <w:bookmarkEnd w:id="0"/>
      <w:r w:rsidRPr="00793945">
        <w:rPr>
          <w:rFonts w:cstheme="minorHAnsi"/>
        </w:rPr>
        <w:t xml:space="preserve">ang </w:t>
      </w:r>
      <w:proofErr w:type="spellStart"/>
      <w:r w:rsidRPr="00793945">
        <w:rPr>
          <w:rFonts w:cstheme="minorHAnsi"/>
        </w:rPr>
        <w:t>signifikan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antara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pretest</w:t>
      </w:r>
      <w:proofErr w:type="spellEnd"/>
      <w:r w:rsidRPr="00793945">
        <w:rPr>
          <w:rFonts w:cstheme="minorHAnsi"/>
        </w:rPr>
        <w:t xml:space="preserve"> dan </w:t>
      </w:r>
      <w:proofErr w:type="spellStart"/>
      <w:r w:rsidRPr="00793945">
        <w:rPr>
          <w:rFonts w:cstheme="minorHAnsi"/>
        </w:rPr>
        <w:t>posttest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kelompok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eksperimen</w:t>
      </w:r>
      <w:proofErr w:type="spellEnd"/>
      <w:r w:rsidRPr="00793945">
        <w:rPr>
          <w:rFonts w:cstheme="minorHAnsi"/>
        </w:rPr>
        <w:t xml:space="preserve">. </w:t>
      </w:r>
      <w:proofErr w:type="spellStart"/>
      <w:r w:rsidRPr="00793945">
        <w:rPr>
          <w:rFonts w:cstheme="minorHAnsi"/>
        </w:rPr>
        <w:t>Berdasarkan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hasil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penjelasan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tersebut</w:t>
      </w:r>
      <w:proofErr w:type="spellEnd"/>
      <w:r w:rsidRPr="00793945">
        <w:rPr>
          <w:rFonts w:cstheme="minorHAnsi"/>
        </w:rPr>
        <w:t xml:space="preserve">, </w:t>
      </w:r>
      <w:proofErr w:type="spellStart"/>
      <w:r w:rsidRPr="00793945">
        <w:rPr>
          <w:rFonts w:cstheme="minorHAnsi"/>
        </w:rPr>
        <w:t>maka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dapat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dikatakan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bahwa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pelatihan</w:t>
      </w:r>
      <w:proofErr w:type="spellEnd"/>
      <w:r w:rsidRPr="00793945">
        <w:rPr>
          <w:rFonts w:cstheme="minorHAnsi"/>
        </w:rPr>
        <w:t xml:space="preserve"> self-management </w:t>
      </w:r>
      <w:proofErr w:type="spellStart"/>
      <w:r w:rsidRPr="00793945">
        <w:rPr>
          <w:rFonts w:cstheme="minorHAnsi"/>
        </w:rPr>
        <w:t>efektif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untuk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meningkatkan</w:t>
      </w:r>
      <w:proofErr w:type="spellEnd"/>
      <w:r w:rsidRPr="00793945">
        <w:rPr>
          <w:rFonts w:cstheme="minorHAnsi"/>
        </w:rPr>
        <w:t xml:space="preserve"> subjective well-being </w:t>
      </w:r>
      <w:proofErr w:type="spellStart"/>
      <w:r w:rsidRPr="00793945">
        <w:rPr>
          <w:rFonts w:cstheme="minorHAnsi"/>
        </w:rPr>
        <w:t>seseorang</w:t>
      </w:r>
      <w:proofErr w:type="spellEnd"/>
      <w:r w:rsidRPr="00793945">
        <w:rPr>
          <w:rFonts w:cstheme="minorHAnsi"/>
        </w:rPr>
        <w:t xml:space="preserve">. Hal </w:t>
      </w:r>
      <w:proofErr w:type="spellStart"/>
      <w:r w:rsidRPr="00793945">
        <w:rPr>
          <w:rFonts w:cstheme="minorHAnsi"/>
        </w:rPr>
        <w:t>tersebut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didukung</w:t>
      </w:r>
      <w:proofErr w:type="spellEnd"/>
      <w:r w:rsidRPr="00793945">
        <w:rPr>
          <w:rFonts w:cstheme="minorHAnsi"/>
        </w:rPr>
        <w:t xml:space="preserve"> juga </w:t>
      </w:r>
      <w:proofErr w:type="spellStart"/>
      <w:r w:rsidRPr="00793945">
        <w:rPr>
          <w:rFonts w:cstheme="minorHAnsi"/>
        </w:rPr>
        <w:t>dengan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prosentase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peningkatan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sebesar</w:t>
      </w:r>
      <w:proofErr w:type="spellEnd"/>
      <w:r w:rsidRPr="00793945">
        <w:rPr>
          <w:rFonts w:cstheme="minorHAnsi"/>
        </w:rPr>
        <w:t xml:space="preserve"> 23,7% </w:t>
      </w:r>
      <w:proofErr w:type="spellStart"/>
      <w:r w:rsidRPr="00793945">
        <w:rPr>
          <w:rFonts w:cstheme="minorHAnsi"/>
        </w:rPr>
        <w:t>dari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hasil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perbandingan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tingkat</w:t>
      </w:r>
      <w:proofErr w:type="spellEnd"/>
      <w:r w:rsidRPr="00793945">
        <w:rPr>
          <w:rFonts w:cstheme="minorHAnsi"/>
        </w:rPr>
        <w:t xml:space="preserve"> subjective well-being pada </w:t>
      </w:r>
      <w:proofErr w:type="spellStart"/>
      <w:r w:rsidRPr="00793945">
        <w:rPr>
          <w:rFonts w:cstheme="minorHAnsi"/>
        </w:rPr>
        <w:t>saat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sebelum</w:t>
      </w:r>
      <w:proofErr w:type="spellEnd"/>
      <w:r w:rsidRPr="00793945">
        <w:rPr>
          <w:rFonts w:cstheme="minorHAnsi"/>
        </w:rPr>
        <w:t xml:space="preserve"> dan </w:t>
      </w:r>
      <w:proofErr w:type="spellStart"/>
      <w:r w:rsidRPr="00793945">
        <w:rPr>
          <w:rFonts w:cstheme="minorHAnsi"/>
        </w:rPr>
        <w:t>sesudah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diberikan</w:t>
      </w:r>
      <w:proofErr w:type="spellEnd"/>
      <w:r w:rsidRPr="00793945">
        <w:rPr>
          <w:rFonts w:cstheme="minorHAnsi"/>
        </w:rPr>
        <w:t xml:space="preserve"> </w:t>
      </w:r>
      <w:proofErr w:type="spellStart"/>
      <w:r w:rsidRPr="00793945">
        <w:rPr>
          <w:rFonts w:cstheme="minorHAnsi"/>
        </w:rPr>
        <w:t>pelatihan</w:t>
      </w:r>
      <w:proofErr w:type="spellEnd"/>
      <w:r w:rsidRPr="00793945">
        <w:rPr>
          <w:rFonts w:cstheme="minorHAnsi"/>
        </w:rPr>
        <w:t xml:space="preserve"> self-management.</w:t>
      </w:r>
    </w:p>
    <w:p w14:paraId="639A5C43" w14:textId="33D26BC1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A7C96CB" w14:textId="468168A4" w:rsidR="0095257A" w:rsidRPr="00895AED" w:rsidRDefault="0095257A" w:rsidP="0067290B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95AED">
        <w:rPr>
          <w:rFonts w:cstheme="minorHAnsi"/>
          <w:sz w:val="20"/>
          <w:szCs w:val="20"/>
        </w:rPr>
        <w:t xml:space="preserve">Kata </w:t>
      </w:r>
      <w:proofErr w:type="spellStart"/>
      <w:r w:rsidRPr="00895AED">
        <w:rPr>
          <w:rFonts w:cstheme="minorHAnsi"/>
          <w:sz w:val="20"/>
          <w:szCs w:val="20"/>
        </w:rPr>
        <w:t>kunci</w:t>
      </w:r>
      <w:proofErr w:type="spellEnd"/>
      <w:r w:rsidRPr="00895AED">
        <w:rPr>
          <w:rFonts w:cstheme="minorHAnsi"/>
          <w:sz w:val="20"/>
          <w:szCs w:val="20"/>
        </w:rPr>
        <w:t xml:space="preserve">: </w:t>
      </w:r>
      <w:proofErr w:type="spellStart"/>
      <w:r w:rsidR="0067290B" w:rsidRPr="00895AED">
        <w:rPr>
          <w:rFonts w:cstheme="minorHAnsi"/>
          <w:i/>
          <w:iCs/>
          <w:sz w:val="20"/>
          <w:szCs w:val="20"/>
        </w:rPr>
        <w:t>pandemi</w:t>
      </w:r>
      <w:proofErr w:type="spellEnd"/>
      <w:r w:rsidR="0067290B" w:rsidRPr="00895AED">
        <w:rPr>
          <w:rFonts w:cstheme="minorHAnsi"/>
          <w:i/>
          <w:iCs/>
          <w:sz w:val="20"/>
          <w:szCs w:val="20"/>
        </w:rPr>
        <w:t>, covid-19, self-management, subjective well-being</w:t>
      </w:r>
    </w:p>
    <w:p w14:paraId="2F1F547B" w14:textId="020B4051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4AF2165" w14:textId="77777777" w:rsidR="00876D71" w:rsidRPr="00895AED" w:rsidRDefault="00876D71" w:rsidP="0095257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53E5432" w14:textId="6F32043D" w:rsidR="0095257A" w:rsidRPr="00895AED" w:rsidRDefault="00876D71" w:rsidP="00C967F6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895AED">
        <w:rPr>
          <w:rFonts w:cstheme="minorHAnsi"/>
          <w:b/>
          <w:bCs/>
          <w:i/>
          <w:iCs/>
          <w:sz w:val="24"/>
          <w:szCs w:val="24"/>
        </w:rPr>
        <w:t>THE EFFECTIVENESS OF SELF-MANAGEMENT TRAINING TO IMPROVE SUBJECTIVE WELL BEING IN COMPANY X’S EMPLOYESS IN THE COVID-19 PANDEMIC</w:t>
      </w:r>
    </w:p>
    <w:p w14:paraId="20E9B9E2" w14:textId="5F4A0091" w:rsidR="0095257A" w:rsidRPr="00895AED" w:rsidRDefault="0095257A" w:rsidP="0095257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049950" w14:textId="4A0E2ABC" w:rsidR="00876D71" w:rsidRPr="00895AED" w:rsidRDefault="00876D71" w:rsidP="0095257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5AED">
        <w:rPr>
          <w:rFonts w:cstheme="minorHAnsi"/>
          <w:b/>
          <w:bCs/>
          <w:sz w:val="20"/>
          <w:szCs w:val="20"/>
        </w:rPr>
        <w:t>Abstract</w:t>
      </w:r>
    </w:p>
    <w:p w14:paraId="1C8A443E" w14:textId="7F68BF1C" w:rsidR="00876D71" w:rsidRPr="00895AED" w:rsidRDefault="00876D71" w:rsidP="0095257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40BC02F" w14:textId="2EDCA413" w:rsidR="00876D71" w:rsidRDefault="00B9411C" w:rsidP="00B9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411C">
        <w:rPr>
          <w:rFonts w:cstheme="minorHAnsi"/>
          <w:sz w:val="20"/>
          <w:szCs w:val="20"/>
        </w:rPr>
        <w:t>This study aims to determine the effectiveness of self-management training in improving the subjective well-being of employees of a company during the COVID-19 pandemic. The hypothesis proposed in this study is the differen</w:t>
      </w:r>
      <w:r w:rsidR="000E52CD">
        <w:rPr>
          <w:rFonts w:cstheme="minorHAnsi"/>
          <w:sz w:val="20"/>
          <w:szCs w:val="20"/>
        </w:rPr>
        <w:t>t</w:t>
      </w:r>
      <w:r w:rsidRPr="00B9411C">
        <w:rPr>
          <w:rFonts w:cstheme="minorHAnsi"/>
          <w:sz w:val="20"/>
          <w:szCs w:val="20"/>
        </w:rPr>
        <w:t xml:space="preserve"> level</w:t>
      </w:r>
      <w:r w:rsidR="000E52CD">
        <w:rPr>
          <w:rFonts w:cstheme="minorHAnsi"/>
          <w:sz w:val="20"/>
          <w:szCs w:val="20"/>
        </w:rPr>
        <w:t>s</w:t>
      </w:r>
      <w:r w:rsidRPr="00B9411C">
        <w:rPr>
          <w:rFonts w:cstheme="minorHAnsi"/>
          <w:sz w:val="20"/>
          <w:szCs w:val="20"/>
        </w:rPr>
        <w:t xml:space="preserve"> of subjective well-being of employees between before and after being given self-management training and the differen</w:t>
      </w:r>
      <w:r w:rsidR="000E52CD">
        <w:rPr>
          <w:rFonts w:cstheme="minorHAnsi"/>
          <w:sz w:val="20"/>
          <w:szCs w:val="20"/>
        </w:rPr>
        <w:t>t</w:t>
      </w:r>
      <w:r w:rsidRPr="00B9411C">
        <w:rPr>
          <w:rFonts w:cstheme="minorHAnsi"/>
          <w:sz w:val="20"/>
          <w:szCs w:val="20"/>
        </w:rPr>
        <w:t xml:space="preserve"> level</w:t>
      </w:r>
      <w:r w:rsidR="000E52CD">
        <w:rPr>
          <w:rFonts w:cstheme="minorHAnsi"/>
          <w:sz w:val="20"/>
          <w:szCs w:val="20"/>
        </w:rPr>
        <w:t>s</w:t>
      </w:r>
      <w:r w:rsidRPr="00B9411C">
        <w:rPr>
          <w:rFonts w:cstheme="minorHAnsi"/>
          <w:sz w:val="20"/>
          <w:szCs w:val="20"/>
        </w:rPr>
        <w:t xml:space="preserve"> of subjective well-being between the control group and the experimental group after being given treatment. The data collection method used a self-management scale and a subjective well-being scale. The data analysis technique used to test the research hypothesis is the independent sample t</w:t>
      </w:r>
      <w:r w:rsidR="000E52CD">
        <w:rPr>
          <w:rFonts w:cstheme="minorHAnsi"/>
          <w:sz w:val="20"/>
          <w:szCs w:val="20"/>
        </w:rPr>
        <w:t>-</w:t>
      </w:r>
      <w:r w:rsidRPr="00B9411C">
        <w:rPr>
          <w:rFonts w:cstheme="minorHAnsi"/>
          <w:sz w:val="20"/>
          <w:szCs w:val="20"/>
        </w:rPr>
        <w:t>test and paired sample t</w:t>
      </w:r>
      <w:r w:rsidR="000E52CD">
        <w:rPr>
          <w:rFonts w:cstheme="minorHAnsi"/>
          <w:sz w:val="20"/>
          <w:szCs w:val="20"/>
        </w:rPr>
        <w:t>-</w:t>
      </w:r>
      <w:r w:rsidRPr="00B9411C">
        <w:rPr>
          <w:rFonts w:cstheme="minorHAnsi"/>
          <w:sz w:val="20"/>
          <w:szCs w:val="20"/>
        </w:rPr>
        <w:t xml:space="preserve">test. </w:t>
      </w:r>
      <w:r w:rsidR="00793945" w:rsidRPr="00793945">
        <w:rPr>
          <w:rFonts w:cstheme="minorHAnsi"/>
          <w:sz w:val="20"/>
          <w:szCs w:val="20"/>
        </w:rPr>
        <w:t>The results of the independent sample t</w:t>
      </w:r>
      <w:r w:rsidR="000E52CD">
        <w:rPr>
          <w:rFonts w:cstheme="minorHAnsi"/>
          <w:sz w:val="20"/>
          <w:szCs w:val="20"/>
        </w:rPr>
        <w:t>-</w:t>
      </w:r>
      <w:r w:rsidR="00793945" w:rsidRPr="00793945">
        <w:rPr>
          <w:rFonts w:cstheme="minorHAnsi"/>
          <w:sz w:val="20"/>
          <w:szCs w:val="20"/>
        </w:rPr>
        <w:t>test showed that there was a significant difference between the post</w:t>
      </w:r>
      <w:r w:rsidR="000E52CD">
        <w:rPr>
          <w:rFonts w:cstheme="minorHAnsi"/>
          <w:sz w:val="20"/>
          <w:szCs w:val="20"/>
        </w:rPr>
        <w:t>-</w:t>
      </w:r>
      <w:r w:rsidR="00793945" w:rsidRPr="00793945">
        <w:rPr>
          <w:rFonts w:cstheme="minorHAnsi"/>
          <w:sz w:val="20"/>
          <w:szCs w:val="20"/>
        </w:rPr>
        <w:t>test results of the experimental group and the control group with a significance level of 0.002</w:t>
      </w:r>
      <w:r w:rsidR="000E52CD">
        <w:rPr>
          <w:rFonts w:cstheme="minorHAnsi"/>
          <w:sz w:val="20"/>
          <w:szCs w:val="20"/>
        </w:rPr>
        <w:t>.</w:t>
      </w:r>
      <w:r w:rsidR="00793945" w:rsidRPr="00793945">
        <w:rPr>
          <w:rFonts w:cstheme="minorHAnsi"/>
          <w:sz w:val="20"/>
          <w:szCs w:val="20"/>
        </w:rPr>
        <w:t xml:space="preserve"> </w:t>
      </w:r>
      <w:r w:rsidR="000E52CD">
        <w:rPr>
          <w:rFonts w:cstheme="minorHAnsi"/>
          <w:sz w:val="20"/>
          <w:szCs w:val="20"/>
        </w:rPr>
        <w:t>T</w:t>
      </w:r>
      <w:r w:rsidR="00793945" w:rsidRPr="00793945">
        <w:rPr>
          <w:rFonts w:cstheme="minorHAnsi"/>
          <w:sz w:val="20"/>
          <w:szCs w:val="20"/>
        </w:rPr>
        <w:t>he results of the paired sample t</w:t>
      </w:r>
      <w:r w:rsidR="000E52CD">
        <w:rPr>
          <w:rFonts w:cstheme="minorHAnsi"/>
          <w:sz w:val="20"/>
          <w:szCs w:val="20"/>
        </w:rPr>
        <w:t>-</w:t>
      </w:r>
      <w:r w:rsidR="00793945" w:rsidRPr="00793945">
        <w:rPr>
          <w:rFonts w:cstheme="minorHAnsi"/>
          <w:sz w:val="20"/>
          <w:szCs w:val="20"/>
        </w:rPr>
        <w:t>test with a mean value of -14.200</w:t>
      </w:r>
      <w:r w:rsidR="000E52CD">
        <w:rPr>
          <w:rFonts w:cstheme="minorHAnsi"/>
          <w:sz w:val="20"/>
          <w:szCs w:val="20"/>
        </w:rPr>
        <w:t>,</w:t>
      </w:r>
      <w:r w:rsidR="00793945" w:rsidRPr="00793945">
        <w:rPr>
          <w:rFonts w:cstheme="minorHAnsi"/>
          <w:sz w:val="20"/>
          <w:szCs w:val="20"/>
        </w:rPr>
        <w:t xml:space="preserve"> indicating that there was a significant difference in values ​​between the pre</w:t>
      </w:r>
      <w:r w:rsidR="00793945">
        <w:rPr>
          <w:rFonts w:cstheme="minorHAnsi"/>
          <w:sz w:val="20"/>
          <w:szCs w:val="20"/>
        </w:rPr>
        <w:t>-</w:t>
      </w:r>
      <w:r w:rsidR="00793945" w:rsidRPr="00793945">
        <w:rPr>
          <w:rFonts w:cstheme="minorHAnsi"/>
          <w:sz w:val="20"/>
          <w:szCs w:val="20"/>
        </w:rPr>
        <w:t>test and post</w:t>
      </w:r>
      <w:r w:rsidR="000E52CD">
        <w:rPr>
          <w:rFonts w:cstheme="minorHAnsi"/>
          <w:sz w:val="20"/>
          <w:szCs w:val="20"/>
        </w:rPr>
        <w:t>-</w:t>
      </w:r>
      <w:r w:rsidR="00793945" w:rsidRPr="00793945">
        <w:rPr>
          <w:rFonts w:cstheme="minorHAnsi"/>
          <w:sz w:val="20"/>
          <w:szCs w:val="20"/>
        </w:rPr>
        <w:t>test groups</w:t>
      </w:r>
      <w:r w:rsidR="00793945">
        <w:rPr>
          <w:rFonts w:cstheme="minorHAnsi"/>
          <w:sz w:val="20"/>
          <w:szCs w:val="20"/>
        </w:rPr>
        <w:t xml:space="preserve"> </w:t>
      </w:r>
      <w:r w:rsidR="00793945" w:rsidRPr="00793945">
        <w:rPr>
          <w:rFonts w:cstheme="minorHAnsi"/>
          <w:sz w:val="20"/>
          <w:szCs w:val="20"/>
        </w:rPr>
        <w:t>experiment.</w:t>
      </w:r>
      <w:r w:rsidRPr="00B9411C">
        <w:rPr>
          <w:rFonts w:cstheme="minorHAnsi"/>
          <w:sz w:val="20"/>
          <w:szCs w:val="20"/>
        </w:rPr>
        <w:t xml:space="preserve"> Based on the results of the explanation, it can be said that self-management training is effective in increasing a person's subjective well-being. This is also supported by the percentage increase of 23.7% from the comparison of subjective well-being levels before and after being given self-management training.</w:t>
      </w:r>
    </w:p>
    <w:p w14:paraId="56E8431D" w14:textId="77777777" w:rsidR="00B9411C" w:rsidRPr="00895AED" w:rsidRDefault="00B9411C" w:rsidP="00B9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E3343C" w14:textId="3B6E0CB2" w:rsidR="00876D71" w:rsidRPr="00895AED" w:rsidRDefault="00876D71" w:rsidP="0067290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95AED">
        <w:rPr>
          <w:rFonts w:cstheme="minorHAnsi"/>
          <w:i/>
          <w:iCs/>
          <w:sz w:val="20"/>
          <w:szCs w:val="20"/>
        </w:rPr>
        <w:t>Keywords:</w:t>
      </w:r>
      <w:r w:rsidR="0067290B" w:rsidRPr="00895AED">
        <w:rPr>
          <w:rFonts w:cstheme="minorHAnsi"/>
          <w:i/>
          <w:iCs/>
          <w:sz w:val="20"/>
          <w:szCs w:val="20"/>
        </w:rPr>
        <w:t xml:space="preserve"> pandemic, covid-19, self-management, subjective well-being</w:t>
      </w:r>
    </w:p>
    <w:p w14:paraId="554E7125" w14:textId="7B813F05" w:rsidR="00DD7C26" w:rsidRPr="00895AED" w:rsidRDefault="00876D71" w:rsidP="00DD7C2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  <w:b/>
          <w:bCs/>
        </w:rPr>
        <w:lastRenderedPageBreak/>
        <w:t>Pendahuluan</w:t>
      </w:r>
      <w:proofErr w:type="spellEnd"/>
    </w:p>
    <w:p w14:paraId="2F9B8E13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Awal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Maret</w:t>
      </w:r>
      <w:proofErr w:type="spellEnd"/>
      <w:r w:rsidRPr="00895AED">
        <w:rPr>
          <w:rFonts w:cstheme="minorHAnsi"/>
        </w:rPr>
        <w:t xml:space="preserve"> 2020 </w:t>
      </w:r>
      <w:proofErr w:type="spellStart"/>
      <w:r w:rsidRPr="00895AED">
        <w:rPr>
          <w:rFonts w:cstheme="minorHAnsi"/>
        </w:rPr>
        <w:t>warga</w:t>
      </w:r>
      <w:proofErr w:type="spellEnd"/>
      <w:r w:rsidRPr="00895AED">
        <w:rPr>
          <w:rFonts w:cstheme="minorHAnsi"/>
        </w:rPr>
        <w:t xml:space="preserve"> Indonesia </w:t>
      </w:r>
      <w:proofErr w:type="spellStart"/>
      <w:r w:rsidRPr="00895AED">
        <w:rPr>
          <w:rFonts w:cstheme="minorHAnsi"/>
        </w:rPr>
        <w:t>dikejutkan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wabah</w:t>
      </w:r>
      <w:proofErr w:type="spellEnd"/>
      <w:r w:rsidRPr="00895AED">
        <w:rPr>
          <w:rFonts w:cstheme="minorHAnsi"/>
        </w:rPr>
        <w:t xml:space="preserve"> virus corona (covid-19) yang </w:t>
      </w:r>
      <w:proofErr w:type="spellStart"/>
      <w:r w:rsidRPr="00895AED">
        <w:rPr>
          <w:rFonts w:cstheme="minorHAnsi"/>
        </w:rPr>
        <w:t>menginfeksi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hampir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seluruh</w:t>
      </w:r>
      <w:proofErr w:type="spellEnd"/>
      <w:r w:rsidRPr="00895AED">
        <w:rPr>
          <w:rFonts w:cstheme="minorHAnsi"/>
        </w:rPr>
        <w:t xml:space="preserve"> negara yang </w:t>
      </w:r>
      <w:proofErr w:type="spellStart"/>
      <w:r w:rsidRPr="00895AED">
        <w:rPr>
          <w:rFonts w:cstheme="minorHAnsi"/>
        </w:rPr>
        <w:t>ada</w:t>
      </w:r>
      <w:proofErr w:type="spellEnd"/>
      <w:r w:rsidRPr="00895AED">
        <w:rPr>
          <w:rFonts w:cstheme="minorHAnsi"/>
        </w:rPr>
        <w:t xml:space="preserve"> di dunia. World Health Organization (WHO) </w:t>
      </w:r>
      <w:proofErr w:type="spellStart"/>
      <w:r w:rsidRPr="00895AED">
        <w:rPr>
          <w:rFonts w:cstheme="minorHAnsi"/>
        </w:rPr>
        <w:t>menjelaskan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coronavirus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virus yang </w:t>
      </w:r>
      <w:proofErr w:type="spellStart"/>
      <w:r w:rsidRPr="00895AED">
        <w:rPr>
          <w:rFonts w:cstheme="minorHAnsi"/>
        </w:rPr>
        <w:t>menginfeksi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sistem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pernapasan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Penyebaran</w:t>
      </w:r>
      <w:proofErr w:type="spellEnd"/>
      <w:r w:rsidRPr="00895AED">
        <w:rPr>
          <w:rFonts w:cstheme="minorHAnsi"/>
        </w:rPr>
        <w:t xml:space="preserve"> virus corona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sangat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cepat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bahkan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sampai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lintas</w:t>
      </w:r>
      <w:proofErr w:type="spellEnd"/>
      <w:r w:rsidRPr="00895AED">
        <w:rPr>
          <w:rFonts w:cstheme="minorHAnsi"/>
        </w:rPr>
        <w:t xml:space="preserve"> negara. </w:t>
      </w:r>
      <w:proofErr w:type="spellStart"/>
      <w:r w:rsidRPr="00895AED">
        <w:rPr>
          <w:rFonts w:cstheme="minorHAnsi"/>
        </w:rPr>
        <w:t>Sampai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saat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terdapat</w:t>
      </w:r>
      <w:proofErr w:type="spellEnd"/>
      <w:r w:rsidRPr="00895AED">
        <w:rPr>
          <w:rFonts w:cstheme="minorHAnsi"/>
        </w:rPr>
        <w:t xml:space="preserve"> 188 negara yang </w:t>
      </w:r>
      <w:proofErr w:type="spellStart"/>
      <w:r w:rsidRPr="00895AED">
        <w:rPr>
          <w:rFonts w:cstheme="minorHAnsi"/>
        </w:rPr>
        <w:t>terpapar</w:t>
      </w:r>
      <w:proofErr w:type="spellEnd"/>
      <w:r w:rsidRPr="00895AED">
        <w:rPr>
          <w:rFonts w:cstheme="minorHAnsi"/>
        </w:rPr>
        <w:t xml:space="preserve"> virus corona (covid-19)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. </w:t>
      </w:r>
    </w:p>
    <w:p w14:paraId="7DA64092" w14:textId="2CFB4F3A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yang </w:t>
      </w:r>
      <w:proofErr w:type="spellStart"/>
      <w:r w:rsidRPr="00895AED">
        <w:rPr>
          <w:rFonts w:cstheme="minorHAnsi"/>
        </w:rPr>
        <w:t>terjadi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memberikan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dampak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besar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terhadap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berbagai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sektor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pendidikan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kesehatan</w:t>
      </w:r>
      <w:proofErr w:type="spellEnd"/>
      <w:r w:rsidRPr="00895AED">
        <w:rPr>
          <w:rFonts w:cstheme="minorHAnsi"/>
        </w:rPr>
        <w:t xml:space="preserve"> dan lain-lain. Pada </w:t>
      </w:r>
      <w:proofErr w:type="spellStart"/>
      <w:r w:rsidRPr="00895AED">
        <w:rPr>
          <w:rFonts w:cstheme="minorHAnsi"/>
        </w:rPr>
        <w:t>tataran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ekonomi</w:t>
      </w:r>
      <w:proofErr w:type="spellEnd"/>
      <w:r w:rsidRPr="00895AED">
        <w:rPr>
          <w:rFonts w:cstheme="minorHAnsi"/>
        </w:rPr>
        <w:t xml:space="preserve"> global,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memberikan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dampak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sangat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signifikan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domestik</w:t>
      </w:r>
      <w:proofErr w:type="spellEnd"/>
      <w:r w:rsidRPr="00895AED">
        <w:rPr>
          <w:rFonts w:cstheme="minorHAnsi"/>
        </w:rPr>
        <w:t xml:space="preserve"> negara. </w:t>
      </w:r>
      <w:proofErr w:type="spellStart"/>
      <w:r w:rsidRPr="00895AED">
        <w:rPr>
          <w:rFonts w:cstheme="minorHAnsi"/>
        </w:rPr>
        <w:t>Laporan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dari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>Organization for Economic Co-operation and Development</w:t>
      </w:r>
      <w:r w:rsidRPr="00895AED">
        <w:rPr>
          <w:rFonts w:cstheme="minorHAnsi"/>
        </w:rPr>
        <w:t xml:space="preserve"> (OECD) </w:t>
      </w:r>
      <w:proofErr w:type="spellStart"/>
      <w:r w:rsidRPr="00895AED">
        <w:rPr>
          <w:rFonts w:cstheme="minorHAnsi"/>
        </w:rPr>
        <w:t>menyebutkan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berimplikasi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terhadap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ancaman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krisis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ekonomi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besar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ditandai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terhentinya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aktivitas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produksi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banyak</w:t>
      </w:r>
      <w:proofErr w:type="spellEnd"/>
      <w:r w:rsidRPr="00895AED">
        <w:rPr>
          <w:rFonts w:cstheme="minorHAnsi"/>
        </w:rPr>
        <w:t xml:space="preserve"> negara, </w:t>
      </w:r>
      <w:proofErr w:type="spellStart"/>
      <w:r w:rsidRPr="00895AED">
        <w:rPr>
          <w:rFonts w:cstheme="minorHAnsi"/>
        </w:rPr>
        <w:t>jatuhnya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tingkat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konsumsi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masyarakat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hilangnya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kepercayaan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konsumen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jatuhnya</w:t>
      </w:r>
      <w:proofErr w:type="spellEnd"/>
      <w:r w:rsidRPr="00895AED">
        <w:rPr>
          <w:rFonts w:cstheme="minorHAnsi"/>
        </w:rPr>
        <w:t xml:space="preserve"> bursa </w:t>
      </w:r>
      <w:proofErr w:type="spellStart"/>
      <w:r w:rsidRPr="00895AED">
        <w:rPr>
          <w:rFonts w:cstheme="minorHAnsi"/>
        </w:rPr>
        <w:t>saham</w:t>
      </w:r>
      <w:proofErr w:type="spellEnd"/>
      <w:r w:rsidRPr="00895AED">
        <w:rPr>
          <w:rFonts w:cstheme="minorHAnsi"/>
        </w:rPr>
        <w:t xml:space="preserve"> yang pada </w:t>
      </w:r>
      <w:proofErr w:type="spellStart"/>
      <w:r w:rsidRPr="00895AED">
        <w:rPr>
          <w:rFonts w:cstheme="minorHAnsi"/>
        </w:rPr>
        <w:t>akhirnya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mengarah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kepada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ketidakpastian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Jika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berlanjut</w:t>
      </w:r>
      <w:proofErr w:type="spellEnd"/>
      <w:r w:rsidRPr="00895AED">
        <w:rPr>
          <w:rFonts w:cstheme="minorHAnsi"/>
        </w:rPr>
        <w:t xml:space="preserve">, OECD </w:t>
      </w:r>
      <w:proofErr w:type="spellStart"/>
      <w:r w:rsidRPr="00895AED">
        <w:rPr>
          <w:rFonts w:cstheme="minorHAnsi"/>
        </w:rPr>
        <w:t>memprediksi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terjadi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penurunan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tingkat</w:t>
      </w:r>
      <w:proofErr w:type="spellEnd"/>
      <w:r w:rsidRPr="00895AED">
        <w:rPr>
          <w:rFonts w:cstheme="minorHAnsi"/>
        </w:rPr>
        <w:t xml:space="preserve"> output </w:t>
      </w:r>
      <w:proofErr w:type="spellStart"/>
      <w:r w:rsidRPr="00895AED">
        <w:rPr>
          <w:rFonts w:cstheme="minorHAnsi"/>
        </w:rPr>
        <w:t>antara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seperlima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hingga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seperempat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banyak</w:t>
      </w:r>
      <w:proofErr w:type="spellEnd"/>
      <w:r w:rsidRPr="00895AED">
        <w:rPr>
          <w:rFonts w:cstheme="minorHAnsi"/>
        </w:rPr>
        <w:t xml:space="preserve"> negara,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pengeluaran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konsumen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berpotensi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turun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sekitar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sepertiga</w:t>
      </w:r>
      <w:proofErr w:type="spellEnd"/>
      <w:r w:rsidRPr="00895AED">
        <w:rPr>
          <w:rFonts w:cstheme="minorHAnsi"/>
        </w:rPr>
        <w:t xml:space="preserve">. Laing (2020) </w:t>
      </w:r>
      <w:proofErr w:type="spellStart"/>
      <w:r w:rsidRPr="00895AED">
        <w:rPr>
          <w:rFonts w:cstheme="minorHAnsi"/>
        </w:rPr>
        <w:t>mengatakan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berpotensi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menghancurkan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pencaharian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tiap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individu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bisnis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industri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seluruh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ada</w:t>
      </w:r>
      <w:proofErr w:type="spellEnd"/>
      <w:r w:rsidRPr="00895AED">
        <w:rPr>
          <w:rFonts w:cstheme="minorHAnsi"/>
        </w:rPr>
        <w:t xml:space="preserve">. </w:t>
      </w:r>
    </w:p>
    <w:p w14:paraId="6E0820CA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Dampak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jelas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terasa</w:t>
      </w:r>
      <w:proofErr w:type="spellEnd"/>
      <w:r w:rsidRPr="00895AED">
        <w:rPr>
          <w:rFonts w:cstheme="minorHAnsi"/>
        </w:rPr>
        <w:t xml:space="preserve"> di Indonesia, </w:t>
      </w:r>
      <w:proofErr w:type="spellStart"/>
      <w:r w:rsidRPr="00895AED">
        <w:rPr>
          <w:rFonts w:cstheme="minorHAnsi"/>
        </w:rPr>
        <w:t>baik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perdagangan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investasi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maupun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pariwisata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Semasa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 Indonesia </w:t>
      </w:r>
      <w:proofErr w:type="spellStart"/>
      <w:r w:rsidRPr="00895AED">
        <w:rPr>
          <w:rFonts w:cstheme="minorHAnsi"/>
        </w:rPr>
        <w:t>menurun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sampai</w:t>
      </w:r>
      <w:proofErr w:type="spellEnd"/>
      <w:r w:rsidRPr="00895AED">
        <w:rPr>
          <w:rFonts w:cstheme="minorHAnsi"/>
        </w:rPr>
        <w:t xml:space="preserve"> 5% </w:t>
      </w:r>
      <w:proofErr w:type="spellStart"/>
      <w:r w:rsidRPr="00895AED">
        <w:rPr>
          <w:rFonts w:cstheme="minorHAnsi"/>
        </w:rPr>
        <w:t>atau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mendekati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angka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rendah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indeks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harga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saham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mengalami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pelemahan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signifikan</w:t>
      </w:r>
      <w:proofErr w:type="spellEnd"/>
      <w:r w:rsidRPr="00895AED">
        <w:rPr>
          <w:rFonts w:cstheme="minorHAnsi"/>
        </w:rPr>
        <w:t xml:space="preserve"> (</w:t>
      </w:r>
      <w:proofErr w:type="spellStart"/>
      <w:r w:rsidRPr="00895AED">
        <w:rPr>
          <w:rFonts w:cstheme="minorHAnsi"/>
        </w:rPr>
        <w:t>Hanoatubun</w:t>
      </w:r>
      <w:proofErr w:type="spellEnd"/>
      <w:r w:rsidRPr="00895AED">
        <w:rPr>
          <w:rFonts w:cstheme="minorHAnsi"/>
        </w:rPr>
        <w:t xml:space="preserve">, 2020). </w:t>
      </w:r>
      <w:proofErr w:type="spellStart"/>
      <w:r w:rsidRPr="00895AED">
        <w:rPr>
          <w:rFonts w:cstheme="minorHAnsi"/>
        </w:rPr>
        <w:t>Pakpahan</w:t>
      </w:r>
      <w:proofErr w:type="spellEnd"/>
      <w:r w:rsidRPr="00895AED">
        <w:rPr>
          <w:rFonts w:cstheme="minorHAnsi"/>
        </w:rPr>
        <w:t xml:space="preserve"> (2020) </w:t>
      </w:r>
      <w:proofErr w:type="spellStart"/>
      <w:r w:rsidRPr="00895AED">
        <w:rPr>
          <w:rFonts w:cstheme="minorHAnsi"/>
        </w:rPr>
        <w:t>menjelaskan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keberadaan</w:t>
      </w:r>
      <w:proofErr w:type="spellEnd"/>
      <w:r w:rsidRPr="00895AED">
        <w:rPr>
          <w:rFonts w:cstheme="minorHAnsi"/>
        </w:rPr>
        <w:t xml:space="preserve"> UMKM (Usaha </w:t>
      </w:r>
      <w:proofErr w:type="spellStart"/>
      <w:r w:rsidRPr="00895AED">
        <w:rPr>
          <w:rFonts w:cstheme="minorHAnsi"/>
        </w:rPr>
        <w:t>Mikro</w:t>
      </w:r>
      <w:proofErr w:type="spellEnd"/>
      <w:r w:rsidRPr="00895AED">
        <w:rPr>
          <w:rFonts w:cstheme="minorHAnsi"/>
        </w:rPr>
        <w:t xml:space="preserve">, Kecil dan </w:t>
      </w:r>
      <w:proofErr w:type="spellStart"/>
      <w:r w:rsidRPr="00895AED">
        <w:rPr>
          <w:rFonts w:cstheme="minorHAnsi"/>
        </w:rPr>
        <w:t>Menengah</w:t>
      </w:r>
      <w:proofErr w:type="spellEnd"/>
      <w:r w:rsidRPr="00895AED">
        <w:rPr>
          <w:rFonts w:cstheme="minorHAnsi"/>
        </w:rPr>
        <w:t xml:space="preserve">) </w:t>
      </w:r>
      <w:proofErr w:type="spellStart"/>
      <w:r w:rsidRPr="00895AED">
        <w:rPr>
          <w:rFonts w:cstheme="minorHAnsi"/>
        </w:rPr>
        <w:t>sebagai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tulang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punggung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nasional</w:t>
      </w:r>
      <w:proofErr w:type="spellEnd"/>
      <w:r w:rsidRPr="00895AED">
        <w:rPr>
          <w:rFonts w:cstheme="minorHAnsi"/>
        </w:rPr>
        <w:t xml:space="preserve"> juga </w:t>
      </w:r>
      <w:proofErr w:type="spellStart"/>
      <w:r w:rsidRPr="00895AED">
        <w:rPr>
          <w:rFonts w:cstheme="minorHAnsi"/>
        </w:rPr>
        <w:t>terdampak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serius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tidak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mengenai</w:t>
      </w:r>
      <w:proofErr w:type="spellEnd"/>
      <w:r w:rsidRPr="00895AED">
        <w:rPr>
          <w:rFonts w:cstheme="minorHAnsi"/>
        </w:rPr>
        <w:t xml:space="preserve"> total </w:t>
      </w:r>
      <w:proofErr w:type="spellStart"/>
      <w:r w:rsidRPr="00895AED">
        <w:rPr>
          <w:rFonts w:cstheme="minorHAnsi"/>
        </w:rPr>
        <w:t>produksi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nilai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dagang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melainkan</w:t>
      </w:r>
      <w:proofErr w:type="spellEnd"/>
      <w:r w:rsidRPr="00895AED">
        <w:rPr>
          <w:rFonts w:cstheme="minorHAnsi"/>
        </w:rPr>
        <w:t xml:space="preserve"> juga pada </w:t>
      </w:r>
      <w:proofErr w:type="spellStart"/>
      <w:r w:rsidRPr="00895AED">
        <w:rPr>
          <w:rFonts w:cstheme="minorHAnsi"/>
        </w:rPr>
        <w:t>jumlah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tenaga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harus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kehilangan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pekerjaannya</w:t>
      </w:r>
      <w:proofErr w:type="spellEnd"/>
      <w:r w:rsidRPr="00895AED">
        <w:rPr>
          <w:rFonts w:cstheme="minorHAnsi"/>
        </w:rPr>
        <w:t>.</w:t>
      </w:r>
    </w:p>
    <w:p w14:paraId="48DEDA0C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  <w:lang w:val="en-US"/>
        </w:rPr>
        <w:t>Syahrial</w:t>
      </w:r>
      <w:proofErr w:type="spellEnd"/>
      <w:r w:rsidRPr="00895AED">
        <w:rPr>
          <w:rFonts w:cstheme="minorHAnsi"/>
        </w:rPr>
        <w:t xml:space="preserve"> (2020) </w:t>
      </w:r>
      <w:proofErr w:type="spellStart"/>
      <w:r w:rsidRPr="00895AED">
        <w:rPr>
          <w:rFonts w:cstheme="minorHAnsi"/>
        </w:rPr>
        <w:t>menyatakan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gangguan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ekonomi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besar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masif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mempengaruhi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banyak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sekali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tenaga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baik</w:t>
      </w:r>
      <w:proofErr w:type="spellEnd"/>
      <w:r w:rsidRPr="00895AED">
        <w:rPr>
          <w:rFonts w:cstheme="minorHAnsi"/>
        </w:rPr>
        <w:t xml:space="preserve"> di dunia </w:t>
      </w:r>
      <w:proofErr w:type="spellStart"/>
      <w:r w:rsidRPr="00895AED">
        <w:rPr>
          <w:rFonts w:cstheme="minorHAnsi"/>
        </w:rPr>
        <w:t>maupun</w:t>
      </w:r>
      <w:proofErr w:type="spellEnd"/>
      <w:r w:rsidRPr="00895AED">
        <w:rPr>
          <w:rFonts w:cstheme="minorHAnsi"/>
        </w:rPr>
        <w:t xml:space="preserve"> di Indonesia. </w:t>
      </w:r>
      <w:proofErr w:type="spellStart"/>
      <w:r w:rsidRPr="00895AED">
        <w:rPr>
          <w:rFonts w:cstheme="minorHAnsi"/>
        </w:rPr>
        <w:t>Beberapa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perusahaan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berbagai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macam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kebijakan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tetap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mempertahankan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usahanya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melakukan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pemutusan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hubungan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dirumahkan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pengurangan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gaji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pengurangan</w:t>
      </w:r>
      <w:proofErr w:type="spellEnd"/>
      <w:r w:rsidRPr="00895AED">
        <w:rPr>
          <w:rFonts w:cstheme="minorHAnsi"/>
        </w:rPr>
        <w:t xml:space="preserve"> jam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>, dan lain-lain.</w:t>
      </w:r>
    </w:p>
    <w:p w14:paraId="285FD128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Keadaan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perekonomian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sedang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tidak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stabil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juga </w:t>
      </w:r>
      <w:proofErr w:type="spellStart"/>
      <w:r w:rsidRPr="00895AED">
        <w:rPr>
          <w:rFonts w:cstheme="minorHAnsi"/>
        </w:rPr>
        <w:t>dirasakan</w:t>
      </w:r>
      <w:proofErr w:type="spellEnd"/>
      <w:r w:rsidRPr="00895AED">
        <w:rPr>
          <w:rFonts w:cstheme="minorHAnsi"/>
        </w:rPr>
        <w:t xml:space="preserve"> oleh </w:t>
      </w:r>
      <w:proofErr w:type="spellStart"/>
      <w:r w:rsidRPr="00895AED">
        <w:rPr>
          <w:rFonts w:cstheme="minorHAnsi"/>
        </w:rPr>
        <w:t>seluruh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lang w:val="en-US"/>
        </w:rPr>
        <w:t xml:space="preserve">di </w:t>
      </w:r>
      <w:proofErr w:type="spellStart"/>
      <w:r w:rsidRPr="00895AED">
        <w:rPr>
          <w:rFonts w:cstheme="minorHAnsi"/>
          <w:lang w:val="en-US"/>
        </w:rPr>
        <w:t>perusahaan</w:t>
      </w:r>
      <w:proofErr w:type="spellEnd"/>
      <w:r w:rsidRPr="00895AED">
        <w:rPr>
          <w:rFonts w:cstheme="minorHAnsi"/>
          <w:lang w:val="en-US"/>
        </w:rPr>
        <w:t xml:space="preserve"> X</w:t>
      </w:r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bahkan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berpengaruh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keadaan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psikologis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kesejahteraan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pribadi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karyawannya</w:t>
      </w:r>
      <w:proofErr w:type="spellEnd"/>
      <w:r w:rsidRPr="00895AED">
        <w:rPr>
          <w:rFonts w:cstheme="minorHAnsi"/>
        </w:rPr>
        <w:t xml:space="preserve">. </w:t>
      </w:r>
      <w:r w:rsidRPr="00895AED">
        <w:rPr>
          <w:rFonts w:cstheme="minorHAnsi"/>
          <w:lang w:val="en-US"/>
        </w:rPr>
        <w:t>Perusahaan X</w:t>
      </w:r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merupakan</w:t>
      </w:r>
      <w:proofErr w:type="spellEnd"/>
      <w:r w:rsidRPr="00895AED">
        <w:rPr>
          <w:rFonts w:cstheme="minorHAnsi"/>
        </w:rPr>
        <w:t xml:space="preserve"> salah </w:t>
      </w:r>
      <w:proofErr w:type="spellStart"/>
      <w:r w:rsidRPr="00895AED">
        <w:rPr>
          <w:rFonts w:cstheme="minorHAnsi"/>
        </w:rPr>
        <w:t>satu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industri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bergerak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bidang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makanan</w:t>
      </w:r>
      <w:proofErr w:type="spellEnd"/>
      <w:r w:rsidRPr="00895AED">
        <w:rPr>
          <w:rFonts w:cstheme="minorHAnsi"/>
        </w:rPr>
        <w:t xml:space="preserve"> –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restoran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tersebar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beberapa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kota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kita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ketahui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restoran</w:t>
      </w:r>
      <w:proofErr w:type="spellEnd"/>
      <w:r w:rsidRPr="00895AED">
        <w:rPr>
          <w:rFonts w:cstheme="minorHAnsi"/>
        </w:rPr>
        <w:t xml:space="preserve"> juga </w:t>
      </w:r>
      <w:proofErr w:type="spellStart"/>
      <w:r w:rsidRPr="00895AED">
        <w:rPr>
          <w:rFonts w:cstheme="minorHAnsi"/>
        </w:rPr>
        <w:t>merupakan</w:t>
      </w:r>
      <w:proofErr w:type="spellEnd"/>
      <w:r w:rsidRPr="00895AED">
        <w:rPr>
          <w:rFonts w:cstheme="minorHAnsi"/>
        </w:rPr>
        <w:t xml:space="preserve"> salah </w:t>
      </w:r>
      <w:proofErr w:type="spellStart"/>
      <w:r w:rsidRPr="00895AED">
        <w:rPr>
          <w:rFonts w:cstheme="minorHAnsi"/>
        </w:rPr>
        <w:t>satu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sektor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mengalami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dampak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langsung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Pertama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mengalami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penurunan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pendapatan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selama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kurang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50% </w:t>
      </w:r>
      <w:proofErr w:type="spellStart"/>
      <w:r w:rsidRPr="00895AED">
        <w:rPr>
          <w:rFonts w:cstheme="minorHAnsi"/>
        </w:rPr>
        <w:t>sejak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awal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Kedua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peluang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tinggi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terkena</w:t>
      </w:r>
      <w:proofErr w:type="spellEnd"/>
      <w:r w:rsidRPr="00895AED">
        <w:rPr>
          <w:rFonts w:cstheme="minorHAnsi"/>
        </w:rPr>
        <w:t xml:space="preserve"> virus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karena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harus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melayani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pelanggan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datang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langsung</w:t>
      </w:r>
      <w:proofErr w:type="spellEnd"/>
      <w:r w:rsidRPr="00895AED">
        <w:rPr>
          <w:rFonts w:cstheme="minorHAnsi"/>
        </w:rPr>
        <w:t>.</w:t>
      </w:r>
    </w:p>
    <w:p w14:paraId="7EE7BA5A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  <w:lang w:val="en-US"/>
        </w:rPr>
      </w:pP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hasil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wawancara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supervisor </w:t>
      </w:r>
      <w:r w:rsidRPr="00895AED">
        <w:rPr>
          <w:rFonts w:cstheme="minorHAnsi"/>
          <w:lang w:val="en-US"/>
        </w:rPr>
        <w:t xml:space="preserve">di </w:t>
      </w:r>
      <w:proofErr w:type="spellStart"/>
      <w:r w:rsidRPr="00895AED">
        <w:rPr>
          <w:rFonts w:cstheme="minorHAnsi"/>
          <w:lang w:val="en-US"/>
        </w:rPr>
        <w:t>perusahaan</w:t>
      </w:r>
      <w:proofErr w:type="spellEnd"/>
      <w:r w:rsidRPr="00895AED">
        <w:rPr>
          <w:rFonts w:cstheme="minorHAnsi"/>
          <w:lang w:val="en-US"/>
        </w:rPr>
        <w:t xml:space="preserve"> X</w:t>
      </w:r>
      <w:r w:rsidRPr="00895AED">
        <w:rPr>
          <w:rFonts w:cstheme="minorHAnsi"/>
        </w:rPr>
        <w:t xml:space="preserve"> </w:t>
      </w:r>
      <w:r w:rsidRPr="00895AED">
        <w:rPr>
          <w:rFonts w:cstheme="minorHAnsi"/>
          <w:lang w:val="en-US"/>
        </w:rPr>
        <w:t xml:space="preserve">pada 26 </w:t>
      </w:r>
      <w:proofErr w:type="spellStart"/>
      <w:r w:rsidRPr="00895AED">
        <w:rPr>
          <w:rFonts w:cstheme="minorHAnsi"/>
          <w:lang w:val="en-US"/>
        </w:rPr>
        <w:t>Juni</w:t>
      </w:r>
      <w:proofErr w:type="spellEnd"/>
      <w:r w:rsidRPr="00895AED">
        <w:rPr>
          <w:rFonts w:cstheme="minorHAnsi"/>
          <w:lang w:val="en-US"/>
        </w:rPr>
        <w:t xml:space="preserve"> 2021 </w:t>
      </w:r>
      <w:proofErr w:type="spellStart"/>
      <w:r w:rsidRPr="00895AED">
        <w:rPr>
          <w:rFonts w:cstheme="minorHAnsi"/>
        </w:rPr>
        <w:t>diketahui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saat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bekerja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diselimuti</w:t>
      </w:r>
      <w:proofErr w:type="spellEnd"/>
      <w:r w:rsidRPr="00895AED">
        <w:rPr>
          <w:rFonts w:cstheme="minorHAnsi"/>
        </w:rPr>
        <w:t xml:space="preserve"> oleh rasa </w:t>
      </w:r>
      <w:proofErr w:type="spellStart"/>
      <w:r w:rsidRPr="00895AED">
        <w:rPr>
          <w:rFonts w:cstheme="minorHAnsi"/>
        </w:rPr>
        <w:t>takut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cemas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khawatir</w:t>
      </w:r>
      <w:proofErr w:type="spellEnd"/>
      <w:r w:rsidRPr="00895AED">
        <w:rPr>
          <w:rFonts w:cstheme="minorHAnsi"/>
        </w:rPr>
        <w:t xml:space="preserve">. Para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terutama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bertugas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sebagai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pramuniaga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takut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tertular</w:t>
      </w:r>
      <w:proofErr w:type="spellEnd"/>
      <w:r w:rsidRPr="00895AED">
        <w:rPr>
          <w:rFonts w:cstheme="minorHAnsi"/>
        </w:rPr>
        <w:t xml:space="preserve"> virus yang </w:t>
      </w:r>
      <w:proofErr w:type="spellStart"/>
      <w:r w:rsidRPr="00895AED">
        <w:rPr>
          <w:rFonts w:cstheme="minorHAnsi"/>
        </w:rPr>
        <w:t>mungkin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dibawa</w:t>
      </w:r>
      <w:proofErr w:type="spellEnd"/>
      <w:r w:rsidRPr="00895AED">
        <w:rPr>
          <w:rFonts w:cstheme="minorHAnsi"/>
        </w:rPr>
        <w:t xml:space="preserve"> oleh </w:t>
      </w:r>
      <w:proofErr w:type="spellStart"/>
      <w:r w:rsidRPr="00895AED">
        <w:rPr>
          <w:rFonts w:cstheme="minorHAnsi"/>
        </w:rPr>
        <w:t>pelanggan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terlihat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sehat-sehat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saja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biasa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disebut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orang </w:t>
      </w:r>
      <w:proofErr w:type="spellStart"/>
      <w:r w:rsidRPr="00895AED">
        <w:rPr>
          <w:rFonts w:cstheme="minorHAnsi"/>
        </w:rPr>
        <w:t>tanpa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gejala</w:t>
      </w:r>
      <w:proofErr w:type="spellEnd"/>
      <w:r w:rsidRPr="00895AED">
        <w:rPr>
          <w:rFonts w:cstheme="minorHAnsi"/>
        </w:rPr>
        <w:t xml:space="preserve"> (OTG)</w:t>
      </w:r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hal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sehubungan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i/>
          <w:iCs/>
          <w:lang w:val="en-US"/>
        </w:rPr>
        <w:t>jobdesc</w:t>
      </w:r>
      <w:proofErr w:type="spellEnd"/>
      <w:r w:rsidRPr="00895AED">
        <w:rPr>
          <w:rFonts w:cstheme="minorHAnsi"/>
          <w:i/>
          <w:iCs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harus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mengantarkan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lastRenderedPageBreak/>
        <w:t>makanan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langsung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kepada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pelanggan</w:t>
      </w:r>
      <w:proofErr w:type="spellEnd"/>
      <w:r w:rsidRPr="00895AED">
        <w:rPr>
          <w:rFonts w:cstheme="minorHAnsi"/>
          <w:lang w:val="en-US"/>
        </w:rPr>
        <w:t xml:space="preserve"> (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take-away </w:t>
      </w:r>
      <w:proofErr w:type="spellStart"/>
      <w:r w:rsidRPr="00895AED">
        <w:rPr>
          <w:rFonts w:cstheme="minorHAnsi"/>
          <w:lang w:val="en-US"/>
        </w:rPr>
        <w:t>maupun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>dine-in</w:t>
      </w:r>
      <w:r w:rsidRPr="00895AED">
        <w:rPr>
          <w:rFonts w:cstheme="minorHAnsi"/>
          <w:lang w:val="en-US"/>
        </w:rPr>
        <w:t>).</w:t>
      </w:r>
      <w:r w:rsidRPr="00895AED">
        <w:rPr>
          <w:rFonts w:cstheme="minorHAnsi"/>
        </w:rPr>
        <w:t xml:space="preserve"> </w:t>
      </w:r>
      <w:r w:rsidRPr="00895AED">
        <w:rPr>
          <w:rFonts w:cstheme="minorHAnsi"/>
          <w:lang w:val="en-US"/>
        </w:rPr>
        <w:t>M</w:t>
      </w:r>
      <w:proofErr w:type="spellStart"/>
      <w:r w:rsidRPr="00895AED">
        <w:rPr>
          <w:rFonts w:cstheme="minorHAnsi"/>
        </w:rPr>
        <w:t>ereka</w:t>
      </w:r>
      <w:proofErr w:type="spellEnd"/>
      <w:r w:rsidRPr="00895AED">
        <w:rPr>
          <w:rFonts w:cstheme="minorHAnsi"/>
          <w:lang w:val="en-US"/>
        </w:rPr>
        <w:t xml:space="preserve"> juga</w:t>
      </w:r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khawatir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mengalami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pemberhentian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jika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keadaan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masih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terus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mengalami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penurunan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Selain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itu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ada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beberapa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merupakan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tulang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punggung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keluarganya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sedangkan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kondisi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mengalami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penurunan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gaji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Tentu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saja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menjadi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tekanan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tersendiri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bagi</w:t>
      </w:r>
      <w:proofErr w:type="spellEnd"/>
      <w:r w:rsidRPr="00895AED">
        <w:rPr>
          <w:rFonts w:cstheme="minorHAnsi"/>
        </w:rPr>
        <w:t xml:space="preserve"> para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takut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kalau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tidak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bisa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mencukupi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kebutuhan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keluarganya</w:t>
      </w:r>
      <w:proofErr w:type="spellEnd"/>
      <w:r w:rsidRPr="00895AED">
        <w:rPr>
          <w:rFonts w:cstheme="minorHAnsi"/>
        </w:rPr>
        <w:t>.</w:t>
      </w:r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Beliau</w:t>
      </w:r>
      <w:proofErr w:type="spellEnd"/>
      <w:r w:rsidRPr="00895AED">
        <w:rPr>
          <w:rFonts w:cstheme="minorHAnsi"/>
          <w:lang w:val="en-US"/>
        </w:rPr>
        <w:t xml:space="preserve"> juga </w:t>
      </w:r>
      <w:proofErr w:type="spellStart"/>
      <w:r w:rsidRPr="00895AED">
        <w:rPr>
          <w:rFonts w:cstheme="minorHAnsi"/>
          <w:lang w:val="en-US"/>
        </w:rPr>
        <w:t>menambahkan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diselimuti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kekhawatiran</w:t>
      </w:r>
      <w:proofErr w:type="spellEnd"/>
      <w:r w:rsidRPr="00895AED">
        <w:rPr>
          <w:rFonts w:cstheme="minorHAnsi"/>
          <w:lang w:val="en-US"/>
        </w:rPr>
        <w:t xml:space="preserve"> dan rasa </w:t>
      </w:r>
      <w:proofErr w:type="spellStart"/>
      <w:r w:rsidRPr="00895AED">
        <w:rPr>
          <w:rFonts w:cstheme="minorHAnsi"/>
          <w:lang w:val="en-US"/>
        </w:rPr>
        <w:t>takut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tersebut</w:t>
      </w:r>
      <w:proofErr w:type="spellEnd"/>
      <w:r w:rsidRPr="00895AED">
        <w:rPr>
          <w:rFonts w:cstheme="minorHAnsi"/>
          <w:lang w:val="en-US"/>
        </w:rPr>
        <w:t xml:space="preserve">, para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kerap</w:t>
      </w:r>
      <w:proofErr w:type="spellEnd"/>
      <w:r w:rsidRPr="00895AED">
        <w:rPr>
          <w:rFonts w:cstheme="minorHAnsi"/>
          <w:lang w:val="en-US"/>
        </w:rPr>
        <w:t xml:space="preserve"> kali </w:t>
      </w:r>
      <w:proofErr w:type="spellStart"/>
      <w:r w:rsidRPr="00895AED">
        <w:rPr>
          <w:rFonts w:cstheme="minorHAnsi"/>
          <w:lang w:val="en-US"/>
        </w:rPr>
        <w:t>terlihat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murung</w:t>
      </w:r>
      <w:proofErr w:type="spellEnd"/>
      <w:r w:rsidRPr="00895AED">
        <w:rPr>
          <w:rFonts w:cstheme="minorHAnsi"/>
          <w:lang w:val="en-US"/>
        </w:rPr>
        <w:t xml:space="preserve"> pada </w:t>
      </w:r>
      <w:proofErr w:type="spellStart"/>
      <w:r w:rsidRPr="00895AED">
        <w:rPr>
          <w:rFonts w:cstheme="minorHAnsi"/>
          <w:lang w:val="en-US"/>
        </w:rPr>
        <w:t>saat</w:t>
      </w:r>
      <w:proofErr w:type="spellEnd"/>
      <w:r w:rsidRPr="00895AED">
        <w:rPr>
          <w:rFonts w:cstheme="minorHAnsi"/>
          <w:lang w:val="en-US"/>
        </w:rPr>
        <w:t xml:space="preserve"> jam </w:t>
      </w:r>
      <w:proofErr w:type="spellStart"/>
      <w:r w:rsidRPr="00895AED">
        <w:rPr>
          <w:rFonts w:cstheme="minorHAnsi"/>
          <w:lang w:val="en-US"/>
        </w:rPr>
        <w:t>kerja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beberapa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dari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seperti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kurang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fokus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dalam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bekerja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banyak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melamun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ketika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berada</w:t>
      </w:r>
      <w:proofErr w:type="spellEnd"/>
      <w:r w:rsidRPr="00895AED">
        <w:rPr>
          <w:rFonts w:cstheme="minorHAnsi"/>
          <w:lang w:val="en-US"/>
        </w:rPr>
        <w:t xml:space="preserve"> di jam </w:t>
      </w:r>
      <w:proofErr w:type="spellStart"/>
      <w:r w:rsidRPr="00895AED">
        <w:rPr>
          <w:rFonts w:cstheme="minorHAnsi"/>
          <w:lang w:val="en-US"/>
        </w:rPr>
        <w:t>kerja</w:t>
      </w:r>
      <w:proofErr w:type="spellEnd"/>
      <w:r w:rsidRPr="00895AED">
        <w:rPr>
          <w:rFonts w:cstheme="minorHAnsi"/>
          <w:lang w:val="en-US"/>
        </w:rPr>
        <w:t xml:space="preserve">. Supervisor </w:t>
      </w:r>
      <w:proofErr w:type="spellStart"/>
      <w:r w:rsidRPr="00895AED">
        <w:rPr>
          <w:rFonts w:cstheme="minorHAnsi"/>
          <w:lang w:val="en-US"/>
        </w:rPr>
        <w:t>menilai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perilaku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sebelumnya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tidak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pernah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muncul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baru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seperti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ketika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terjadi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menghadapi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fakta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industri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makanan</w:t>
      </w:r>
      <w:proofErr w:type="spellEnd"/>
      <w:r w:rsidRPr="00895AED">
        <w:rPr>
          <w:rFonts w:cstheme="minorHAnsi"/>
          <w:lang w:val="en-US"/>
        </w:rPr>
        <w:t xml:space="preserve"> juga </w:t>
      </w:r>
      <w:proofErr w:type="spellStart"/>
      <w:r w:rsidRPr="00895AED">
        <w:rPr>
          <w:rFonts w:cstheme="minorHAnsi"/>
          <w:lang w:val="en-US"/>
        </w:rPr>
        <w:t>terdampak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akibat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adanya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. Hal yang </w:t>
      </w:r>
      <w:proofErr w:type="spellStart"/>
      <w:r w:rsidRPr="00895AED">
        <w:rPr>
          <w:rFonts w:cstheme="minorHAnsi"/>
          <w:lang w:val="en-US"/>
        </w:rPr>
        <w:t>serupa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diungkapkan</w:t>
      </w:r>
      <w:proofErr w:type="spellEnd"/>
      <w:r w:rsidRPr="00895AED">
        <w:rPr>
          <w:rFonts w:cstheme="minorHAnsi"/>
          <w:lang w:val="en-US"/>
        </w:rPr>
        <w:t xml:space="preserve"> juga oleh salah </w:t>
      </w:r>
      <w:proofErr w:type="spellStart"/>
      <w:r w:rsidRPr="00895AED">
        <w:rPr>
          <w:rFonts w:cstheme="minorHAnsi"/>
          <w:lang w:val="en-US"/>
        </w:rPr>
        <w:t>satu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perusahaan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tersebut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ia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mengatakan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bekerja</w:t>
      </w:r>
      <w:proofErr w:type="spellEnd"/>
      <w:r w:rsidRPr="00895AED">
        <w:rPr>
          <w:rFonts w:cstheme="minorHAnsi"/>
          <w:lang w:val="en-US"/>
        </w:rPr>
        <w:t xml:space="preserve"> di masa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membuatnya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dipenuhi</w:t>
      </w:r>
      <w:proofErr w:type="spellEnd"/>
      <w:r w:rsidRPr="00895AED">
        <w:rPr>
          <w:rFonts w:cstheme="minorHAnsi"/>
          <w:lang w:val="en-US"/>
        </w:rPr>
        <w:t xml:space="preserve"> rasa </w:t>
      </w:r>
      <w:proofErr w:type="spellStart"/>
      <w:r w:rsidRPr="00895AED">
        <w:rPr>
          <w:rFonts w:cstheme="minorHAnsi"/>
          <w:lang w:val="en-US"/>
        </w:rPr>
        <w:t>khawatir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Bukan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hanya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khawatir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tertular</w:t>
      </w:r>
      <w:proofErr w:type="spellEnd"/>
      <w:r w:rsidRPr="00895AED">
        <w:rPr>
          <w:rFonts w:cstheme="minorHAnsi"/>
          <w:lang w:val="en-US"/>
        </w:rPr>
        <w:t xml:space="preserve"> virus yang </w:t>
      </w:r>
      <w:proofErr w:type="spellStart"/>
      <w:r w:rsidRPr="00895AED">
        <w:rPr>
          <w:rFonts w:cstheme="minorHAnsi"/>
          <w:lang w:val="en-US"/>
        </w:rPr>
        <w:t>kian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bervariasi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jenisnya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cepat</w:t>
      </w:r>
      <w:proofErr w:type="spellEnd"/>
      <w:r w:rsidRPr="00895AED">
        <w:rPr>
          <w:rFonts w:cstheme="minorHAnsi"/>
          <w:lang w:val="en-US"/>
        </w:rPr>
        <w:t xml:space="preserve"> proses </w:t>
      </w:r>
      <w:proofErr w:type="spellStart"/>
      <w:r w:rsidRPr="00895AED">
        <w:rPr>
          <w:rFonts w:cstheme="minorHAnsi"/>
          <w:lang w:val="en-US"/>
        </w:rPr>
        <w:t>penularannya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tapi</w:t>
      </w:r>
      <w:proofErr w:type="spellEnd"/>
      <w:r w:rsidRPr="00895AED">
        <w:rPr>
          <w:rFonts w:cstheme="minorHAnsi"/>
          <w:lang w:val="en-US"/>
        </w:rPr>
        <w:t xml:space="preserve"> juga </w:t>
      </w:r>
      <w:proofErr w:type="spellStart"/>
      <w:r w:rsidRPr="00895AED">
        <w:rPr>
          <w:rFonts w:cstheme="minorHAnsi"/>
          <w:lang w:val="en-US"/>
        </w:rPr>
        <w:t>khawatir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terkait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keadaan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finansialnya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kemungkinan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terburuk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untuk</w:t>
      </w:r>
      <w:proofErr w:type="spellEnd"/>
      <w:r w:rsidRPr="00895AED">
        <w:rPr>
          <w:rFonts w:cstheme="minorHAnsi"/>
          <w:lang w:val="en-US"/>
        </w:rPr>
        <w:t xml:space="preserve"> di PHK. </w:t>
      </w:r>
      <w:proofErr w:type="spellStart"/>
      <w:r w:rsidRPr="00895AED">
        <w:rPr>
          <w:rFonts w:cstheme="minorHAnsi"/>
          <w:lang w:val="en-US"/>
        </w:rPr>
        <w:t>Kekhawatiran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dirasakan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karena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sebelumnya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perusahaan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tersebut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terpaksa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menutup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satu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gerainya</w:t>
      </w:r>
      <w:proofErr w:type="spellEnd"/>
      <w:r w:rsidRPr="00895AED">
        <w:rPr>
          <w:rFonts w:cstheme="minorHAnsi"/>
          <w:lang w:val="en-US"/>
        </w:rPr>
        <w:t xml:space="preserve"> di Jogja dan </w:t>
      </w:r>
      <w:proofErr w:type="spellStart"/>
      <w:r w:rsidRPr="00895AED">
        <w:rPr>
          <w:rFonts w:cstheme="minorHAnsi"/>
          <w:lang w:val="en-US"/>
        </w:rPr>
        <w:t>melakukan</w:t>
      </w:r>
      <w:proofErr w:type="spellEnd"/>
      <w:r w:rsidRPr="00895AED">
        <w:rPr>
          <w:rFonts w:cstheme="minorHAnsi"/>
          <w:lang w:val="en-US"/>
        </w:rPr>
        <w:t xml:space="preserve"> PHK </w:t>
      </w:r>
      <w:proofErr w:type="spellStart"/>
      <w:r w:rsidRPr="00895AED">
        <w:rPr>
          <w:rFonts w:cstheme="minorHAnsi"/>
          <w:lang w:val="en-US"/>
        </w:rPr>
        <w:t>besar-besaran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jumlah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penderitanya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semakin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meningkat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aturan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pemerintah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semakin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ketat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merasa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takut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hal-hal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buruk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mungkin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saja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terjadi</w:t>
      </w:r>
      <w:proofErr w:type="spellEnd"/>
      <w:r w:rsidRPr="00895AED">
        <w:rPr>
          <w:rFonts w:cstheme="minorHAnsi"/>
          <w:lang w:val="en-US"/>
        </w:rPr>
        <w:t xml:space="preserve"> di </w:t>
      </w:r>
      <w:proofErr w:type="spellStart"/>
      <w:r w:rsidRPr="00895AED">
        <w:rPr>
          <w:rFonts w:cstheme="minorHAnsi"/>
          <w:lang w:val="en-US"/>
        </w:rPr>
        <w:t>beberapa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waktu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mendatang</w:t>
      </w:r>
      <w:proofErr w:type="spellEnd"/>
      <w:r w:rsidRPr="00895AED">
        <w:rPr>
          <w:rFonts w:cstheme="minorHAnsi"/>
          <w:lang w:val="en-US"/>
        </w:rPr>
        <w:t>.</w:t>
      </w:r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informasi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tersebut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dikatakan</w:t>
      </w:r>
      <w:proofErr w:type="spellEnd"/>
      <w:r w:rsidRPr="00895AED">
        <w:rPr>
          <w:rFonts w:cstheme="minorHAnsi"/>
        </w:rPr>
        <w:t xml:space="preserve"> pula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sepanjang</w:t>
      </w:r>
      <w:proofErr w:type="spellEnd"/>
      <w:r w:rsidRPr="00895AED">
        <w:rPr>
          <w:rFonts w:cstheme="minorHAnsi"/>
        </w:rPr>
        <w:t xml:space="preserve"> masa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para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sering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merasakan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perasaan-perasaan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negatif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menyelimuti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merasa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kurang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fokus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ketika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berada</w:t>
      </w:r>
      <w:proofErr w:type="spellEnd"/>
      <w:r w:rsidRPr="00895AED">
        <w:rPr>
          <w:rFonts w:cstheme="minorHAnsi"/>
          <w:lang w:val="en-US"/>
        </w:rPr>
        <w:t xml:space="preserve"> di jam </w:t>
      </w:r>
      <w:proofErr w:type="spellStart"/>
      <w:r w:rsidRPr="00895AED">
        <w:rPr>
          <w:rFonts w:cstheme="minorHAnsi"/>
          <w:lang w:val="en-US"/>
        </w:rPr>
        <w:t>kerja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bekerja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penuh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kekhawatiran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karena</w:t>
      </w:r>
      <w:proofErr w:type="spellEnd"/>
      <w:r w:rsidRPr="00895AED">
        <w:rPr>
          <w:rFonts w:cstheme="minorHAnsi"/>
          <w:lang w:val="en-US"/>
        </w:rPr>
        <w:t xml:space="preserve"> rasa </w:t>
      </w:r>
      <w:proofErr w:type="spellStart"/>
      <w:r w:rsidRPr="00895AED">
        <w:rPr>
          <w:rFonts w:cstheme="minorHAnsi"/>
          <w:lang w:val="en-US"/>
        </w:rPr>
        <w:t>takut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terpapar</w:t>
      </w:r>
      <w:proofErr w:type="spellEnd"/>
      <w:r w:rsidRPr="00895AED">
        <w:rPr>
          <w:rFonts w:cstheme="minorHAnsi"/>
          <w:lang w:val="en-US"/>
        </w:rPr>
        <w:t xml:space="preserve"> virus </w:t>
      </w:r>
      <w:proofErr w:type="spellStart"/>
      <w:r w:rsidRPr="00895AED">
        <w:rPr>
          <w:rFonts w:cstheme="minorHAnsi"/>
          <w:lang w:val="en-US"/>
        </w:rPr>
        <w:t>maupun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keadaan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finansial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masih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belum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stabil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Wawancara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beberapa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lainnya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menunjukkan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sebagian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besar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tersebut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masih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tidak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dapat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menerima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perubahan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terjadi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selama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berlangsung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kerap</w:t>
      </w:r>
      <w:proofErr w:type="spellEnd"/>
      <w:r w:rsidRPr="00895AED">
        <w:rPr>
          <w:rFonts w:cstheme="minorHAnsi"/>
          <w:lang w:val="en-US"/>
        </w:rPr>
        <w:t xml:space="preserve"> kali </w:t>
      </w:r>
      <w:proofErr w:type="spellStart"/>
      <w:r w:rsidRPr="00895AED">
        <w:rPr>
          <w:rFonts w:cstheme="minorHAnsi"/>
          <w:lang w:val="en-US"/>
        </w:rPr>
        <w:t>membandingkan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kehidupan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pribadi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antara</w:t>
      </w:r>
      <w:proofErr w:type="spellEnd"/>
      <w:r w:rsidRPr="00895AED">
        <w:rPr>
          <w:rFonts w:cstheme="minorHAnsi"/>
          <w:lang w:val="en-US"/>
        </w:rPr>
        <w:t xml:space="preserve"> masa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masa </w:t>
      </w:r>
      <w:proofErr w:type="spellStart"/>
      <w:r w:rsidRPr="00895AED">
        <w:rPr>
          <w:rFonts w:cstheme="minorHAnsi"/>
          <w:lang w:val="en-US"/>
        </w:rPr>
        <w:t>sebelum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mengatakan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ingin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kembali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</w:t>
      </w:r>
      <w:proofErr w:type="spellEnd"/>
      <w:r w:rsidRPr="00895AED">
        <w:rPr>
          <w:rFonts w:cstheme="minorHAnsi"/>
          <w:lang w:val="en-US"/>
        </w:rPr>
        <w:t xml:space="preserve"> masa </w:t>
      </w:r>
      <w:proofErr w:type="spellStart"/>
      <w:r w:rsidRPr="00895AED">
        <w:rPr>
          <w:rFonts w:cstheme="minorHAnsi"/>
          <w:lang w:val="en-US"/>
        </w:rPr>
        <w:t>lalu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karena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kehidupan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jauh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lebih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menyenangkan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lebih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di masa </w:t>
      </w:r>
      <w:proofErr w:type="spellStart"/>
      <w:r w:rsidRPr="00895AED">
        <w:rPr>
          <w:rFonts w:cstheme="minorHAnsi"/>
          <w:lang w:val="en-US"/>
        </w:rPr>
        <w:t>lalu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Sedangkan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untuk</w:t>
      </w:r>
      <w:proofErr w:type="spellEnd"/>
      <w:r w:rsidRPr="00895AED">
        <w:rPr>
          <w:rFonts w:cstheme="minorHAnsi"/>
          <w:lang w:val="en-US"/>
        </w:rPr>
        <w:t xml:space="preserve"> masa </w:t>
      </w:r>
      <w:proofErr w:type="spellStart"/>
      <w:r w:rsidRPr="00895AED">
        <w:rPr>
          <w:rFonts w:cstheme="minorHAnsi"/>
          <w:lang w:val="en-US"/>
        </w:rPr>
        <w:t>sekarang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hanya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merasakan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banyak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kesusahan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ketidakpuasan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hidup</w:t>
      </w:r>
      <w:proofErr w:type="spellEnd"/>
      <w:r w:rsidRPr="00895AED">
        <w:rPr>
          <w:rFonts w:cstheme="minorHAnsi"/>
          <w:lang w:val="en-US"/>
        </w:rPr>
        <w:t xml:space="preserve">.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merasa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ragu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kehidupan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sendiri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menilai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tidak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bisa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melewati</w:t>
      </w:r>
      <w:proofErr w:type="spellEnd"/>
      <w:r w:rsidRPr="00895AED">
        <w:rPr>
          <w:rFonts w:cstheme="minorHAnsi"/>
          <w:lang w:val="en-US"/>
        </w:rPr>
        <w:t xml:space="preserve"> masa </w:t>
      </w:r>
      <w:proofErr w:type="spellStart"/>
      <w:r w:rsidRPr="00895AED">
        <w:rPr>
          <w:rFonts w:cstheme="minorHAnsi"/>
          <w:lang w:val="en-US"/>
        </w:rPr>
        <w:t>sulit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. Para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pun </w:t>
      </w:r>
      <w:proofErr w:type="spellStart"/>
      <w:r w:rsidRPr="00895AED">
        <w:rPr>
          <w:rFonts w:cstheme="minorHAnsi"/>
          <w:lang w:val="en-US"/>
        </w:rPr>
        <w:t>merasa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bahwa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sudah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tidak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memiliki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tujuan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pasti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dalam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hidup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karena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memberikan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pengaruh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besar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dalam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kehidupan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mereka</w:t>
      </w:r>
      <w:proofErr w:type="spellEnd"/>
      <w:r w:rsidRPr="00895AED">
        <w:rPr>
          <w:rFonts w:cstheme="minorHAnsi"/>
          <w:lang w:val="en-US"/>
        </w:rPr>
        <w:t xml:space="preserve">.  </w:t>
      </w:r>
    </w:p>
    <w:p w14:paraId="1AE51232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Menurut</w:t>
      </w:r>
      <w:proofErr w:type="spellEnd"/>
      <w:r w:rsidRPr="00895AED">
        <w:rPr>
          <w:rFonts w:cstheme="minorHAnsi"/>
        </w:rPr>
        <w:t xml:space="preserve"> Park, Peterson dan Seligman (2004)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banyak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emosi</w:t>
      </w:r>
      <w:proofErr w:type="spellEnd"/>
      <w:r w:rsidRPr="00895AED">
        <w:rPr>
          <w:rFonts w:cstheme="minorHAnsi"/>
        </w:rPr>
        <w:t>/</w:t>
      </w:r>
      <w:proofErr w:type="spellStart"/>
      <w:r w:rsidRPr="00895AED">
        <w:rPr>
          <w:rFonts w:cstheme="minorHAnsi"/>
        </w:rPr>
        <w:t>perasaan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negatif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pekerjaanya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dikatakan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tersebut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belum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mencapai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>subjective well-being</w:t>
      </w:r>
      <w:r w:rsidRPr="00895AED">
        <w:rPr>
          <w:rFonts w:cstheme="minorHAnsi"/>
        </w:rPr>
        <w:t xml:space="preserve">. Seligman (2004) </w:t>
      </w:r>
      <w:proofErr w:type="spellStart"/>
      <w:r w:rsidRPr="00895AED">
        <w:rPr>
          <w:rFonts w:cstheme="minorHAnsi"/>
        </w:rPr>
        <w:t>mengatakan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merupakan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yang</w:t>
      </w:r>
      <w:r w:rsidRPr="00895AED">
        <w:rPr>
          <w:rFonts w:cstheme="minorHAnsi"/>
          <w:i/>
        </w:rPr>
        <w:t xml:space="preserve"> </w:t>
      </w:r>
      <w:proofErr w:type="spellStart"/>
      <w:r w:rsidRPr="00895AED">
        <w:rPr>
          <w:rFonts w:cstheme="minorHAnsi"/>
        </w:rPr>
        <w:t>penting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dimiliki</w:t>
      </w:r>
      <w:proofErr w:type="spellEnd"/>
      <w:r w:rsidRPr="00895AED">
        <w:rPr>
          <w:rFonts w:cstheme="minorHAnsi"/>
        </w:rPr>
        <w:t xml:space="preserve"> oleh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karena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individu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telah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mencapai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r w:rsidRPr="00895AED">
        <w:rPr>
          <w:rFonts w:cstheme="minorHAnsi"/>
        </w:rPr>
        <w:t xml:space="preserve">di </w:t>
      </w:r>
      <w:proofErr w:type="spellStart"/>
      <w:r w:rsidRPr="00895AED">
        <w:rPr>
          <w:rFonts w:cstheme="minorHAnsi"/>
        </w:rPr>
        <w:t>tempat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cenderung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kreatif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setia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perusahaan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produktif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memberikan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kepuasan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pelanggan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dibandingkan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belum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mencapai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>subjective well-being</w:t>
      </w:r>
      <w:r w:rsidRPr="00895AED">
        <w:rPr>
          <w:rFonts w:cstheme="minorHAnsi"/>
        </w:rPr>
        <w:t xml:space="preserve">. </w:t>
      </w:r>
    </w:p>
    <w:p w14:paraId="60F7D99C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r w:rsidRPr="00895AED">
        <w:rPr>
          <w:rFonts w:cstheme="minorHAnsi"/>
        </w:rPr>
        <w:t xml:space="preserve">Argyle (2001) </w:t>
      </w:r>
      <w:proofErr w:type="spellStart"/>
      <w:r w:rsidRPr="00895AED">
        <w:rPr>
          <w:rFonts w:cstheme="minorHAnsi"/>
        </w:rPr>
        <w:t>mengatakan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arti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sama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kebahagiaan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sehingga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kedua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istilah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menjelaskan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sama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Pernyataan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juga </w:t>
      </w:r>
      <w:proofErr w:type="spellStart"/>
      <w:r w:rsidRPr="00895AED">
        <w:rPr>
          <w:rFonts w:cstheme="minorHAnsi"/>
        </w:rPr>
        <w:t>sejalan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pendapat</w:t>
      </w:r>
      <w:proofErr w:type="spellEnd"/>
      <w:r w:rsidRPr="00895AED">
        <w:rPr>
          <w:rFonts w:cstheme="minorHAnsi"/>
        </w:rPr>
        <w:t xml:space="preserve"> Diener (1984)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sering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disebut</w:t>
      </w:r>
      <w:proofErr w:type="spellEnd"/>
      <w:r w:rsidRPr="00895AED">
        <w:rPr>
          <w:rFonts w:cstheme="minorHAnsi"/>
        </w:rPr>
        <w:t xml:space="preserve"> juga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istilah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kebahagiaan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kita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ketahui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orang-orang yang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bahagia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lastRenderedPageBreak/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sikap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positif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menampilkan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banyak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karakter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diinginkan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serta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memberikan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kinerja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maksimal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pekerjaannya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Maka</w:t>
      </w:r>
      <w:proofErr w:type="spellEnd"/>
      <w:r w:rsidRPr="00895AED">
        <w:rPr>
          <w:rFonts w:cstheme="minorHAnsi"/>
        </w:rPr>
        <w:t xml:space="preserve"> orang yang </w:t>
      </w:r>
      <w:proofErr w:type="spellStart"/>
      <w:r w:rsidRPr="00895AED">
        <w:rPr>
          <w:rFonts w:cstheme="minorHAnsi"/>
        </w:rPr>
        <w:t>bahagia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mencapai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sikap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positif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pekerjaannya</w:t>
      </w:r>
      <w:proofErr w:type="spellEnd"/>
      <w:r w:rsidRPr="00895AED">
        <w:rPr>
          <w:rFonts w:cstheme="minorHAnsi"/>
        </w:rPr>
        <w:t>.</w:t>
      </w:r>
    </w:p>
    <w:p w14:paraId="1F642086" w14:textId="77777777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  <w:lang w:val="en-US"/>
        </w:rPr>
      </w:pPr>
      <w:r w:rsidRPr="00895AED">
        <w:rPr>
          <w:rFonts w:cstheme="minorHAnsi"/>
        </w:rPr>
        <w:t xml:space="preserve">Diener (1984) </w:t>
      </w:r>
      <w:proofErr w:type="spellStart"/>
      <w:r w:rsidRPr="00895AED">
        <w:rPr>
          <w:rFonts w:cstheme="minorHAnsi"/>
        </w:rPr>
        <w:t>mengungkapkan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beberapa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faktor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mempengaruhi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rendahnya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>subjective well-being</w:t>
      </w:r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yaitu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faktor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demografis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faktor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genetik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kepribadian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dukungan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sosial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pengaruh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budaya</w:t>
      </w:r>
      <w:proofErr w:type="spellEnd"/>
      <w:r w:rsidRPr="00895AED">
        <w:rPr>
          <w:rFonts w:cstheme="minorHAnsi"/>
        </w:rPr>
        <w:t xml:space="preserve"> dan proses </w:t>
      </w:r>
      <w:proofErr w:type="spellStart"/>
      <w:r w:rsidRPr="00895AED">
        <w:rPr>
          <w:rFonts w:cstheme="minorHAnsi"/>
        </w:rPr>
        <w:t>kognitif</w:t>
      </w:r>
      <w:proofErr w:type="spellEnd"/>
      <w:r w:rsidRPr="00895AED">
        <w:rPr>
          <w:rFonts w:cstheme="minorHAnsi"/>
        </w:rPr>
        <w:t xml:space="preserve">. Compton &amp; Hoffman (2012) juga </w:t>
      </w:r>
      <w:proofErr w:type="spellStart"/>
      <w:r w:rsidRPr="00895AED">
        <w:rPr>
          <w:rFonts w:cstheme="minorHAnsi"/>
        </w:rPr>
        <w:t>mengungkapkan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beberapa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faktor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mempengaruhi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seseorang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diantaranya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harga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positif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kontrol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ekstraversi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optimis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relasi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sosial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positif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serta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kepemilikan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arti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makna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hidup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Situasi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sekarang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juga </w:t>
      </w:r>
      <w:proofErr w:type="spellStart"/>
      <w:r w:rsidRPr="00895AED">
        <w:rPr>
          <w:rFonts w:cstheme="minorHAnsi"/>
        </w:rPr>
        <w:t>menjadi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faktor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mempengaruhi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tingkat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seseorang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karena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mempengaruhi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sebagian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besar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aspek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kehidupan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individu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status </w:t>
      </w:r>
      <w:proofErr w:type="spellStart"/>
      <w:r w:rsidRPr="00895AED">
        <w:rPr>
          <w:rFonts w:cstheme="minorHAnsi"/>
        </w:rPr>
        <w:t>pekerjaan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dimiliki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insentif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diterima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keadaan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keluarga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kemampuan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pemenuhan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kebutuhan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sehari-hari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perasaan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takut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cemas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berlebihan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relasi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sosial</w:t>
      </w:r>
      <w:proofErr w:type="spellEnd"/>
      <w:r w:rsidRPr="00895AED">
        <w:rPr>
          <w:rFonts w:cstheme="minorHAnsi"/>
        </w:rPr>
        <w:t xml:space="preserve"> dan lain-lain.</w:t>
      </w:r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Untuk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mengatasi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hal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tersebut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terdapat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beberapa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alternatif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intervensi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dapat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dilakukan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untuk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meningkatkan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subjective well-being </w:t>
      </w:r>
      <w:proofErr w:type="spellStart"/>
      <w:r w:rsidRPr="00895AED">
        <w:rPr>
          <w:rFonts w:cstheme="minorHAnsi"/>
          <w:lang w:val="en-US"/>
        </w:rPr>
        <w:t>seseorang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yaitu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memberikan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pelatihan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i/>
          <w:iCs/>
          <w:lang w:val="en-US"/>
        </w:rPr>
        <w:t>mindfullness</w:t>
      </w:r>
      <w:proofErr w:type="spellEnd"/>
      <w:r w:rsidRPr="00895AED">
        <w:rPr>
          <w:rFonts w:cstheme="minorHAnsi"/>
          <w:i/>
          <w:iCs/>
          <w:lang w:val="en-US"/>
        </w:rPr>
        <w:t xml:space="preserve"> based stress therapy </w:t>
      </w:r>
      <w:r w:rsidRPr="00895AED">
        <w:rPr>
          <w:rFonts w:cstheme="minorHAnsi"/>
          <w:lang w:val="en-US"/>
        </w:rPr>
        <w:t xml:space="preserve">(MBST), </w:t>
      </w:r>
      <w:proofErr w:type="spellStart"/>
      <w:r w:rsidRPr="00895AED">
        <w:rPr>
          <w:rFonts w:cstheme="minorHAnsi"/>
          <w:lang w:val="en-US"/>
        </w:rPr>
        <w:t>pelatihan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forgiveness, </w:t>
      </w:r>
      <w:proofErr w:type="spellStart"/>
      <w:r w:rsidRPr="00895AED">
        <w:rPr>
          <w:rFonts w:cstheme="minorHAnsi"/>
          <w:lang w:val="en-US"/>
        </w:rPr>
        <w:t>pelatihan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gratitude </w:t>
      </w:r>
      <w:r w:rsidRPr="00895AED">
        <w:rPr>
          <w:rFonts w:cstheme="minorHAnsi"/>
          <w:lang w:val="en-US"/>
        </w:rPr>
        <w:t xml:space="preserve">dan </w:t>
      </w:r>
      <w:proofErr w:type="spellStart"/>
      <w:r w:rsidRPr="00895AED">
        <w:rPr>
          <w:rFonts w:cstheme="minorHAnsi"/>
          <w:lang w:val="en-US"/>
        </w:rPr>
        <w:t>pelatihan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self-management. </w:t>
      </w:r>
      <w:r w:rsidRPr="00895AED">
        <w:rPr>
          <w:rFonts w:cstheme="minorHAnsi"/>
          <w:lang w:val="en-US"/>
        </w:rPr>
        <w:t xml:space="preserve">Pada </w:t>
      </w:r>
      <w:proofErr w:type="spellStart"/>
      <w:r w:rsidRPr="00895AED">
        <w:rPr>
          <w:rFonts w:cstheme="minorHAnsi"/>
          <w:lang w:val="en-US"/>
        </w:rPr>
        <w:t>penelitian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intervensi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digunakan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untuk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meningkatkan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subjective well-being </w:t>
      </w:r>
      <w:proofErr w:type="spellStart"/>
      <w:r w:rsidRPr="00895AED">
        <w:rPr>
          <w:rFonts w:cstheme="minorHAnsi"/>
          <w:lang w:val="en-US"/>
        </w:rPr>
        <w:t>karyawan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adalah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memberikan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pelatihan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>self-management</w:t>
      </w:r>
      <w:r w:rsidRPr="00895AED">
        <w:rPr>
          <w:rFonts w:cstheme="minorHAnsi"/>
          <w:lang w:val="en-US"/>
        </w:rPr>
        <w:t xml:space="preserve">. Hal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karena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dalam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meningkatkan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subjective well-being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latar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belakang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kurang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– </w:t>
      </w:r>
      <w:proofErr w:type="spellStart"/>
      <w:r w:rsidRPr="00895AED">
        <w:rPr>
          <w:rFonts w:cstheme="minorHAnsi"/>
          <w:lang w:val="en-US"/>
        </w:rPr>
        <w:t>yaitu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pandemi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covid</w:t>
      </w:r>
      <w:proofErr w:type="spellEnd"/>
      <w:r w:rsidRPr="00895AED">
        <w:rPr>
          <w:rFonts w:cstheme="minorHAnsi"/>
          <w:lang w:val="en-US"/>
        </w:rPr>
        <w:t xml:space="preserve"> 19 yang </w:t>
      </w:r>
      <w:proofErr w:type="spellStart"/>
      <w:r w:rsidRPr="00895AED">
        <w:rPr>
          <w:rFonts w:cstheme="minorHAnsi"/>
          <w:lang w:val="en-US"/>
        </w:rPr>
        <w:t>belum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kunjung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usai</w:t>
      </w:r>
      <w:proofErr w:type="spellEnd"/>
      <w:r w:rsidRPr="00895AED">
        <w:rPr>
          <w:rFonts w:cstheme="minorHAnsi"/>
          <w:lang w:val="en-US"/>
        </w:rPr>
        <w:t xml:space="preserve"> – </w:t>
      </w:r>
      <w:proofErr w:type="spellStart"/>
      <w:r w:rsidRPr="00895AED">
        <w:rPr>
          <w:rFonts w:cstheme="minorHAnsi"/>
          <w:lang w:val="en-US"/>
        </w:rPr>
        <w:t>diperlukan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kestabilan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antara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pikiran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perasaan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perilaku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dialami</w:t>
      </w:r>
      <w:proofErr w:type="spellEnd"/>
      <w:r w:rsidRPr="00895AED">
        <w:rPr>
          <w:rFonts w:cstheme="minorHAnsi"/>
          <w:lang w:val="en-US"/>
        </w:rPr>
        <w:t xml:space="preserve"> oleh </w:t>
      </w:r>
      <w:proofErr w:type="spellStart"/>
      <w:r w:rsidRPr="00895AED">
        <w:rPr>
          <w:rFonts w:cstheme="minorHAnsi"/>
          <w:lang w:val="en-US"/>
        </w:rPr>
        <w:t>seseorang</w:t>
      </w:r>
      <w:proofErr w:type="spellEnd"/>
      <w:r w:rsidRPr="00895AED">
        <w:rPr>
          <w:rFonts w:cstheme="minorHAnsi"/>
          <w:lang w:val="en-US"/>
        </w:rPr>
        <w:t xml:space="preserve">, </w:t>
      </w:r>
      <w:proofErr w:type="spellStart"/>
      <w:r w:rsidRPr="00895AED">
        <w:rPr>
          <w:rFonts w:cstheme="minorHAnsi"/>
          <w:lang w:val="en-US"/>
        </w:rPr>
        <w:t>sehingga</w:t>
      </w:r>
      <w:proofErr w:type="spellEnd"/>
      <w:r w:rsidRPr="00895AED">
        <w:rPr>
          <w:rFonts w:cstheme="minorHAnsi"/>
          <w:lang w:val="en-US"/>
        </w:rPr>
        <w:t xml:space="preserve"> orang </w:t>
      </w:r>
      <w:proofErr w:type="spellStart"/>
      <w:r w:rsidRPr="00895AED">
        <w:rPr>
          <w:rFonts w:cstheme="minorHAnsi"/>
          <w:lang w:val="en-US"/>
        </w:rPr>
        <w:t>tersebut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mampu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bertahan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dan </w:t>
      </w:r>
      <w:proofErr w:type="spellStart"/>
      <w:r w:rsidRPr="00895AED">
        <w:rPr>
          <w:rFonts w:cstheme="minorHAnsi"/>
          <w:lang w:val="en-US"/>
        </w:rPr>
        <w:t>kehidupan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pula </w:t>
      </w:r>
      <w:proofErr w:type="spellStart"/>
      <w:r w:rsidRPr="00895AED">
        <w:rPr>
          <w:rFonts w:cstheme="minorHAnsi"/>
          <w:lang w:val="en-US"/>
        </w:rPr>
        <w:t>meskipun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berada</w:t>
      </w:r>
      <w:proofErr w:type="spellEnd"/>
      <w:r w:rsidRPr="00895AED">
        <w:rPr>
          <w:rFonts w:cstheme="minorHAnsi"/>
          <w:lang w:val="en-US"/>
        </w:rPr>
        <w:t xml:space="preserve"> di masa yang </w:t>
      </w:r>
      <w:proofErr w:type="spellStart"/>
      <w:r w:rsidRPr="00895AED">
        <w:rPr>
          <w:rFonts w:cstheme="minorHAnsi"/>
          <w:lang w:val="en-US"/>
        </w:rPr>
        <w:t>sulit</w:t>
      </w:r>
      <w:proofErr w:type="spellEnd"/>
      <w:r w:rsidRPr="00895AED">
        <w:rPr>
          <w:rFonts w:cstheme="minorHAnsi"/>
          <w:lang w:val="en-US"/>
        </w:rPr>
        <w:t>.</w:t>
      </w:r>
    </w:p>
    <w:p w14:paraId="5F4068E7" w14:textId="401B2209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penjelasan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atas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maka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dikatakan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keadaan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penting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seorang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kemampuan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mengontrol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mengelola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sendiri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sehingga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me</w:t>
      </w:r>
      <w:proofErr w:type="spellStart"/>
      <w:r w:rsidRPr="00895AED">
        <w:rPr>
          <w:rFonts w:cstheme="minorHAnsi"/>
          <w:lang w:val="en-US"/>
        </w:rPr>
        <w:t>njaga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>subjective well-</w:t>
      </w:r>
      <w:proofErr w:type="spellStart"/>
      <w:r w:rsidRPr="00895AED">
        <w:rPr>
          <w:rFonts w:cstheme="minorHAnsi"/>
          <w:i/>
          <w:iCs/>
          <w:lang w:val="en-US"/>
        </w:rPr>
        <w:t>being</w:t>
      </w:r>
      <w:r w:rsidRPr="00895AED">
        <w:rPr>
          <w:rFonts w:cstheme="minorHAnsi"/>
          <w:lang w:val="en-US"/>
        </w:rPr>
        <w:t>nya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secara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pribadi</w:t>
      </w:r>
      <w:proofErr w:type="spellEnd"/>
      <w:r w:rsidRPr="00895AED">
        <w:rPr>
          <w:rFonts w:cstheme="minorHAnsi"/>
          <w:lang w:val="en-US"/>
        </w:rPr>
        <w:t xml:space="preserve"> di </w:t>
      </w:r>
      <w:proofErr w:type="spellStart"/>
      <w:r w:rsidRPr="00895AED">
        <w:rPr>
          <w:rFonts w:cstheme="minorHAnsi"/>
          <w:lang w:val="en-US"/>
        </w:rPr>
        <w:t>tengah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keadaan</w:t>
      </w:r>
      <w:proofErr w:type="spellEnd"/>
      <w:r w:rsidRPr="00895AED">
        <w:rPr>
          <w:rFonts w:cstheme="minorHAnsi"/>
          <w:lang w:val="en-US"/>
        </w:rPr>
        <w:t xml:space="preserve"> yang </w:t>
      </w:r>
      <w:proofErr w:type="spellStart"/>
      <w:r w:rsidRPr="00895AED">
        <w:rPr>
          <w:rFonts w:cstheme="minorHAnsi"/>
          <w:lang w:val="en-US"/>
        </w:rPr>
        <w:t>sedang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tidak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stabil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</w:rPr>
        <w:t xml:space="preserve">. Salah </w:t>
      </w:r>
      <w:proofErr w:type="spellStart"/>
      <w:r w:rsidRPr="00895AED">
        <w:rPr>
          <w:rFonts w:cstheme="minorHAnsi"/>
        </w:rPr>
        <w:t>satu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dilakukan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menerapkan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pelatihan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self-management </w:t>
      </w:r>
      <w:proofErr w:type="spellStart"/>
      <w:r w:rsidRPr="00895AED">
        <w:rPr>
          <w:rFonts w:cstheme="minorHAnsi"/>
        </w:rPr>
        <w:t>atau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manajemen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</w:t>
      </w:r>
      <w:proofErr w:type="spellEnd"/>
      <w:r w:rsidRPr="00895AED">
        <w:rPr>
          <w:rFonts w:cstheme="minorHAnsi"/>
        </w:rPr>
        <w:t xml:space="preserve">. Weiss (1999) </w:t>
      </w:r>
      <w:proofErr w:type="spellStart"/>
      <w:r w:rsidRPr="00895AED">
        <w:rPr>
          <w:rFonts w:cstheme="minorHAnsi"/>
        </w:rPr>
        <w:t>mendefinisikan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self-management </w:t>
      </w:r>
      <w:proofErr w:type="spellStart"/>
      <w:r w:rsidRPr="00895AED">
        <w:rPr>
          <w:rFonts w:cstheme="minorHAnsi"/>
        </w:rPr>
        <w:t>sebagai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kemampuan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dimiliki</w:t>
      </w:r>
      <w:proofErr w:type="spellEnd"/>
      <w:r w:rsidRPr="00895AED">
        <w:rPr>
          <w:rFonts w:cstheme="minorHAnsi"/>
        </w:rPr>
        <w:t xml:space="preserve"> oleh </w:t>
      </w:r>
      <w:proofErr w:type="spellStart"/>
      <w:r w:rsidRPr="00895AED">
        <w:rPr>
          <w:rFonts w:cstheme="minorHAnsi"/>
        </w:rPr>
        <w:t>seseorang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mengendalikan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pemikiran</w:t>
      </w:r>
      <w:proofErr w:type="spellEnd"/>
      <w:r w:rsidRPr="00895AED">
        <w:rPr>
          <w:rFonts w:cstheme="minorHAnsi"/>
        </w:rPr>
        <w:t xml:space="preserve">, mental dan </w:t>
      </w:r>
      <w:proofErr w:type="spellStart"/>
      <w:r w:rsidRPr="00895AED">
        <w:rPr>
          <w:rFonts w:cstheme="minorHAnsi"/>
        </w:rPr>
        <w:t>perilakunya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pribadi</w:t>
      </w:r>
      <w:proofErr w:type="spellEnd"/>
      <w:r w:rsidRPr="00895AED">
        <w:rPr>
          <w:rFonts w:cstheme="minorHAnsi"/>
        </w:rPr>
        <w:t xml:space="preserve">. </w:t>
      </w:r>
      <w:r w:rsidRPr="00895AED">
        <w:rPr>
          <w:rFonts w:cstheme="minorHAnsi"/>
          <w:i/>
        </w:rPr>
        <w:t xml:space="preserve">Self-management </w:t>
      </w:r>
      <w:r w:rsidRPr="00895AED">
        <w:rPr>
          <w:rFonts w:cstheme="minorHAnsi"/>
        </w:rPr>
        <w:t xml:space="preserve">juga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dilihat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sebagai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strategi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perilaku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kognitif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membantu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individu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menata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lingkungannya</w:t>
      </w:r>
      <w:proofErr w:type="spellEnd"/>
      <w:r w:rsidRPr="00895AED">
        <w:rPr>
          <w:rFonts w:cstheme="minorHAnsi"/>
        </w:rPr>
        <w:t xml:space="preserve"> (di </w:t>
      </w:r>
      <w:proofErr w:type="spellStart"/>
      <w:r w:rsidRPr="00895AED">
        <w:rPr>
          <w:rFonts w:cstheme="minorHAnsi"/>
        </w:rPr>
        <w:t>tempat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kerja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maupun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tempat</w:t>
      </w:r>
      <w:proofErr w:type="spellEnd"/>
      <w:r w:rsidRPr="00895AED">
        <w:rPr>
          <w:rFonts w:cstheme="minorHAnsi"/>
        </w:rPr>
        <w:t xml:space="preserve"> lain), </w:t>
      </w:r>
      <w:proofErr w:type="spellStart"/>
      <w:r w:rsidRPr="00895AED">
        <w:rPr>
          <w:rFonts w:cstheme="minorHAnsi"/>
        </w:rPr>
        <w:t>membangun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motivasi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memfasilitasi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perlaku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sesuai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lingkungan</w:t>
      </w:r>
      <w:proofErr w:type="spellEnd"/>
      <w:r w:rsidRPr="00895AED">
        <w:rPr>
          <w:rFonts w:cstheme="minorHAnsi"/>
        </w:rPr>
        <w:t xml:space="preserve"> (</w:t>
      </w:r>
      <w:proofErr w:type="spellStart"/>
      <w:r w:rsidRPr="00895AED">
        <w:rPr>
          <w:rFonts w:cstheme="minorHAnsi"/>
        </w:rPr>
        <w:t>Manz</w:t>
      </w:r>
      <w:proofErr w:type="spellEnd"/>
      <w:r w:rsidRPr="00895AED">
        <w:rPr>
          <w:rFonts w:cstheme="minorHAnsi"/>
        </w:rPr>
        <w:t xml:space="preserve">, 1986). </w:t>
      </w:r>
    </w:p>
    <w:p w14:paraId="450556E9" w14:textId="6BF5956C" w:rsidR="000F6D77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Pelatihan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>self-management</w:t>
      </w:r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mengajarkan</w:t>
      </w:r>
      <w:proofErr w:type="spellEnd"/>
      <w:r w:rsidRPr="00895AED">
        <w:rPr>
          <w:rFonts w:cstheme="minorHAnsi"/>
        </w:rPr>
        <w:t xml:space="preserve"> orang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menilai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permasalahan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dihadapi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menentukan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tujuan-tujuan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tertentu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sulit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terkait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permasalahan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dihadapi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memantau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lingkungan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memfasilitasi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atau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menghalangi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pencapaian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tujuan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mengidentifikasi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serta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mengelola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penguat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penghambat</w:t>
      </w:r>
      <w:proofErr w:type="spellEnd"/>
      <w:r w:rsidRPr="00895AED">
        <w:rPr>
          <w:rFonts w:cstheme="minorHAnsi"/>
        </w:rPr>
        <w:t xml:space="preserve"> proses </w:t>
      </w:r>
      <w:proofErr w:type="spellStart"/>
      <w:r w:rsidRPr="00895AED">
        <w:rPr>
          <w:rFonts w:cstheme="minorHAnsi"/>
        </w:rPr>
        <w:t>menuju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pencapaian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tujuan</w:t>
      </w:r>
      <w:proofErr w:type="spellEnd"/>
      <w:r w:rsidRPr="00895AED">
        <w:rPr>
          <w:rFonts w:cstheme="minorHAnsi"/>
        </w:rPr>
        <w:t xml:space="preserve"> (Frayne, 1991). </w:t>
      </w:r>
      <w:proofErr w:type="spellStart"/>
      <w:r w:rsidRPr="00895AED">
        <w:rPr>
          <w:rFonts w:cstheme="minorHAnsi"/>
        </w:rPr>
        <w:t>Maksud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pelatihan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memberikan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pengetahuan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supaya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mengelola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mengatur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secara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pribadi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sehingga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merasakan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lebih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banyak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afek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positif</w:t>
      </w:r>
      <w:proofErr w:type="spellEnd"/>
      <w:r w:rsidRPr="00895AED">
        <w:rPr>
          <w:rFonts w:cstheme="minorHAnsi"/>
        </w:rPr>
        <w:t xml:space="preserve"> – yang </w:t>
      </w:r>
      <w:proofErr w:type="spellStart"/>
      <w:r w:rsidRPr="00895AED">
        <w:rPr>
          <w:rFonts w:cstheme="minorHAnsi"/>
        </w:rPr>
        <w:t>kemudian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menghantarkan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untuk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mencapai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– </w:t>
      </w:r>
      <w:r w:rsidRPr="00895AED">
        <w:rPr>
          <w:rFonts w:cstheme="minorHAnsi"/>
        </w:rPr>
        <w:t xml:space="preserve">di </w:t>
      </w:r>
      <w:proofErr w:type="spellStart"/>
      <w:r w:rsidRPr="00895AED">
        <w:rPr>
          <w:rFonts w:cstheme="minorHAnsi"/>
        </w:rPr>
        <w:t>tengah</w:t>
      </w:r>
      <w:proofErr w:type="spellEnd"/>
      <w:r w:rsidRPr="00895AED">
        <w:rPr>
          <w:rFonts w:cstheme="minorHAnsi"/>
        </w:rPr>
        <w:t xml:space="preserve"> masa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. </w:t>
      </w:r>
    </w:p>
    <w:p w14:paraId="59D2A213" w14:textId="77777777" w:rsidR="00160FFB" w:rsidRPr="00895AED" w:rsidRDefault="000F6D77" w:rsidP="00A97EBD">
      <w:pPr>
        <w:spacing w:after="0" w:line="276" w:lineRule="auto"/>
        <w:ind w:left="425" w:firstLine="426"/>
        <w:jc w:val="both"/>
        <w:rPr>
          <w:rFonts w:cstheme="minorHAnsi"/>
        </w:rPr>
      </w:pPr>
      <w:r w:rsidRPr="00895AED">
        <w:rPr>
          <w:rFonts w:cstheme="minorHAnsi"/>
        </w:rPr>
        <w:t xml:space="preserve">Salah </w:t>
      </w:r>
      <w:proofErr w:type="spellStart"/>
      <w:r w:rsidRPr="00895AED">
        <w:rPr>
          <w:rFonts w:cstheme="minorHAnsi"/>
        </w:rPr>
        <w:t>satu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penelitian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dilakukan</w:t>
      </w:r>
      <w:proofErr w:type="spellEnd"/>
      <w:r w:rsidRPr="00895AED">
        <w:rPr>
          <w:rFonts w:cstheme="minorHAnsi"/>
        </w:rPr>
        <w:t xml:space="preserve"> oleh Putri (2014) </w:t>
      </w:r>
      <w:proofErr w:type="spellStart"/>
      <w:r w:rsidRPr="00895AED">
        <w:rPr>
          <w:rFonts w:cstheme="minorHAnsi"/>
        </w:rPr>
        <w:t>mengungkapkan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tercapai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meningkat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ketika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seseorang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kemampuan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>self-</w:t>
      </w:r>
      <w:r w:rsidRPr="00895AED">
        <w:rPr>
          <w:rFonts w:cstheme="minorHAnsi"/>
          <w:i/>
        </w:rPr>
        <w:lastRenderedPageBreak/>
        <w:t xml:space="preserve">management </w:t>
      </w:r>
      <w:r w:rsidRPr="00895AED">
        <w:rPr>
          <w:rFonts w:cstheme="minorHAnsi"/>
        </w:rPr>
        <w:t xml:space="preserve">yang </w:t>
      </w:r>
      <w:proofErr w:type="spellStart"/>
      <w:r w:rsidRPr="00895AED">
        <w:rPr>
          <w:rFonts w:cstheme="minorHAnsi"/>
        </w:rPr>
        <w:t>baik</w:t>
      </w:r>
      <w:proofErr w:type="spellEnd"/>
      <w:r w:rsidRPr="00895AED">
        <w:rPr>
          <w:rFonts w:cstheme="minorHAnsi"/>
        </w:rPr>
        <w:t xml:space="preserve">. Hal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didukung</w:t>
      </w:r>
      <w:proofErr w:type="spellEnd"/>
      <w:r w:rsidRPr="00895AED">
        <w:rPr>
          <w:rFonts w:cstheme="minorHAnsi"/>
        </w:rPr>
        <w:t xml:space="preserve"> oleh </w:t>
      </w:r>
      <w:proofErr w:type="spellStart"/>
      <w:r w:rsidRPr="00895AED">
        <w:rPr>
          <w:rFonts w:cstheme="minorHAnsi"/>
        </w:rPr>
        <w:t>pernyataan</w:t>
      </w:r>
      <w:proofErr w:type="spellEnd"/>
      <w:r w:rsidRPr="00895AED">
        <w:rPr>
          <w:rFonts w:cstheme="minorHAnsi"/>
        </w:rPr>
        <w:t xml:space="preserve"> (</w:t>
      </w:r>
      <w:proofErr w:type="spellStart"/>
      <w:r w:rsidRPr="00895AED">
        <w:rPr>
          <w:rFonts w:cstheme="minorHAnsi"/>
        </w:rPr>
        <w:t>Kanfer</w:t>
      </w:r>
      <w:proofErr w:type="spellEnd"/>
      <w:r w:rsidRPr="00895AED">
        <w:rPr>
          <w:rFonts w:cstheme="minorHAnsi"/>
        </w:rPr>
        <w:t xml:space="preserve">, 1980)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ses</w:t>
      </w:r>
      <w:proofErr w:type="spellEnd"/>
      <w:r w:rsidRPr="00895AED">
        <w:rPr>
          <w:rFonts w:cstheme="minorHAnsi"/>
          <w:lang w:val="en-US"/>
        </w:rPr>
        <w:t>e</w:t>
      </w:r>
      <w:r w:rsidRPr="00895AED">
        <w:rPr>
          <w:rFonts w:cstheme="minorHAnsi"/>
        </w:rPr>
        <w:t xml:space="preserve">orang yang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kemampuan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self-management </w:t>
      </w:r>
      <w:r w:rsidRPr="00895AED">
        <w:rPr>
          <w:rFonts w:cstheme="minorHAnsi"/>
        </w:rPr>
        <w:t xml:space="preserve">yang </w:t>
      </w:r>
      <w:proofErr w:type="spellStart"/>
      <w:r w:rsidRPr="00895AED">
        <w:rPr>
          <w:rFonts w:cstheme="minorHAnsi"/>
        </w:rPr>
        <w:t>baik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ia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kontrol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besar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atas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kehidupan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pribadi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mereka</w:t>
      </w:r>
      <w:proofErr w:type="spellEnd"/>
      <w:r w:rsidRPr="00895AED">
        <w:rPr>
          <w:rFonts w:cstheme="minorHAnsi"/>
        </w:rPr>
        <w:t xml:space="preserve">. Di </w:t>
      </w:r>
      <w:proofErr w:type="spellStart"/>
      <w:r w:rsidRPr="00895AED">
        <w:rPr>
          <w:rFonts w:cstheme="minorHAnsi"/>
        </w:rPr>
        <w:t>sisi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lain</w:t>
      </w:r>
      <w:proofErr w:type="spellEnd"/>
      <w:r w:rsidRPr="00895AED">
        <w:rPr>
          <w:rFonts w:cstheme="minorHAnsi"/>
        </w:rPr>
        <w:t xml:space="preserve">, Taylor &amp; Brown (1988) </w:t>
      </w:r>
      <w:proofErr w:type="spellStart"/>
      <w:r w:rsidRPr="00895AED">
        <w:rPr>
          <w:rFonts w:cstheme="minorHAnsi"/>
        </w:rPr>
        <w:t>mengatakan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individu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tingkat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subjective well-being </w:t>
      </w:r>
      <w:r w:rsidRPr="00895AED">
        <w:rPr>
          <w:rFonts w:cstheme="minorHAnsi"/>
        </w:rPr>
        <w:t xml:space="preserve">yang </w:t>
      </w:r>
      <w:proofErr w:type="spellStart"/>
      <w:r w:rsidRPr="00895AED">
        <w:rPr>
          <w:rFonts w:cstheme="minorHAnsi"/>
        </w:rPr>
        <w:t>tinggi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situasi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stres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merupakan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seseorang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tingkat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harga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diri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optimisme</w:t>
      </w:r>
      <w:proofErr w:type="spellEnd"/>
      <w:r w:rsidRPr="00895AED">
        <w:rPr>
          <w:rFonts w:cstheme="minorHAnsi"/>
        </w:rPr>
        <w:t xml:space="preserve"> dan </w:t>
      </w:r>
      <w:proofErr w:type="spellStart"/>
      <w:r w:rsidRPr="00895AED">
        <w:rPr>
          <w:rFonts w:cstheme="minorHAnsi"/>
        </w:rPr>
        <w:t>persepsi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kontrol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tinggi</w:t>
      </w:r>
      <w:proofErr w:type="spellEnd"/>
      <w:r w:rsidRPr="00895AED">
        <w:rPr>
          <w:rFonts w:cstheme="minorHAnsi"/>
        </w:rPr>
        <w:t xml:space="preserve">. Dari </w:t>
      </w:r>
      <w:proofErr w:type="spellStart"/>
      <w:r w:rsidRPr="00895AED">
        <w:rPr>
          <w:rFonts w:cstheme="minorHAnsi"/>
        </w:rPr>
        <w:t>pernyataan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atas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dapat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diketahui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seseorang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kemampuan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</w:rPr>
        <w:t xml:space="preserve">self-management </w:t>
      </w:r>
      <w:proofErr w:type="spellStart"/>
      <w:r w:rsidRPr="00895AED">
        <w:rPr>
          <w:rFonts w:cstheme="minorHAnsi"/>
          <w:iCs/>
          <w:lang w:val="en-US"/>
        </w:rPr>
        <w:t>akan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lebih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dapat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mengontrol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dirinya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sendiri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baik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secara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perilaku</w:t>
      </w:r>
      <w:proofErr w:type="spellEnd"/>
      <w:r w:rsidRPr="00895AED">
        <w:rPr>
          <w:rFonts w:cstheme="minorHAnsi"/>
          <w:iCs/>
          <w:lang w:val="en-US"/>
        </w:rPr>
        <w:t xml:space="preserve">, </w:t>
      </w:r>
      <w:proofErr w:type="spellStart"/>
      <w:r w:rsidRPr="00895AED">
        <w:rPr>
          <w:rFonts w:cstheme="minorHAnsi"/>
          <w:iCs/>
          <w:lang w:val="en-US"/>
        </w:rPr>
        <w:t>pikiran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maupun</w:t>
      </w:r>
      <w:proofErr w:type="spellEnd"/>
      <w:r w:rsidRPr="00895AED">
        <w:rPr>
          <w:rFonts w:cstheme="minorHAnsi"/>
          <w:iCs/>
          <w:lang w:val="en-US"/>
        </w:rPr>
        <w:t xml:space="preserve"> </w:t>
      </w:r>
      <w:proofErr w:type="spellStart"/>
      <w:r w:rsidRPr="00895AED">
        <w:rPr>
          <w:rFonts w:cstheme="minorHAnsi"/>
          <w:iCs/>
          <w:lang w:val="en-US"/>
        </w:rPr>
        <w:t>perasaan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hal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lah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dibutuhkan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di masa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seperti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sekarang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  <w:lang w:val="en-US"/>
        </w:rPr>
        <w:t xml:space="preserve"> agar </w:t>
      </w:r>
      <w:proofErr w:type="spellStart"/>
      <w:r w:rsidRPr="00895AED">
        <w:rPr>
          <w:rFonts w:cstheme="minorHAnsi"/>
          <w:lang w:val="en-US"/>
        </w:rPr>
        <w:t>memiliki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</w:t>
      </w:r>
      <w:r w:rsidRPr="00895AED">
        <w:rPr>
          <w:rFonts w:cstheme="minorHAnsi"/>
          <w:i/>
          <w:iCs/>
          <w:lang w:val="en-US"/>
        </w:rPr>
        <w:t xml:space="preserve">subjective well-being </w:t>
      </w:r>
      <w:r w:rsidRPr="00895AED">
        <w:rPr>
          <w:rFonts w:cstheme="minorHAnsi"/>
          <w:lang w:val="en-US"/>
        </w:rPr>
        <w:t xml:space="preserve">yang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sehingga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mampu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untuk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menghadapi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kondisi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seperti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saat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ini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dengan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lebih</w:t>
      </w:r>
      <w:proofErr w:type="spellEnd"/>
      <w:r w:rsidRPr="00895AED">
        <w:rPr>
          <w:rFonts w:cstheme="minorHAnsi"/>
          <w:lang w:val="en-US"/>
        </w:rPr>
        <w:t xml:space="preserve"> </w:t>
      </w:r>
      <w:proofErr w:type="spellStart"/>
      <w:r w:rsidRPr="00895AED">
        <w:rPr>
          <w:rFonts w:cstheme="minorHAnsi"/>
          <w:lang w:val="en-US"/>
        </w:rPr>
        <w:t>baik</w:t>
      </w:r>
      <w:proofErr w:type="spellEnd"/>
      <w:r w:rsidRPr="00895AED">
        <w:rPr>
          <w:rFonts w:cstheme="minorHAnsi"/>
        </w:rPr>
        <w:t xml:space="preserve">. </w:t>
      </w:r>
    </w:p>
    <w:p w14:paraId="1759243D" w14:textId="272D60B4" w:rsidR="00DD7C26" w:rsidRPr="00895AED" w:rsidRDefault="00160FFB" w:rsidP="00A97EBD">
      <w:pPr>
        <w:spacing w:after="0" w:line="276" w:lineRule="auto"/>
        <w:ind w:left="425" w:firstLine="426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penjelasan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tersebut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peneliti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tertarik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untuk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memberikan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pelatihan</w:t>
      </w:r>
      <w:proofErr w:type="spellEnd"/>
      <w:r w:rsidR="000F6D77" w:rsidRPr="00895AED">
        <w:rPr>
          <w:rFonts w:cstheme="minorHAnsi"/>
        </w:rPr>
        <w:t xml:space="preserve"> </w:t>
      </w:r>
      <w:r w:rsidR="000F6D77" w:rsidRPr="00895AED">
        <w:rPr>
          <w:rFonts w:cstheme="minorHAnsi"/>
          <w:i/>
        </w:rPr>
        <w:t xml:space="preserve">self-management </w:t>
      </w:r>
      <w:proofErr w:type="spellStart"/>
      <w:r w:rsidR="000F6D77" w:rsidRPr="00895AED">
        <w:rPr>
          <w:rFonts w:cstheme="minorHAnsi"/>
        </w:rPr>
        <w:t>sebagai</w:t>
      </w:r>
      <w:proofErr w:type="spellEnd"/>
      <w:r w:rsidR="000F6D77" w:rsidRPr="00895AED">
        <w:rPr>
          <w:rFonts w:cstheme="minorHAnsi"/>
        </w:rPr>
        <w:t xml:space="preserve"> salah </w:t>
      </w:r>
      <w:proofErr w:type="spellStart"/>
      <w:r w:rsidR="000F6D77" w:rsidRPr="00895AED">
        <w:rPr>
          <w:rFonts w:cstheme="minorHAnsi"/>
        </w:rPr>
        <w:t>satu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alternatif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pelatihan</w:t>
      </w:r>
      <w:proofErr w:type="spellEnd"/>
      <w:r w:rsidR="000F6D77" w:rsidRPr="00895AED">
        <w:rPr>
          <w:rFonts w:cstheme="minorHAnsi"/>
        </w:rPr>
        <w:t xml:space="preserve"> yang </w:t>
      </w:r>
      <w:proofErr w:type="spellStart"/>
      <w:r w:rsidR="000F6D77" w:rsidRPr="00895AED">
        <w:rPr>
          <w:rFonts w:cstheme="minorHAnsi"/>
        </w:rPr>
        <w:t>dapat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dilakukan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untuk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meningkatkan</w:t>
      </w:r>
      <w:proofErr w:type="spellEnd"/>
      <w:r w:rsidR="000F6D77" w:rsidRPr="00895AED">
        <w:rPr>
          <w:rFonts w:cstheme="minorHAnsi"/>
        </w:rPr>
        <w:t xml:space="preserve"> </w:t>
      </w:r>
      <w:r w:rsidR="000F6D77" w:rsidRPr="00895AED">
        <w:rPr>
          <w:rFonts w:cstheme="minorHAnsi"/>
          <w:i/>
        </w:rPr>
        <w:t xml:space="preserve">subjective well-being </w:t>
      </w:r>
      <w:proofErr w:type="spellStart"/>
      <w:r w:rsidR="000F6D77" w:rsidRPr="00895AED">
        <w:rPr>
          <w:rFonts w:cstheme="minorHAnsi"/>
        </w:rPr>
        <w:t>karyawan</w:t>
      </w:r>
      <w:proofErr w:type="spellEnd"/>
      <w:r w:rsidR="000F6D77" w:rsidRPr="00895AED">
        <w:rPr>
          <w:rFonts w:cstheme="minorHAnsi"/>
        </w:rPr>
        <w:t xml:space="preserve"> di </w:t>
      </w:r>
      <w:proofErr w:type="spellStart"/>
      <w:r w:rsidR="000F6D77" w:rsidRPr="00895AED">
        <w:rPr>
          <w:rFonts w:cstheme="minorHAnsi"/>
        </w:rPr>
        <w:t>tengah</w:t>
      </w:r>
      <w:proofErr w:type="spellEnd"/>
      <w:r w:rsidR="000F6D77" w:rsidRPr="00895AED">
        <w:rPr>
          <w:rFonts w:cstheme="minorHAnsi"/>
        </w:rPr>
        <w:t xml:space="preserve"> </w:t>
      </w:r>
      <w:proofErr w:type="spellStart"/>
      <w:r w:rsidR="000F6D77" w:rsidRPr="00895AED">
        <w:rPr>
          <w:rFonts w:cstheme="minorHAnsi"/>
        </w:rPr>
        <w:t>pandemi</w:t>
      </w:r>
      <w:proofErr w:type="spellEnd"/>
      <w:r w:rsidR="000F6D77" w:rsidRPr="00895AED">
        <w:rPr>
          <w:rFonts w:cstheme="minorHAnsi"/>
        </w:rPr>
        <w:t xml:space="preserve"> covid-19.</w:t>
      </w:r>
    </w:p>
    <w:p w14:paraId="7F56CE08" w14:textId="0CEFDD6E" w:rsidR="00DD7C26" w:rsidRPr="00895AED" w:rsidRDefault="00DD7C26" w:rsidP="00991E13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  <w:b/>
          <w:bCs/>
        </w:rPr>
        <w:t>Metode</w:t>
      </w:r>
      <w:proofErr w:type="spellEnd"/>
      <w:r w:rsidRPr="00895AED">
        <w:rPr>
          <w:rFonts w:cstheme="minorHAnsi"/>
          <w:b/>
          <w:bCs/>
        </w:rPr>
        <w:t xml:space="preserve"> </w:t>
      </w:r>
      <w:proofErr w:type="spellStart"/>
      <w:r w:rsidRPr="00895AED">
        <w:rPr>
          <w:rFonts w:cstheme="minorHAnsi"/>
          <w:b/>
          <w:bCs/>
        </w:rPr>
        <w:t>Penelitian</w:t>
      </w:r>
      <w:proofErr w:type="spellEnd"/>
    </w:p>
    <w:p w14:paraId="690E8C5E" w14:textId="1FF82250" w:rsidR="00160FFB" w:rsidRPr="00895AED" w:rsidRDefault="00160FFB" w:rsidP="00991E13">
      <w:pPr>
        <w:pStyle w:val="ListParagraph"/>
        <w:spacing w:after="0" w:line="276" w:lineRule="auto"/>
        <w:ind w:left="426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  <w:b/>
          <w:bCs/>
        </w:rPr>
        <w:t>Subjek</w:t>
      </w:r>
      <w:proofErr w:type="spellEnd"/>
      <w:r w:rsidRPr="00895AED">
        <w:rPr>
          <w:rFonts w:cstheme="minorHAnsi"/>
          <w:b/>
          <w:bCs/>
        </w:rPr>
        <w:t xml:space="preserve"> </w:t>
      </w:r>
      <w:proofErr w:type="spellStart"/>
      <w:r w:rsidRPr="00895AED">
        <w:rPr>
          <w:rFonts w:cstheme="minorHAnsi"/>
          <w:b/>
          <w:bCs/>
        </w:rPr>
        <w:t>Penelitian</w:t>
      </w:r>
      <w:proofErr w:type="spellEnd"/>
    </w:p>
    <w:p w14:paraId="5B1468C4" w14:textId="6E896A21" w:rsidR="00160FFB" w:rsidRPr="00895AED" w:rsidRDefault="00160FFB" w:rsidP="00A97EBD">
      <w:pPr>
        <w:pStyle w:val="ListParagraph"/>
        <w:spacing w:after="0" w:line="276" w:lineRule="auto"/>
        <w:ind w:left="426" w:firstLine="425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Subjek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dalam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penelitian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perusahaan</w:t>
      </w:r>
      <w:proofErr w:type="spellEnd"/>
      <w:r w:rsidRPr="00895AED">
        <w:rPr>
          <w:rFonts w:cstheme="minorHAnsi"/>
        </w:rPr>
        <w:t xml:space="preserve"> X yang </w:t>
      </w:r>
      <w:proofErr w:type="spellStart"/>
      <w:r w:rsidRPr="00895AED">
        <w:rPr>
          <w:rFonts w:cstheme="minorHAnsi"/>
        </w:rPr>
        <w:t>terdampak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pandemi</w:t>
      </w:r>
      <w:proofErr w:type="spellEnd"/>
      <w:r w:rsidRPr="00895AED">
        <w:rPr>
          <w:rFonts w:cstheme="minorHAnsi"/>
        </w:rPr>
        <w:t xml:space="preserve"> covid-19. </w:t>
      </w:r>
      <w:proofErr w:type="spellStart"/>
      <w:r w:rsidRPr="00895AED">
        <w:rPr>
          <w:rFonts w:cstheme="minorHAnsi"/>
        </w:rPr>
        <w:t>Kriteria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subjek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penelitian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memiliki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tingkat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  <w:iCs/>
        </w:rPr>
        <w:t xml:space="preserve">subjective well-being </w:t>
      </w:r>
      <w:proofErr w:type="spellStart"/>
      <w:r w:rsidRPr="00895AED">
        <w:rPr>
          <w:rFonts w:cstheme="minorHAnsi"/>
        </w:rPr>
        <w:t>rendah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hingga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sedang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kategorisasi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ada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Jumlah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sampel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penelitian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adalah</w:t>
      </w:r>
      <w:proofErr w:type="spellEnd"/>
      <w:r w:rsidRPr="00895AED">
        <w:rPr>
          <w:rFonts w:cstheme="minorHAnsi"/>
        </w:rPr>
        <w:t xml:space="preserve"> 30 </w:t>
      </w:r>
      <w:proofErr w:type="spellStart"/>
      <w:r w:rsidRPr="00895AED">
        <w:rPr>
          <w:rFonts w:cstheme="minorHAnsi"/>
        </w:rPr>
        <w:t>responden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selanjutnya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dilakukan</w:t>
      </w:r>
      <w:proofErr w:type="spellEnd"/>
      <w:r w:rsidRPr="00895AED">
        <w:rPr>
          <w:rFonts w:cstheme="minorHAnsi"/>
        </w:rPr>
        <w:t xml:space="preserve"> proses </w:t>
      </w:r>
      <w:r w:rsidRPr="00895AED">
        <w:rPr>
          <w:rFonts w:cstheme="minorHAnsi"/>
          <w:i/>
          <w:iCs/>
        </w:rPr>
        <w:t xml:space="preserve">screening </w:t>
      </w:r>
      <w:proofErr w:type="spellStart"/>
      <w:r w:rsidRPr="00895AED">
        <w:rPr>
          <w:rFonts w:cstheme="minorHAnsi"/>
        </w:rPr>
        <w:t>dari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hasil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skala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telah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dibagikan</w:t>
      </w:r>
      <w:proofErr w:type="spellEnd"/>
      <w:r w:rsidRPr="00895AED">
        <w:rPr>
          <w:rFonts w:cstheme="minorHAnsi"/>
        </w:rPr>
        <w:t xml:space="preserve"> pada para </w:t>
      </w:r>
      <w:proofErr w:type="spellStart"/>
      <w:r w:rsidRPr="00895AED">
        <w:rPr>
          <w:rFonts w:cstheme="minorHAnsi"/>
        </w:rPr>
        <w:t>karyawan</w:t>
      </w:r>
      <w:proofErr w:type="spellEnd"/>
      <w:r w:rsidRPr="00895AED">
        <w:rPr>
          <w:rFonts w:cstheme="minorHAnsi"/>
        </w:rPr>
        <w:t>.</w:t>
      </w:r>
    </w:p>
    <w:p w14:paraId="28B976BD" w14:textId="77777777" w:rsidR="00160FFB" w:rsidRPr="00895AED" w:rsidRDefault="00160FFB" w:rsidP="00991E13">
      <w:pPr>
        <w:pStyle w:val="ListParagraph"/>
        <w:spacing w:after="0" w:line="276" w:lineRule="auto"/>
        <w:ind w:left="426"/>
        <w:jc w:val="both"/>
        <w:rPr>
          <w:rFonts w:cstheme="minorHAnsi"/>
        </w:rPr>
      </w:pPr>
    </w:p>
    <w:p w14:paraId="4A4C4205" w14:textId="6E0D0926" w:rsidR="00160FFB" w:rsidRPr="00895AED" w:rsidRDefault="00160FFB" w:rsidP="00991E13">
      <w:pPr>
        <w:pStyle w:val="ListParagraph"/>
        <w:spacing w:after="0" w:line="276" w:lineRule="auto"/>
        <w:ind w:left="426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  <w:b/>
          <w:bCs/>
        </w:rPr>
        <w:t>Instrumen</w:t>
      </w:r>
      <w:proofErr w:type="spellEnd"/>
      <w:r w:rsidRPr="00895AED">
        <w:rPr>
          <w:rFonts w:cstheme="minorHAnsi"/>
          <w:b/>
          <w:bCs/>
        </w:rPr>
        <w:t xml:space="preserve"> </w:t>
      </w:r>
      <w:proofErr w:type="spellStart"/>
      <w:r w:rsidRPr="00895AED">
        <w:rPr>
          <w:rFonts w:cstheme="minorHAnsi"/>
          <w:b/>
          <w:bCs/>
        </w:rPr>
        <w:t>Penelitian</w:t>
      </w:r>
      <w:proofErr w:type="spellEnd"/>
    </w:p>
    <w:p w14:paraId="0524E481" w14:textId="5A14E93A" w:rsidR="00160FFB" w:rsidRPr="00895AED" w:rsidRDefault="00160FFB" w:rsidP="00A97EBD">
      <w:pPr>
        <w:pStyle w:val="ListParagraph"/>
        <w:spacing w:after="0" w:line="276" w:lineRule="auto"/>
        <w:ind w:left="426" w:firstLine="425"/>
        <w:jc w:val="both"/>
        <w:rPr>
          <w:rFonts w:cstheme="minorHAnsi"/>
        </w:rPr>
      </w:pPr>
      <w:r w:rsidRPr="00895AED">
        <w:rPr>
          <w:rFonts w:cstheme="minorHAnsi"/>
        </w:rPr>
        <w:t xml:space="preserve">Skala </w:t>
      </w:r>
      <w:r w:rsidRPr="00895AED">
        <w:rPr>
          <w:rFonts w:cstheme="minorHAnsi"/>
          <w:i/>
          <w:iCs/>
        </w:rPr>
        <w:t xml:space="preserve">subjective well-being </w:t>
      </w:r>
      <w:r w:rsidRPr="00895AED">
        <w:rPr>
          <w:rFonts w:cstheme="minorHAnsi"/>
        </w:rPr>
        <w:t xml:space="preserve">pada </w:t>
      </w:r>
      <w:proofErr w:type="spellStart"/>
      <w:r w:rsidRPr="00895AED">
        <w:rPr>
          <w:rFonts w:cstheme="minorHAnsi"/>
        </w:rPr>
        <w:t>penelitian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diadaptasi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skala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dibuat</w:t>
      </w:r>
      <w:proofErr w:type="spellEnd"/>
      <w:r w:rsidRPr="00895AED">
        <w:rPr>
          <w:rFonts w:cstheme="minorHAnsi"/>
        </w:rPr>
        <w:t xml:space="preserve"> oleh OECD (</w:t>
      </w:r>
      <w:r w:rsidRPr="00895AED">
        <w:rPr>
          <w:rFonts w:cstheme="minorHAnsi"/>
          <w:i/>
          <w:iCs/>
        </w:rPr>
        <w:t xml:space="preserve">Organization for Economic Cooperation and Development) </w:t>
      </w:r>
      <w:proofErr w:type="spellStart"/>
      <w:r w:rsidRPr="00895AED">
        <w:rPr>
          <w:rFonts w:cstheme="minorHAnsi"/>
        </w:rPr>
        <w:t>terdiri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dari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tiga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skala</w:t>
      </w:r>
      <w:proofErr w:type="spellEnd"/>
      <w:r w:rsidRPr="00895AED">
        <w:rPr>
          <w:rFonts w:cstheme="minorHAnsi"/>
        </w:rPr>
        <w:t xml:space="preserve"> di </w:t>
      </w:r>
      <w:proofErr w:type="spellStart"/>
      <w:r w:rsidRPr="00895AED">
        <w:rPr>
          <w:rFonts w:cstheme="minorHAnsi"/>
        </w:rPr>
        <w:t>dalamnya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yaitu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  <w:iCs/>
        </w:rPr>
        <w:t xml:space="preserve">life evaluation, affects </w:t>
      </w:r>
      <w:r w:rsidRPr="00895AED">
        <w:rPr>
          <w:rFonts w:cstheme="minorHAnsi"/>
        </w:rPr>
        <w:t xml:space="preserve">dan </w:t>
      </w:r>
      <w:r w:rsidRPr="00895AED">
        <w:rPr>
          <w:rFonts w:cstheme="minorHAnsi"/>
          <w:i/>
          <w:iCs/>
        </w:rPr>
        <w:t>eudaimonia</w:t>
      </w:r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total 25 </w:t>
      </w:r>
      <w:proofErr w:type="spellStart"/>
      <w:r w:rsidRPr="00895AED">
        <w:rPr>
          <w:rFonts w:cstheme="minorHAnsi"/>
        </w:rPr>
        <w:t>aitem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hasil</w:t>
      </w:r>
      <w:proofErr w:type="spellEnd"/>
      <w:r w:rsidRPr="00895AED">
        <w:rPr>
          <w:rFonts w:cstheme="minorHAnsi"/>
        </w:rPr>
        <w:t xml:space="preserve"> uji </w:t>
      </w:r>
      <w:proofErr w:type="spellStart"/>
      <w:r w:rsidRPr="00895AED">
        <w:rPr>
          <w:rFonts w:cstheme="minorHAnsi"/>
        </w:rPr>
        <w:t>coba</w:t>
      </w:r>
      <w:proofErr w:type="spellEnd"/>
      <w:r w:rsidRPr="00895AED">
        <w:rPr>
          <w:rFonts w:cstheme="minorHAnsi"/>
        </w:rPr>
        <w:t xml:space="preserve"> pada 20 </w:t>
      </w:r>
      <w:proofErr w:type="spellStart"/>
      <w:r w:rsidRPr="00895AED">
        <w:rPr>
          <w:rFonts w:cstheme="minorHAnsi"/>
        </w:rPr>
        <w:t>responden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didapati</w:t>
      </w:r>
      <w:proofErr w:type="spellEnd"/>
      <w:r w:rsidRPr="00895AED">
        <w:rPr>
          <w:rFonts w:cstheme="minorHAnsi"/>
        </w:rPr>
        <w:t xml:space="preserve"> 25 </w:t>
      </w:r>
      <w:proofErr w:type="spellStart"/>
      <w:r w:rsidRPr="00895AED">
        <w:rPr>
          <w:rFonts w:cstheme="minorHAnsi"/>
        </w:rPr>
        <w:t>aitem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tersebut</w:t>
      </w:r>
      <w:proofErr w:type="spellEnd"/>
      <w:r w:rsidRPr="00895AED">
        <w:rPr>
          <w:rFonts w:cstheme="minorHAnsi"/>
        </w:rPr>
        <w:t xml:space="preserve"> valid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koefisien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  <w:i/>
          <w:iCs/>
        </w:rPr>
        <w:t>cronbach’s</w:t>
      </w:r>
      <w:proofErr w:type="spellEnd"/>
      <w:r w:rsidRPr="00895AED">
        <w:rPr>
          <w:rFonts w:cstheme="minorHAnsi"/>
          <w:i/>
          <w:iCs/>
        </w:rPr>
        <w:t xml:space="preserve"> </w:t>
      </w:r>
      <w:proofErr w:type="spellStart"/>
      <w:r w:rsidRPr="00895AED">
        <w:rPr>
          <w:rFonts w:cstheme="minorHAnsi"/>
          <w:i/>
          <w:iCs/>
        </w:rPr>
        <w:t>aplha</w:t>
      </w:r>
      <w:proofErr w:type="spellEnd"/>
      <w:r w:rsidRPr="00895AED">
        <w:rPr>
          <w:rFonts w:cstheme="minorHAnsi"/>
          <w:i/>
          <w:iCs/>
        </w:rPr>
        <w:t xml:space="preserve"> </w:t>
      </w:r>
      <w:proofErr w:type="spellStart"/>
      <w:r w:rsidRPr="00895AED">
        <w:rPr>
          <w:rFonts w:cstheme="minorHAnsi"/>
        </w:rPr>
        <w:t>sebesar</w:t>
      </w:r>
      <w:proofErr w:type="spellEnd"/>
      <w:r w:rsidRPr="00895AED">
        <w:rPr>
          <w:rFonts w:cstheme="minorHAnsi"/>
        </w:rPr>
        <w:t xml:space="preserve"> </w:t>
      </w:r>
      <w:r w:rsidR="00F25FD2" w:rsidRPr="00895AED">
        <w:rPr>
          <w:rFonts w:cstheme="minorHAnsi"/>
        </w:rPr>
        <w:t>0,986.</w:t>
      </w:r>
    </w:p>
    <w:p w14:paraId="6F442D5C" w14:textId="6A131671" w:rsidR="00F25FD2" w:rsidRPr="00895AED" w:rsidRDefault="00F25FD2" w:rsidP="00A97EBD">
      <w:pPr>
        <w:pStyle w:val="ListParagraph"/>
        <w:spacing w:after="0" w:line="276" w:lineRule="auto"/>
        <w:ind w:left="426" w:firstLine="425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Penyusunan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skala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  <w:iCs/>
        </w:rPr>
        <w:t>self-</w:t>
      </w:r>
      <w:proofErr w:type="spellStart"/>
      <w:r w:rsidRPr="00895AED">
        <w:rPr>
          <w:rFonts w:cstheme="minorHAnsi"/>
          <w:i/>
          <w:iCs/>
        </w:rPr>
        <w:t>managament</w:t>
      </w:r>
      <w:proofErr w:type="spellEnd"/>
      <w:r w:rsidRPr="00895AED">
        <w:rPr>
          <w:rFonts w:cstheme="minorHAnsi"/>
          <w:i/>
          <w:iCs/>
        </w:rPr>
        <w:t xml:space="preserve"> </w:t>
      </w:r>
      <w:proofErr w:type="spellStart"/>
      <w:r w:rsidRPr="00895AED">
        <w:rPr>
          <w:rFonts w:cstheme="minorHAnsi"/>
        </w:rPr>
        <w:t>dibuat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pada </w:t>
      </w:r>
      <w:proofErr w:type="spellStart"/>
      <w:r w:rsidRPr="00895AED">
        <w:rPr>
          <w:rFonts w:cstheme="minorHAnsi"/>
        </w:rPr>
        <w:t>empat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aspek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  <w:iCs/>
        </w:rPr>
        <w:t xml:space="preserve">self-management </w:t>
      </w:r>
      <w:r w:rsidRPr="00895AED">
        <w:rPr>
          <w:rFonts w:cstheme="minorHAnsi"/>
        </w:rPr>
        <w:t xml:space="preserve">yang </w:t>
      </w:r>
      <w:proofErr w:type="spellStart"/>
      <w:r w:rsidRPr="00895AED">
        <w:rPr>
          <w:rFonts w:cstheme="minorHAnsi"/>
        </w:rPr>
        <w:t>diungkapkan</w:t>
      </w:r>
      <w:proofErr w:type="spellEnd"/>
      <w:r w:rsidRPr="00895AED">
        <w:rPr>
          <w:rFonts w:cstheme="minorHAnsi"/>
        </w:rPr>
        <w:t xml:space="preserve"> oleh </w:t>
      </w:r>
      <w:proofErr w:type="spellStart"/>
      <w:r w:rsidRPr="00895AED">
        <w:rPr>
          <w:rFonts w:cstheme="minorHAnsi"/>
        </w:rPr>
        <w:t>Gunarsa</w:t>
      </w:r>
      <w:proofErr w:type="spellEnd"/>
      <w:r w:rsidRPr="00895AED">
        <w:rPr>
          <w:rFonts w:cstheme="minorHAnsi"/>
        </w:rPr>
        <w:t xml:space="preserve"> (2004) </w:t>
      </w:r>
      <w:proofErr w:type="spellStart"/>
      <w:r w:rsidRPr="00895AED">
        <w:rPr>
          <w:rFonts w:cstheme="minorHAnsi"/>
        </w:rPr>
        <w:t>yaitu</w:t>
      </w:r>
      <w:proofErr w:type="spellEnd"/>
      <w:r w:rsidRPr="00895AED">
        <w:rPr>
          <w:rFonts w:cstheme="minorHAnsi"/>
        </w:rPr>
        <w:t xml:space="preserve"> </w:t>
      </w:r>
      <w:r w:rsidRPr="00895AED">
        <w:rPr>
          <w:rFonts w:cstheme="minorHAnsi"/>
          <w:i/>
          <w:iCs/>
        </w:rPr>
        <w:t xml:space="preserve">self-monitoring, self-reward, self-contracting </w:t>
      </w:r>
      <w:r w:rsidRPr="00895AED">
        <w:rPr>
          <w:rFonts w:cstheme="minorHAnsi"/>
        </w:rPr>
        <w:t xml:space="preserve">dan </w:t>
      </w:r>
      <w:r w:rsidRPr="00895AED">
        <w:rPr>
          <w:rFonts w:cstheme="minorHAnsi"/>
          <w:i/>
          <w:iCs/>
        </w:rPr>
        <w:t>stimulus control</w:t>
      </w:r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terdiri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atas</w:t>
      </w:r>
      <w:proofErr w:type="spellEnd"/>
      <w:r w:rsidRPr="00895AED">
        <w:rPr>
          <w:rFonts w:cstheme="minorHAnsi"/>
        </w:rPr>
        <w:t xml:space="preserve"> 28 </w:t>
      </w:r>
      <w:proofErr w:type="spellStart"/>
      <w:r w:rsidRPr="00895AED">
        <w:rPr>
          <w:rFonts w:cstheme="minorHAnsi"/>
        </w:rPr>
        <w:t>aitem</w:t>
      </w:r>
      <w:proofErr w:type="spellEnd"/>
      <w:r w:rsidRPr="00895AED">
        <w:rPr>
          <w:rFonts w:cstheme="minorHAnsi"/>
        </w:rPr>
        <w:t xml:space="preserve">. </w:t>
      </w:r>
      <w:proofErr w:type="spellStart"/>
      <w:r w:rsidRPr="00895AED">
        <w:rPr>
          <w:rFonts w:cstheme="minorHAnsi"/>
        </w:rPr>
        <w:t>Berdasarkan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hasil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ujicoba</w:t>
      </w:r>
      <w:proofErr w:type="spellEnd"/>
      <w:r w:rsidRPr="00895AED">
        <w:rPr>
          <w:rFonts w:cstheme="minorHAnsi"/>
        </w:rPr>
        <w:t xml:space="preserve"> yang </w:t>
      </w:r>
      <w:proofErr w:type="spellStart"/>
      <w:r w:rsidRPr="00895AED">
        <w:rPr>
          <w:rFonts w:cstheme="minorHAnsi"/>
        </w:rPr>
        <w:t>dilakukan</w:t>
      </w:r>
      <w:proofErr w:type="spellEnd"/>
      <w:r w:rsidRPr="00895AED">
        <w:rPr>
          <w:rFonts w:cstheme="minorHAnsi"/>
        </w:rPr>
        <w:t xml:space="preserve"> pada 20 </w:t>
      </w:r>
      <w:proofErr w:type="spellStart"/>
      <w:r w:rsidRPr="00895AED">
        <w:rPr>
          <w:rFonts w:cstheme="minorHAnsi"/>
        </w:rPr>
        <w:t>responden</w:t>
      </w:r>
      <w:proofErr w:type="spellEnd"/>
      <w:r w:rsidRPr="00895AED">
        <w:rPr>
          <w:rFonts w:cstheme="minorHAnsi"/>
        </w:rPr>
        <w:t xml:space="preserve">, </w:t>
      </w:r>
      <w:proofErr w:type="spellStart"/>
      <w:r w:rsidRPr="00895AED">
        <w:rPr>
          <w:rFonts w:cstheme="minorHAnsi"/>
        </w:rPr>
        <w:t>diketahui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bahwa</w:t>
      </w:r>
      <w:proofErr w:type="spellEnd"/>
      <w:r w:rsidRPr="00895AED">
        <w:rPr>
          <w:rFonts w:cstheme="minorHAnsi"/>
        </w:rPr>
        <w:t xml:space="preserve"> 28 </w:t>
      </w:r>
      <w:proofErr w:type="spellStart"/>
      <w:r w:rsidRPr="00895AED">
        <w:rPr>
          <w:rFonts w:cstheme="minorHAnsi"/>
        </w:rPr>
        <w:t>aitem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tersebut</w:t>
      </w:r>
      <w:proofErr w:type="spellEnd"/>
      <w:r w:rsidRPr="00895AED">
        <w:rPr>
          <w:rFonts w:cstheme="minorHAnsi"/>
        </w:rPr>
        <w:t xml:space="preserve"> valid </w:t>
      </w:r>
      <w:proofErr w:type="spellStart"/>
      <w:r w:rsidRPr="00895AED">
        <w:rPr>
          <w:rFonts w:cstheme="minorHAnsi"/>
        </w:rPr>
        <w:t>dengan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koefisien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  <w:i/>
          <w:iCs/>
        </w:rPr>
        <w:t>cronbach’s</w:t>
      </w:r>
      <w:proofErr w:type="spellEnd"/>
      <w:r w:rsidRPr="00895AED">
        <w:rPr>
          <w:rFonts w:cstheme="minorHAnsi"/>
          <w:i/>
          <w:iCs/>
        </w:rPr>
        <w:t xml:space="preserve"> alpha </w:t>
      </w:r>
      <w:proofErr w:type="spellStart"/>
      <w:r w:rsidRPr="00895AED">
        <w:rPr>
          <w:rFonts w:cstheme="minorHAnsi"/>
        </w:rPr>
        <w:t>sebesar</w:t>
      </w:r>
      <w:proofErr w:type="spellEnd"/>
      <w:r w:rsidRPr="00895AED">
        <w:rPr>
          <w:rFonts w:cstheme="minorHAnsi"/>
        </w:rPr>
        <w:t xml:space="preserve"> 0,943.</w:t>
      </w:r>
    </w:p>
    <w:p w14:paraId="7950CBE8" w14:textId="2BAB81D6" w:rsidR="00F25FD2" w:rsidRPr="00895AED" w:rsidRDefault="00F25FD2" w:rsidP="00991E13">
      <w:pPr>
        <w:pStyle w:val="ListParagraph"/>
        <w:spacing w:after="0" w:line="276" w:lineRule="auto"/>
        <w:ind w:left="426"/>
        <w:jc w:val="both"/>
        <w:rPr>
          <w:rFonts w:cstheme="minorHAnsi"/>
        </w:rPr>
      </w:pPr>
    </w:p>
    <w:p w14:paraId="6DA0C0A3" w14:textId="0136CE0E" w:rsidR="00F25FD2" w:rsidRPr="00895AED" w:rsidRDefault="00F25FD2" w:rsidP="00991E13">
      <w:pPr>
        <w:pStyle w:val="ListParagraph"/>
        <w:spacing w:after="0" w:line="276" w:lineRule="auto"/>
        <w:ind w:left="426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  <w:b/>
          <w:bCs/>
        </w:rPr>
        <w:t>Analisis</w:t>
      </w:r>
      <w:proofErr w:type="spellEnd"/>
      <w:r w:rsidRPr="00895AED">
        <w:rPr>
          <w:rFonts w:cstheme="minorHAnsi"/>
          <w:b/>
          <w:bCs/>
        </w:rPr>
        <w:t xml:space="preserve"> Data</w:t>
      </w:r>
    </w:p>
    <w:p w14:paraId="0363B4A8" w14:textId="19B09F63" w:rsidR="00F25FD2" w:rsidRPr="00E87284" w:rsidRDefault="00F25FD2" w:rsidP="00A97EBD">
      <w:pPr>
        <w:pStyle w:val="ListParagraph"/>
        <w:spacing w:after="0" w:line="276" w:lineRule="auto"/>
        <w:ind w:left="426" w:firstLine="425"/>
        <w:jc w:val="both"/>
        <w:rPr>
          <w:rFonts w:cstheme="minorHAnsi"/>
        </w:rPr>
      </w:pPr>
      <w:proofErr w:type="spellStart"/>
      <w:r w:rsidRPr="00895AED">
        <w:rPr>
          <w:rFonts w:cstheme="minorHAnsi"/>
        </w:rPr>
        <w:t>Penelitian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ini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menggunakan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teknik</w:t>
      </w:r>
      <w:proofErr w:type="spellEnd"/>
      <w:r w:rsidRPr="00895AED">
        <w:rPr>
          <w:rFonts w:cstheme="minorHAnsi"/>
        </w:rPr>
        <w:t xml:space="preserve"> </w:t>
      </w:r>
      <w:proofErr w:type="spellStart"/>
      <w:r w:rsidRPr="00895AED">
        <w:rPr>
          <w:rFonts w:cstheme="minorHAnsi"/>
        </w:rPr>
        <w:t>analisis</w:t>
      </w:r>
      <w:proofErr w:type="spellEnd"/>
      <w:r w:rsidRPr="00895AED">
        <w:rPr>
          <w:rFonts w:cstheme="minorHAnsi"/>
        </w:rPr>
        <w:t xml:space="preserve"> </w:t>
      </w:r>
      <w:r w:rsidR="009F54AF">
        <w:rPr>
          <w:rFonts w:cstheme="minorHAnsi"/>
          <w:i/>
          <w:iCs/>
        </w:rPr>
        <w:t xml:space="preserve">independent sample t test </w:t>
      </w:r>
      <w:r w:rsidR="009F54AF">
        <w:rPr>
          <w:rFonts w:cstheme="minorHAnsi"/>
        </w:rPr>
        <w:t xml:space="preserve">dan </w:t>
      </w:r>
      <w:r w:rsidR="009F54AF">
        <w:rPr>
          <w:rFonts w:cstheme="minorHAnsi"/>
          <w:i/>
          <w:iCs/>
        </w:rPr>
        <w:t xml:space="preserve">paired sample t test. Independent sample t test </w:t>
      </w:r>
      <w:proofErr w:type="spellStart"/>
      <w:r w:rsidR="009F54AF">
        <w:rPr>
          <w:rFonts w:cstheme="minorHAnsi"/>
        </w:rPr>
        <w:t>digunakan</w:t>
      </w:r>
      <w:proofErr w:type="spellEnd"/>
      <w:r w:rsidR="009F54AF">
        <w:rPr>
          <w:rFonts w:cstheme="minorHAnsi"/>
        </w:rPr>
        <w:t xml:space="preserve"> </w:t>
      </w:r>
      <w:proofErr w:type="spellStart"/>
      <w:r w:rsidR="009F54AF">
        <w:rPr>
          <w:rFonts w:cstheme="minorHAnsi"/>
        </w:rPr>
        <w:t>untuk</w:t>
      </w:r>
      <w:proofErr w:type="spellEnd"/>
      <w:r w:rsidR="009F54AF">
        <w:rPr>
          <w:rFonts w:cstheme="minorHAnsi"/>
        </w:rPr>
        <w:t xml:space="preserve"> </w:t>
      </w:r>
      <w:proofErr w:type="spellStart"/>
      <w:r w:rsidR="009F54AF">
        <w:rPr>
          <w:rFonts w:cstheme="minorHAnsi"/>
        </w:rPr>
        <w:t>mengetahui</w:t>
      </w:r>
      <w:proofErr w:type="spellEnd"/>
      <w:r w:rsidR="009F54AF">
        <w:rPr>
          <w:rFonts w:cstheme="minorHAnsi"/>
        </w:rPr>
        <w:t xml:space="preserve"> </w:t>
      </w:r>
      <w:proofErr w:type="spellStart"/>
      <w:r w:rsidR="009F54AF">
        <w:rPr>
          <w:rFonts w:cstheme="minorHAnsi"/>
        </w:rPr>
        <w:t>perbedaan</w:t>
      </w:r>
      <w:proofErr w:type="spellEnd"/>
      <w:r w:rsidR="009F54AF">
        <w:rPr>
          <w:rFonts w:cstheme="minorHAnsi"/>
        </w:rPr>
        <w:t xml:space="preserve"> </w:t>
      </w:r>
      <w:r w:rsidR="009F54AF">
        <w:rPr>
          <w:rFonts w:cstheme="minorHAnsi"/>
          <w:i/>
          <w:iCs/>
        </w:rPr>
        <w:t xml:space="preserve">mean </w:t>
      </w:r>
      <w:proofErr w:type="spellStart"/>
      <w:r w:rsidR="009F54AF">
        <w:rPr>
          <w:rFonts w:cstheme="minorHAnsi"/>
        </w:rPr>
        <w:t>antara</w:t>
      </w:r>
      <w:proofErr w:type="spellEnd"/>
      <w:r w:rsidR="009F54AF">
        <w:rPr>
          <w:rFonts w:cstheme="minorHAnsi"/>
        </w:rPr>
        <w:t xml:space="preserve"> </w:t>
      </w:r>
      <w:proofErr w:type="spellStart"/>
      <w:r w:rsidR="009F54AF">
        <w:rPr>
          <w:rFonts w:cstheme="minorHAnsi"/>
        </w:rPr>
        <w:t>kedua</w:t>
      </w:r>
      <w:proofErr w:type="spellEnd"/>
      <w:r w:rsidR="009F54AF">
        <w:rPr>
          <w:rFonts w:cstheme="minorHAnsi"/>
        </w:rPr>
        <w:t xml:space="preserve"> </w:t>
      </w:r>
      <w:proofErr w:type="spellStart"/>
      <w:r w:rsidR="009F54AF">
        <w:rPr>
          <w:rFonts w:cstheme="minorHAnsi"/>
        </w:rPr>
        <w:t>kelompok</w:t>
      </w:r>
      <w:proofErr w:type="spellEnd"/>
      <w:r w:rsidR="009F54AF">
        <w:rPr>
          <w:rFonts w:cstheme="minorHAnsi"/>
        </w:rPr>
        <w:t xml:space="preserve"> dan </w:t>
      </w:r>
      <w:proofErr w:type="spellStart"/>
      <w:r w:rsidR="009F54AF">
        <w:rPr>
          <w:rFonts w:cstheme="minorHAnsi"/>
        </w:rPr>
        <w:t>membandingkan</w:t>
      </w:r>
      <w:proofErr w:type="spellEnd"/>
      <w:r w:rsidR="009F54AF">
        <w:rPr>
          <w:rFonts w:cstheme="minorHAnsi"/>
        </w:rPr>
        <w:t xml:space="preserve"> </w:t>
      </w:r>
      <w:proofErr w:type="spellStart"/>
      <w:r w:rsidR="009F54AF">
        <w:rPr>
          <w:rFonts w:cstheme="minorHAnsi"/>
        </w:rPr>
        <w:t>tingkat</w:t>
      </w:r>
      <w:proofErr w:type="spellEnd"/>
      <w:r w:rsidR="009F54AF">
        <w:rPr>
          <w:rFonts w:cstheme="minorHAnsi"/>
        </w:rPr>
        <w:t xml:space="preserve"> </w:t>
      </w:r>
      <w:r w:rsidR="009F54AF">
        <w:rPr>
          <w:rFonts w:cstheme="minorHAnsi"/>
          <w:i/>
          <w:iCs/>
        </w:rPr>
        <w:t xml:space="preserve">subjective well-being </w:t>
      </w:r>
      <w:proofErr w:type="spellStart"/>
      <w:r w:rsidR="00E87284">
        <w:rPr>
          <w:rFonts w:cstheme="minorHAnsi"/>
        </w:rPr>
        <w:t>sesudah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diberikan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perlakuan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antar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kedua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kelompok</w:t>
      </w:r>
      <w:proofErr w:type="spellEnd"/>
      <w:r w:rsidR="00E87284">
        <w:rPr>
          <w:rFonts w:cstheme="minorHAnsi"/>
        </w:rPr>
        <w:t xml:space="preserve"> dan </w:t>
      </w:r>
      <w:r w:rsidR="00E87284">
        <w:rPr>
          <w:rFonts w:cstheme="minorHAnsi"/>
          <w:i/>
          <w:iCs/>
        </w:rPr>
        <w:t xml:space="preserve">paired sample t test </w:t>
      </w:r>
      <w:proofErr w:type="spellStart"/>
      <w:r w:rsidR="00E87284">
        <w:rPr>
          <w:rFonts w:cstheme="minorHAnsi"/>
        </w:rPr>
        <w:t>digunakan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untuk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membandingkan</w:t>
      </w:r>
      <w:proofErr w:type="spellEnd"/>
      <w:r w:rsidR="00E87284">
        <w:rPr>
          <w:rFonts w:cstheme="minorHAnsi"/>
        </w:rPr>
        <w:t xml:space="preserve"> data </w:t>
      </w:r>
      <w:r w:rsidR="00E87284">
        <w:rPr>
          <w:rFonts w:cstheme="minorHAnsi"/>
          <w:i/>
          <w:iCs/>
        </w:rPr>
        <w:t xml:space="preserve">subjective well-being </w:t>
      </w:r>
      <w:proofErr w:type="spellStart"/>
      <w:r w:rsidR="00E87284">
        <w:rPr>
          <w:rFonts w:cstheme="minorHAnsi"/>
        </w:rPr>
        <w:t>suatu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kelompok</w:t>
      </w:r>
      <w:proofErr w:type="spellEnd"/>
      <w:r w:rsidR="00E87284">
        <w:rPr>
          <w:rFonts w:cstheme="minorHAnsi"/>
        </w:rPr>
        <w:t xml:space="preserve"> pada </w:t>
      </w:r>
      <w:proofErr w:type="spellStart"/>
      <w:r w:rsidR="00E87284">
        <w:rPr>
          <w:rFonts w:cstheme="minorHAnsi"/>
        </w:rPr>
        <w:t>saat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sebelum</w:t>
      </w:r>
      <w:proofErr w:type="spellEnd"/>
      <w:r w:rsidR="00E87284">
        <w:rPr>
          <w:rFonts w:cstheme="minorHAnsi"/>
        </w:rPr>
        <w:t xml:space="preserve"> dan </w:t>
      </w:r>
      <w:proofErr w:type="spellStart"/>
      <w:r w:rsidR="00E87284">
        <w:rPr>
          <w:rFonts w:cstheme="minorHAnsi"/>
        </w:rPr>
        <w:t>sesudah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diberi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perlakuan</w:t>
      </w:r>
      <w:proofErr w:type="spellEnd"/>
      <w:r w:rsidR="00E87284">
        <w:rPr>
          <w:rFonts w:cstheme="minorHAnsi"/>
        </w:rPr>
        <w:t xml:space="preserve">. Uji </w:t>
      </w:r>
      <w:proofErr w:type="spellStart"/>
      <w:r w:rsidR="00E87284">
        <w:rPr>
          <w:rFonts w:cstheme="minorHAnsi"/>
        </w:rPr>
        <w:t>prasyarat</w:t>
      </w:r>
      <w:proofErr w:type="spellEnd"/>
      <w:r w:rsidR="00E87284">
        <w:rPr>
          <w:rFonts w:cstheme="minorHAnsi"/>
        </w:rPr>
        <w:t xml:space="preserve"> juga </w:t>
      </w:r>
      <w:proofErr w:type="spellStart"/>
      <w:r w:rsidR="00E87284">
        <w:rPr>
          <w:rFonts w:cstheme="minorHAnsi"/>
        </w:rPr>
        <w:t>menjadi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syarat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mutlak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dilakukannya</w:t>
      </w:r>
      <w:proofErr w:type="spellEnd"/>
      <w:r w:rsidR="00E87284">
        <w:rPr>
          <w:rFonts w:cstheme="minorHAnsi"/>
        </w:rPr>
        <w:t xml:space="preserve"> proses </w:t>
      </w:r>
      <w:proofErr w:type="spellStart"/>
      <w:r w:rsidR="00E87284">
        <w:rPr>
          <w:rFonts w:cstheme="minorHAnsi"/>
        </w:rPr>
        <w:t>analisis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tersebut</w:t>
      </w:r>
      <w:proofErr w:type="spellEnd"/>
      <w:r w:rsidR="00E87284">
        <w:rPr>
          <w:rFonts w:cstheme="minorHAnsi"/>
        </w:rPr>
        <w:t xml:space="preserve">, </w:t>
      </w:r>
      <w:proofErr w:type="spellStart"/>
      <w:r w:rsidR="00E87284">
        <w:rPr>
          <w:rFonts w:cstheme="minorHAnsi"/>
        </w:rPr>
        <w:t>adapun</w:t>
      </w:r>
      <w:proofErr w:type="spellEnd"/>
      <w:r w:rsidR="00E87284">
        <w:rPr>
          <w:rFonts w:cstheme="minorHAnsi"/>
        </w:rPr>
        <w:t xml:space="preserve"> uji </w:t>
      </w:r>
      <w:proofErr w:type="spellStart"/>
      <w:r w:rsidR="00E87284">
        <w:rPr>
          <w:rFonts w:cstheme="minorHAnsi"/>
        </w:rPr>
        <w:t>prasyarat</w:t>
      </w:r>
      <w:proofErr w:type="spellEnd"/>
      <w:r w:rsidR="00E87284">
        <w:rPr>
          <w:rFonts w:cstheme="minorHAnsi"/>
        </w:rPr>
        <w:t xml:space="preserve"> yang </w:t>
      </w:r>
      <w:proofErr w:type="spellStart"/>
      <w:r w:rsidR="00E87284">
        <w:rPr>
          <w:rFonts w:cstheme="minorHAnsi"/>
        </w:rPr>
        <w:t>harus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terpenuhi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adalah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dengan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menggunakan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tes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parametrik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apabila</w:t>
      </w:r>
      <w:proofErr w:type="spellEnd"/>
      <w:r w:rsidR="00E87284">
        <w:rPr>
          <w:rFonts w:cstheme="minorHAnsi"/>
        </w:rPr>
        <w:t xml:space="preserve"> data </w:t>
      </w:r>
      <w:proofErr w:type="spellStart"/>
      <w:r w:rsidR="00E87284">
        <w:rPr>
          <w:rFonts w:cstheme="minorHAnsi"/>
        </w:rPr>
        <w:t>terdistribusi</w:t>
      </w:r>
      <w:proofErr w:type="spellEnd"/>
      <w:r w:rsidR="00E87284">
        <w:rPr>
          <w:rFonts w:cstheme="minorHAnsi"/>
        </w:rPr>
        <w:t xml:space="preserve"> normal dan </w:t>
      </w:r>
      <w:proofErr w:type="spellStart"/>
      <w:r w:rsidR="00E87284">
        <w:rPr>
          <w:rFonts w:cstheme="minorHAnsi"/>
        </w:rPr>
        <w:t>homogen</w:t>
      </w:r>
      <w:proofErr w:type="spellEnd"/>
      <w:r w:rsidR="00E87284">
        <w:rPr>
          <w:rFonts w:cstheme="minorHAnsi"/>
        </w:rPr>
        <w:t xml:space="preserve">. Uji </w:t>
      </w:r>
      <w:proofErr w:type="spellStart"/>
      <w:r w:rsidR="00E87284">
        <w:rPr>
          <w:rFonts w:cstheme="minorHAnsi"/>
        </w:rPr>
        <w:t>normalitas</w:t>
      </w:r>
      <w:proofErr w:type="spellEnd"/>
      <w:r w:rsidR="00E87284">
        <w:rPr>
          <w:rFonts w:cstheme="minorHAnsi"/>
        </w:rPr>
        <w:t xml:space="preserve"> yang </w:t>
      </w:r>
      <w:proofErr w:type="spellStart"/>
      <w:r w:rsidR="00E87284">
        <w:rPr>
          <w:rFonts w:cstheme="minorHAnsi"/>
        </w:rPr>
        <w:t>digunakan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adalah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dengan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menggunakan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  <w:i/>
          <w:iCs/>
        </w:rPr>
        <w:t>saphiro-wilk</w:t>
      </w:r>
      <w:proofErr w:type="spellEnd"/>
      <w:r w:rsidR="00E87284">
        <w:rPr>
          <w:rFonts w:cstheme="minorHAnsi"/>
          <w:i/>
          <w:iCs/>
        </w:rPr>
        <w:t xml:space="preserve"> </w:t>
      </w:r>
      <w:r w:rsidR="00E87284">
        <w:rPr>
          <w:rFonts w:cstheme="minorHAnsi"/>
        </w:rPr>
        <w:t xml:space="preserve">(p&gt;0,05) </w:t>
      </w:r>
      <w:proofErr w:type="spellStart"/>
      <w:r w:rsidR="00E87284">
        <w:rPr>
          <w:rFonts w:cstheme="minorHAnsi"/>
        </w:rPr>
        <w:t>karena</w:t>
      </w:r>
      <w:proofErr w:type="spellEnd"/>
      <w:r w:rsidR="00E87284">
        <w:rPr>
          <w:rFonts w:cstheme="minorHAnsi"/>
        </w:rPr>
        <w:t xml:space="preserve"> </w:t>
      </w:r>
      <w:proofErr w:type="spellStart"/>
      <w:r w:rsidR="00E87284">
        <w:rPr>
          <w:rFonts w:cstheme="minorHAnsi"/>
        </w:rPr>
        <w:t>jumlah</w:t>
      </w:r>
      <w:proofErr w:type="spellEnd"/>
      <w:r w:rsidR="00E87284">
        <w:rPr>
          <w:rFonts w:cstheme="minorHAnsi"/>
        </w:rPr>
        <w:t xml:space="preserve"> sample &lt;50 </w:t>
      </w:r>
      <w:proofErr w:type="spellStart"/>
      <w:r w:rsidR="00E87284">
        <w:rPr>
          <w:rFonts w:cstheme="minorHAnsi"/>
        </w:rPr>
        <w:t>responden</w:t>
      </w:r>
      <w:proofErr w:type="spellEnd"/>
      <w:r w:rsidR="00E87284">
        <w:rPr>
          <w:rFonts w:cstheme="minorHAnsi"/>
        </w:rPr>
        <w:t xml:space="preserve">. </w:t>
      </w:r>
    </w:p>
    <w:p w14:paraId="4B6B5C51" w14:textId="77777777" w:rsidR="00F25FD2" w:rsidRPr="00895AED" w:rsidRDefault="00F25FD2" w:rsidP="00991E13">
      <w:pPr>
        <w:pStyle w:val="ListParagraph"/>
        <w:spacing w:after="0" w:line="276" w:lineRule="auto"/>
        <w:ind w:left="426"/>
        <w:jc w:val="both"/>
        <w:rPr>
          <w:rFonts w:cstheme="minorHAnsi"/>
        </w:rPr>
      </w:pPr>
    </w:p>
    <w:p w14:paraId="0B873E90" w14:textId="180F2EBA" w:rsidR="00DD7C26" w:rsidRPr="00895AED" w:rsidRDefault="00DD7C26" w:rsidP="00991E13">
      <w:pPr>
        <w:pStyle w:val="ListParagraph"/>
        <w:numPr>
          <w:ilvl w:val="0"/>
          <w:numId w:val="1"/>
        </w:numPr>
        <w:spacing w:after="0" w:line="276" w:lineRule="auto"/>
        <w:ind w:left="425"/>
        <w:jc w:val="both"/>
        <w:rPr>
          <w:rFonts w:cstheme="minorHAnsi"/>
          <w:b/>
          <w:bCs/>
        </w:rPr>
      </w:pPr>
      <w:r w:rsidRPr="00895AED">
        <w:rPr>
          <w:rFonts w:cstheme="minorHAnsi"/>
          <w:b/>
          <w:bCs/>
        </w:rPr>
        <w:lastRenderedPageBreak/>
        <w:t>Hasil</w:t>
      </w:r>
    </w:p>
    <w:p w14:paraId="198042AE" w14:textId="663E7F7D" w:rsidR="00F25FD2" w:rsidRDefault="00E87284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>
        <w:rPr>
          <w:rFonts w:cstheme="minorHAnsi"/>
        </w:rPr>
        <w:t>Berdasarkan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hasil</w:t>
      </w:r>
      <w:proofErr w:type="spellEnd"/>
      <w:r>
        <w:rPr>
          <w:rFonts w:cstheme="minorHAnsi"/>
        </w:rPr>
        <w:t xml:space="preserve"> uji </w:t>
      </w:r>
      <w:proofErr w:type="spellStart"/>
      <w:r>
        <w:rPr>
          <w:rFonts w:cstheme="minorHAnsi"/>
        </w:rPr>
        <w:t>normalitas</w:t>
      </w:r>
      <w:proofErr w:type="spellEnd"/>
      <w:r>
        <w:rPr>
          <w:rFonts w:cstheme="minorHAnsi"/>
        </w:rPr>
        <w:t xml:space="preserve"> pada </w:t>
      </w:r>
      <w:r>
        <w:rPr>
          <w:rFonts w:cstheme="minorHAnsi"/>
          <w:i/>
          <w:iCs/>
        </w:rPr>
        <w:t xml:space="preserve">independent sample t test </w:t>
      </w:r>
      <w:proofErr w:type="spellStart"/>
      <w:r>
        <w:rPr>
          <w:rFonts w:cstheme="minorHAnsi"/>
        </w:rPr>
        <w:t>diperoleh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  <w:iCs/>
        </w:rPr>
        <w:t>posttest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</w:rPr>
        <w:t>kelompok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eksperimen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sebesar</w:t>
      </w:r>
      <w:proofErr w:type="spellEnd"/>
      <w:r>
        <w:rPr>
          <w:rFonts w:cstheme="minorHAnsi"/>
        </w:rPr>
        <w:t xml:space="preserve"> 0,335 dan </w:t>
      </w:r>
      <w:proofErr w:type="spellStart"/>
      <w:r>
        <w:rPr>
          <w:rFonts w:cstheme="minorHAnsi"/>
        </w:rPr>
        <w:t>skor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  <w:iCs/>
        </w:rPr>
        <w:t>posttest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</w:rPr>
        <w:t>kelompok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kontrol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sebesar</w:t>
      </w:r>
      <w:proofErr w:type="spellEnd"/>
      <w:r>
        <w:rPr>
          <w:rFonts w:cstheme="minorHAnsi"/>
        </w:rPr>
        <w:t xml:space="preserve"> 0,233. </w:t>
      </w:r>
      <w:proofErr w:type="spellStart"/>
      <w:r>
        <w:rPr>
          <w:rFonts w:cstheme="minorHAnsi"/>
        </w:rPr>
        <w:t>Kaidah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digunakan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dalam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analisis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data </w:t>
      </w:r>
      <w:proofErr w:type="spellStart"/>
      <w:r>
        <w:rPr>
          <w:rFonts w:cstheme="minorHAnsi"/>
        </w:rPr>
        <w:t>dikatakan</w:t>
      </w:r>
      <w:proofErr w:type="spellEnd"/>
      <w:r>
        <w:rPr>
          <w:rFonts w:cstheme="minorHAnsi"/>
        </w:rPr>
        <w:t xml:space="preserve"> normal </w:t>
      </w:r>
      <w:proofErr w:type="spellStart"/>
      <w:r>
        <w:rPr>
          <w:rFonts w:cstheme="minorHAnsi"/>
        </w:rPr>
        <w:t>apabila</w:t>
      </w:r>
      <w:proofErr w:type="spellEnd"/>
      <w:r>
        <w:rPr>
          <w:rFonts w:cstheme="minorHAnsi"/>
        </w:rPr>
        <w:t xml:space="preserve"> Sig.&gt;0,05, </w:t>
      </w:r>
      <w:proofErr w:type="spellStart"/>
      <w:r>
        <w:rPr>
          <w:rFonts w:cstheme="minorHAnsi"/>
        </w:rPr>
        <w:t>artinya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sampe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digunakan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mampu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mewakili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populasi</w:t>
      </w:r>
      <w:proofErr w:type="spellEnd"/>
      <w:r>
        <w:rPr>
          <w:rFonts w:cstheme="minorHAnsi"/>
        </w:rPr>
        <w:t>.</w:t>
      </w:r>
    </w:p>
    <w:p w14:paraId="06ADD912" w14:textId="34F007C7" w:rsidR="00E87284" w:rsidRPr="00991E13" w:rsidRDefault="00E87284" w:rsidP="00F25FD2">
      <w:pPr>
        <w:pStyle w:val="ListParagraph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91E13">
        <w:rPr>
          <w:rFonts w:cstheme="minorHAnsi"/>
          <w:b/>
          <w:bCs/>
          <w:sz w:val="20"/>
          <w:szCs w:val="20"/>
        </w:rPr>
        <w:t>Tabel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1</w:t>
      </w:r>
      <w:r w:rsidR="00FC22FF" w:rsidRPr="00991E13">
        <w:rPr>
          <w:rFonts w:cstheme="minorHAnsi"/>
          <w:b/>
          <w:bCs/>
          <w:sz w:val="20"/>
          <w:szCs w:val="20"/>
        </w:rPr>
        <w:t>.</w:t>
      </w:r>
      <w:r w:rsidRPr="00991E13">
        <w:rPr>
          <w:rFonts w:cstheme="minorHAnsi"/>
          <w:b/>
          <w:bCs/>
          <w:sz w:val="20"/>
          <w:szCs w:val="20"/>
        </w:rPr>
        <w:t xml:space="preserve"> Uji </w:t>
      </w:r>
      <w:proofErr w:type="spellStart"/>
      <w:r w:rsidRPr="00991E13">
        <w:rPr>
          <w:rFonts w:cstheme="minorHAnsi"/>
          <w:b/>
          <w:bCs/>
          <w:sz w:val="20"/>
          <w:szCs w:val="20"/>
        </w:rPr>
        <w:t>Normalitas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Independent Sample T Test</w:t>
      </w:r>
    </w:p>
    <w:tbl>
      <w:tblPr>
        <w:tblStyle w:val="TableGrid"/>
        <w:tblW w:w="4475" w:type="pct"/>
        <w:tblInd w:w="426" w:type="dxa"/>
        <w:tblLook w:val="04A0" w:firstRow="1" w:lastRow="0" w:firstColumn="1" w:lastColumn="0" w:noHBand="0" w:noVBand="1"/>
      </w:tblPr>
      <w:tblGrid>
        <w:gridCol w:w="1881"/>
        <w:gridCol w:w="1635"/>
        <w:gridCol w:w="760"/>
        <w:gridCol w:w="2184"/>
        <w:gridCol w:w="1658"/>
      </w:tblGrid>
      <w:tr w:rsidR="00E87284" w:rsidRPr="00991E13" w14:paraId="29DB2AE6" w14:textId="77777777" w:rsidTr="00FC22FF">
        <w:tc>
          <w:tcPr>
            <w:tcW w:w="1159" w:type="pct"/>
            <w:vMerge w:val="restart"/>
            <w:tcBorders>
              <w:left w:val="nil"/>
              <w:right w:val="nil"/>
            </w:tcBorders>
          </w:tcPr>
          <w:p w14:paraId="0AF6425D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0" w:type="pct"/>
            <w:gridSpan w:val="3"/>
            <w:tcBorders>
              <w:left w:val="nil"/>
              <w:right w:val="nil"/>
            </w:tcBorders>
          </w:tcPr>
          <w:p w14:paraId="245C92B3" w14:textId="77777777" w:rsidR="00E87284" w:rsidRPr="00991E13" w:rsidRDefault="00E87284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Shapiro Wilk</w:t>
            </w:r>
          </w:p>
        </w:tc>
        <w:tc>
          <w:tcPr>
            <w:tcW w:w="1022" w:type="pct"/>
            <w:vMerge w:val="restart"/>
            <w:tcBorders>
              <w:left w:val="nil"/>
              <w:right w:val="nil"/>
            </w:tcBorders>
            <w:vAlign w:val="center"/>
          </w:tcPr>
          <w:p w14:paraId="0E749740" w14:textId="77777777" w:rsidR="00E87284" w:rsidRPr="00991E13" w:rsidRDefault="00E87284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E87284" w:rsidRPr="00991E13" w14:paraId="3D610BF5" w14:textId="77777777" w:rsidTr="00FC22FF">
        <w:tc>
          <w:tcPr>
            <w:tcW w:w="115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097951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pct"/>
            <w:tcBorders>
              <w:left w:val="nil"/>
              <w:bottom w:val="single" w:sz="4" w:space="0" w:color="auto"/>
              <w:right w:val="nil"/>
            </w:tcBorders>
          </w:tcPr>
          <w:p w14:paraId="7E80085D" w14:textId="77777777" w:rsidR="00E87284" w:rsidRPr="00991E13" w:rsidRDefault="00E87284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Statistik</w:t>
            </w:r>
            <w:proofErr w:type="spellEnd"/>
          </w:p>
        </w:tc>
        <w:tc>
          <w:tcPr>
            <w:tcW w:w="468" w:type="pct"/>
            <w:tcBorders>
              <w:left w:val="nil"/>
              <w:bottom w:val="single" w:sz="4" w:space="0" w:color="auto"/>
              <w:right w:val="nil"/>
            </w:tcBorders>
          </w:tcPr>
          <w:p w14:paraId="10CDE63A" w14:textId="77777777" w:rsidR="00E87284" w:rsidRPr="00991E13" w:rsidRDefault="00E87284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</w:tcPr>
          <w:p w14:paraId="4605FE16" w14:textId="77777777" w:rsidR="00E87284" w:rsidRPr="00991E13" w:rsidRDefault="00E87284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Signifikansi</w:t>
            </w:r>
            <w:proofErr w:type="spellEnd"/>
          </w:p>
        </w:tc>
        <w:tc>
          <w:tcPr>
            <w:tcW w:w="1022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F1629D" w14:textId="77777777" w:rsidR="00E87284" w:rsidRPr="00991E13" w:rsidRDefault="00E87284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87284" w:rsidRPr="00991E13" w14:paraId="3362EE52" w14:textId="77777777" w:rsidTr="00FC22FF">
        <w:tc>
          <w:tcPr>
            <w:tcW w:w="1159" w:type="pct"/>
            <w:tcBorders>
              <w:left w:val="nil"/>
              <w:bottom w:val="nil"/>
              <w:right w:val="nil"/>
            </w:tcBorders>
          </w:tcPr>
          <w:p w14:paraId="4F1497A3" w14:textId="77777777" w:rsidR="00E87284" w:rsidRPr="00991E13" w:rsidRDefault="00E87284" w:rsidP="00E976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Cs/>
                <w:sz w:val="20"/>
                <w:szCs w:val="20"/>
              </w:rPr>
              <w:t>Posttest_KE</w:t>
            </w:r>
            <w:proofErr w:type="spellEnd"/>
          </w:p>
        </w:tc>
        <w:tc>
          <w:tcPr>
            <w:tcW w:w="1007" w:type="pct"/>
            <w:tcBorders>
              <w:left w:val="nil"/>
              <w:bottom w:val="nil"/>
              <w:right w:val="nil"/>
            </w:tcBorders>
          </w:tcPr>
          <w:p w14:paraId="640A15B0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0.917</w:t>
            </w:r>
          </w:p>
        </w:tc>
        <w:tc>
          <w:tcPr>
            <w:tcW w:w="468" w:type="pct"/>
            <w:tcBorders>
              <w:left w:val="nil"/>
              <w:bottom w:val="nil"/>
              <w:right w:val="nil"/>
            </w:tcBorders>
          </w:tcPr>
          <w:p w14:paraId="71EEFA18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44" w:type="pct"/>
            <w:tcBorders>
              <w:left w:val="nil"/>
              <w:bottom w:val="nil"/>
              <w:right w:val="nil"/>
            </w:tcBorders>
          </w:tcPr>
          <w:p w14:paraId="77FD5FE7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0.335</w:t>
            </w: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</w:tcPr>
          <w:p w14:paraId="4E55246B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Normal</w:t>
            </w:r>
          </w:p>
        </w:tc>
      </w:tr>
      <w:tr w:rsidR="00E87284" w:rsidRPr="00991E13" w14:paraId="77B73EEB" w14:textId="77777777" w:rsidTr="00FC22FF">
        <w:tc>
          <w:tcPr>
            <w:tcW w:w="1159" w:type="pct"/>
            <w:tcBorders>
              <w:top w:val="nil"/>
              <w:left w:val="nil"/>
              <w:right w:val="nil"/>
            </w:tcBorders>
          </w:tcPr>
          <w:p w14:paraId="755D8445" w14:textId="77777777" w:rsidR="00E87284" w:rsidRPr="00991E13" w:rsidRDefault="00E87284" w:rsidP="00E976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Cs/>
                <w:sz w:val="20"/>
                <w:szCs w:val="20"/>
              </w:rPr>
              <w:t>Posttest_KK</w:t>
            </w:r>
            <w:proofErr w:type="spellEnd"/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</w:tcPr>
          <w:p w14:paraId="1FA84C05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0.902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</w:tcPr>
          <w:p w14:paraId="16792686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44" w:type="pct"/>
            <w:tcBorders>
              <w:top w:val="nil"/>
              <w:left w:val="nil"/>
              <w:right w:val="nil"/>
            </w:tcBorders>
          </w:tcPr>
          <w:p w14:paraId="40C799D4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0.233</w:t>
            </w:r>
          </w:p>
        </w:tc>
        <w:tc>
          <w:tcPr>
            <w:tcW w:w="1022" w:type="pct"/>
            <w:tcBorders>
              <w:top w:val="nil"/>
              <w:left w:val="nil"/>
              <w:right w:val="nil"/>
            </w:tcBorders>
          </w:tcPr>
          <w:p w14:paraId="446527DE" w14:textId="77777777" w:rsidR="00E87284" w:rsidRPr="00991E13" w:rsidRDefault="00E87284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Normal</w:t>
            </w:r>
          </w:p>
        </w:tc>
      </w:tr>
    </w:tbl>
    <w:p w14:paraId="3042BA6A" w14:textId="72D8BABD" w:rsidR="00E87284" w:rsidRPr="00FC22FF" w:rsidRDefault="00FC22FF" w:rsidP="00F25FD2">
      <w:pPr>
        <w:pStyle w:val="ListParagraph"/>
        <w:spacing w:after="0" w:line="240" w:lineRule="auto"/>
        <w:ind w:left="426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uji </w:t>
      </w:r>
      <w:proofErr w:type="spellStart"/>
      <w:r w:rsidRPr="00FC22FF">
        <w:rPr>
          <w:rFonts w:cstheme="minorHAnsi"/>
        </w:rPr>
        <w:t>normalitas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uji independent sample t test yang </w:t>
      </w:r>
      <w:proofErr w:type="spellStart"/>
      <w:r w:rsidRPr="00FC22FF">
        <w:rPr>
          <w:rFonts w:cstheme="minorHAnsi"/>
        </w:rPr>
        <w:t>membandingkan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 (p=0,335) dan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kontrol</w:t>
      </w:r>
      <w:proofErr w:type="spellEnd"/>
      <w:r w:rsidRPr="00FC22FF">
        <w:rPr>
          <w:rFonts w:cstheme="minorHAnsi"/>
        </w:rPr>
        <w:t xml:space="preserve"> (p=0,233)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p&gt;0,05.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data pada uji </w:t>
      </w:r>
      <w:proofErr w:type="spellStart"/>
      <w:r w:rsidRPr="00FC22FF">
        <w:rPr>
          <w:rFonts w:cstheme="minorHAnsi"/>
        </w:rPr>
        <w:t>normalitas</w:t>
      </w:r>
      <w:proofErr w:type="spellEnd"/>
      <w:r w:rsidRPr="00FC22FF">
        <w:rPr>
          <w:rFonts w:cstheme="minorHAnsi"/>
        </w:rPr>
        <w:t xml:space="preserve"> independent sample t test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terdistribusi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normal.</w:t>
      </w:r>
    </w:p>
    <w:p w14:paraId="3F5F7849" w14:textId="1D31B267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  <w:b/>
          <w:bCs/>
        </w:rPr>
      </w:pPr>
    </w:p>
    <w:p w14:paraId="1695E001" w14:textId="08BB33D7" w:rsidR="00FC22FF" w:rsidRPr="00991E13" w:rsidRDefault="00FC22FF" w:rsidP="00F25FD2">
      <w:pPr>
        <w:pStyle w:val="ListParagraph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91E13">
        <w:rPr>
          <w:rFonts w:cstheme="minorHAnsi"/>
          <w:b/>
          <w:bCs/>
          <w:sz w:val="20"/>
          <w:szCs w:val="20"/>
        </w:rPr>
        <w:t>Tabel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2. Uji </w:t>
      </w:r>
      <w:proofErr w:type="spellStart"/>
      <w:r w:rsidRPr="00991E13">
        <w:rPr>
          <w:rFonts w:cstheme="minorHAnsi"/>
          <w:b/>
          <w:bCs/>
          <w:sz w:val="20"/>
          <w:szCs w:val="20"/>
        </w:rPr>
        <w:t>Normalitas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Paired Sample T Test</w:t>
      </w:r>
    </w:p>
    <w:tbl>
      <w:tblPr>
        <w:tblStyle w:val="TableGrid"/>
        <w:tblW w:w="4529" w:type="pct"/>
        <w:jc w:val="center"/>
        <w:tblLook w:val="04A0" w:firstRow="1" w:lastRow="0" w:firstColumn="1" w:lastColumn="0" w:noHBand="0" w:noVBand="1"/>
      </w:tblPr>
      <w:tblGrid>
        <w:gridCol w:w="1421"/>
        <w:gridCol w:w="1642"/>
        <w:gridCol w:w="762"/>
        <w:gridCol w:w="2197"/>
        <w:gridCol w:w="2194"/>
      </w:tblGrid>
      <w:tr w:rsidR="00FC22FF" w:rsidRPr="00991E13" w14:paraId="2925499E" w14:textId="77777777" w:rsidTr="00FC22FF">
        <w:trPr>
          <w:jc w:val="center"/>
        </w:trPr>
        <w:tc>
          <w:tcPr>
            <w:tcW w:w="865" w:type="pct"/>
            <w:vMerge w:val="restart"/>
            <w:tcBorders>
              <w:left w:val="nil"/>
              <w:right w:val="nil"/>
            </w:tcBorders>
          </w:tcPr>
          <w:p w14:paraId="52C2DF14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0" w:type="pct"/>
            <w:gridSpan w:val="3"/>
            <w:tcBorders>
              <w:left w:val="nil"/>
              <w:right w:val="nil"/>
            </w:tcBorders>
          </w:tcPr>
          <w:p w14:paraId="18F4D224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Shapiro Wilk</w:t>
            </w:r>
          </w:p>
        </w:tc>
        <w:tc>
          <w:tcPr>
            <w:tcW w:w="1335" w:type="pct"/>
            <w:vMerge w:val="restart"/>
            <w:tcBorders>
              <w:left w:val="nil"/>
              <w:right w:val="nil"/>
            </w:tcBorders>
            <w:vAlign w:val="center"/>
          </w:tcPr>
          <w:p w14:paraId="032E7AAF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FC22FF" w:rsidRPr="00991E13" w14:paraId="4EC1DC93" w14:textId="77777777" w:rsidTr="00FC22FF">
        <w:trPr>
          <w:jc w:val="center"/>
        </w:trPr>
        <w:tc>
          <w:tcPr>
            <w:tcW w:w="86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685F52A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nil"/>
              <w:bottom w:val="single" w:sz="4" w:space="0" w:color="auto"/>
              <w:right w:val="nil"/>
            </w:tcBorders>
          </w:tcPr>
          <w:p w14:paraId="2C1B10AB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Statistik</w:t>
            </w:r>
            <w:proofErr w:type="spellEnd"/>
          </w:p>
        </w:tc>
        <w:tc>
          <w:tcPr>
            <w:tcW w:w="464" w:type="pct"/>
            <w:tcBorders>
              <w:left w:val="nil"/>
              <w:bottom w:val="single" w:sz="4" w:space="0" w:color="auto"/>
              <w:right w:val="nil"/>
            </w:tcBorders>
          </w:tcPr>
          <w:p w14:paraId="255B43BE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1337" w:type="pct"/>
            <w:tcBorders>
              <w:left w:val="nil"/>
              <w:bottom w:val="single" w:sz="4" w:space="0" w:color="auto"/>
              <w:right w:val="nil"/>
            </w:tcBorders>
          </w:tcPr>
          <w:p w14:paraId="39429EC6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Signifikansi</w:t>
            </w:r>
            <w:proofErr w:type="spellEnd"/>
          </w:p>
        </w:tc>
        <w:tc>
          <w:tcPr>
            <w:tcW w:w="133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4BD1E819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22FF" w:rsidRPr="00991E13" w14:paraId="6EB68689" w14:textId="77777777" w:rsidTr="00FC22FF">
        <w:trPr>
          <w:jc w:val="center"/>
        </w:trPr>
        <w:tc>
          <w:tcPr>
            <w:tcW w:w="865" w:type="pct"/>
            <w:tcBorders>
              <w:left w:val="nil"/>
              <w:bottom w:val="nil"/>
              <w:right w:val="nil"/>
            </w:tcBorders>
          </w:tcPr>
          <w:p w14:paraId="7E37D6E7" w14:textId="77777777" w:rsidR="00FC22FF" w:rsidRPr="00991E13" w:rsidRDefault="00FC22FF" w:rsidP="00E976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Cs/>
                <w:sz w:val="20"/>
                <w:szCs w:val="20"/>
              </w:rPr>
              <w:t>Pretest_KE</w:t>
            </w:r>
            <w:proofErr w:type="spellEnd"/>
          </w:p>
        </w:tc>
        <w:tc>
          <w:tcPr>
            <w:tcW w:w="999" w:type="pct"/>
            <w:tcBorders>
              <w:left w:val="nil"/>
              <w:bottom w:val="nil"/>
              <w:right w:val="nil"/>
            </w:tcBorders>
          </w:tcPr>
          <w:p w14:paraId="3F3C6483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0.975</w:t>
            </w: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</w:tcPr>
          <w:p w14:paraId="0AE8D487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37" w:type="pct"/>
            <w:tcBorders>
              <w:left w:val="nil"/>
              <w:bottom w:val="nil"/>
              <w:right w:val="nil"/>
            </w:tcBorders>
          </w:tcPr>
          <w:p w14:paraId="212DF7D7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0.937</w:t>
            </w:r>
          </w:p>
        </w:tc>
        <w:tc>
          <w:tcPr>
            <w:tcW w:w="1335" w:type="pct"/>
            <w:tcBorders>
              <w:left w:val="nil"/>
              <w:bottom w:val="nil"/>
              <w:right w:val="nil"/>
            </w:tcBorders>
          </w:tcPr>
          <w:p w14:paraId="7B89C0CE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Normal</w:t>
            </w:r>
          </w:p>
        </w:tc>
      </w:tr>
      <w:tr w:rsidR="00FC22FF" w:rsidRPr="00991E13" w14:paraId="477E7C4A" w14:textId="77777777" w:rsidTr="00FC22FF">
        <w:trPr>
          <w:jc w:val="center"/>
        </w:trPr>
        <w:tc>
          <w:tcPr>
            <w:tcW w:w="865" w:type="pct"/>
            <w:tcBorders>
              <w:top w:val="nil"/>
              <w:left w:val="nil"/>
              <w:right w:val="nil"/>
            </w:tcBorders>
          </w:tcPr>
          <w:p w14:paraId="6B541E98" w14:textId="77777777" w:rsidR="00FC22FF" w:rsidRPr="00991E13" w:rsidRDefault="00FC22FF" w:rsidP="00E976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Cs/>
                <w:sz w:val="20"/>
                <w:szCs w:val="20"/>
              </w:rPr>
              <w:t>Posttest_KE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right w:val="nil"/>
            </w:tcBorders>
          </w:tcPr>
          <w:p w14:paraId="15268B8E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0.917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</w:tcPr>
          <w:p w14:paraId="02C49471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37" w:type="pct"/>
            <w:tcBorders>
              <w:top w:val="nil"/>
              <w:left w:val="nil"/>
              <w:right w:val="nil"/>
            </w:tcBorders>
          </w:tcPr>
          <w:p w14:paraId="4A7F5BF6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0.335</w:t>
            </w:r>
          </w:p>
        </w:tc>
        <w:tc>
          <w:tcPr>
            <w:tcW w:w="1335" w:type="pct"/>
            <w:tcBorders>
              <w:top w:val="nil"/>
              <w:left w:val="nil"/>
              <w:right w:val="nil"/>
            </w:tcBorders>
          </w:tcPr>
          <w:p w14:paraId="12F7CCF5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Normal</w:t>
            </w:r>
          </w:p>
        </w:tc>
      </w:tr>
    </w:tbl>
    <w:p w14:paraId="10C08072" w14:textId="3A1BA106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uji </w:t>
      </w:r>
      <w:proofErr w:type="spellStart"/>
      <w:r w:rsidRPr="00FC22FF">
        <w:rPr>
          <w:rFonts w:cstheme="minorHAnsi"/>
        </w:rPr>
        <w:t>normalitas</w:t>
      </w:r>
      <w:proofErr w:type="spellEnd"/>
      <w:r w:rsidRPr="00FC22FF">
        <w:rPr>
          <w:rFonts w:cstheme="minorHAnsi"/>
        </w:rPr>
        <w:t xml:space="preserve"> paired sample t test yang </w:t>
      </w:r>
      <w:proofErr w:type="spellStart"/>
      <w:r w:rsidRPr="00FC22FF">
        <w:rPr>
          <w:rFonts w:cstheme="minorHAnsi"/>
        </w:rPr>
        <w:t>membandingkan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pretest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 (p = 0,937) dan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 (p = 0,335)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p&gt;0,05.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data pada uji </w:t>
      </w:r>
      <w:proofErr w:type="spellStart"/>
      <w:r w:rsidRPr="00FC22FF">
        <w:rPr>
          <w:rFonts w:cstheme="minorHAnsi"/>
        </w:rPr>
        <w:t>normalitas</w:t>
      </w:r>
      <w:proofErr w:type="spellEnd"/>
      <w:r w:rsidRPr="00FC22FF">
        <w:rPr>
          <w:rFonts w:cstheme="minorHAnsi"/>
        </w:rPr>
        <w:t xml:space="preserve"> paired sample t test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terdistribusi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normal.</w:t>
      </w:r>
    </w:p>
    <w:p w14:paraId="50FD2F3B" w14:textId="1C09D249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3FD50AEB" w14:textId="02C44884" w:rsidR="00FC22FF" w:rsidRPr="00991E13" w:rsidRDefault="00FC22FF" w:rsidP="00F25FD2">
      <w:pPr>
        <w:pStyle w:val="ListParagraph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91E13">
        <w:rPr>
          <w:rFonts w:cstheme="minorHAnsi"/>
          <w:b/>
          <w:bCs/>
          <w:sz w:val="20"/>
          <w:szCs w:val="20"/>
        </w:rPr>
        <w:t>Tabel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3. Uji </w:t>
      </w:r>
      <w:proofErr w:type="spellStart"/>
      <w:r w:rsidRPr="00991E13">
        <w:rPr>
          <w:rFonts w:cstheme="minorHAnsi"/>
          <w:b/>
          <w:bCs/>
          <w:sz w:val="20"/>
          <w:szCs w:val="20"/>
        </w:rPr>
        <w:t>Homogenitas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Independent Sample T Test</w:t>
      </w:r>
    </w:p>
    <w:tbl>
      <w:tblPr>
        <w:tblStyle w:val="TableGrid"/>
        <w:tblW w:w="0" w:type="auto"/>
        <w:tblInd w:w="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1907"/>
        <w:gridCol w:w="1746"/>
        <w:gridCol w:w="1678"/>
      </w:tblGrid>
      <w:tr w:rsidR="00FC22FF" w:rsidRPr="00991E13" w14:paraId="2B70A655" w14:textId="77777777" w:rsidTr="00FC22FF">
        <w:tc>
          <w:tcPr>
            <w:tcW w:w="2174" w:type="dxa"/>
            <w:vMerge w:val="restart"/>
            <w:vAlign w:val="center"/>
            <w:hideMark/>
          </w:tcPr>
          <w:p w14:paraId="40ABBD8E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Pengukuran</w:t>
            </w:r>
            <w:proofErr w:type="spellEnd"/>
          </w:p>
        </w:tc>
        <w:tc>
          <w:tcPr>
            <w:tcW w:w="3653" w:type="dxa"/>
            <w:gridSpan w:val="2"/>
            <w:hideMark/>
          </w:tcPr>
          <w:p w14:paraId="1793C9D4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Levene's</w:t>
            </w:r>
            <w:proofErr w:type="spellEnd"/>
            <w:r w:rsidRPr="00991E13">
              <w:rPr>
                <w:rFonts w:cstheme="minorHAnsi"/>
                <w:b/>
                <w:bCs/>
                <w:sz w:val="20"/>
                <w:szCs w:val="20"/>
              </w:rPr>
              <w:t xml:space="preserve"> Test for Equality of Variances</w:t>
            </w:r>
          </w:p>
        </w:tc>
        <w:tc>
          <w:tcPr>
            <w:tcW w:w="1678" w:type="dxa"/>
            <w:vMerge w:val="restart"/>
            <w:vAlign w:val="center"/>
            <w:hideMark/>
          </w:tcPr>
          <w:p w14:paraId="1BB28A4F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FC22FF" w:rsidRPr="00991E13" w14:paraId="378A03F7" w14:textId="77777777" w:rsidTr="00FC22FF">
        <w:tc>
          <w:tcPr>
            <w:tcW w:w="2174" w:type="dxa"/>
            <w:vMerge/>
            <w:vAlign w:val="center"/>
            <w:hideMark/>
          </w:tcPr>
          <w:p w14:paraId="1BA9D61C" w14:textId="77777777" w:rsidR="00FC22FF" w:rsidRPr="00991E13" w:rsidRDefault="00FC22FF" w:rsidP="00E9760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hideMark/>
          </w:tcPr>
          <w:p w14:paraId="5D87B1BC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746" w:type="dxa"/>
            <w:hideMark/>
          </w:tcPr>
          <w:p w14:paraId="39BA50AA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Sig</w:t>
            </w:r>
          </w:p>
        </w:tc>
        <w:tc>
          <w:tcPr>
            <w:tcW w:w="0" w:type="auto"/>
            <w:vMerge/>
            <w:vAlign w:val="center"/>
            <w:hideMark/>
          </w:tcPr>
          <w:p w14:paraId="3BB55BA8" w14:textId="77777777" w:rsidR="00FC22FF" w:rsidRPr="00991E13" w:rsidRDefault="00FC22FF" w:rsidP="00E97605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FC22FF" w:rsidRPr="00991E13" w14:paraId="155B81D1" w14:textId="77777777" w:rsidTr="00FC22FF">
        <w:tc>
          <w:tcPr>
            <w:tcW w:w="2174" w:type="dxa"/>
            <w:hideMark/>
          </w:tcPr>
          <w:p w14:paraId="44C6DC98" w14:textId="77777777" w:rsidR="00FC22FF" w:rsidRPr="00991E13" w:rsidRDefault="00FC22FF" w:rsidP="00E97605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PostTest</w:t>
            </w:r>
            <w:proofErr w:type="spellEnd"/>
            <w:r w:rsidRPr="00991E13">
              <w:rPr>
                <w:rFonts w:cstheme="minorHAnsi"/>
                <w:b/>
                <w:bCs/>
                <w:sz w:val="20"/>
                <w:szCs w:val="20"/>
              </w:rPr>
              <w:t xml:space="preserve"> KE dan </w:t>
            </w: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PostTest</w:t>
            </w:r>
            <w:proofErr w:type="spellEnd"/>
            <w:r w:rsidRPr="00991E13">
              <w:rPr>
                <w:rFonts w:cstheme="minorHAnsi"/>
                <w:b/>
                <w:bCs/>
                <w:sz w:val="20"/>
                <w:szCs w:val="20"/>
              </w:rPr>
              <w:t xml:space="preserve"> KK</w:t>
            </w:r>
          </w:p>
        </w:tc>
        <w:tc>
          <w:tcPr>
            <w:tcW w:w="1907" w:type="dxa"/>
            <w:hideMark/>
          </w:tcPr>
          <w:p w14:paraId="1C098019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2.521</w:t>
            </w:r>
          </w:p>
        </w:tc>
        <w:tc>
          <w:tcPr>
            <w:tcW w:w="1746" w:type="dxa"/>
            <w:hideMark/>
          </w:tcPr>
          <w:p w14:paraId="3384007F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0.130</w:t>
            </w:r>
          </w:p>
        </w:tc>
        <w:tc>
          <w:tcPr>
            <w:tcW w:w="1678" w:type="dxa"/>
            <w:vAlign w:val="center"/>
            <w:hideMark/>
          </w:tcPr>
          <w:p w14:paraId="6A13D190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sz w:val="20"/>
                <w:szCs w:val="20"/>
              </w:rPr>
              <w:t>Homogen</w:t>
            </w:r>
            <w:proofErr w:type="spellEnd"/>
          </w:p>
        </w:tc>
      </w:tr>
    </w:tbl>
    <w:p w14:paraId="3F1E9AAA" w14:textId="2BF72713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signifikansi</w:t>
      </w:r>
      <w:proofErr w:type="spellEnd"/>
      <w:r w:rsidRPr="00FC22FF">
        <w:rPr>
          <w:rFonts w:cstheme="minorHAnsi"/>
        </w:rPr>
        <w:t xml:space="preserve"> (Sig.) pada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KE dan KK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0,130 yang mana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Sig. 0,130 &gt; 0,05.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kaidah</w:t>
      </w:r>
      <w:proofErr w:type="spellEnd"/>
      <w:r w:rsidRPr="00FC22FF">
        <w:rPr>
          <w:rFonts w:cstheme="minorHAnsi"/>
        </w:rPr>
        <w:t xml:space="preserve"> uji </w:t>
      </w:r>
      <w:proofErr w:type="spellStart"/>
      <w:r w:rsidRPr="00FC22FF">
        <w:rPr>
          <w:rFonts w:cstheme="minorHAnsi"/>
        </w:rPr>
        <w:t>homogenitas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disimpulkan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variasi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KE dan KK </w:t>
      </w:r>
      <w:proofErr w:type="spellStart"/>
      <w:r w:rsidRPr="00FC22FF">
        <w:rPr>
          <w:rFonts w:cstheme="minorHAnsi"/>
        </w:rPr>
        <w:t>adalah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homogen</w:t>
      </w:r>
      <w:proofErr w:type="spellEnd"/>
      <w:r w:rsidRPr="00FC22FF">
        <w:rPr>
          <w:rFonts w:cstheme="minorHAnsi"/>
        </w:rPr>
        <w:t>.</w:t>
      </w:r>
    </w:p>
    <w:p w14:paraId="43A2C52A" w14:textId="5672BE1D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0AF440EB" w14:textId="1701D4AC" w:rsidR="00FC22FF" w:rsidRPr="00991E13" w:rsidRDefault="00FC22FF" w:rsidP="00F25FD2">
      <w:pPr>
        <w:pStyle w:val="ListParagraph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91E13">
        <w:rPr>
          <w:rFonts w:cstheme="minorHAnsi"/>
          <w:b/>
          <w:bCs/>
          <w:sz w:val="20"/>
          <w:szCs w:val="20"/>
        </w:rPr>
        <w:t>Tabel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4. Uji </w:t>
      </w:r>
      <w:proofErr w:type="spellStart"/>
      <w:r w:rsidRPr="00991E13">
        <w:rPr>
          <w:rFonts w:cstheme="minorHAnsi"/>
          <w:b/>
          <w:bCs/>
          <w:sz w:val="20"/>
          <w:szCs w:val="20"/>
        </w:rPr>
        <w:t>Homogenitas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Paired Sample T Test</w:t>
      </w:r>
    </w:p>
    <w:tbl>
      <w:tblPr>
        <w:tblStyle w:val="TableGrid"/>
        <w:tblW w:w="0" w:type="auto"/>
        <w:tblInd w:w="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1907"/>
        <w:gridCol w:w="1746"/>
        <w:gridCol w:w="1678"/>
      </w:tblGrid>
      <w:tr w:rsidR="00FC22FF" w:rsidRPr="00991E13" w14:paraId="02393A00" w14:textId="77777777" w:rsidTr="00FC22FF">
        <w:tc>
          <w:tcPr>
            <w:tcW w:w="2174" w:type="dxa"/>
            <w:vMerge w:val="restart"/>
            <w:vAlign w:val="center"/>
          </w:tcPr>
          <w:p w14:paraId="57B101B5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Pengukuran</w:t>
            </w:r>
            <w:proofErr w:type="spellEnd"/>
          </w:p>
        </w:tc>
        <w:tc>
          <w:tcPr>
            <w:tcW w:w="3653" w:type="dxa"/>
            <w:gridSpan w:val="2"/>
          </w:tcPr>
          <w:p w14:paraId="3C9B6E0C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Levene's</w:t>
            </w:r>
            <w:proofErr w:type="spellEnd"/>
            <w:r w:rsidRPr="00991E13">
              <w:rPr>
                <w:rFonts w:cstheme="minorHAnsi"/>
                <w:b/>
                <w:bCs/>
                <w:sz w:val="20"/>
                <w:szCs w:val="20"/>
              </w:rPr>
              <w:t xml:space="preserve"> Test for Equality of Variances</w:t>
            </w:r>
          </w:p>
        </w:tc>
        <w:tc>
          <w:tcPr>
            <w:tcW w:w="1678" w:type="dxa"/>
            <w:vMerge w:val="restart"/>
            <w:vAlign w:val="center"/>
          </w:tcPr>
          <w:p w14:paraId="31D98E6A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FC22FF" w:rsidRPr="00991E13" w14:paraId="6B02993D" w14:textId="77777777" w:rsidTr="00FC22FF">
        <w:tc>
          <w:tcPr>
            <w:tcW w:w="2174" w:type="dxa"/>
            <w:vMerge/>
          </w:tcPr>
          <w:p w14:paraId="6872BC08" w14:textId="77777777" w:rsidR="00FC22FF" w:rsidRPr="00991E13" w:rsidRDefault="00FC22FF" w:rsidP="00E976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4A47B4B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746" w:type="dxa"/>
          </w:tcPr>
          <w:p w14:paraId="051AA472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Sig</w:t>
            </w:r>
          </w:p>
        </w:tc>
        <w:tc>
          <w:tcPr>
            <w:tcW w:w="1678" w:type="dxa"/>
            <w:vMerge/>
          </w:tcPr>
          <w:p w14:paraId="6A2365BB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22FF" w:rsidRPr="00991E13" w14:paraId="76113D03" w14:textId="77777777" w:rsidTr="00FC22FF">
        <w:tc>
          <w:tcPr>
            <w:tcW w:w="2174" w:type="dxa"/>
          </w:tcPr>
          <w:p w14:paraId="5DBD9EFC" w14:textId="77777777" w:rsidR="00FC22FF" w:rsidRPr="00991E13" w:rsidRDefault="00FC22FF" w:rsidP="00E97605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Pretest</w:t>
            </w:r>
            <w:proofErr w:type="spellEnd"/>
            <w:r w:rsidRPr="00991E13">
              <w:rPr>
                <w:rFonts w:cstheme="minorHAnsi"/>
                <w:b/>
                <w:bCs/>
                <w:sz w:val="20"/>
                <w:szCs w:val="20"/>
              </w:rPr>
              <w:t xml:space="preserve"> KE dan </w:t>
            </w: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PostTest</w:t>
            </w:r>
            <w:proofErr w:type="spellEnd"/>
            <w:r w:rsidRPr="00991E13">
              <w:rPr>
                <w:rFonts w:cstheme="minorHAnsi"/>
                <w:b/>
                <w:bCs/>
                <w:sz w:val="20"/>
                <w:szCs w:val="20"/>
              </w:rPr>
              <w:t xml:space="preserve"> KE</w:t>
            </w:r>
          </w:p>
        </w:tc>
        <w:tc>
          <w:tcPr>
            <w:tcW w:w="1907" w:type="dxa"/>
          </w:tcPr>
          <w:p w14:paraId="4E89240E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2.910</w:t>
            </w:r>
          </w:p>
        </w:tc>
        <w:tc>
          <w:tcPr>
            <w:tcW w:w="1746" w:type="dxa"/>
          </w:tcPr>
          <w:p w14:paraId="7E39063F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0.105</w:t>
            </w:r>
          </w:p>
        </w:tc>
        <w:tc>
          <w:tcPr>
            <w:tcW w:w="1678" w:type="dxa"/>
          </w:tcPr>
          <w:p w14:paraId="6CB1A4EE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sz w:val="20"/>
                <w:szCs w:val="20"/>
              </w:rPr>
              <w:t>Homogen</w:t>
            </w:r>
            <w:proofErr w:type="spellEnd"/>
          </w:p>
        </w:tc>
      </w:tr>
    </w:tbl>
    <w:p w14:paraId="3C4879C4" w14:textId="2ABEEB39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signifikansi</w:t>
      </w:r>
      <w:proofErr w:type="spellEnd"/>
      <w:r w:rsidRPr="00FC22FF">
        <w:rPr>
          <w:rFonts w:cstheme="minorHAnsi"/>
        </w:rPr>
        <w:t xml:space="preserve"> (Sig.) pada </w:t>
      </w:r>
      <w:proofErr w:type="spellStart"/>
      <w:r w:rsidRPr="00FC22FF">
        <w:rPr>
          <w:rFonts w:cstheme="minorHAnsi"/>
        </w:rPr>
        <w:t>pretest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KE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0,105 yang </w:t>
      </w:r>
      <w:proofErr w:type="spellStart"/>
      <w:r w:rsidRPr="00FC22FF">
        <w:rPr>
          <w:rFonts w:cstheme="minorHAnsi"/>
        </w:rPr>
        <w:t>artinya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Sig. 0,105 &gt; 0,05.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kaidah</w:t>
      </w:r>
      <w:proofErr w:type="spellEnd"/>
      <w:r w:rsidRPr="00FC22FF">
        <w:rPr>
          <w:rFonts w:cstheme="minorHAnsi"/>
        </w:rPr>
        <w:t xml:space="preserve"> uji </w:t>
      </w:r>
      <w:proofErr w:type="spellStart"/>
      <w:r w:rsidRPr="00FC22FF">
        <w:rPr>
          <w:rFonts w:cstheme="minorHAnsi"/>
        </w:rPr>
        <w:t>homogenitas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disimpulkan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variasi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KE dan KK </w:t>
      </w:r>
      <w:proofErr w:type="spellStart"/>
      <w:r w:rsidRPr="00FC22FF">
        <w:rPr>
          <w:rFonts w:cstheme="minorHAnsi"/>
        </w:rPr>
        <w:t>adalah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homogen</w:t>
      </w:r>
      <w:proofErr w:type="spellEnd"/>
      <w:r w:rsidRPr="00FC22FF">
        <w:rPr>
          <w:rFonts w:cstheme="minorHAnsi"/>
        </w:rPr>
        <w:t>.</w:t>
      </w:r>
    </w:p>
    <w:p w14:paraId="7952AEB6" w14:textId="7405877B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132B7432" w14:textId="1DAD0E41" w:rsidR="00FC22FF" w:rsidRPr="00991E13" w:rsidRDefault="00FC22FF" w:rsidP="00F25FD2">
      <w:pPr>
        <w:pStyle w:val="ListParagraph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91E13">
        <w:rPr>
          <w:rFonts w:cstheme="minorHAnsi"/>
          <w:b/>
          <w:bCs/>
          <w:sz w:val="20"/>
          <w:szCs w:val="20"/>
        </w:rPr>
        <w:t>Tabel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5. Hasil Uji Independent Sample T Test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14"/>
        <w:gridCol w:w="672"/>
        <w:gridCol w:w="419"/>
        <w:gridCol w:w="672"/>
        <w:gridCol w:w="1326"/>
        <w:gridCol w:w="1468"/>
        <w:gridCol w:w="2873"/>
      </w:tblGrid>
      <w:tr w:rsidR="00FC22FF" w:rsidRPr="00991E13" w14:paraId="7E187975" w14:textId="77777777" w:rsidTr="00FC22FF">
        <w:tc>
          <w:tcPr>
            <w:tcW w:w="1058" w:type="dxa"/>
            <w:vMerge w:val="restart"/>
            <w:tcBorders>
              <w:left w:val="nil"/>
              <w:right w:val="nil"/>
            </w:tcBorders>
            <w:vAlign w:val="center"/>
          </w:tcPr>
          <w:p w14:paraId="6895A35E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Pengukuran</w:t>
            </w:r>
            <w:proofErr w:type="spellEnd"/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</w:tcPr>
          <w:p w14:paraId="4FA932AD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t-test for Equality of Means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2909F569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FC22FF" w:rsidRPr="00991E13" w14:paraId="7D88AC90" w14:textId="77777777" w:rsidTr="00FC22FF">
        <w:tc>
          <w:tcPr>
            <w:tcW w:w="10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F8862D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8402BD0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0DD9EA2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11B7F0C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6E5D32A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Mean Difference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E2CA00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Std. Error Difference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C6C3061" w14:textId="77777777" w:rsidR="00FC22FF" w:rsidRPr="00991E13" w:rsidRDefault="00FC22FF" w:rsidP="00E9760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22FF" w:rsidRPr="00991E13" w14:paraId="059DE33C" w14:textId="77777777" w:rsidTr="00FC22FF">
        <w:tc>
          <w:tcPr>
            <w:tcW w:w="1058" w:type="dxa"/>
            <w:tcBorders>
              <w:left w:val="nil"/>
              <w:right w:val="nil"/>
            </w:tcBorders>
            <w:vAlign w:val="center"/>
          </w:tcPr>
          <w:p w14:paraId="7F50FA68" w14:textId="77777777" w:rsidR="00FC22FF" w:rsidRPr="00991E13" w:rsidRDefault="00FC22FF" w:rsidP="00E9760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91E13">
              <w:rPr>
                <w:rFonts w:cstheme="minorHAnsi"/>
                <w:bCs/>
                <w:sz w:val="20"/>
                <w:szCs w:val="20"/>
              </w:rPr>
              <w:lastRenderedPageBreak/>
              <w:t>Equal variances assumed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0A36FC6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3.569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903F2D7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788223C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C9622A7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14.300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6BC25C1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4.006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B0122B9" w14:textId="77777777" w:rsidR="00FC22FF" w:rsidRPr="00991E13" w:rsidRDefault="00FC22FF" w:rsidP="00E97605">
            <w:pPr>
              <w:jc w:val="both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 xml:space="preserve">Ada </w:t>
            </w:r>
            <w:proofErr w:type="spellStart"/>
            <w:r w:rsidRPr="00991E13">
              <w:rPr>
                <w:rFonts w:cstheme="minorHAnsi"/>
                <w:sz w:val="20"/>
                <w:szCs w:val="20"/>
              </w:rPr>
              <w:t>perbedaan</w:t>
            </w:r>
            <w:proofErr w:type="spellEnd"/>
            <w:r w:rsidRPr="00991E13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991E13">
              <w:rPr>
                <w:rFonts w:cstheme="minorHAnsi"/>
                <w:sz w:val="20"/>
                <w:szCs w:val="20"/>
              </w:rPr>
              <w:t>signifikan</w:t>
            </w:r>
            <w:proofErr w:type="spellEnd"/>
            <w:r w:rsidRPr="00991E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1E13">
              <w:rPr>
                <w:rFonts w:cstheme="minorHAnsi"/>
                <w:sz w:val="20"/>
                <w:szCs w:val="20"/>
              </w:rPr>
              <w:t>antara</w:t>
            </w:r>
            <w:proofErr w:type="spellEnd"/>
            <w:r w:rsidRPr="00991E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91E13">
              <w:rPr>
                <w:rFonts w:cstheme="minorHAnsi"/>
                <w:sz w:val="20"/>
                <w:szCs w:val="20"/>
              </w:rPr>
              <w:t>posttest</w:t>
            </w:r>
            <w:proofErr w:type="spellEnd"/>
            <w:r w:rsidRPr="00991E13">
              <w:rPr>
                <w:rFonts w:cstheme="minorHAnsi"/>
                <w:sz w:val="20"/>
                <w:szCs w:val="20"/>
              </w:rPr>
              <w:t xml:space="preserve"> KE dan KK</w:t>
            </w:r>
          </w:p>
        </w:tc>
      </w:tr>
    </w:tbl>
    <w:p w14:paraId="2456A17A" w14:textId="7F3A112D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Sig </w:t>
      </w:r>
      <w:proofErr w:type="spellStart"/>
      <w:r w:rsidRPr="00FC22FF">
        <w:rPr>
          <w:rFonts w:cstheme="minorHAnsi"/>
        </w:rPr>
        <w:t>adalah</w:t>
      </w:r>
      <w:proofErr w:type="spellEnd"/>
      <w:r w:rsidRPr="00FC22FF">
        <w:rPr>
          <w:rFonts w:cstheme="minorHAnsi"/>
        </w:rPr>
        <w:t xml:space="preserve"> 0,002 yang </w:t>
      </w:r>
      <w:proofErr w:type="spellStart"/>
      <w:r w:rsidRPr="00FC22FF">
        <w:rPr>
          <w:rFonts w:cstheme="minorHAnsi"/>
        </w:rPr>
        <w:t>artinya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Sig 0,002&lt;0,05.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kaidah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pengambilan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keputusan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uji independent sample t test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diasumsikan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perbedaan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antara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kontrol</w:t>
      </w:r>
      <w:proofErr w:type="spellEnd"/>
      <w:r w:rsidRPr="00FC22FF">
        <w:rPr>
          <w:rFonts w:cstheme="minorHAnsi"/>
        </w:rPr>
        <w:t xml:space="preserve">. Pada </w:t>
      </w: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memperlihatkan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t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3,459 yang mana </w:t>
      </w:r>
      <w:proofErr w:type="spellStart"/>
      <w:r w:rsidRPr="00FC22FF">
        <w:rPr>
          <w:rFonts w:cstheme="minorHAnsi"/>
        </w:rPr>
        <w:t>artinya</w:t>
      </w:r>
      <w:proofErr w:type="spellEnd"/>
      <w:r w:rsidRPr="00FC22FF">
        <w:rPr>
          <w:rFonts w:cstheme="minorHAnsi"/>
        </w:rPr>
        <w:t xml:space="preserve"> t </w:t>
      </w:r>
      <w:proofErr w:type="spellStart"/>
      <w:r w:rsidRPr="00FC22FF">
        <w:rPr>
          <w:rFonts w:cstheme="minorHAnsi"/>
        </w:rPr>
        <w:t>hitung</w:t>
      </w:r>
      <w:proofErr w:type="spellEnd"/>
      <w:r w:rsidRPr="00FC22FF">
        <w:rPr>
          <w:rFonts w:cstheme="minorHAnsi"/>
        </w:rPr>
        <w:t xml:space="preserve"> &gt; t </w:t>
      </w: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(3,456&gt;2,101).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kaidah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pengambilan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keputusan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melalui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perbandingan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t </w:t>
      </w:r>
      <w:proofErr w:type="spellStart"/>
      <w:r w:rsidRPr="00FC22FF">
        <w:rPr>
          <w:rFonts w:cstheme="minorHAnsi"/>
        </w:rPr>
        <w:t>hitung</w:t>
      </w:r>
      <w:proofErr w:type="spellEnd"/>
      <w:r w:rsidRPr="00FC22FF">
        <w:rPr>
          <w:rFonts w:cstheme="minorHAnsi"/>
        </w:rPr>
        <w:t xml:space="preserve"> dan t </w:t>
      </w: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disimpulkan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berpengaruh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terhadap</w:t>
      </w:r>
      <w:proofErr w:type="spellEnd"/>
      <w:r w:rsidRPr="00FC22FF">
        <w:rPr>
          <w:rFonts w:cstheme="minorHAnsi"/>
        </w:rPr>
        <w:t xml:space="preserve"> subjective well-being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>.</w:t>
      </w:r>
    </w:p>
    <w:p w14:paraId="71B1DAC3" w14:textId="4045F765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7706D004" w14:textId="612C7DBF" w:rsidR="00FC22FF" w:rsidRPr="00991E13" w:rsidRDefault="00FC22FF" w:rsidP="00FC22FF">
      <w:pPr>
        <w:pStyle w:val="ListParagraph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91E13">
        <w:rPr>
          <w:rFonts w:cstheme="minorHAnsi"/>
          <w:b/>
          <w:bCs/>
          <w:sz w:val="20"/>
          <w:szCs w:val="20"/>
        </w:rPr>
        <w:t>Tabel</w:t>
      </w:r>
      <w:proofErr w:type="spellEnd"/>
      <w:r w:rsidRPr="00991E13">
        <w:rPr>
          <w:rFonts w:cstheme="minorHAnsi"/>
          <w:b/>
          <w:bCs/>
          <w:sz w:val="20"/>
          <w:szCs w:val="20"/>
        </w:rPr>
        <w:t xml:space="preserve"> 6. Hasil Uji Paired Sample T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37"/>
        <w:gridCol w:w="236"/>
        <w:gridCol w:w="162"/>
        <w:gridCol w:w="1045"/>
        <w:gridCol w:w="235"/>
        <w:gridCol w:w="430"/>
        <w:gridCol w:w="756"/>
        <w:gridCol w:w="1430"/>
      </w:tblGrid>
      <w:tr w:rsidR="00FC22FF" w:rsidRPr="00991E13" w14:paraId="3106483C" w14:textId="77777777" w:rsidTr="00FC22FF">
        <w:trPr>
          <w:jc w:val="center"/>
        </w:trPr>
        <w:tc>
          <w:tcPr>
            <w:tcW w:w="3114" w:type="dxa"/>
            <w:vMerge w:val="restart"/>
            <w:tcBorders>
              <w:left w:val="nil"/>
              <w:right w:val="nil"/>
            </w:tcBorders>
            <w:vAlign w:val="center"/>
          </w:tcPr>
          <w:p w14:paraId="2F177FA7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Pengukuran</w:t>
            </w:r>
            <w:proofErr w:type="spellEnd"/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3388F38C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7F41F72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right w:val="nil"/>
            </w:tcBorders>
          </w:tcPr>
          <w:p w14:paraId="5B672D3B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Paired Differences</w:t>
            </w:r>
          </w:p>
        </w:tc>
        <w:tc>
          <w:tcPr>
            <w:tcW w:w="1430" w:type="dxa"/>
            <w:vMerge w:val="restart"/>
            <w:tcBorders>
              <w:left w:val="nil"/>
              <w:right w:val="nil"/>
            </w:tcBorders>
            <w:vAlign w:val="center"/>
          </w:tcPr>
          <w:p w14:paraId="203F21F4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FC22FF" w:rsidRPr="00991E13" w14:paraId="606AEF90" w14:textId="77777777" w:rsidTr="00FC22FF">
        <w:trPr>
          <w:jc w:val="center"/>
        </w:trPr>
        <w:tc>
          <w:tcPr>
            <w:tcW w:w="3114" w:type="dxa"/>
            <w:vMerge/>
            <w:tcBorders>
              <w:left w:val="nil"/>
              <w:right w:val="nil"/>
            </w:tcBorders>
          </w:tcPr>
          <w:p w14:paraId="590E0148" w14:textId="77777777" w:rsidR="00FC22FF" w:rsidRPr="00991E13" w:rsidRDefault="00FC22FF" w:rsidP="00E9760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left w:val="nil"/>
              <w:right w:val="nil"/>
            </w:tcBorders>
          </w:tcPr>
          <w:p w14:paraId="09541F0C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14:paraId="7B37B472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2312763F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164F1A0B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73A6D296" w14:textId="77777777" w:rsidR="00FC22FF" w:rsidRPr="00991E13" w:rsidRDefault="00FC22FF" w:rsidP="00E976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E13">
              <w:rPr>
                <w:rFonts w:cstheme="minorHAnsi"/>
                <w:b/>
                <w:bCs/>
                <w:sz w:val="20"/>
                <w:szCs w:val="20"/>
              </w:rPr>
              <w:t>Sig</w:t>
            </w:r>
          </w:p>
        </w:tc>
        <w:tc>
          <w:tcPr>
            <w:tcW w:w="1430" w:type="dxa"/>
            <w:vMerge/>
            <w:tcBorders>
              <w:left w:val="nil"/>
              <w:right w:val="nil"/>
            </w:tcBorders>
          </w:tcPr>
          <w:p w14:paraId="61E9C657" w14:textId="77777777" w:rsidR="00FC22FF" w:rsidRPr="00991E13" w:rsidRDefault="00FC22FF" w:rsidP="00E9760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C22FF" w:rsidRPr="00991E13" w14:paraId="4D8AD33D" w14:textId="77777777" w:rsidTr="00FC22FF">
        <w:trPr>
          <w:jc w:val="center"/>
        </w:trPr>
        <w:tc>
          <w:tcPr>
            <w:tcW w:w="3114" w:type="dxa"/>
            <w:tcBorders>
              <w:left w:val="nil"/>
              <w:right w:val="nil"/>
            </w:tcBorders>
          </w:tcPr>
          <w:p w14:paraId="0175601A" w14:textId="77777777" w:rsidR="00FC22FF" w:rsidRPr="00991E13" w:rsidRDefault="00FC22FF" w:rsidP="00E9760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91E13">
              <w:rPr>
                <w:rFonts w:cstheme="minorHAnsi"/>
                <w:bCs/>
                <w:i/>
                <w:iCs/>
                <w:sz w:val="20"/>
                <w:szCs w:val="20"/>
              </w:rPr>
              <w:t>Subjective Well-Being</w:t>
            </w:r>
            <w:r w:rsidRPr="00991E1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91E13">
              <w:rPr>
                <w:rFonts w:cstheme="minorHAnsi"/>
                <w:bCs/>
                <w:sz w:val="20"/>
                <w:szCs w:val="20"/>
              </w:rPr>
              <w:t>Pretest</w:t>
            </w:r>
            <w:proofErr w:type="spellEnd"/>
            <w:r w:rsidRPr="00991E13">
              <w:rPr>
                <w:rFonts w:cstheme="minorHAnsi"/>
                <w:bCs/>
                <w:sz w:val="20"/>
                <w:szCs w:val="20"/>
              </w:rPr>
              <w:t xml:space="preserve"> KE dan </w:t>
            </w:r>
            <w:proofErr w:type="spellStart"/>
            <w:r w:rsidRPr="00991E13">
              <w:rPr>
                <w:rFonts w:cstheme="minorHAnsi"/>
                <w:bCs/>
                <w:sz w:val="20"/>
                <w:szCs w:val="20"/>
              </w:rPr>
              <w:t>PostTest</w:t>
            </w:r>
            <w:proofErr w:type="spellEnd"/>
            <w:r w:rsidRPr="00991E13">
              <w:rPr>
                <w:rFonts w:cstheme="minorHAnsi"/>
                <w:bCs/>
                <w:sz w:val="20"/>
                <w:szCs w:val="20"/>
              </w:rPr>
              <w:t xml:space="preserve"> KE</w:t>
            </w:r>
          </w:p>
        </w:tc>
        <w:tc>
          <w:tcPr>
            <w:tcW w:w="1135" w:type="dxa"/>
            <w:gridSpan w:val="3"/>
            <w:tcBorders>
              <w:left w:val="nil"/>
              <w:right w:val="nil"/>
            </w:tcBorders>
            <w:vAlign w:val="center"/>
          </w:tcPr>
          <w:p w14:paraId="0EF4716E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-14.200</w:t>
            </w: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14:paraId="52B05457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-4.174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51A0689B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11D9E01F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6E77C89F" w14:textId="77777777" w:rsidR="00FC22FF" w:rsidRPr="00991E13" w:rsidRDefault="00FC22FF" w:rsidP="00E976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1E13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1430" w:type="dxa"/>
            <w:tcBorders>
              <w:left w:val="nil"/>
              <w:right w:val="nil"/>
            </w:tcBorders>
            <w:vAlign w:val="center"/>
          </w:tcPr>
          <w:p w14:paraId="045860EB" w14:textId="77777777" w:rsidR="00FC22FF" w:rsidRPr="00991E13" w:rsidRDefault="00FC22FF" w:rsidP="00E9760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991E13">
              <w:rPr>
                <w:rFonts w:cstheme="minorHAnsi"/>
                <w:sz w:val="20"/>
                <w:szCs w:val="20"/>
              </w:rPr>
              <w:t>Signifikan</w:t>
            </w:r>
            <w:proofErr w:type="spellEnd"/>
          </w:p>
        </w:tc>
      </w:tr>
    </w:tbl>
    <w:p w14:paraId="02E0E647" w14:textId="4CAEA8BF" w:rsid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tabel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atas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diketahui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Sig. 0,002 yang </w:t>
      </w:r>
      <w:proofErr w:type="spellStart"/>
      <w:r w:rsidRPr="00FC22FF">
        <w:rPr>
          <w:rFonts w:cstheme="minorHAnsi"/>
        </w:rPr>
        <w:t>artinya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Sig 0,002&lt;0,05.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kaidah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pengambilan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keputusan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uji paired sample t test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diasumsikan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perbedaan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sesudah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pada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. Nilai mean -14.200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posttest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tinggi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daripada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pretest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penjelasan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diasumsikan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perbedaan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pada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sesudah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penjelasan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dikatakan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efektif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meningkatkan</w:t>
      </w:r>
      <w:proofErr w:type="spellEnd"/>
      <w:r w:rsidRPr="00FC22FF">
        <w:rPr>
          <w:rFonts w:cstheme="minorHAnsi"/>
        </w:rPr>
        <w:t xml:space="preserve"> subjective well-being </w:t>
      </w:r>
      <w:proofErr w:type="spellStart"/>
      <w:r w:rsidRPr="00FC22FF">
        <w:rPr>
          <w:rFonts w:cstheme="minorHAnsi"/>
        </w:rPr>
        <w:t>seseorang</w:t>
      </w:r>
      <w:proofErr w:type="spellEnd"/>
      <w:r w:rsidRPr="00FC22FF">
        <w:rPr>
          <w:rFonts w:cstheme="minorHAnsi"/>
        </w:rPr>
        <w:t xml:space="preserve">. Hal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didukung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prosentase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peningkatan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23,7% </w:t>
      </w:r>
      <w:proofErr w:type="spellStart"/>
      <w:r w:rsidRPr="00FC22FF">
        <w:rPr>
          <w:rFonts w:cstheme="minorHAnsi"/>
        </w:rPr>
        <w:t>dari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perbandingan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tingkat</w:t>
      </w:r>
      <w:proofErr w:type="spellEnd"/>
      <w:r w:rsidRPr="00FC22FF">
        <w:rPr>
          <w:rFonts w:cstheme="minorHAnsi"/>
        </w:rPr>
        <w:t xml:space="preserve"> subjective well-being pada </w:t>
      </w:r>
      <w:proofErr w:type="spellStart"/>
      <w:r w:rsidRPr="00FC22FF">
        <w:rPr>
          <w:rFonts w:cstheme="minorHAnsi"/>
        </w:rPr>
        <w:t>saat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sesudah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diberikan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self-management.</w:t>
      </w:r>
    </w:p>
    <w:p w14:paraId="638C89EA" w14:textId="77777777" w:rsidR="00FC22FF" w:rsidRPr="00FC22FF" w:rsidRDefault="00FC22FF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7D699DE2" w14:textId="77777777" w:rsidR="00DD7C26" w:rsidRDefault="00DD7C26" w:rsidP="00991E13">
      <w:pPr>
        <w:pStyle w:val="ListParagraph"/>
        <w:numPr>
          <w:ilvl w:val="0"/>
          <w:numId w:val="1"/>
        </w:numPr>
        <w:spacing w:after="0" w:line="276" w:lineRule="auto"/>
        <w:ind w:left="425"/>
        <w:jc w:val="both"/>
        <w:rPr>
          <w:rFonts w:cstheme="minorHAnsi"/>
          <w:b/>
          <w:bCs/>
        </w:rPr>
      </w:pPr>
      <w:proofErr w:type="spellStart"/>
      <w:r w:rsidRPr="00895AED">
        <w:rPr>
          <w:rFonts w:cstheme="minorHAnsi"/>
          <w:b/>
          <w:bCs/>
        </w:rPr>
        <w:t>Pembahasan</w:t>
      </w:r>
      <w:proofErr w:type="spellEnd"/>
    </w:p>
    <w:p w14:paraId="6A35E81D" w14:textId="77777777" w:rsidR="00FC22FF" w:rsidRP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analisis</w:t>
      </w:r>
      <w:proofErr w:type="spellEnd"/>
      <w:r w:rsidRPr="00FC22FF">
        <w:rPr>
          <w:rFonts w:cstheme="minorHAnsi"/>
        </w:rPr>
        <w:t xml:space="preserve"> paired </w:t>
      </w:r>
      <w:proofErr w:type="spellStart"/>
      <w:r w:rsidRPr="00FC22FF">
        <w:rPr>
          <w:rFonts w:cstheme="minorHAnsi"/>
        </w:rPr>
        <w:t>sampe</w:t>
      </w:r>
      <w:proofErr w:type="spellEnd"/>
      <w:r w:rsidRPr="00FC22FF">
        <w:rPr>
          <w:rFonts w:cstheme="minorHAnsi"/>
        </w:rPr>
        <w:t xml:space="preserve"> t test </w:t>
      </w:r>
      <w:proofErr w:type="spellStart"/>
      <w:r w:rsidRPr="00FC22FF">
        <w:rPr>
          <w:rFonts w:cstheme="minorHAnsi"/>
        </w:rPr>
        <w:t>diketahui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hipotesis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pertama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diusulkan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peneliti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terbukti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yaitu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perbedaan</w:t>
      </w:r>
      <w:proofErr w:type="spellEnd"/>
      <w:r w:rsidRPr="00FC22FF">
        <w:rPr>
          <w:rFonts w:cstheme="minorHAnsi"/>
        </w:rPr>
        <w:t xml:space="preserve"> subjective well-being pada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mengikuti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dan </w:t>
      </w:r>
      <w:proofErr w:type="spellStart"/>
      <w:r w:rsidRPr="00FC22FF">
        <w:rPr>
          <w:rFonts w:cstheme="minorHAnsi"/>
        </w:rPr>
        <w:t>setelah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mengikuti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self-management. Hal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dibuktikan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t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-4.174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taraf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signifikansi</w:t>
      </w:r>
      <w:proofErr w:type="spellEnd"/>
      <w:r w:rsidRPr="00FC22FF">
        <w:rPr>
          <w:rFonts w:cstheme="minorHAnsi"/>
        </w:rPr>
        <w:t xml:space="preserve"> p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0.002 (p&lt;0,05). Di </w:t>
      </w:r>
      <w:proofErr w:type="spellStart"/>
      <w:r w:rsidRPr="00FC22FF">
        <w:rPr>
          <w:rFonts w:cstheme="minorHAnsi"/>
        </w:rPr>
        <w:t>samping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itu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hipotesis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kedua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penelitian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terbukti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yaitu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perbedaan</w:t>
      </w:r>
      <w:proofErr w:type="spellEnd"/>
      <w:r w:rsidRPr="00FC22FF">
        <w:rPr>
          <w:rFonts w:cstheme="minorHAnsi"/>
        </w:rPr>
        <w:t xml:space="preserve"> subjective well-being </w:t>
      </w:r>
      <w:proofErr w:type="spellStart"/>
      <w:r w:rsidRPr="00FC22FF">
        <w:rPr>
          <w:rFonts w:cstheme="minorHAnsi"/>
        </w:rPr>
        <w:t>antara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eksperimen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kelompok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kontrol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analisis</w:t>
      </w:r>
      <w:proofErr w:type="spellEnd"/>
      <w:r w:rsidRPr="00FC22FF">
        <w:rPr>
          <w:rFonts w:cstheme="minorHAnsi"/>
        </w:rPr>
        <w:t xml:space="preserve"> independent sample t test </w:t>
      </w:r>
      <w:proofErr w:type="spellStart"/>
      <w:r w:rsidRPr="00FC22FF">
        <w:rPr>
          <w:rFonts w:cstheme="minorHAnsi"/>
        </w:rPr>
        <w:t>diperoleh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nilai</w:t>
      </w:r>
      <w:proofErr w:type="spellEnd"/>
      <w:r w:rsidRPr="00FC22FF">
        <w:rPr>
          <w:rFonts w:cstheme="minorHAnsi"/>
        </w:rPr>
        <w:t xml:space="preserve"> t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3.569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taraf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signifikansi</w:t>
      </w:r>
      <w:proofErr w:type="spellEnd"/>
      <w:r w:rsidRPr="00FC22FF">
        <w:rPr>
          <w:rFonts w:cstheme="minorHAnsi"/>
        </w:rPr>
        <w:t xml:space="preserve"> p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0,002 (p&lt;0,05). Dari </w:t>
      </w:r>
      <w:proofErr w:type="spellStart"/>
      <w:r w:rsidRPr="00FC22FF">
        <w:rPr>
          <w:rFonts w:cstheme="minorHAnsi"/>
        </w:rPr>
        <w:t>kedua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hipotesis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diartikan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berpengaruh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terhadap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peningkatan</w:t>
      </w:r>
      <w:proofErr w:type="spellEnd"/>
      <w:r w:rsidRPr="00FC22FF">
        <w:rPr>
          <w:rFonts w:cstheme="minorHAnsi"/>
        </w:rPr>
        <w:t xml:space="preserve"> subjective well-being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>.</w:t>
      </w:r>
    </w:p>
    <w:p w14:paraId="3116A05D" w14:textId="77777777" w:rsidR="00FC22FF" w:rsidRP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r w:rsidRPr="00FC22FF">
        <w:rPr>
          <w:rFonts w:cstheme="minorHAnsi"/>
        </w:rPr>
        <w:t xml:space="preserve">Hasil </w:t>
      </w:r>
      <w:proofErr w:type="spellStart"/>
      <w:r w:rsidRPr="00FC22FF">
        <w:rPr>
          <w:rFonts w:cstheme="minorHAnsi"/>
        </w:rPr>
        <w:t>penelitian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sejalan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beberapa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penelitian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terdahulu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yaitu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seperti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penelitian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oleh Putri (2014)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semakin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tingginya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seseorang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semakin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tinggi</w:t>
      </w:r>
      <w:proofErr w:type="spellEnd"/>
      <w:r w:rsidRPr="00FC22FF">
        <w:rPr>
          <w:rFonts w:cstheme="minorHAnsi"/>
        </w:rPr>
        <w:t xml:space="preserve"> pula </w:t>
      </w:r>
      <w:proofErr w:type="spellStart"/>
      <w:r w:rsidRPr="00FC22FF">
        <w:rPr>
          <w:rFonts w:cstheme="minorHAnsi"/>
        </w:rPr>
        <w:t>tingkat</w:t>
      </w:r>
      <w:proofErr w:type="spellEnd"/>
      <w:r w:rsidRPr="00FC22FF">
        <w:rPr>
          <w:rFonts w:cstheme="minorHAnsi"/>
        </w:rPr>
        <w:t xml:space="preserve"> subjective well-being </w:t>
      </w:r>
      <w:proofErr w:type="spellStart"/>
      <w:r w:rsidRPr="00FC22FF">
        <w:rPr>
          <w:rFonts w:cstheme="minorHAnsi"/>
        </w:rPr>
        <w:t>seseorang</w:t>
      </w:r>
      <w:proofErr w:type="spellEnd"/>
      <w:r w:rsidRPr="00FC22FF">
        <w:rPr>
          <w:rFonts w:cstheme="minorHAnsi"/>
        </w:rPr>
        <w:t xml:space="preserve">. Self-management </w:t>
      </w:r>
      <w:proofErr w:type="spellStart"/>
      <w:r w:rsidRPr="00FC22FF">
        <w:rPr>
          <w:rFonts w:cstheme="minorHAnsi"/>
        </w:rPr>
        <w:t>membantu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keterampilan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mengelola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pikiran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perasaannya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sendiri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menghadapi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kesulitan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ataupun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negatif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dialami</w:t>
      </w:r>
      <w:proofErr w:type="spellEnd"/>
      <w:r w:rsidRPr="00FC22FF">
        <w:rPr>
          <w:rFonts w:cstheme="minorHAnsi"/>
        </w:rPr>
        <w:t xml:space="preserve"> (</w:t>
      </w:r>
      <w:proofErr w:type="spellStart"/>
      <w:r w:rsidRPr="00FC22FF">
        <w:rPr>
          <w:rFonts w:cstheme="minorHAnsi"/>
        </w:rPr>
        <w:t>Gunarsa</w:t>
      </w:r>
      <w:proofErr w:type="spellEnd"/>
      <w:r w:rsidRPr="00FC22FF">
        <w:rPr>
          <w:rFonts w:cstheme="minorHAnsi"/>
        </w:rPr>
        <w:t xml:space="preserve">, 2004). </w:t>
      </w:r>
      <w:proofErr w:type="spellStart"/>
      <w:r w:rsidRPr="00FC22FF">
        <w:rPr>
          <w:rFonts w:cstheme="minorHAnsi"/>
        </w:rPr>
        <w:t>Fungsi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adalah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memberi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pengetahuan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keterampilan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bagi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mengasesmen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sendiri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menetapkan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menjadi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masalah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lastRenderedPageBreak/>
        <w:t>mendukung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menetapkan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serta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mencapai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tujuan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telah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dibuat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mencapai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kehidupan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(Iskandar, 2007). </w:t>
      </w:r>
    </w:p>
    <w:p w14:paraId="0E8847A8" w14:textId="4C12E4FA" w:rsidR="00FC22FF" w:rsidRP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Seseorang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kemampuan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pengelolaan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cenderung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memahami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mengerti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apa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menjadi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kekurangannya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apa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perlu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diubah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mencapai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tujuan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hidupnya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mampu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berkomitmen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sendiri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mampu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mengetahui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negatif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atau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kekurangan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sendiri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sadar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ingin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mengubah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membuat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semakin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terpacu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berubah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menjadi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Tercapainya</w:t>
      </w:r>
      <w:proofErr w:type="spellEnd"/>
      <w:r w:rsidRPr="00FC22FF">
        <w:rPr>
          <w:rFonts w:cstheme="minorHAnsi"/>
        </w:rPr>
        <w:t xml:space="preserve"> target </w:t>
      </w:r>
      <w:proofErr w:type="spellStart"/>
      <w:r w:rsidRPr="00FC22FF">
        <w:rPr>
          <w:rFonts w:cstheme="minorHAnsi"/>
        </w:rPr>
        <w:t>perubahan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inginkan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membuat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menghargai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sendiri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kehidupannya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keseluruhan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melakukan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perubahan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arah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merasakan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berbagai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dampak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terjadi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hidupnya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Secara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tidak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langsung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berpengaruh</w:t>
      </w:r>
      <w:proofErr w:type="spellEnd"/>
      <w:r w:rsidRPr="00FC22FF">
        <w:rPr>
          <w:rFonts w:cstheme="minorHAnsi"/>
        </w:rPr>
        <w:t xml:space="preserve"> pada </w:t>
      </w:r>
      <w:proofErr w:type="spellStart"/>
      <w:r w:rsidRPr="00FC22FF">
        <w:rPr>
          <w:rFonts w:cstheme="minorHAnsi"/>
        </w:rPr>
        <w:t>kinerja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tempat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kerjanya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(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perasaan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pikiran</w:t>
      </w:r>
      <w:proofErr w:type="spellEnd"/>
      <w:r w:rsidRPr="00FC22FF">
        <w:rPr>
          <w:rFonts w:cstheme="minorHAnsi"/>
        </w:rPr>
        <w:t xml:space="preserve">), orang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kreatif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proaktif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bertanggung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jawab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energi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menyelesaikan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pekerjaannya</w:t>
      </w:r>
      <w:proofErr w:type="spellEnd"/>
      <w:r w:rsidRPr="00FC22FF">
        <w:rPr>
          <w:rFonts w:cstheme="minorHAnsi"/>
        </w:rPr>
        <w:t xml:space="preserve">. Oleh </w:t>
      </w:r>
      <w:proofErr w:type="spellStart"/>
      <w:r w:rsidRPr="00FC22FF">
        <w:rPr>
          <w:rFonts w:cstheme="minorHAnsi"/>
        </w:rPr>
        <w:t>karena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memberikan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intervensi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self-management,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membuat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kondisi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semakin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memaknai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hidup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bekerja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maksimal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daripada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sebelumnya</w:t>
      </w:r>
      <w:proofErr w:type="spellEnd"/>
      <w:r w:rsidRPr="00FC22FF">
        <w:rPr>
          <w:rFonts w:cstheme="minorHAnsi"/>
        </w:rPr>
        <w:t>.</w:t>
      </w:r>
    </w:p>
    <w:p w14:paraId="2A7EC57C" w14:textId="77777777" w:rsidR="00FC22FF" w:rsidRP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Landasan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berpikir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dari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adalah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pikiran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perasaan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meskipun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situasi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ataupun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kondisi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sulit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mengelola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segala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sesuatu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ada</w:t>
      </w:r>
      <w:proofErr w:type="spellEnd"/>
      <w:r w:rsidRPr="00FC22FF">
        <w:rPr>
          <w:rFonts w:cstheme="minorHAnsi"/>
        </w:rPr>
        <w:t xml:space="preserve"> pada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masing-masing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bisa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bekerja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maka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dahulu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harus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self-management yang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Seperti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kita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ketahui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kunci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keberhasian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suatu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organisasi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adalah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sumber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manusia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ada</w:t>
      </w:r>
      <w:proofErr w:type="spellEnd"/>
      <w:r w:rsidRPr="00FC22FF">
        <w:rPr>
          <w:rFonts w:cstheme="minorHAnsi"/>
        </w:rPr>
        <w:t xml:space="preserve"> di </w:t>
      </w:r>
      <w:proofErr w:type="spellStart"/>
      <w:r w:rsidRPr="00FC22FF">
        <w:rPr>
          <w:rFonts w:cstheme="minorHAnsi"/>
        </w:rPr>
        <w:t>dalamnya</w:t>
      </w:r>
      <w:proofErr w:type="spellEnd"/>
      <w:r w:rsidRPr="00FC22FF">
        <w:rPr>
          <w:rFonts w:cstheme="minorHAnsi"/>
        </w:rPr>
        <w:t xml:space="preserve">. Oleh </w:t>
      </w:r>
      <w:proofErr w:type="spellStart"/>
      <w:r w:rsidRPr="00FC22FF">
        <w:rPr>
          <w:rFonts w:cstheme="minorHAnsi"/>
        </w:rPr>
        <w:t>karena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penting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sebuah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organisasi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sumber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manusia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mengelola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sendiri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sehingga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ketika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keadaan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sulit</w:t>
      </w:r>
      <w:proofErr w:type="spellEnd"/>
      <w:r w:rsidRPr="00FC22FF">
        <w:rPr>
          <w:rFonts w:cstheme="minorHAnsi"/>
        </w:rPr>
        <w:t xml:space="preserve"> pun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tetap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bekerja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di </w:t>
      </w:r>
      <w:proofErr w:type="spellStart"/>
      <w:r w:rsidRPr="00FC22FF">
        <w:rPr>
          <w:rFonts w:cstheme="minorHAnsi"/>
        </w:rPr>
        <w:t>sini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membantu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individu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mengembangkan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meningkatkan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kemampuannya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mengelola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ada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dirinya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sehingga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kinerja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tetap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terjaga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meskipun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kondisi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sulit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seperti</w:t>
      </w:r>
      <w:proofErr w:type="spellEnd"/>
      <w:r w:rsidRPr="00FC22FF">
        <w:rPr>
          <w:rFonts w:cstheme="minorHAnsi"/>
        </w:rPr>
        <w:t xml:space="preserve"> pada masa </w:t>
      </w:r>
      <w:proofErr w:type="spellStart"/>
      <w:r w:rsidRPr="00FC22FF">
        <w:rPr>
          <w:rFonts w:cstheme="minorHAnsi"/>
        </w:rPr>
        <w:t>pandemi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seperti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>.</w:t>
      </w:r>
    </w:p>
    <w:p w14:paraId="5C6B0295" w14:textId="77777777" w:rsidR="00FC22FF" w:rsidRP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r w:rsidRPr="00FC22FF">
        <w:rPr>
          <w:rFonts w:cstheme="minorHAnsi"/>
        </w:rPr>
        <w:t xml:space="preserve">Hasil </w:t>
      </w:r>
      <w:proofErr w:type="spellStart"/>
      <w:r w:rsidRPr="00FC22FF">
        <w:rPr>
          <w:rFonts w:cstheme="minorHAnsi"/>
        </w:rPr>
        <w:t>penelitian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didukung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evaluasi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minggu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setelah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selesai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dialkukan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Evaluasi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metode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observasi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oleh </w:t>
      </w:r>
      <w:proofErr w:type="spellStart"/>
      <w:r w:rsidRPr="00FC22FF">
        <w:rPr>
          <w:rFonts w:cstheme="minorHAnsi"/>
        </w:rPr>
        <w:t>atasan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langsung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wawancara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peneliti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atasan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langsung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mengenai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dampak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pada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mengikuti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. Dari </w:t>
      </w:r>
      <w:proofErr w:type="spellStart"/>
      <w:r w:rsidRPr="00FC22FF">
        <w:rPr>
          <w:rFonts w:cstheme="minorHAnsi"/>
        </w:rPr>
        <w:t>hasil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observasi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oleh </w:t>
      </w:r>
      <w:proofErr w:type="spellStart"/>
      <w:r w:rsidRPr="00FC22FF">
        <w:rPr>
          <w:rFonts w:cstheme="minorHAnsi"/>
        </w:rPr>
        <w:t>atasan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perubahan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arah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pada para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mengikuti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self-management. Hal </w:t>
      </w:r>
      <w:proofErr w:type="spellStart"/>
      <w:r w:rsidRPr="00FC22FF">
        <w:rPr>
          <w:rFonts w:cstheme="minorHAnsi"/>
        </w:rPr>
        <w:t>tesebut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ditunjukkan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kinerja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semakin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penuh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konsentrasi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sedang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bekerja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tidak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terlihat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murung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tidak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banyak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melamun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terlihat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bersemangat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ketika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bekerja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Selain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itu</w:t>
      </w:r>
      <w:proofErr w:type="spellEnd"/>
      <w:r w:rsidRPr="00FC22FF">
        <w:rPr>
          <w:rFonts w:cstheme="minorHAnsi"/>
        </w:rPr>
        <w:t xml:space="preserve">, para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banyak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tertawa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saling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menghibur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satu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sama</w:t>
      </w:r>
      <w:proofErr w:type="spellEnd"/>
      <w:r w:rsidRPr="00FC22FF">
        <w:rPr>
          <w:rFonts w:cstheme="minorHAnsi"/>
        </w:rPr>
        <w:t xml:space="preserve"> lain </w:t>
      </w:r>
      <w:proofErr w:type="spellStart"/>
      <w:r w:rsidRPr="00FC22FF">
        <w:rPr>
          <w:rFonts w:cstheme="minorHAnsi"/>
        </w:rPr>
        <w:t>ketika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sedang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senggang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merasa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bekerja</w:t>
      </w:r>
      <w:proofErr w:type="spellEnd"/>
      <w:r w:rsidRPr="00FC22FF">
        <w:rPr>
          <w:rFonts w:cstheme="minorHAnsi"/>
        </w:rPr>
        <w:t xml:space="preserve">. Hasil </w:t>
      </w:r>
      <w:proofErr w:type="spellStart"/>
      <w:r w:rsidRPr="00FC22FF">
        <w:rPr>
          <w:rFonts w:cstheme="minorHAnsi"/>
        </w:rPr>
        <w:t>wawancara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atasan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mengatakan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masing-masing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pandangan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jauh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tentang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kehidupan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kembali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ingin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menata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harapan-harapan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pernah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sirna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akibat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kondisi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pandemi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Selain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itu</w:t>
      </w:r>
      <w:proofErr w:type="spellEnd"/>
      <w:r w:rsidRPr="00FC22FF">
        <w:rPr>
          <w:rFonts w:cstheme="minorHAnsi"/>
        </w:rPr>
        <w:t xml:space="preserve"> para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juga </w:t>
      </w:r>
      <w:proofErr w:type="spellStart"/>
      <w:r w:rsidRPr="00FC22FF">
        <w:rPr>
          <w:rFonts w:cstheme="minorHAnsi"/>
        </w:rPr>
        <w:t>tidak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lastRenderedPageBreak/>
        <w:t>mengeluhkan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kondisi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pandemi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seperti</w:t>
      </w:r>
      <w:proofErr w:type="spellEnd"/>
      <w:r w:rsidRPr="00FC22FF">
        <w:rPr>
          <w:rFonts w:cstheme="minorHAnsi"/>
        </w:rPr>
        <w:t xml:space="preserve"> pada </w:t>
      </w:r>
      <w:proofErr w:type="spellStart"/>
      <w:r w:rsidRPr="00FC22FF">
        <w:rPr>
          <w:rFonts w:cstheme="minorHAnsi"/>
        </w:rPr>
        <w:t>saat-saat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sebelumnya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bisa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menerima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keadaan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sulit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>.</w:t>
      </w:r>
    </w:p>
    <w:p w14:paraId="3EBBD0BB" w14:textId="7EC1D65B" w:rsid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 w:rsidRPr="00FC22FF">
        <w:rPr>
          <w:rFonts w:cstheme="minorHAnsi"/>
        </w:rPr>
        <w:t>Berdasarkan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penjelasan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ditarik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kesimpulan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memiliki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pengaruh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terhadap</w:t>
      </w:r>
      <w:proofErr w:type="spellEnd"/>
      <w:r w:rsidRPr="00FC22FF">
        <w:rPr>
          <w:rFonts w:cstheme="minorHAnsi"/>
        </w:rPr>
        <w:t xml:space="preserve"> subjective well-being, </w:t>
      </w:r>
      <w:proofErr w:type="spellStart"/>
      <w:r w:rsidRPr="00FC22FF">
        <w:rPr>
          <w:rFonts w:cstheme="minorHAnsi"/>
        </w:rPr>
        <w:t>karena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mengalami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perubahan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arah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Seperti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telah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diketahui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terdapat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perbedaan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perilaku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antara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sesudah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diberikan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pada </w:t>
      </w:r>
      <w:proofErr w:type="spellStart"/>
      <w:r w:rsidRPr="00FC22FF">
        <w:rPr>
          <w:rFonts w:cstheme="minorHAnsi"/>
        </w:rPr>
        <w:t>beberapa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. </w:t>
      </w:r>
      <w:proofErr w:type="spellStart"/>
      <w:r w:rsidRPr="00FC22FF">
        <w:rPr>
          <w:rFonts w:cstheme="minorHAnsi"/>
        </w:rPr>
        <w:t>Karyawan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merasa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sering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merasakan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dalam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kehidupannya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baik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secara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pribadi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maupun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pekerjaan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pun </w:t>
      </w:r>
      <w:proofErr w:type="spellStart"/>
      <w:r w:rsidRPr="00FC22FF">
        <w:rPr>
          <w:rFonts w:cstheme="minorHAnsi"/>
        </w:rPr>
        <w:t>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tidak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terfokus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 xml:space="preserve"> pada </w:t>
      </w:r>
      <w:proofErr w:type="spellStart"/>
      <w:r w:rsidRPr="00FC22FF">
        <w:rPr>
          <w:rFonts w:cstheme="minorHAnsi"/>
        </w:rPr>
        <w:t>hal-hal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negatif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disebabkan</w:t>
      </w:r>
      <w:proofErr w:type="spellEnd"/>
      <w:r w:rsidRPr="00FC22FF">
        <w:rPr>
          <w:rFonts w:cstheme="minorHAnsi"/>
        </w:rPr>
        <w:t xml:space="preserve"> oleh </w:t>
      </w:r>
      <w:proofErr w:type="spellStart"/>
      <w:r w:rsidRPr="00FC22FF">
        <w:rPr>
          <w:rFonts w:cstheme="minorHAnsi"/>
        </w:rPr>
        <w:t>pandemi</w:t>
      </w:r>
      <w:proofErr w:type="spellEnd"/>
      <w:r w:rsidRPr="00FC22FF">
        <w:rPr>
          <w:rFonts w:cstheme="minorHAnsi"/>
        </w:rPr>
        <w:t xml:space="preserve"> yang </w:t>
      </w:r>
      <w:proofErr w:type="spellStart"/>
      <w:r w:rsidRPr="00FC22FF">
        <w:rPr>
          <w:rFonts w:cstheme="minorHAnsi"/>
        </w:rPr>
        <w:t>belum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kunjung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usai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melainkan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kembali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menata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mimpi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menyusun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kembali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tujuan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hidup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mereka</w:t>
      </w:r>
      <w:proofErr w:type="spellEnd"/>
      <w:r w:rsidRPr="00FC22FF">
        <w:rPr>
          <w:rFonts w:cstheme="minorHAnsi"/>
        </w:rPr>
        <w:t xml:space="preserve">, </w:t>
      </w:r>
      <w:proofErr w:type="spellStart"/>
      <w:r w:rsidRPr="00FC22FF">
        <w:rPr>
          <w:rFonts w:cstheme="minorHAnsi"/>
        </w:rPr>
        <w:t>serta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tidak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membandingkan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keadaan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dulu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melainkan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memaknai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keadaan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saat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ini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lebih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positif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lagi</w:t>
      </w:r>
      <w:proofErr w:type="spellEnd"/>
      <w:r w:rsidRPr="00FC22FF">
        <w:rPr>
          <w:rFonts w:cstheme="minorHAnsi"/>
        </w:rPr>
        <w:t>.</w:t>
      </w:r>
    </w:p>
    <w:p w14:paraId="72288ECE" w14:textId="77777777" w:rsidR="00A97EBD" w:rsidRPr="00FC22FF" w:rsidRDefault="00A97EBD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096EAC3A" w14:textId="4005F12B" w:rsidR="00DD7C26" w:rsidRDefault="00DD7C26" w:rsidP="00991E13">
      <w:pPr>
        <w:pStyle w:val="ListParagraph"/>
        <w:numPr>
          <w:ilvl w:val="0"/>
          <w:numId w:val="1"/>
        </w:numPr>
        <w:spacing w:after="0" w:line="276" w:lineRule="auto"/>
        <w:ind w:left="425"/>
        <w:jc w:val="both"/>
        <w:rPr>
          <w:rFonts w:cstheme="minorHAnsi"/>
          <w:b/>
          <w:bCs/>
        </w:rPr>
      </w:pPr>
      <w:r w:rsidRPr="00895AED">
        <w:rPr>
          <w:rFonts w:cstheme="minorHAnsi"/>
          <w:b/>
          <w:bCs/>
        </w:rPr>
        <w:t>Kesimpulan</w:t>
      </w:r>
    </w:p>
    <w:p w14:paraId="3F01DA55" w14:textId="30AF9556" w:rsidR="00FC22FF" w:rsidRDefault="00FC22FF" w:rsidP="00A97EBD">
      <w:pPr>
        <w:pStyle w:val="ListParagraph"/>
        <w:spacing w:after="0" w:line="276" w:lineRule="auto"/>
        <w:ind w:left="425" w:firstLine="426"/>
        <w:jc w:val="both"/>
        <w:rPr>
          <w:rFonts w:cstheme="minorHAnsi"/>
        </w:rPr>
      </w:pPr>
      <w:proofErr w:type="spellStart"/>
      <w:r>
        <w:rPr>
          <w:rFonts w:cstheme="minorHAnsi"/>
        </w:rPr>
        <w:t>Berdasarkan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pembahasan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atas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dapat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disimpulkan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bahwa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 </w:t>
      </w:r>
      <w:proofErr w:type="spellStart"/>
      <w:r w:rsidRPr="00FC22FF">
        <w:rPr>
          <w:rFonts w:cstheme="minorHAnsi"/>
        </w:rPr>
        <w:t>efektif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digunakan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untuk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meningkatkan</w:t>
      </w:r>
      <w:proofErr w:type="spellEnd"/>
      <w:r w:rsidRPr="00FC22FF">
        <w:rPr>
          <w:rFonts w:cstheme="minorHAnsi"/>
        </w:rPr>
        <w:t xml:space="preserve"> subjective well-being. Hal </w:t>
      </w:r>
      <w:proofErr w:type="spellStart"/>
      <w:r w:rsidRPr="00FC22FF">
        <w:rPr>
          <w:rFonts w:cstheme="minorHAnsi"/>
        </w:rPr>
        <w:t>tersebut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didukung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dengan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prosentase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peningkatan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sebesar</w:t>
      </w:r>
      <w:proofErr w:type="spellEnd"/>
      <w:r w:rsidRPr="00FC22FF">
        <w:rPr>
          <w:rFonts w:cstheme="minorHAnsi"/>
        </w:rPr>
        <w:t xml:space="preserve"> 23,7% </w:t>
      </w:r>
      <w:proofErr w:type="spellStart"/>
      <w:r w:rsidRPr="00FC22FF">
        <w:rPr>
          <w:rFonts w:cstheme="minorHAnsi"/>
        </w:rPr>
        <w:t>dari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sebelum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dan </w:t>
      </w:r>
      <w:proofErr w:type="spellStart"/>
      <w:r w:rsidRPr="00FC22FF">
        <w:rPr>
          <w:rFonts w:cstheme="minorHAnsi"/>
        </w:rPr>
        <w:t>sesudah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dilakukan</w:t>
      </w:r>
      <w:proofErr w:type="spellEnd"/>
      <w:r w:rsidRPr="00FC22FF">
        <w:rPr>
          <w:rFonts w:cstheme="minorHAnsi"/>
        </w:rPr>
        <w:t xml:space="preserve"> </w:t>
      </w:r>
      <w:proofErr w:type="spellStart"/>
      <w:r w:rsidRPr="00FC22FF">
        <w:rPr>
          <w:rFonts w:cstheme="minorHAnsi"/>
        </w:rPr>
        <w:t>pelatihan</w:t>
      </w:r>
      <w:proofErr w:type="spellEnd"/>
      <w:r w:rsidRPr="00FC22FF">
        <w:rPr>
          <w:rFonts w:cstheme="minorHAnsi"/>
        </w:rPr>
        <w:t xml:space="preserve"> self-management.</w:t>
      </w:r>
    </w:p>
    <w:p w14:paraId="5B00CB7F" w14:textId="77777777" w:rsidR="00991E13" w:rsidRPr="00FC22FF" w:rsidRDefault="00991E13" w:rsidP="00991E13">
      <w:pPr>
        <w:pStyle w:val="ListParagraph"/>
        <w:spacing w:after="0" w:line="276" w:lineRule="auto"/>
        <w:ind w:left="425"/>
        <w:jc w:val="both"/>
        <w:rPr>
          <w:rFonts w:cstheme="minorHAnsi"/>
        </w:rPr>
      </w:pPr>
    </w:p>
    <w:p w14:paraId="0B876B8B" w14:textId="371476A5" w:rsidR="00334D5A" w:rsidRDefault="00DD7C26" w:rsidP="00991E13">
      <w:pPr>
        <w:pStyle w:val="ListParagraph"/>
        <w:numPr>
          <w:ilvl w:val="0"/>
          <w:numId w:val="1"/>
        </w:numPr>
        <w:spacing w:after="0" w:line="276" w:lineRule="auto"/>
        <w:ind w:left="425"/>
        <w:jc w:val="both"/>
        <w:rPr>
          <w:rFonts w:cstheme="minorHAnsi"/>
          <w:b/>
          <w:bCs/>
        </w:rPr>
      </w:pPr>
      <w:r w:rsidRPr="00895AED">
        <w:rPr>
          <w:rFonts w:cstheme="minorHAnsi"/>
          <w:b/>
          <w:bCs/>
        </w:rPr>
        <w:t xml:space="preserve">Daftar </w:t>
      </w:r>
      <w:proofErr w:type="spellStart"/>
      <w:r w:rsidRPr="00895AED">
        <w:rPr>
          <w:rFonts w:cstheme="minorHAnsi"/>
          <w:b/>
          <w:bCs/>
        </w:rPr>
        <w:t>Pustaka</w:t>
      </w:r>
      <w:proofErr w:type="spellEnd"/>
    </w:p>
    <w:p w14:paraId="4A516EA4" w14:textId="6D4274D0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</w:rPr>
        <w:fldChar w:fldCharType="begin" w:fldLock="1"/>
      </w:r>
      <w:r w:rsidRPr="00A97EBD">
        <w:rPr>
          <w:rFonts w:cstheme="minorHAnsi"/>
        </w:rPr>
        <w:instrText>ADDIN CSL_CITATION {"citationItems":[{"id":"ITEM-1","itemData":{"author":[{"dropping-particle":"","family":"Argyle","given":"M","non-dropping-particle":"","parse-names":false,"suffix":""}],"id":"ITEM-1","issued":{"date-parts":[["2001"]]},"publisher":"Routledge","publisher-place":"New York","title":"The Psychology of Happiness","type":"book"},"uris":["http://www.mendeley.com/documents/?uuid=57b9294e-39f6-43cd-aff1-de4a96c8e99e"]}],"mendeley":{"formattedCitation":"(Argyle, 2001)","plainTextFormattedCitation":"(Argyle, 2001)","previouslyFormattedCitation":"(Argyle, 2001)"},"properties":{"noteIndex":0},"schema":"https://github.com/citation-style-language/schema/raw/master/csl-citation.json"}</w:instrText>
      </w:r>
      <w:r w:rsidRPr="00A97EBD">
        <w:rPr>
          <w:rFonts w:cstheme="minorHAnsi"/>
        </w:rPr>
        <w:fldChar w:fldCharType="end"/>
      </w:r>
      <w:r w:rsidRPr="00A97EBD">
        <w:rPr>
          <w:rFonts w:cstheme="minorHAnsi"/>
        </w:rPr>
        <w:fldChar w:fldCharType="begin" w:fldLock="1"/>
      </w:r>
      <w:r w:rsidRPr="00A97EBD">
        <w:rPr>
          <w:rFonts w:cstheme="minorHAnsi"/>
        </w:rPr>
        <w:instrText xml:space="preserve">ADDIN Mendeley Bibliography CSL_BIBLIOGRAPHY </w:instrText>
      </w:r>
      <w:r w:rsidRPr="00A97EBD">
        <w:rPr>
          <w:rFonts w:cstheme="minorHAnsi"/>
        </w:rPr>
        <w:fldChar w:fldCharType="separate"/>
      </w:r>
      <w:r w:rsidRPr="00A97EBD">
        <w:rPr>
          <w:rFonts w:cstheme="minorHAnsi"/>
          <w:noProof/>
        </w:rPr>
        <w:t xml:space="preserve">Argyle, M. (2001). </w:t>
      </w:r>
      <w:r w:rsidRPr="00A97EBD">
        <w:rPr>
          <w:rFonts w:cstheme="minorHAnsi"/>
          <w:i/>
          <w:iCs/>
          <w:noProof/>
        </w:rPr>
        <w:t>The Psychology of Happiness</w:t>
      </w:r>
      <w:r w:rsidRPr="00A97EBD">
        <w:rPr>
          <w:rFonts w:cstheme="minorHAnsi"/>
          <w:noProof/>
        </w:rPr>
        <w:t>. Routledge.</w:t>
      </w:r>
    </w:p>
    <w:p w14:paraId="29883BD6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10E7075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Azizi, M., Javan, N., Mirzaei, M.M.S., &amp; Vagharseyyedin, S. . (2020). The Efficacy of a Peer-Led Versus Nurse-Led Self-Management on the Subjective Well-Being of Patients with Multiple Sclerosis: A Randomized Clinical Trial. </w:t>
      </w:r>
      <w:r w:rsidRPr="00A97EBD">
        <w:rPr>
          <w:rFonts w:cstheme="minorHAnsi"/>
          <w:i/>
          <w:iCs/>
          <w:noProof/>
        </w:rPr>
        <w:t>Jundishapur Journal of Chronic Disease Care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9</w:t>
      </w:r>
      <w:r w:rsidRPr="00A97EBD">
        <w:rPr>
          <w:rFonts w:cstheme="minorHAnsi"/>
          <w:noProof/>
        </w:rPr>
        <w:t>(3), 1–9.</w:t>
      </w:r>
    </w:p>
    <w:p w14:paraId="32B90FB7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11FCFB0B" w14:textId="3B61D1C4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Azwar, S. (2012). </w:t>
      </w:r>
      <w:r w:rsidRPr="00A97EBD">
        <w:rPr>
          <w:rFonts w:cstheme="minorHAnsi"/>
          <w:i/>
          <w:iCs/>
          <w:noProof/>
        </w:rPr>
        <w:t>Validitas dan Reliabilitas</w:t>
      </w:r>
      <w:r w:rsidRPr="00A97EBD">
        <w:rPr>
          <w:rFonts w:cstheme="minorHAnsi"/>
          <w:noProof/>
        </w:rPr>
        <w:t>. Pustaka Pelajar.</w:t>
      </w:r>
    </w:p>
    <w:p w14:paraId="15874719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13793DD" w14:textId="009CAC36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Azwar, S. (2013). </w:t>
      </w:r>
      <w:r w:rsidRPr="00A97EBD">
        <w:rPr>
          <w:rFonts w:cstheme="minorHAnsi"/>
          <w:i/>
          <w:iCs/>
          <w:noProof/>
        </w:rPr>
        <w:t>Sikap Manusia: Teori dan Pengukurannya</w:t>
      </w:r>
      <w:r w:rsidRPr="00A97EBD">
        <w:rPr>
          <w:rFonts w:cstheme="minorHAnsi"/>
          <w:noProof/>
        </w:rPr>
        <w:t>. Pustaka Pelajar.</w:t>
      </w:r>
    </w:p>
    <w:p w14:paraId="1F702239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C3047F9" w14:textId="01BF3565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Carr, A. (2004). </w:t>
      </w:r>
      <w:r w:rsidRPr="00A97EBD">
        <w:rPr>
          <w:rFonts w:cstheme="minorHAnsi"/>
          <w:i/>
          <w:iCs/>
          <w:noProof/>
        </w:rPr>
        <w:t>Positive Psychology: The Science Of Happiness and human strengths</w:t>
      </w:r>
      <w:r w:rsidRPr="00A97EBD">
        <w:rPr>
          <w:rFonts w:cstheme="minorHAnsi"/>
          <w:noProof/>
        </w:rPr>
        <w:t>. Brunner-Routledge.</w:t>
      </w:r>
    </w:p>
    <w:p w14:paraId="13EF8BE7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2345E843" w14:textId="14EAEF6B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Cherniss, C., &amp; Goleman, D. (2001). </w:t>
      </w:r>
      <w:r w:rsidRPr="00A97EBD">
        <w:rPr>
          <w:rFonts w:cstheme="minorHAnsi"/>
          <w:i/>
          <w:iCs/>
          <w:noProof/>
        </w:rPr>
        <w:t>The emotionally intelligent workplace. How to select for, measure, and improve emotional intelligence in individuals, groups, and organizations</w:t>
      </w:r>
      <w:r w:rsidRPr="00A97EBD">
        <w:rPr>
          <w:rFonts w:cstheme="minorHAnsi"/>
          <w:noProof/>
        </w:rPr>
        <w:t>. Jossey-Bass.</w:t>
      </w:r>
    </w:p>
    <w:p w14:paraId="3980C7C8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4BEC0CC9" w14:textId="67D6E0F3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Compton, W.C., &amp; Hoffman, E. (2012). </w:t>
      </w:r>
      <w:r w:rsidRPr="00A97EBD">
        <w:rPr>
          <w:rFonts w:cstheme="minorHAnsi"/>
          <w:i/>
          <w:iCs/>
          <w:noProof/>
        </w:rPr>
        <w:t>Positive Psychology: The Science of Happiness and Flourishing (2nd ed)</w:t>
      </w:r>
      <w:r w:rsidRPr="00A97EBD">
        <w:rPr>
          <w:rFonts w:cstheme="minorHAnsi"/>
          <w:noProof/>
        </w:rPr>
        <w:t>. Wadsworth.</w:t>
      </w:r>
    </w:p>
    <w:p w14:paraId="084E7263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9B34892" w14:textId="1C7D2703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Curtin, R.B., Mapes., D.L., Petillo, M., &amp; Oberley, E. (2002). Long-term dialysis survivors: a transformational experience. </w:t>
      </w:r>
      <w:r w:rsidRPr="00A97EBD">
        <w:rPr>
          <w:rFonts w:cstheme="minorHAnsi"/>
          <w:i/>
          <w:iCs/>
          <w:noProof/>
        </w:rPr>
        <w:t>Qualitative Health Research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12</w:t>
      </w:r>
      <w:r w:rsidRPr="00A97EBD">
        <w:rPr>
          <w:rFonts w:cstheme="minorHAnsi"/>
          <w:noProof/>
        </w:rPr>
        <w:t>(5), 609–624.</w:t>
      </w:r>
    </w:p>
    <w:p w14:paraId="75034B43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2DF3E2CE" w14:textId="56A0E1CD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De Neve, J.E., Diener,, E., Tay, L., &amp; Xuereb, C. (2013). The objective benefits of subjective well-being. </w:t>
      </w:r>
      <w:r w:rsidRPr="00A97EBD">
        <w:rPr>
          <w:rFonts w:cstheme="minorHAnsi"/>
          <w:i/>
          <w:iCs/>
          <w:noProof/>
        </w:rPr>
        <w:t>World Happiness Report</w:t>
      </w:r>
      <w:r w:rsidRPr="00A97EBD">
        <w:rPr>
          <w:rFonts w:cstheme="minorHAnsi"/>
          <w:noProof/>
        </w:rPr>
        <w:t>. https://papers.ssrn.com/sol3/papers.cfm?abstract_id=2306651</w:t>
      </w:r>
    </w:p>
    <w:p w14:paraId="20D18C98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0050C38B" w14:textId="1A6B48B8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Diener, E. (1984). Subjective well-being. </w:t>
      </w:r>
      <w:r w:rsidRPr="00A97EBD">
        <w:rPr>
          <w:rFonts w:cstheme="minorHAnsi"/>
          <w:i/>
          <w:iCs/>
          <w:noProof/>
        </w:rPr>
        <w:t>Psychological Bulletin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95</w:t>
      </w:r>
      <w:r w:rsidRPr="00A97EBD">
        <w:rPr>
          <w:rFonts w:cstheme="minorHAnsi"/>
          <w:noProof/>
        </w:rPr>
        <w:t>(3), 542–575.</w:t>
      </w:r>
    </w:p>
    <w:p w14:paraId="47C63EB8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56A62A5" w14:textId="1279051F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Eddington, N., &amp; Shuman, R. (2005). </w:t>
      </w:r>
      <w:r w:rsidRPr="00A97EBD">
        <w:rPr>
          <w:rFonts w:cstheme="minorHAnsi"/>
          <w:i/>
          <w:iCs/>
          <w:noProof/>
        </w:rPr>
        <w:t>Subjective well-being (happiness)</w:t>
      </w:r>
      <w:r w:rsidRPr="00A97EBD">
        <w:rPr>
          <w:rFonts w:cstheme="minorHAnsi"/>
          <w:noProof/>
        </w:rPr>
        <w:t>. http://www.texcpe.com/html/pdf/tx/tx-happiness.pdf</w:t>
      </w:r>
    </w:p>
    <w:p w14:paraId="2903D116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4D5721CB" w14:textId="220B5D3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Engry, A., &amp; Ambarini, T. . (2019). Efektivitas pelatihan self-management untuk meningkatkan kebahagiaan pekerja sosial di lembaga swadaya masyarakat (lsm) yang menangani kasus anak. </w:t>
      </w:r>
      <w:r w:rsidRPr="00A97EBD">
        <w:rPr>
          <w:rFonts w:cstheme="minorHAnsi"/>
          <w:i/>
          <w:iCs/>
          <w:noProof/>
        </w:rPr>
        <w:t>Jurnal Experentia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7</w:t>
      </w:r>
      <w:r w:rsidRPr="00A97EBD">
        <w:rPr>
          <w:rFonts w:cstheme="minorHAnsi"/>
          <w:noProof/>
        </w:rPr>
        <w:t>(1), 1–9.</w:t>
      </w:r>
    </w:p>
    <w:p w14:paraId="6F42ACA7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22B84669" w14:textId="1B60E520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Feldman, R. . (2006). </w:t>
      </w:r>
      <w:r w:rsidRPr="00A97EBD">
        <w:rPr>
          <w:rFonts w:cstheme="minorHAnsi"/>
          <w:i/>
          <w:iCs/>
          <w:noProof/>
        </w:rPr>
        <w:t>Essentials of Understanding Psychology</w:t>
      </w:r>
      <w:r w:rsidRPr="00A97EBD">
        <w:rPr>
          <w:rFonts w:cstheme="minorHAnsi"/>
          <w:noProof/>
        </w:rPr>
        <w:t>. McGraw-Hill.</w:t>
      </w:r>
    </w:p>
    <w:p w14:paraId="01F2FC52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1271DF92" w14:textId="6BE66D10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Frayne, C. . (1991). </w:t>
      </w:r>
      <w:r w:rsidRPr="00A97EBD">
        <w:rPr>
          <w:rFonts w:cstheme="minorHAnsi"/>
          <w:i/>
          <w:iCs/>
          <w:noProof/>
        </w:rPr>
        <w:t>Reducing Employee Absenteeism Through Self-Management Training: A Research-Based Analysis and Guide</w:t>
      </w:r>
      <w:r w:rsidRPr="00A97EBD">
        <w:rPr>
          <w:rFonts w:cstheme="minorHAnsi"/>
          <w:noProof/>
        </w:rPr>
        <w:t>. Quorum Books.</w:t>
      </w:r>
    </w:p>
    <w:p w14:paraId="19FCB6D4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59AAB12" w14:textId="61C692DB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Germer, C.K., Siegel, R, D., &amp; Fulton, P. . (2005). </w:t>
      </w:r>
      <w:r w:rsidRPr="00A97EBD">
        <w:rPr>
          <w:rFonts w:cstheme="minorHAnsi"/>
          <w:i/>
          <w:iCs/>
          <w:noProof/>
        </w:rPr>
        <w:t>Mindfulness and Psychotherapy</w:t>
      </w:r>
      <w:r w:rsidRPr="00A97EBD">
        <w:rPr>
          <w:rFonts w:cstheme="minorHAnsi"/>
          <w:noProof/>
        </w:rPr>
        <w:t>. The Guildford Press.</w:t>
      </w:r>
    </w:p>
    <w:p w14:paraId="56F19C2E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2CB1CDBB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Gunarsa, S. . (2004). </w:t>
      </w:r>
      <w:r w:rsidRPr="00A97EBD">
        <w:rPr>
          <w:rFonts w:cstheme="minorHAnsi"/>
          <w:i/>
          <w:iCs/>
          <w:noProof/>
        </w:rPr>
        <w:t>Konseling and Psikoterapi</w:t>
      </w:r>
      <w:r w:rsidRPr="00A97EBD">
        <w:rPr>
          <w:rFonts w:cstheme="minorHAnsi"/>
          <w:noProof/>
        </w:rPr>
        <w:t>. Gunung Mulia.</w:t>
      </w:r>
    </w:p>
    <w:p w14:paraId="1B57ECFB" w14:textId="040E1E6C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Handoko, T. . (2005). </w:t>
      </w:r>
      <w:r w:rsidRPr="00A97EBD">
        <w:rPr>
          <w:rFonts w:cstheme="minorHAnsi"/>
          <w:i/>
          <w:iCs/>
          <w:noProof/>
        </w:rPr>
        <w:t>Manajemen Sumber Daya Manusia (Edisi Pertama, Cetakan Kelima)</w:t>
      </w:r>
      <w:r w:rsidRPr="00A97EBD">
        <w:rPr>
          <w:rFonts w:cstheme="minorHAnsi"/>
          <w:noProof/>
        </w:rPr>
        <w:t>. BPFE.</w:t>
      </w:r>
    </w:p>
    <w:p w14:paraId="66D49B3B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172B161A" w14:textId="0E0166E2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Hanoatubun, S. (2020). Dampak Covid-19 Terhadap Perekonomian Indonesia. </w:t>
      </w:r>
      <w:r w:rsidRPr="00A97EBD">
        <w:rPr>
          <w:rFonts w:cstheme="minorHAnsi"/>
          <w:i/>
          <w:iCs/>
          <w:noProof/>
        </w:rPr>
        <w:t>Journal of Education, Psychology and Counseling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2</w:t>
      </w:r>
      <w:r w:rsidRPr="00A97EBD">
        <w:rPr>
          <w:rFonts w:cstheme="minorHAnsi"/>
          <w:noProof/>
        </w:rPr>
        <w:t>(1), 146–153.</w:t>
      </w:r>
    </w:p>
    <w:p w14:paraId="58D13872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6AFBB0C5" w14:textId="3C2E5720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Iskandar. (2017). Pengaruh Pelatihan Manajemen Diri dan Konsep Diri Terhadap Hasil Belajar Mata Kuliah Manajemen Pendidikan. </w:t>
      </w:r>
      <w:r w:rsidRPr="00A97EBD">
        <w:rPr>
          <w:rFonts w:cstheme="minorHAnsi"/>
          <w:i/>
          <w:iCs/>
          <w:noProof/>
        </w:rPr>
        <w:t>Jurnal Teknologi Pendidikan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19</w:t>
      </w:r>
      <w:r w:rsidRPr="00A97EBD">
        <w:rPr>
          <w:rFonts w:cstheme="minorHAnsi"/>
          <w:noProof/>
        </w:rPr>
        <w:t>(3), 175–190.</w:t>
      </w:r>
    </w:p>
    <w:p w14:paraId="6312C301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54B960CA" w14:textId="6D6F54BD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Kabat-Zinn, J. (2003). Mindfulness‐based interventions in context: past, present, and future. </w:t>
      </w:r>
      <w:r w:rsidRPr="00A97EBD">
        <w:rPr>
          <w:rFonts w:cstheme="minorHAnsi"/>
          <w:i/>
          <w:iCs/>
          <w:noProof/>
        </w:rPr>
        <w:t>Clinical Psychology: Science and Practice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10</w:t>
      </w:r>
      <w:r w:rsidRPr="00A97EBD">
        <w:rPr>
          <w:rFonts w:cstheme="minorHAnsi"/>
          <w:noProof/>
        </w:rPr>
        <w:t>(2), 144–156.</w:t>
      </w:r>
    </w:p>
    <w:p w14:paraId="01458C1D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66C2FC86" w14:textId="61CFF060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Kanfer, F. . (1980). </w:t>
      </w:r>
      <w:r w:rsidRPr="00A97EBD">
        <w:rPr>
          <w:rFonts w:cstheme="minorHAnsi"/>
          <w:i/>
          <w:iCs/>
          <w:noProof/>
        </w:rPr>
        <w:t>Helping People Change: A Textbook of Methods</w:t>
      </w:r>
      <w:r w:rsidRPr="00A97EBD">
        <w:rPr>
          <w:rFonts w:cstheme="minorHAnsi"/>
          <w:noProof/>
        </w:rPr>
        <w:t>. Pergamon Press.</w:t>
      </w:r>
    </w:p>
    <w:p w14:paraId="436253BF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615E8408" w14:textId="641CE3F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Laing, T. (2020). The economic impact of the Coronavirus 2019 (Covid-2019): Implications for the mining industry. </w:t>
      </w:r>
      <w:r w:rsidRPr="00A97EBD">
        <w:rPr>
          <w:rFonts w:cstheme="minorHAnsi"/>
          <w:i/>
          <w:iCs/>
          <w:noProof/>
        </w:rPr>
        <w:t>The Extractive Industries and Society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7</w:t>
      </w:r>
      <w:r w:rsidRPr="00A97EBD">
        <w:rPr>
          <w:rFonts w:cstheme="minorHAnsi"/>
          <w:noProof/>
        </w:rPr>
        <w:t>(2), 580–582.</w:t>
      </w:r>
    </w:p>
    <w:p w14:paraId="0E17FCED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01FC2191" w14:textId="2E33A399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Lopez, S.J,. &amp; Snyder, C. R. (2002). </w:t>
      </w:r>
      <w:r w:rsidRPr="00A97EBD">
        <w:rPr>
          <w:rFonts w:cstheme="minorHAnsi"/>
          <w:i/>
          <w:iCs/>
          <w:noProof/>
        </w:rPr>
        <w:t>The Oxford Handbook of Positive Psychology</w:t>
      </w:r>
      <w:r w:rsidRPr="00A97EBD">
        <w:rPr>
          <w:rFonts w:cstheme="minorHAnsi"/>
          <w:noProof/>
        </w:rPr>
        <w:t>. Oxford University Press.</w:t>
      </w:r>
    </w:p>
    <w:p w14:paraId="6E94C5DB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40A0786A" w14:textId="494EC97E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Manz, C. . (1986). Self-leadership: Toward an expanded theory of self-influence processes in organizations. </w:t>
      </w:r>
      <w:r w:rsidRPr="00A97EBD">
        <w:rPr>
          <w:rFonts w:cstheme="minorHAnsi"/>
          <w:i/>
          <w:iCs/>
          <w:noProof/>
        </w:rPr>
        <w:t>Academy of Management Review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11</w:t>
      </w:r>
      <w:r w:rsidRPr="00A97EBD">
        <w:rPr>
          <w:rFonts w:cstheme="minorHAnsi"/>
          <w:noProof/>
        </w:rPr>
        <w:t>(3), 585–600.</w:t>
      </w:r>
    </w:p>
    <w:p w14:paraId="6837A57D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673851F3" w14:textId="5C774FA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Mariyati, L. . (2014). Pelatihan Manajemen Diri dengan Pendekatan Choice Theory untuk Menurunkan Kecenderungan Merokok Pada Remaja. </w:t>
      </w:r>
      <w:r w:rsidRPr="00A97EBD">
        <w:rPr>
          <w:rFonts w:cstheme="minorHAnsi"/>
          <w:i/>
          <w:iCs/>
          <w:noProof/>
        </w:rPr>
        <w:t>Jurnal Ilmiah Psikologi Terapan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2</w:t>
      </w:r>
      <w:r w:rsidRPr="00A97EBD">
        <w:rPr>
          <w:rFonts w:cstheme="minorHAnsi"/>
          <w:noProof/>
        </w:rPr>
        <w:t>(1), 103–114.</w:t>
      </w:r>
    </w:p>
    <w:p w14:paraId="2B5F9DB4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76ACC724" w14:textId="39D494DC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McCullough, M. E., Kimeldorf, M. B., &amp; Cohen, A. D. (2008). An adaptation for altruism: The social causes, social effects, and social evolution of gratitude. </w:t>
      </w:r>
      <w:r w:rsidRPr="00A97EBD">
        <w:rPr>
          <w:rFonts w:cstheme="minorHAnsi"/>
          <w:i/>
          <w:iCs/>
          <w:noProof/>
        </w:rPr>
        <w:t>Current Direction in Psychological Science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17</w:t>
      </w:r>
      <w:r w:rsidRPr="00A97EBD">
        <w:rPr>
          <w:rFonts w:cstheme="minorHAnsi"/>
          <w:noProof/>
        </w:rPr>
        <w:t>(4), 281–285.</w:t>
      </w:r>
    </w:p>
    <w:p w14:paraId="2A16F264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5D60B78C" w14:textId="0E31DDCE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OECD. (2013). OECD Guidelines on Measuring Subjective Well-being. </w:t>
      </w:r>
      <w:r w:rsidRPr="00A97EBD">
        <w:rPr>
          <w:rFonts w:cstheme="minorHAnsi"/>
          <w:i/>
          <w:iCs/>
          <w:noProof/>
        </w:rPr>
        <w:t>OECD Guidelines on Measuring Subjective Well-Being</w:t>
      </w:r>
      <w:r w:rsidRPr="00A97EBD">
        <w:rPr>
          <w:rFonts w:cstheme="minorHAnsi"/>
          <w:noProof/>
        </w:rPr>
        <w:t>. https://doi.org/10.1787/9789264191655-en</w:t>
      </w:r>
    </w:p>
    <w:p w14:paraId="1F183503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626E5F48" w14:textId="4D5DB5E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lastRenderedPageBreak/>
        <w:t xml:space="preserve">OECD. (2020). Covid-19: SME Policy Responses. </w:t>
      </w:r>
      <w:r w:rsidRPr="00A97EBD">
        <w:rPr>
          <w:rFonts w:cstheme="minorHAnsi"/>
          <w:i/>
          <w:iCs/>
          <w:noProof/>
        </w:rPr>
        <w:t>Oecd 2020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March</w:t>
      </w:r>
      <w:r w:rsidRPr="00A97EBD">
        <w:rPr>
          <w:rFonts w:cstheme="minorHAnsi"/>
          <w:noProof/>
        </w:rPr>
        <w:t>, 1–55. https://oecd.dam-broadcast.com/pm_7379_119_119680-di6h3qgi4x.pdf</w:t>
      </w:r>
    </w:p>
    <w:p w14:paraId="3ABDA8A9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F4A3CCD" w14:textId="7EB6829C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Pakpahan, A. . (2020). Tanggung Jawab Pemerintah. </w:t>
      </w:r>
      <w:r w:rsidRPr="00A97EBD">
        <w:rPr>
          <w:rFonts w:cstheme="minorHAnsi"/>
          <w:i/>
          <w:iCs/>
          <w:noProof/>
        </w:rPr>
        <w:t>Pikiran Rakyat</w:t>
      </w:r>
      <w:r w:rsidRPr="00A97EBD">
        <w:rPr>
          <w:rFonts w:cstheme="minorHAnsi"/>
          <w:noProof/>
        </w:rPr>
        <w:t>. https://doi.org/10.26593/jihi.v0i0.3870.59-64</w:t>
      </w:r>
    </w:p>
    <w:p w14:paraId="1FC98281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1E0B50AD" w14:textId="18FC3D54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Park, N., Peterson, c., &amp; Seligman, M. E. . (2004). Reply strengths of character and well-being: A closer look at hope and modesty. </w:t>
      </w:r>
      <w:r w:rsidRPr="00A97EBD">
        <w:rPr>
          <w:rFonts w:cstheme="minorHAnsi"/>
          <w:i/>
          <w:iCs/>
          <w:noProof/>
        </w:rPr>
        <w:t>Journal of Social and Clinical Psychology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23</w:t>
      </w:r>
      <w:r w:rsidRPr="00A97EBD">
        <w:rPr>
          <w:rFonts w:cstheme="minorHAnsi"/>
          <w:noProof/>
        </w:rPr>
        <w:t>(5), 628–634.</w:t>
      </w:r>
    </w:p>
    <w:p w14:paraId="7156FBAB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3322CC46" w14:textId="2BDD8786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Putri, P. (2014). Self-Management Abilities Untuk Meningkatkan Subjective Well-Being Perempuan Lanut Usia di Panti Wreda. </w:t>
      </w:r>
      <w:r w:rsidRPr="00A97EBD">
        <w:rPr>
          <w:rFonts w:cstheme="minorHAnsi"/>
          <w:i/>
          <w:iCs/>
          <w:noProof/>
        </w:rPr>
        <w:t>Calyptra: Jurnal Ilmiah Mahasiswa Universitas Surabaya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3</w:t>
      </w:r>
      <w:r w:rsidRPr="00A97EBD">
        <w:rPr>
          <w:rFonts w:cstheme="minorHAnsi"/>
          <w:noProof/>
        </w:rPr>
        <w:t>(1), 1–14.</w:t>
      </w:r>
    </w:p>
    <w:p w14:paraId="0DF16CEB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59036196" w14:textId="6CA4EBA8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Santoso, S. (2003). </w:t>
      </w:r>
      <w:r w:rsidRPr="00A97EBD">
        <w:rPr>
          <w:rFonts w:cstheme="minorHAnsi"/>
          <w:i/>
          <w:iCs/>
          <w:noProof/>
        </w:rPr>
        <w:t>Statistik Deskriptif: Konsep dan Aplikasi dengan Ms.Excel dan SPSS</w:t>
      </w:r>
      <w:r w:rsidRPr="00A97EBD">
        <w:rPr>
          <w:rFonts w:cstheme="minorHAnsi"/>
          <w:noProof/>
        </w:rPr>
        <w:t>. Andi.</w:t>
      </w:r>
    </w:p>
    <w:p w14:paraId="5AD1ED8E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71C38E42" w14:textId="01EC219B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Seligman, M. (2004). </w:t>
      </w:r>
      <w:r w:rsidRPr="00A97EBD">
        <w:rPr>
          <w:rFonts w:cstheme="minorHAnsi"/>
          <w:i/>
          <w:iCs/>
          <w:noProof/>
        </w:rPr>
        <w:t>Autenthic Hapiness Using The New Positive Psychology to Realize Your Potential for Lasting Fulfillment</w:t>
      </w:r>
      <w:r w:rsidRPr="00A97EBD">
        <w:rPr>
          <w:rFonts w:cstheme="minorHAnsi"/>
          <w:noProof/>
        </w:rPr>
        <w:t>. The Free Press.</w:t>
      </w:r>
    </w:p>
    <w:p w14:paraId="2820AEA6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763560DA" w14:textId="42934DE9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Seligman, M. (2006). </w:t>
      </w:r>
      <w:r w:rsidRPr="00A97EBD">
        <w:rPr>
          <w:rFonts w:cstheme="minorHAnsi"/>
          <w:i/>
          <w:iCs/>
          <w:noProof/>
        </w:rPr>
        <w:t>Handbook of Positive Psychology</w:t>
      </w:r>
      <w:r w:rsidRPr="00A97EBD">
        <w:rPr>
          <w:rFonts w:cstheme="minorHAnsi"/>
          <w:noProof/>
        </w:rPr>
        <w:t>. Oxford University Press.</w:t>
      </w:r>
    </w:p>
    <w:p w14:paraId="047BF8E3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78D1742B" w14:textId="08D8E954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Sugiyono. (2014). </w:t>
      </w:r>
      <w:r w:rsidRPr="00A97EBD">
        <w:rPr>
          <w:rFonts w:cstheme="minorHAnsi"/>
          <w:i/>
          <w:iCs/>
          <w:noProof/>
        </w:rPr>
        <w:t>Metode Penelitian Kuantitatif, Kualitatif dan R&amp;D</w:t>
      </w:r>
      <w:r w:rsidRPr="00A97EBD">
        <w:rPr>
          <w:rFonts w:cstheme="minorHAnsi"/>
          <w:noProof/>
        </w:rPr>
        <w:t>. Alfabeta.</w:t>
      </w:r>
    </w:p>
    <w:p w14:paraId="7C6551DE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166281E5" w14:textId="2307C6E0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Syahrial, S. (2020). Dampak Covid-19 Terhadap Tenaga Kerja di Indonesia. </w:t>
      </w:r>
      <w:r w:rsidRPr="00A97EBD">
        <w:rPr>
          <w:rFonts w:cstheme="minorHAnsi"/>
          <w:i/>
          <w:iCs/>
          <w:noProof/>
        </w:rPr>
        <w:t>Ners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4</w:t>
      </w:r>
      <w:r w:rsidRPr="00A97EBD">
        <w:rPr>
          <w:rFonts w:cstheme="minorHAnsi"/>
          <w:noProof/>
        </w:rPr>
        <w:t>(2), 21–29. https://journal.universitaspahlawan.ac.id/index.php/ners/article/view/1022</w:t>
      </w:r>
    </w:p>
    <w:p w14:paraId="4059AAC6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5C1DF3CC" w14:textId="5602B153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Takwin, B., Singgih, E.E., &amp; Panggabean, S. . (2012). The Role of Self-Management Increasing Subjective Well-Being of DKI Jakarta’s Citizens. </w:t>
      </w:r>
      <w:r w:rsidRPr="00A97EBD">
        <w:rPr>
          <w:rFonts w:cstheme="minorHAnsi"/>
          <w:i/>
          <w:iCs/>
          <w:noProof/>
        </w:rPr>
        <w:t>Makara, Sosial Humaniora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16</w:t>
      </w:r>
      <w:r w:rsidRPr="00A97EBD">
        <w:rPr>
          <w:rFonts w:cstheme="minorHAnsi"/>
          <w:noProof/>
        </w:rPr>
        <w:t>(1), 1–8.</w:t>
      </w:r>
    </w:p>
    <w:p w14:paraId="56C4D370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041ECF80" w14:textId="4AF93DCE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Taylor, S.E., &amp; Brown, J. . (1988). Illusion and Well-Being: a Social Psychological Perspective on Mental Health. </w:t>
      </w:r>
      <w:r w:rsidRPr="00A97EBD">
        <w:rPr>
          <w:rFonts w:cstheme="minorHAnsi"/>
          <w:i/>
          <w:iCs/>
          <w:noProof/>
        </w:rPr>
        <w:t>Psychological Bulletin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103</w:t>
      </w:r>
      <w:r w:rsidRPr="00A97EBD">
        <w:rPr>
          <w:rFonts w:cstheme="minorHAnsi"/>
          <w:noProof/>
        </w:rPr>
        <w:t>(2), 193–210.</w:t>
      </w:r>
    </w:p>
    <w:p w14:paraId="4B85C139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2D0B14AD" w14:textId="08088FEA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Weiss, D. . (1999). </w:t>
      </w:r>
      <w:r w:rsidRPr="00A97EBD">
        <w:rPr>
          <w:rFonts w:cstheme="minorHAnsi"/>
          <w:i/>
          <w:iCs/>
          <w:noProof/>
        </w:rPr>
        <w:t>The Self-Management Workshop: Helping People to Take Control of Their Lives and Their Work: Trainers’s Guide</w:t>
      </w:r>
      <w:r w:rsidRPr="00A97EBD">
        <w:rPr>
          <w:rFonts w:cstheme="minorHAnsi"/>
          <w:noProof/>
        </w:rPr>
        <w:t>. American Management Association.</w:t>
      </w:r>
    </w:p>
    <w:p w14:paraId="2B8DEF05" w14:textId="77777777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</w:p>
    <w:p w14:paraId="1D250D03" w14:textId="655290E8" w:rsidR="00991E13" w:rsidRPr="00A97EBD" w:rsidRDefault="00991E13" w:rsidP="00991E13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noProof/>
        </w:rPr>
      </w:pPr>
      <w:r w:rsidRPr="00A97EBD">
        <w:rPr>
          <w:rFonts w:cstheme="minorHAnsi"/>
          <w:noProof/>
        </w:rPr>
        <w:t xml:space="preserve">Yulianti, E. (2015). Pengaruh Pelatihan Terhadap Kinerja Karyawan Grand Fatma Hotel di Tenggarong Kutai Kartanegara. </w:t>
      </w:r>
      <w:r w:rsidRPr="00A97EBD">
        <w:rPr>
          <w:rFonts w:cstheme="minorHAnsi"/>
          <w:i/>
          <w:iCs/>
          <w:noProof/>
        </w:rPr>
        <w:t>E-Jurnal Administrasi Bisnis</w:t>
      </w:r>
      <w:r w:rsidRPr="00A97EBD">
        <w:rPr>
          <w:rFonts w:cstheme="minorHAnsi"/>
          <w:noProof/>
        </w:rPr>
        <w:t xml:space="preserve">, </w:t>
      </w:r>
      <w:r w:rsidRPr="00A97EBD">
        <w:rPr>
          <w:rFonts w:cstheme="minorHAnsi"/>
          <w:i/>
          <w:iCs/>
          <w:noProof/>
        </w:rPr>
        <w:t>3</w:t>
      </w:r>
      <w:r w:rsidRPr="00A97EBD">
        <w:rPr>
          <w:rFonts w:cstheme="minorHAnsi"/>
          <w:noProof/>
        </w:rPr>
        <w:t>(4), 900–910.</w:t>
      </w:r>
    </w:p>
    <w:p w14:paraId="05D5830C" w14:textId="1CC6AFA1" w:rsidR="00991E13" w:rsidRPr="00177E43" w:rsidRDefault="00991E13" w:rsidP="00177E43">
      <w:pPr>
        <w:spacing w:after="0" w:line="240" w:lineRule="auto"/>
      </w:pPr>
      <w:r w:rsidRPr="00A97EBD">
        <w:rPr>
          <w:rFonts w:cstheme="minorHAnsi"/>
        </w:rPr>
        <w:fldChar w:fldCharType="end"/>
      </w:r>
    </w:p>
    <w:sectPr w:rsidR="00991E13" w:rsidRPr="00177E43" w:rsidSect="00177E43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D21"/>
    <w:multiLevelType w:val="hybridMultilevel"/>
    <w:tmpl w:val="3D44ACF0"/>
    <w:lvl w:ilvl="0" w:tplc="3B521B00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B423C2"/>
    <w:multiLevelType w:val="hybridMultilevel"/>
    <w:tmpl w:val="37F665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B7F"/>
    <w:multiLevelType w:val="hybridMultilevel"/>
    <w:tmpl w:val="1C9E1CE0"/>
    <w:lvl w:ilvl="0" w:tplc="9500BBC8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A"/>
    <w:rsid w:val="000E52CD"/>
    <w:rsid w:val="000F6D77"/>
    <w:rsid w:val="00160FFB"/>
    <w:rsid w:val="00177E43"/>
    <w:rsid w:val="00334D5A"/>
    <w:rsid w:val="004F621E"/>
    <w:rsid w:val="0067290B"/>
    <w:rsid w:val="006C571C"/>
    <w:rsid w:val="00793945"/>
    <w:rsid w:val="00852F10"/>
    <w:rsid w:val="00876D71"/>
    <w:rsid w:val="00895AED"/>
    <w:rsid w:val="0095257A"/>
    <w:rsid w:val="00991E13"/>
    <w:rsid w:val="009F54AF"/>
    <w:rsid w:val="00A97EBD"/>
    <w:rsid w:val="00B9411C"/>
    <w:rsid w:val="00C967F6"/>
    <w:rsid w:val="00D40F58"/>
    <w:rsid w:val="00DD7C26"/>
    <w:rsid w:val="00E87284"/>
    <w:rsid w:val="00EC04CB"/>
    <w:rsid w:val="00F25FD2"/>
    <w:rsid w:val="00F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E278"/>
  <w15:chartTrackingRefBased/>
  <w15:docId w15:val="{C369CC3D-83BA-46FE-B93C-F1B9549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57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D7C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D77"/>
    <w:pPr>
      <w:spacing w:after="200" w:line="240" w:lineRule="auto"/>
    </w:pPr>
    <w:rPr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D77"/>
    <w:rPr>
      <w:sz w:val="20"/>
      <w:szCs w:val="20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0F6D77"/>
  </w:style>
  <w:style w:type="paragraph" w:styleId="BalloonText">
    <w:name w:val="Balloon Text"/>
    <w:basedOn w:val="Normal"/>
    <w:link w:val="BalloonTextChar"/>
    <w:uiPriority w:val="99"/>
    <w:semiHidden/>
    <w:unhideWhenUsed/>
    <w:rsid w:val="0089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8511059@student.mercubuana-yogya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49DD-59CE-42B5-8F9B-1677E671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2022-01-14T05:29:00Z</cp:lastPrinted>
  <dcterms:created xsi:type="dcterms:W3CDTF">2021-11-17T05:39:00Z</dcterms:created>
  <dcterms:modified xsi:type="dcterms:W3CDTF">2022-02-09T13:05:00Z</dcterms:modified>
</cp:coreProperties>
</file>