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lang w:val="id-ID"/>
        </w:rPr>
      </w:pPr>
      <w:r>
        <w:rPr>
          <w:b/>
          <w:sz w:val="28"/>
          <w:szCs w:val="28"/>
          <w:lang w:val="id-ID"/>
        </w:rPr>
        <w:t xml:space="preserve">PENGARUH PROFITABILITAS, SOLVABILITAS, DAN LIKUIDITAS TERHADAP NILAI PERUSAHAAN  PADA EMITEN SUBSEKTOR FARMASI YANG TERDAFTAR </w:t>
      </w:r>
      <w:r>
        <w:rPr>
          <w:b/>
          <w:sz w:val="28"/>
          <w:szCs w:val="28"/>
        </w:rPr>
        <w:t>DI</w:t>
      </w:r>
      <w:r>
        <w:rPr>
          <w:b/>
          <w:sz w:val="28"/>
          <w:szCs w:val="28"/>
          <w:lang w:val="id-ID"/>
        </w:rPr>
        <w:t xml:space="preserve"> BURSA EFEK INDONESIA PERIODE </w:t>
      </w:r>
      <w:r>
        <w:rPr>
          <w:b/>
          <w:sz w:val="28"/>
          <w:szCs w:val="28"/>
        </w:rPr>
        <w:t xml:space="preserve">TAHUN </w:t>
      </w:r>
      <w:r>
        <w:rPr>
          <w:b/>
          <w:sz w:val="28"/>
          <w:szCs w:val="28"/>
          <w:lang w:val="id-ID"/>
        </w:rPr>
        <w:t>2019-2021</w:t>
      </w:r>
    </w:p>
    <w:p>
      <w:pPr>
        <w:jc w:val="center"/>
        <w:rPr>
          <w:b/>
          <w:sz w:val="28"/>
          <w:szCs w:val="28"/>
          <w:lang w:val="id-ID"/>
        </w:rPr>
      </w:pPr>
    </w:p>
    <w:p>
      <w:pPr>
        <w:jc w:val="center"/>
        <w:rPr>
          <w:b/>
          <w:bCs/>
          <w:sz w:val="24"/>
          <w:szCs w:val="24"/>
        </w:rPr>
      </w:pPr>
      <w:r>
        <w:rPr>
          <w:b/>
          <w:bCs/>
          <w:sz w:val="24"/>
          <w:szCs w:val="24"/>
        </w:rPr>
        <w:t>Ika Okta Haryanti</w:t>
      </w:r>
    </w:p>
    <w:p>
      <w:pPr>
        <w:jc w:val="center"/>
        <w:rPr>
          <w:sz w:val="24"/>
          <w:szCs w:val="24"/>
        </w:rPr>
      </w:pPr>
    </w:p>
    <w:p>
      <w:pPr>
        <w:jc w:val="center"/>
        <w:rPr>
          <w:sz w:val="22"/>
          <w:szCs w:val="22"/>
        </w:rPr>
      </w:pPr>
      <w:r>
        <w:rPr>
          <w:sz w:val="22"/>
          <w:szCs w:val="22"/>
        </w:rPr>
        <w:t>Universitas Mercu Buana Yogyakarta</w:t>
      </w:r>
    </w:p>
    <w:p>
      <w:pPr>
        <w:jc w:val="center"/>
        <w:rPr>
          <w:i/>
          <w:iCs/>
          <w:sz w:val="22"/>
          <w:szCs w:val="22"/>
        </w:rPr>
      </w:pPr>
      <w:r>
        <w:rPr>
          <w:i/>
          <w:iCs/>
          <w:sz w:val="22"/>
          <w:szCs w:val="22"/>
        </w:rPr>
        <w:t>oktaika1@gmail.com</w:t>
      </w:r>
    </w:p>
    <w:p>
      <w:pPr>
        <w:jc w:val="both"/>
        <w:rPr>
          <w:sz w:val="24"/>
          <w:szCs w:val="24"/>
        </w:rPr>
      </w:pPr>
    </w:p>
    <w:p>
      <w:pPr>
        <w:jc w:val="center"/>
        <w:rPr>
          <w:sz w:val="24"/>
          <w:szCs w:val="24"/>
        </w:rPr>
      </w:pPr>
    </w:p>
    <w:p>
      <w:pPr>
        <w:jc w:val="center"/>
        <w:rPr>
          <w:b/>
          <w:bCs/>
          <w:i/>
          <w:iCs/>
          <w:sz w:val="24"/>
          <w:szCs w:val="24"/>
        </w:rPr>
      </w:pPr>
      <w:r>
        <w:rPr>
          <w:b/>
          <w:bCs/>
          <w:i/>
          <w:iCs/>
          <w:sz w:val="24"/>
          <w:szCs w:val="24"/>
        </w:rPr>
        <w:t>ABSTRACT</w:t>
      </w:r>
    </w:p>
    <w:p>
      <w:pPr>
        <w:jc w:val="both"/>
        <w:rPr>
          <w:sz w:val="22"/>
          <w:szCs w:val="22"/>
        </w:rPr>
      </w:pPr>
      <w:r>
        <w:rPr>
          <w:i/>
          <w:iCs/>
          <w:sz w:val="22"/>
          <w:szCs w:val="22"/>
        </w:rPr>
        <w:t>This study aims to determine the effect of profitability, solvency, and liquidity on firm value in the pharmaceutical subsector issuers listed on the Indonesia Stock Exchange in 202019-2021. This type of research is a quantitative method with a descriptive approach. The sampling technique in this study uses purposive sampling method, while the analysis technique used in this study uses descriptive statistics, classical assumption test, and multiple linear regression analysis with the help of SPSS version 25 application. The results of hypothesis testing indicate that profitability, solvency, and liquidity does not affect the value of the company.</w:t>
      </w:r>
    </w:p>
    <w:p>
      <w:pPr>
        <w:jc w:val="center"/>
        <w:rPr>
          <w:b/>
          <w:bCs/>
          <w:sz w:val="22"/>
          <w:szCs w:val="22"/>
        </w:rPr>
      </w:pPr>
    </w:p>
    <w:p>
      <w:pPr>
        <w:jc w:val="center"/>
        <w:rPr>
          <w:b/>
          <w:bCs/>
          <w:sz w:val="22"/>
          <w:szCs w:val="22"/>
        </w:rPr>
      </w:pPr>
      <w:r>
        <w:rPr>
          <w:b/>
          <w:bCs/>
          <w:i/>
          <w:iCs/>
          <w:sz w:val="22"/>
          <w:szCs w:val="22"/>
        </w:rPr>
        <w:t>ABSTRAK</w:t>
      </w:r>
    </w:p>
    <w:p>
      <w:pPr>
        <w:ind w:firstLine="720" w:firstLineChars="0"/>
        <w:jc w:val="both"/>
        <w:rPr>
          <w:rFonts w:hint="default"/>
          <w:i/>
          <w:iCs/>
          <w:color w:val="000000"/>
          <w:sz w:val="24"/>
          <w:szCs w:val="24"/>
          <w:lang w:val="id-ID" w:bidi="ar"/>
        </w:rPr>
      </w:pPr>
      <w:r>
        <w:rPr>
          <w:bCs/>
          <w:i/>
          <w:iCs/>
          <w:sz w:val="22"/>
          <w:szCs w:val="22"/>
          <w:lang w:val="id-ID"/>
        </w:rPr>
        <w:t>Penelitian ini bertujuan untuk mengetahui pengaruh profitabilitas, solvabilitas, dan likuiditas terhadap nilai perusahaan pada emiten subsektor farmasi yang terdaftar di Bursa Efek Indonesia pada tahun 202019-2021.</w:t>
      </w:r>
      <w:r>
        <w:rPr>
          <w:bCs/>
          <w:i/>
          <w:iCs/>
          <w:sz w:val="22"/>
          <w:szCs w:val="22"/>
        </w:rPr>
        <w:t xml:space="preserve"> </w:t>
      </w:r>
      <w:r>
        <w:rPr>
          <w:bCs/>
          <w:i/>
          <w:iCs/>
          <w:sz w:val="22"/>
          <w:szCs w:val="22"/>
          <w:lang w:val="id-ID"/>
        </w:rPr>
        <w:t xml:space="preserve">Jenis penelitian ini adalah metode kuantitatif dengan pendekatan deskriptif. Teknik pengambilan sampel dalam penelitian ini menggunakan metode </w:t>
      </w:r>
      <w:r>
        <w:rPr>
          <w:bCs/>
          <w:i/>
          <w:iCs/>
          <w:sz w:val="22"/>
          <w:szCs w:val="22"/>
          <w:lang w:val="id-ID"/>
        </w:rPr>
        <w:t>purposive sampling</w:t>
      </w:r>
      <w:r>
        <w:rPr>
          <w:bCs/>
          <w:i/>
          <w:iCs/>
          <w:sz w:val="22"/>
          <w:szCs w:val="22"/>
        </w:rPr>
        <w:t xml:space="preserve">, </w:t>
      </w:r>
      <w:r>
        <w:rPr>
          <w:bCs/>
          <w:i/>
          <w:iCs/>
          <w:sz w:val="22"/>
          <w:szCs w:val="22"/>
          <w:lang w:val="id-ID"/>
        </w:rPr>
        <w:t xml:space="preserve">sedangkan teknik analisis yang digunakan dalam penelitian ini meggunakan </w:t>
      </w:r>
      <w:r>
        <w:rPr>
          <w:bCs/>
          <w:i/>
          <w:iCs/>
          <w:sz w:val="22"/>
          <w:szCs w:val="22"/>
        </w:rPr>
        <w:t>statistic deskriptif, uji asumsi klasik, dan a</w:t>
      </w:r>
      <w:r>
        <w:rPr>
          <w:bCs/>
          <w:i/>
          <w:iCs/>
          <w:sz w:val="22"/>
          <w:szCs w:val="22"/>
          <w:lang w:val="id-ID"/>
        </w:rPr>
        <w:t xml:space="preserve">nalisis </w:t>
      </w:r>
      <w:r>
        <w:rPr>
          <w:bCs/>
          <w:i/>
          <w:iCs/>
          <w:sz w:val="22"/>
          <w:szCs w:val="22"/>
        </w:rPr>
        <w:t>r</w:t>
      </w:r>
      <w:r>
        <w:rPr>
          <w:bCs/>
          <w:i/>
          <w:iCs/>
          <w:sz w:val="22"/>
          <w:szCs w:val="22"/>
          <w:lang w:val="id-ID"/>
        </w:rPr>
        <w:t xml:space="preserve">egresi </w:t>
      </w:r>
      <w:r>
        <w:rPr>
          <w:bCs/>
          <w:i/>
          <w:iCs/>
          <w:sz w:val="22"/>
          <w:szCs w:val="22"/>
        </w:rPr>
        <w:t>l</w:t>
      </w:r>
      <w:r>
        <w:rPr>
          <w:bCs/>
          <w:i/>
          <w:iCs/>
          <w:sz w:val="22"/>
          <w:szCs w:val="22"/>
          <w:lang w:val="id-ID"/>
        </w:rPr>
        <w:t xml:space="preserve">inier </w:t>
      </w:r>
      <w:r>
        <w:rPr>
          <w:bCs/>
          <w:i/>
          <w:iCs/>
          <w:sz w:val="22"/>
          <w:szCs w:val="22"/>
        </w:rPr>
        <w:t>b</w:t>
      </w:r>
      <w:r>
        <w:rPr>
          <w:bCs/>
          <w:i/>
          <w:iCs/>
          <w:sz w:val="22"/>
          <w:szCs w:val="22"/>
          <w:lang w:val="id-ID"/>
        </w:rPr>
        <w:t>erganda dengan bantuan aplikasi SPSS versi 25</w:t>
      </w:r>
      <w:r>
        <w:rPr>
          <w:bCs/>
          <w:i/>
          <w:iCs/>
          <w:sz w:val="22"/>
          <w:szCs w:val="22"/>
        </w:rPr>
        <w:t xml:space="preserve">. </w:t>
      </w:r>
      <w:r>
        <w:rPr>
          <w:bCs/>
          <w:i/>
          <w:iCs/>
          <w:sz w:val="22"/>
          <w:szCs w:val="22"/>
          <w:lang w:val="id-ID"/>
        </w:rPr>
        <w:t xml:space="preserve">Hasil pengujian hipotesis menunjukkan bahwa </w:t>
      </w:r>
      <w:r>
        <w:rPr>
          <w:bCs/>
          <w:i/>
          <w:iCs/>
          <w:sz w:val="22"/>
          <w:szCs w:val="22"/>
        </w:rPr>
        <w:t>profitabilitas</w:t>
      </w:r>
      <w:r>
        <w:rPr>
          <w:i/>
          <w:iCs/>
          <w:color w:val="000000"/>
          <w:sz w:val="22"/>
          <w:szCs w:val="22"/>
          <w:lang w:val="id-ID" w:bidi="ar"/>
        </w:rPr>
        <w:t xml:space="preserve">, solvabilitas, dan likuiditas </w:t>
      </w:r>
      <w:r>
        <w:rPr>
          <w:i/>
          <w:iCs/>
          <w:color w:val="000000"/>
          <w:sz w:val="22"/>
          <w:szCs w:val="22"/>
          <w:lang w:bidi="ar"/>
        </w:rPr>
        <w:t>tidak b</w:t>
      </w:r>
      <w:r>
        <w:rPr>
          <w:i/>
          <w:iCs/>
          <w:color w:val="000000"/>
          <w:sz w:val="22"/>
          <w:szCs w:val="22"/>
          <w:lang w:val="id-ID" w:bidi="ar"/>
        </w:rPr>
        <w:t>erpengaruh terhadap nilai perusahaa</w:t>
      </w:r>
      <w:r>
        <w:rPr>
          <w:rFonts w:hint="default"/>
          <w:i/>
          <w:iCs/>
          <w:color w:val="000000"/>
          <w:sz w:val="22"/>
          <w:szCs w:val="22"/>
          <w:lang w:val="id-ID" w:bidi="ar"/>
        </w:rPr>
        <w:t>n.</w:t>
      </w:r>
    </w:p>
    <w:p>
      <w:pPr>
        <w:jc w:val="both"/>
        <w:rPr>
          <w:rFonts w:hint="default"/>
          <w:color w:val="000000"/>
          <w:sz w:val="24"/>
          <w:szCs w:val="24"/>
          <w:lang w:val="id-ID" w:bidi="ar"/>
        </w:rPr>
      </w:pPr>
    </w:p>
    <w:p>
      <w:pPr>
        <w:jc w:val="both"/>
        <w:rPr>
          <w:rFonts w:hint="default"/>
          <w:color w:val="000000"/>
          <w:sz w:val="24"/>
          <w:szCs w:val="24"/>
          <w:lang w:val="id-ID" w:bidi="ar"/>
        </w:rPr>
      </w:pPr>
    </w:p>
    <w:p>
      <w:pPr>
        <w:jc w:val="both"/>
        <w:rPr>
          <w:rFonts w:hint="default"/>
          <w:color w:val="000000"/>
          <w:sz w:val="24"/>
          <w:szCs w:val="24"/>
          <w:lang w:val="id-ID" w:bidi="ar"/>
        </w:rPr>
        <w:sectPr>
          <w:type w:val="continuous"/>
          <w:pgSz w:w="12240" w:h="15840"/>
          <w:pgMar w:top="1440" w:right="1440" w:bottom="1440" w:left="1440" w:header="720" w:footer="720"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b/>
          <w:bCs/>
          <w:sz w:val="24"/>
          <w:szCs w:val="24"/>
        </w:rPr>
      </w:pPr>
      <w:r>
        <w:rPr>
          <w:rFonts w:hint="default"/>
          <w:b/>
          <w:bCs/>
          <w:sz w:val="24"/>
          <w:szCs w:val="24"/>
          <w:lang w:val="id-ID"/>
        </w:rPr>
        <w:t>P</w:t>
      </w:r>
      <w:r>
        <w:rPr>
          <w:b/>
          <w:bCs/>
          <w:sz w:val="24"/>
          <w:szCs w:val="24"/>
        </w:rPr>
        <w:t>ENDAHULUAN</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color w:val="000000"/>
          <w:sz w:val="24"/>
          <w:szCs w:val="24"/>
          <w:lang w:val="id-ID" w:bidi="ar"/>
        </w:rPr>
      </w:pPr>
      <w:r>
        <w:rPr>
          <w:sz w:val="24"/>
          <w:szCs w:val="24"/>
        </w:rPr>
        <w:t xml:space="preserve">Dimasa pandemi </w:t>
      </w:r>
      <w:r>
        <w:rPr>
          <w:rFonts w:eastAsia="sans-serif"/>
          <w:sz w:val="24"/>
          <w:szCs w:val="24"/>
          <w:lang w:val="id-ID"/>
        </w:rPr>
        <w:t>virus corona ini, emiten sektor farmasi mengalami persaingan yang ketat. Obat-obatan maupun suplemen kesehatan banyak dicari masyarakat. Pembelian barang-barang tersebut semakin hari semkain mengalami pelonjakan yang sunguh signifikan.</w:t>
      </w:r>
      <w:r>
        <w:rPr>
          <w:rFonts w:eastAsia="sans-serif"/>
          <w:sz w:val="24"/>
          <w:szCs w:val="24"/>
        </w:rPr>
        <w:t xml:space="preserve"> </w:t>
      </w:r>
      <w:r>
        <w:rPr>
          <w:sz w:val="24"/>
          <w:szCs w:val="24"/>
          <w:lang w:val="id-ID"/>
        </w:rPr>
        <w:t>Peningkatan saham yang telah berlipat ganda setiap minggunya telah menarik investor untuk berinvestasi di emiten dengan prospek yang sangat tinggi. Dari harga saham yang semakin naik ke atas akan menguntungkan emiten yang berdampak positif pada nilai perusahaannya. Nilai perusahaan dapat diukur dari analisis rasio keuangan. Analisis rasio keuangan yang dapat dilakukan oleh investor meliputi rasio likuiditas, rasio solvabilitas, rasio profitabilitas, dan rasio aktivitas</w:t>
      </w:r>
      <w:r>
        <w:rPr>
          <w:color w:val="000000"/>
          <w:sz w:val="24"/>
          <w:szCs w:val="24"/>
          <w:lang w:bidi="ar"/>
        </w:rPr>
        <w:t xml:space="preserve"> (Harahap, 2010). </w:t>
      </w:r>
      <w:r>
        <w:rPr>
          <w:color w:val="000000"/>
          <w:sz w:val="24"/>
          <w:szCs w:val="24"/>
          <w:lang w:val="id-ID" w:bidi="ar"/>
        </w:rPr>
        <w:t>Rasio-rasio ini dapat digunakan untuk mengukur kinerja perusahaan.</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sz w:val="24"/>
          <w:szCs w:val="24"/>
          <w:lang w:val="id-ID"/>
        </w:rPr>
      </w:pPr>
      <w:r>
        <w:rPr>
          <w:sz w:val="24"/>
          <w:szCs w:val="24"/>
          <w:lang w:val="id-ID"/>
        </w:rPr>
        <w:t xml:space="preserve">Tingkat keuntungan perusahaan menjadi perhatian bagi investor. Untuk itu, profitabilitas menjadi suatu perhitungan yang perlu dipertimbangkan bagi investor. Profitabilitas dinilai sebagai tolak ukur kinerja keuangan perusahaan. Menurut Sastrawan (2016), profitabilitas dianggap penting karena profitabilitas merupakan salah satu indikator dalam mengukur kinerja keuangan suatu perusahaan sehingga dapat dijadikan acuan untuk menilai </w:t>
      </w:r>
      <w:r>
        <w:rPr>
          <w:sz w:val="24"/>
          <w:szCs w:val="24"/>
        </w:rPr>
        <w:t xml:space="preserve">suatu </w:t>
      </w:r>
      <w:r>
        <w:rPr>
          <w:sz w:val="24"/>
          <w:szCs w:val="24"/>
          <w:lang w:val="id-ID"/>
        </w:rPr>
        <w:t>perusahaan. Tingkat profitabilitas yang konsisten akan menjadi tolak ukur bagi perusahaan untuk dapat bertahan dalam bisnisnya.</w:t>
      </w:r>
      <w:r>
        <w:rPr>
          <w:rFonts w:hint="default"/>
          <w:sz w:val="24"/>
          <w:szCs w:val="24"/>
          <w:lang w:val="id-ID"/>
        </w:rPr>
        <w:t xml:space="preserve"> </w:t>
      </w:r>
      <w:r>
        <w:rPr>
          <w:sz w:val="24"/>
          <w:szCs w:val="24"/>
          <w:lang w:val="id-ID"/>
        </w:rPr>
        <w:t>Semakin tinggi tingkat profitabilitas perusahaan, oleh investor perusahaan dianggap mampu memaksimalkan aset dan modalnya untuk membiayai kegiatan operasional perusahaan</w:t>
      </w:r>
      <w:r>
        <w:rPr>
          <w:rFonts w:hint="default"/>
          <w:sz w:val="24"/>
          <w:szCs w:val="24"/>
          <w:lang w:val="id-ID"/>
        </w:rPr>
        <w:t>.</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color w:val="000000"/>
          <w:sz w:val="24"/>
          <w:szCs w:val="24"/>
          <w:lang w:val="id-ID" w:bidi="ar"/>
        </w:rPr>
      </w:pPr>
      <w:r>
        <w:rPr>
          <w:color w:val="000000"/>
          <w:sz w:val="24"/>
          <w:szCs w:val="24"/>
          <w:lang w:val="id-ID" w:bidi="ar"/>
        </w:rPr>
        <w:t>Solvabilitas sama pentingnya bagi nilai perusahaan, ini dikarenakan solvabilitas menjadi salah satu pertimbangan investor menanamkan modalnya. Perusahaan tentunya membutuhkan modal untuk melakukan kegiatan operasionalnya. Bagi perusahaan yang kekurangan modal akan berhutang dengan kreditor. Besar kecilnya hutang perusahaan tergantung dengan kebutuhan dan kemampuan perusahaan itu sendiri. Perusahaan yang memiliki hutang besar belum tentu perusahaan tersebut tidak bagus. Kemampuan perusahaan untuk melakukan pinjaman terlihat pada solvabilitas.</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color w:val="000000"/>
          <w:sz w:val="24"/>
          <w:szCs w:val="24"/>
          <w:lang w:val="id-ID" w:bidi="ar"/>
        </w:rPr>
      </w:pPr>
      <w:r>
        <w:rPr>
          <w:rFonts w:eastAsia="sans-serif"/>
          <w:sz w:val="24"/>
          <w:szCs w:val="24"/>
          <w:lang w:val="id-ID" w:bidi="ar"/>
        </w:rPr>
        <w:t>Rasio likuiditas berguna mengukur kemampuan perusahaan membiayai kewajiban jangka pendeknya. Jika perusahaan mampu membiaya kewajiban jangka pendeknya pada saat jatuh tempo, maka perusahaan tersebut merupakan perusahaan likuid. Semakin tinggi rasio likuditas, maka semakin baik pula nilai perusahaan yang akan berdampak pada kepercayaan investor.</w:t>
      </w:r>
    </w:p>
    <w:p>
      <w:pPr>
        <w:jc w:val="both"/>
        <w:rPr>
          <w:color w:val="000000"/>
          <w:sz w:val="24"/>
          <w:szCs w:val="24"/>
          <w:lang w:val="id-ID" w:bidi="ar"/>
        </w:rPr>
      </w:pP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b/>
          <w:bCs/>
          <w:color w:val="000000"/>
          <w:sz w:val="24"/>
          <w:szCs w:val="24"/>
          <w:lang w:bidi="ar"/>
        </w:rPr>
      </w:pPr>
      <w:r>
        <w:rPr>
          <w:rFonts w:hint="default" w:ascii="Times New Roman" w:hAnsi="Times New Roman" w:cs="Times New Roman"/>
          <w:b/>
          <w:bCs/>
          <w:color w:val="000000"/>
          <w:sz w:val="24"/>
          <w:szCs w:val="24"/>
          <w:lang w:bidi="ar"/>
        </w:rPr>
        <w:t>TINJAUAN PUSTAKA</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ind w:left="36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Teori Agensi</w:t>
      </w:r>
    </w:p>
    <w:p>
      <w:pPr>
        <w:pStyle w:val="8"/>
        <w:keepNext w:val="0"/>
        <w:keepLines w:val="0"/>
        <w:pageBreakBefore w:val="0"/>
        <w:widowControl/>
        <w:kinsoku/>
        <w:wordWrap/>
        <w:overflowPunct/>
        <w:topLinePunct w:val="0"/>
        <w:autoSpaceDE/>
        <w:autoSpaceDN/>
        <w:bidi w:val="0"/>
        <w:adjustRightInd/>
        <w:snapToGrid/>
        <w:spacing w:line="23" w:lineRule="atLeast"/>
        <w:ind w:left="0" w:firstLine="360"/>
        <w:jc w:val="both"/>
        <w:textAlignment w:val="auto"/>
        <w:rPr>
          <w:rFonts w:hint="default" w:ascii="Times New Roman" w:hAnsi="Times New Roman" w:eastAsia="sans-serif" w:cs="Times New Roman"/>
          <w:sz w:val="24"/>
          <w:szCs w:val="24"/>
          <w:lang w:val="id-ID"/>
        </w:rPr>
      </w:pPr>
      <w:r>
        <w:rPr>
          <w:rFonts w:hint="default" w:ascii="Times New Roman" w:hAnsi="Times New Roman" w:eastAsia="sans-serif" w:cs="Times New Roman"/>
          <w:sz w:val="24"/>
          <w:szCs w:val="24"/>
        </w:rPr>
        <w:t xml:space="preserve">Menurut Scott (2015) </w:t>
      </w:r>
      <w:r>
        <w:rPr>
          <w:rFonts w:hint="default" w:ascii="Times New Roman" w:hAnsi="Times New Roman" w:eastAsia="sans-serif" w:cs="Times New Roman"/>
          <w:sz w:val="24"/>
          <w:szCs w:val="24"/>
          <w:lang w:val="id-ID"/>
        </w:rPr>
        <w:t>teori agensi adalah pengembangan teori yang mempelajari desain kontrak dimana agen (manajemen) bekerja atas nama prinsipal (investor). Teori agensi berisi hubungan kontraktual antara dua belah pihak yaitu agen dan prinsipal. Dimana investor atau pemilik perusahaan menunjuk agen sebagai manajemen yang mengelola perusahaan atas nama pemilik.</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ind w:left="360"/>
        <w:jc w:val="both"/>
        <w:textAlignment w:val="auto"/>
        <w:rPr>
          <w:rFonts w:hint="default" w:ascii="Times New Roman" w:hAnsi="Times New Roman" w:cs="Times New Roman"/>
          <w:sz w:val="22"/>
          <w:szCs w:val="22"/>
        </w:rPr>
      </w:pPr>
      <w:r>
        <w:rPr>
          <w:rFonts w:hint="default" w:ascii="Times New Roman" w:hAnsi="Times New Roman" w:eastAsia="sans-serif" w:cs="Times New Roman"/>
          <w:sz w:val="24"/>
          <w:szCs w:val="24"/>
        </w:rPr>
        <w:t>Teori Sinyal</w:t>
      </w:r>
    </w:p>
    <w:p>
      <w:pPr>
        <w:pStyle w:val="8"/>
        <w:keepNext w:val="0"/>
        <w:keepLines w:val="0"/>
        <w:pageBreakBefore w:val="0"/>
        <w:widowControl/>
        <w:kinsoku/>
        <w:wordWrap/>
        <w:overflowPunct/>
        <w:topLinePunct w:val="0"/>
        <w:autoSpaceDE/>
        <w:autoSpaceDN/>
        <w:bidi w:val="0"/>
        <w:adjustRightInd/>
        <w:snapToGrid/>
        <w:spacing w:line="23" w:lineRule="atLeast"/>
        <w:ind w:left="0" w:firstLine="360"/>
        <w:jc w:val="both"/>
        <w:textAlignment w:val="auto"/>
        <w:rPr>
          <w:rFonts w:hint="default" w:ascii="Times New Roman" w:hAnsi="Times New Roman" w:cs="Times New Roman"/>
          <w:sz w:val="24"/>
          <w:szCs w:val="24"/>
        </w:rPr>
      </w:pPr>
      <w:r>
        <w:rPr>
          <w:rFonts w:hint="default" w:ascii="Times New Roman" w:hAnsi="Times New Roman" w:eastAsia="sans-serif" w:cs="Times New Roman"/>
          <w:sz w:val="24"/>
          <w:szCs w:val="24"/>
        </w:rPr>
        <w:t xml:space="preserve">Menurut Febrianty (2011) teori sinyal merupakan </w:t>
      </w:r>
      <w:r>
        <w:rPr>
          <w:rFonts w:hint="default" w:ascii="Times New Roman" w:hAnsi="Times New Roman" w:eastAsia="sans-serif" w:cs="Times New Roman"/>
          <w:sz w:val="24"/>
          <w:szCs w:val="24"/>
          <w:lang w:val="id-ID"/>
        </w:rPr>
        <w:t xml:space="preserve"> langkah-langkah yang dilakukan oleh manajemen perusahaan dimana manajemen mengetahui informasi yang lengkap dan akurat tentang prospek internal perusahaan dan perusahaan di masa depan dari pihak lain. </w:t>
      </w:r>
      <w:r>
        <w:rPr>
          <w:rFonts w:hint="default" w:ascii="Times New Roman" w:hAnsi="Times New Roman" w:cs="Times New Roman"/>
          <w:sz w:val="24"/>
          <w:szCs w:val="24"/>
        </w:rPr>
        <w:t>Menurut Connelly dkk. (2011),</w:t>
      </w:r>
      <w:r>
        <w:rPr>
          <w:rFonts w:hint="default" w:ascii="Times New Roman" w:hAnsi="Times New Roman" w:cs="Times New Roman"/>
          <w:sz w:val="24"/>
          <w:szCs w:val="24"/>
          <w:lang w:val="id-ID"/>
        </w:rPr>
        <w:t xml:space="preserve"> untuk </w:t>
      </w:r>
      <w:r>
        <w:rPr>
          <w:rFonts w:hint="default" w:ascii="Times New Roman" w:hAnsi="Times New Roman" w:cs="Times New Roman"/>
          <w:sz w:val="24"/>
          <w:szCs w:val="24"/>
        </w:rPr>
        <w:t>mendapatkan informasi yang akurat sangat penting karena mempengaruhi proses pengambilan keputusan yang digunakan oleh individu, bisnis, dan pemerintah.</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ind w:left="36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Nilai Perusahaan</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Nilai perusahaan adalah persepsi investor tentang tingkat keberhasilan perusahaan yang terkait dengan harga saham. Semakin tinggi harga saham, semakin tinggi pula nilai perusahaan. Peningkatan kepercayaan pasar tidak hanya pada kinerja perusahaan saat ini, tetapi juga pada prospek perusahaan di masa depan.</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ind w:left="36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Profitaibilitas</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eastAsia="sans-serif" w:cs="Times New Roman"/>
          <w:sz w:val="24"/>
          <w:szCs w:val="24"/>
        </w:rPr>
      </w:pPr>
      <w:r>
        <w:rPr>
          <w:rFonts w:hint="default" w:ascii="Times New Roman" w:hAnsi="Times New Roman" w:eastAsia="sans-serif" w:cs="Times New Roman"/>
          <w:sz w:val="24"/>
          <w:szCs w:val="24"/>
          <w:lang w:val="id-ID"/>
        </w:rPr>
        <w:t>Menurut Agus Sartono (2010), profitabilitas adalah kemampuan perusahaan memperoleh laba dalam hubungannya penjualan, total aktiva maupun modal sendiri.</w:t>
      </w:r>
      <w:r>
        <w:rPr>
          <w:rFonts w:hint="default" w:ascii="Times New Roman" w:hAnsi="Times New Roman" w:eastAsia="sans-serif" w:cs="Times New Roman"/>
          <w:sz w:val="24"/>
          <w:szCs w:val="24"/>
        </w:rPr>
        <w:t xml:space="preserve"> R</w:t>
      </w:r>
      <w:r>
        <w:rPr>
          <w:rFonts w:hint="default" w:ascii="Times New Roman" w:hAnsi="Times New Roman" w:eastAsia="sans-serif" w:cs="Times New Roman"/>
          <w:sz w:val="24"/>
          <w:szCs w:val="24"/>
          <w:lang w:val="id-ID"/>
        </w:rPr>
        <w:t>asio profitabilitas merupakan tolak ukur utama keberhasilan suatu perusahaan. Tingkat proftabilitas yang konsisten akan menjadi tolak ukur perusahaan tersebut mampu bertahan dalam bisnisnya</w:t>
      </w:r>
      <w:r>
        <w:rPr>
          <w:rFonts w:hint="default" w:ascii="Times New Roman" w:hAnsi="Times New Roman" w:eastAsia="sans-serif" w:cs="Times New Roman"/>
          <w:sz w:val="24"/>
          <w:szCs w:val="24"/>
        </w:rPr>
        <w:t xml:space="preserve"> </w:t>
      </w:r>
      <w:r>
        <w:rPr>
          <w:rFonts w:hint="default" w:ascii="Times New Roman" w:hAnsi="Times New Roman" w:eastAsia="sans-serif" w:cs="Times New Roman"/>
          <w:sz w:val="24"/>
          <w:szCs w:val="24"/>
          <w:lang w:val="id-ID"/>
        </w:rPr>
        <w:t>dalam jangka panjang., ini dikarenakan profitabilitas menunjukkan apakah perusahaan mempunyai prospek yang baik atau buruk di masa mendatang</w:t>
      </w:r>
      <w:r>
        <w:rPr>
          <w:rFonts w:hint="default" w:ascii="Times New Roman" w:hAnsi="Times New Roman" w:eastAsia="sans-serif" w:cs="Times New Roman"/>
          <w:sz w:val="24"/>
          <w:szCs w:val="24"/>
        </w:rPr>
        <w:t xml:space="preserve"> (</w:t>
      </w:r>
      <w:r>
        <w:rPr>
          <w:rFonts w:hint="default" w:ascii="Times New Roman" w:hAnsi="Times New Roman" w:eastAsia="sans-serif" w:cs="Times New Roman"/>
          <w:sz w:val="24"/>
          <w:szCs w:val="24"/>
          <w:lang w:val="id-ID"/>
        </w:rPr>
        <w:t>Prihadi</w:t>
      </w:r>
      <w:r>
        <w:rPr>
          <w:rFonts w:hint="default" w:ascii="Times New Roman" w:hAnsi="Times New Roman" w:eastAsia="sans-serif" w:cs="Times New Roman"/>
          <w:sz w:val="24"/>
          <w:szCs w:val="24"/>
        </w:rPr>
        <w:t xml:space="preserve">, </w:t>
      </w:r>
      <w:r>
        <w:rPr>
          <w:rFonts w:hint="default" w:ascii="Times New Roman" w:hAnsi="Times New Roman" w:eastAsia="sans-serif" w:cs="Times New Roman"/>
          <w:sz w:val="24"/>
          <w:szCs w:val="24"/>
          <w:lang w:val="id-ID"/>
        </w:rPr>
        <w:t>2011)</w:t>
      </w:r>
      <w:r>
        <w:rPr>
          <w:rFonts w:hint="default" w:ascii="Times New Roman" w:hAnsi="Times New Roman" w:eastAsia="sans-serif" w:cs="Times New Roman"/>
          <w:sz w:val="24"/>
          <w:szCs w:val="24"/>
        </w:rPr>
        <w:t>.</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ind w:left="36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Solvabilitas</w:t>
      </w:r>
    </w:p>
    <w:p>
      <w:pPr>
        <w:keepNext w:val="0"/>
        <w:keepLines w:val="0"/>
        <w:pageBreakBefore w:val="0"/>
        <w:widowControl/>
        <w:kinsoku/>
        <w:wordWrap/>
        <w:overflowPunct/>
        <w:topLinePunct w:val="0"/>
        <w:autoSpaceDE/>
        <w:autoSpaceDN/>
        <w:bidi w:val="0"/>
        <w:adjustRightInd/>
        <w:snapToGrid/>
        <w:spacing w:line="23" w:lineRule="atLeast"/>
        <w:ind w:firstLine="360"/>
        <w:jc w:val="both"/>
        <w:textAlignment w:val="auto"/>
        <w:rPr>
          <w:rFonts w:hint="default" w:ascii="Times New Roman" w:hAnsi="Times New Roman" w:cs="Times New Roman"/>
          <w:sz w:val="22"/>
          <w:szCs w:val="22"/>
        </w:rPr>
      </w:pPr>
      <w:r>
        <w:rPr>
          <w:rFonts w:hint="default" w:ascii="Times New Roman" w:hAnsi="Times New Roman" w:cs="Times New Roman"/>
          <w:sz w:val="24"/>
          <w:szCs w:val="24"/>
          <w:shd w:val="clear" w:color="auto" w:fill="FFFFFF"/>
        </w:rPr>
        <w:t xml:space="preserve">Munawir (2007), solvabilitas  adalah kemampuan perusahaan untuk memenuhi kewajiban keuangannya apabila jika perusahaan tersebut dilikuidasikan, baik  kewajiban  keuangan  jangka pendek maupun jangka panjang. </w:t>
      </w:r>
      <w:r>
        <w:rPr>
          <w:rFonts w:hint="default" w:ascii="Times New Roman" w:hAnsi="Times New Roman" w:eastAsia="sans-serif" w:cs="Times New Roman"/>
          <w:sz w:val="24"/>
          <w:szCs w:val="24"/>
          <w:lang w:val="id-ID"/>
        </w:rPr>
        <w:t>Rasio solvabilitas atau rasio laverage merupakan rasio yang digunakan untuk mengukur sejauh mana aset perusahaan dibiayai oleh hutang. Dengan kata lain, rasio solvabilitas atau rasio laverage merupakan rasio yang digunakan untuk mengukur seberapa besar beban utang yang harus ditanggung oleh perusahaan dalam rangka pemenuhan aset. Dalam arti luas, rasio solvabilitas digunakan untuk mengukur kemampuan perusahaan dalam memenuhi seluruh kewajibannya, baik kewajiban jangka pendek maupun jangka panjang.</w:t>
      </w:r>
    </w:p>
    <w:p>
      <w:pPr>
        <w:pStyle w:val="8"/>
        <w:keepNext w:val="0"/>
        <w:keepLines w:val="0"/>
        <w:pageBreakBefore w:val="0"/>
        <w:widowControl/>
        <w:numPr>
          <w:ilvl w:val="0"/>
          <w:numId w:val="1"/>
        </w:numPr>
        <w:kinsoku/>
        <w:wordWrap/>
        <w:overflowPunct/>
        <w:topLinePunct w:val="0"/>
        <w:autoSpaceDE/>
        <w:autoSpaceDN/>
        <w:bidi w:val="0"/>
        <w:adjustRightInd/>
        <w:snapToGrid/>
        <w:spacing w:line="23" w:lineRule="atLeast"/>
        <w:ind w:left="36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Likuiditas</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color w:val="000000"/>
          <w:sz w:val="24"/>
          <w:szCs w:val="24"/>
          <w:lang w:bidi="ar"/>
        </w:rPr>
      </w:pPr>
      <w:r>
        <w:rPr>
          <w:rFonts w:hint="default" w:ascii="Times New Roman" w:hAnsi="Times New Roman" w:cs="Times New Roman"/>
          <w:sz w:val="24"/>
          <w:szCs w:val="24"/>
          <w:shd w:val="clear" w:color="auto" w:fill="FFFFFF"/>
        </w:rPr>
        <w:t xml:space="preserve">Menurut S. Munawir (2007), likuiditas adalah kemampuan suatu perusahaan untuk memenuhi kewajiban keuangannya yang harus segera dipenuhi, atau kemampuan perusahaan untuk memenuhi kewajiban keuangan pada saat ditagih. Likuiditas dapat dikur menggunakan rasio likuiditas. </w:t>
      </w:r>
      <w:r>
        <w:rPr>
          <w:rFonts w:hint="default" w:ascii="Times New Roman" w:hAnsi="Times New Roman" w:cs="Times New Roman"/>
          <w:color w:val="000000"/>
          <w:sz w:val="24"/>
          <w:szCs w:val="24"/>
          <w:lang w:bidi="ar"/>
        </w:rPr>
        <w:t>Menurut Hery (2018) rasio likuiditas adalah rasio yang menunjukkan kemampuan perusahaan dalam memenuhi kewajiban atau membayar utang jangka pendeknya. Semakin likuid suatu perusahaan, semakin kecil kemungkinan perusahaan tersebut mengalami kesulitan keuangan (yaitu, kesulitan dalam membayar utang – utang</w:t>
      </w:r>
      <w:r>
        <w:rPr>
          <w:rFonts w:hint="default" w:ascii="Times New Roman" w:hAnsi="Times New Roman" w:cs="Times New Roman"/>
          <w:color w:val="000000"/>
          <w:sz w:val="24"/>
          <w:szCs w:val="24"/>
          <w:lang w:val="id-ID" w:bidi="ar"/>
        </w:rPr>
        <w:t xml:space="preserve"> </w:t>
      </w:r>
      <w:r>
        <w:rPr>
          <w:rFonts w:hint="default" w:ascii="Times New Roman" w:hAnsi="Times New Roman" w:cs="Times New Roman"/>
          <w:color w:val="000000"/>
          <w:sz w:val="24"/>
          <w:szCs w:val="24"/>
          <w:lang w:bidi="ar"/>
        </w:rPr>
        <w:t>atau membeli berbagai aset yang diperlukan) (Ross, et al., 2015).</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color w:val="000000"/>
          <w:sz w:val="24"/>
          <w:szCs w:val="24"/>
          <w:lang w:bidi="ar"/>
        </w:rPr>
      </w:pP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b/>
          <w:bCs/>
          <w:color w:val="000000"/>
          <w:sz w:val="24"/>
          <w:szCs w:val="24"/>
          <w:lang w:bidi="ar"/>
        </w:rPr>
      </w:pPr>
      <w:r>
        <w:rPr>
          <w:rFonts w:hint="default" w:ascii="Times New Roman" w:hAnsi="Times New Roman" w:cs="Times New Roman"/>
          <w:b/>
          <w:bCs/>
          <w:color w:val="000000"/>
          <w:sz w:val="24"/>
          <w:szCs w:val="24"/>
          <w:lang w:bidi="ar"/>
        </w:rPr>
        <w:t>PENGEMBANGAN HIPOTESIS</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Dalam teori sinyal, informasi yang akurat dibutuhkan agar berbagai pihak dapat menggunakannya. Teori sinyal memberikan penjelasan mengenai alasan perusahaan memiliki dorongan untuk menyampaikan informasi terkait laporan perusahaan untuk pihak eksternal. Bagi investor penyampaian informasi ini penting untuk memantau pergerakan perusahaan dalam penggunaan modalnya. Laporan keuangan yang disampaikan menjadi informasi penting bagi pemegang saham</w:t>
      </w:r>
      <w:r>
        <w:rPr>
          <w:rFonts w:hint="default" w:ascii="Times New Roman" w:hAnsi="Times New Roman" w:cs="Times New Roman"/>
          <w:sz w:val="24"/>
          <w:szCs w:val="24"/>
        </w:rPr>
        <w:t>, investor,</w:t>
      </w:r>
      <w:r>
        <w:rPr>
          <w:rFonts w:hint="default" w:ascii="Times New Roman" w:hAnsi="Times New Roman" w:cs="Times New Roman"/>
          <w:sz w:val="24"/>
          <w:szCs w:val="24"/>
          <w:lang w:val="id-ID"/>
        </w:rPr>
        <w:t xml:space="preserve"> dan manajemen untuk menghasilkan keputusan. Ketika perusahaan memberikan </w:t>
      </w:r>
      <w:r>
        <w:rPr>
          <w:rFonts w:hint="default" w:ascii="Times New Roman" w:hAnsi="Times New Roman" w:cs="Times New Roman"/>
          <w:i/>
          <w:iCs/>
          <w:sz w:val="24"/>
          <w:szCs w:val="24"/>
          <w:lang w:val="id-ID"/>
        </w:rPr>
        <w:t xml:space="preserve">return </w:t>
      </w:r>
      <w:r>
        <w:rPr>
          <w:rFonts w:hint="default" w:ascii="Times New Roman" w:hAnsi="Times New Roman" w:cs="Times New Roman"/>
          <w:sz w:val="24"/>
          <w:szCs w:val="24"/>
          <w:lang w:val="id-ID"/>
        </w:rPr>
        <w:t xml:space="preserve">yang </w:t>
      </w:r>
      <w:r>
        <w:rPr>
          <w:rFonts w:hint="default" w:ascii="Times New Roman" w:hAnsi="Times New Roman" w:cs="Times New Roman"/>
          <w:sz w:val="24"/>
          <w:szCs w:val="24"/>
        </w:rPr>
        <w:t>baik</w:t>
      </w:r>
      <w:r>
        <w:rPr>
          <w:rFonts w:hint="default" w:ascii="Times New Roman" w:hAnsi="Times New Roman" w:cs="Times New Roman"/>
          <w:sz w:val="24"/>
          <w:szCs w:val="24"/>
          <w:lang w:val="id-ID"/>
        </w:rPr>
        <w:t xml:space="preserve">, ini akan menjadi keputusan baik dari investor </w:t>
      </w:r>
      <w:r>
        <w:rPr>
          <w:rFonts w:hint="default" w:ascii="Times New Roman" w:hAnsi="Times New Roman" w:cs="Times New Roman"/>
          <w:sz w:val="24"/>
          <w:szCs w:val="24"/>
        </w:rPr>
        <w:t>dan</w:t>
      </w:r>
      <w:r>
        <w:rPr>
          <w:rFonts w:hint="default" w:ascii="Times New Roman" w:hAnsi="Times New Roman" w:cs="Times New Roman"/>
          <w:sz w:val="24"/>
          <w:szCs w:val="24"/>
          <w:lang w:val="id-ID"/>
        </w:rPr>
        <w:t xml:space="preserve"> perusahaan. Salah satunya prof</w:t>
      </w:r>
      <w:r>
        <w:rPr>
          <w:rFonts w:hint="default" w:ascii="Times New Roman" w:hAnsi="Times New Roman" w:cs="Times New Roman"/>
          <w:sz w:val="24"/>
          <w:szCs w:val="24"/>
        </w:rPr>
        <w:t>i</w:t>
      </w:r>
      <w:r>
        <w:rPr>
          <w:rFonts w:hint="default" w:ascii="Times New Roman" w:hAnsi="Times New Roman" w:cs="Times New Roman"/>
          <w:sz w:val="24"/>
          <w:szCs w:val="24"/>
          <w:lang w:val="id-ID"/>
        </w:rPr>
        <w:t xml:space="preserve">tabilitas yang semakin meningkat atau semakin tinggi, maka reputasi perusahaan semakin baik yang akan diikuti dengan naiknya harga saham perusahaan. </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rPr>
        <w:t>Profitabilitas merupakan kemampuan perusahaan dalam memperoleh laba. Kemampuan ini yang akan menarik minat investor untuk menanam saham di perusahaan yang mempunyai profitabilitas tinggi.</w:t>
      </w:r>
      <w:r>
        <w:rPr>
          <w:rFonts w:hint="default" w:ascii="Times New Roman" w:hAnsi="Times New Roman" w:cs="Times New Roman"/>
          <w:sz w:val="24"/>
          <w:szCs w:val="24"/>
          <w:lang w:val="id-ID"/>
        </w:rPr>
        <w:t xml:space="preserve"> Semakin tinggi rasio profitabilitas suatu perusahaan, akan mempengaruhi keputusan investor dalam menentukan tempat investasi. Karena investor memandang perusahaan yang memiliki profit tinggi, perusahaan tersebut mempunyai prospek yang bagus diwaktu yang akan datang. Dari uraian di atas dapat ditarik hipotesis bahwa :</w:t>
      </w:r>
      <w:r>
        <w:rPr>
          <w:rFonts w:hint="default" w:ascii="Times New Roman" w:hAnsi="Times New Roman" w:cs="Times New Roman"/>
          <w:sz w:val="24"/>
          <w:szCs w:val="24"/>
          <w:lang w:val="id-ID"/>
        </w:rPr>
        <w:br w:type="textWrapping"/>
      </w:r>
      <w:r>
        <w:rPr>
          <w:rFonts w:hint="default" w:ascii="Times New Roman" w:hAnsi="Times New Roman" w:cs="Times New Roman"/>
          <w:b/>
          <w:bCs/>
          <w:sz w:val="24"/>
          <w:szCs w:val="24"/>
          <w:lang w:val="id-ID"/>
        </w:rPr>
        <w:t>H1 : Profitabilitas berpengaruh terhadap Nilai Perusahaan pada emiten Subsektor Farmasi yang terdaftar di BEI tahun 2019-2021</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color w:val="000000"/>
          <w:sz w:val="24"/>
          <w:szCs w:val="24"/>
          <w:lang w:bidi="ar"/>
        </w:rPr>
      </w:pP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Untuk menjalankan bisnis, perusahaan pasti membutuhkan dana untuk operasionalnya. Dana dibutuhkan untuk menutupi berbagai macam keperluan, baik jangka panjang maupun jangka pendek. Terkait teori keagenan yang menjadi masalah agensi, dimana masalah agensi yang muncul prinsipal kesulitan memastikan agen bertindak untuk memaksimalkan kesejahteraan prinsipal. Perbedaan ini juga dapat disebabkan oleh perbedaan pemegan</w:t>
      </w:r>
      <w:r>
        <w:rPr>
          <w:rFonts w:hint="default" w:ascii="Times New Roman" w:hAnsi="Times New Roman" w:cs="Times New Roman"/>
          <w:sz w:val="24"/>
          <w:szCs w:val="24"/>
        </w:rPr>
        <w:t>g</w:t>
      </w:r>
      <w:r>
        <w:rPr>
          <w:rFonts w:hint="default" w:ascii="Times New Roman" w:hAnsi="Times New Roman" w:cs="Times New Roman"/>
          <w:sz w:val="24"/>
          <w:szCs w:val="24"/>
          <w:lang w:val="id-ID"/>
        </w:rPr>
        <w:t xml:space="preserve"> saham </w:t>
      </w:r>
      <w:r>
        <w:rPr>
          <w:rFonts w:hint="default" w:ascii="Times New Roman" w:hAnsi="Times New Roman" w:cs="Times New Roman"/>
          <w:sz w:val="24"/>
          <w:szCs w:val="24"/>
        </w:rPr>
        <w:t xml:space="preserve">yang </w:t>
      </w:r>
      <w:r>
        <w:rPr>
          <w:rFonts w:hint="default" w:ascii="Times New Roman" w:hAnsi="Times New Roman" w:cs="Times New Roman"/>
          <w:sz w:val="24"/>
          <w:szCs w:val="24"/>
          <w:lang w:val="id-ID"/>
        </w:rPr>
        <w:t xml:space="preserve">menyukai investasi dengan resiko tinggi agar nantinya didapat </w:t>
      </w:r>
      <w:r>
        <w:rPr>
          <w:rFonts w:hint="default" w:ascii="Times New Roman" w:hAnsi="Times New Roman" w:cs="Times New Roman"/>
          <w:i/>
          <w:iCs/>
          <w:sz w:val="24"/>
          <w:szCs w:val="24"/>
          <w:lang w:val="id-ID"/>
        </w:rPr>
        <w:t>return</w:t>
      </w:r>
      <w:r>
        <w:rPr>
          <w:rFonts w:hint="default" w:ascii="Times New Roman" w:hAnsi="Times New Roman" w:cs="Times New Roman"/>
          <w:sz w:val="24"/>
          <w:szCs w:val="24"/>
          <w:lang w:val="id-ID"/>
        </w:rPr>
        <w:t xml:space="preserve"> yang lebih tinggi, sedangkan manajemen memilih resiko rendah unutk melindungi posisinya. Salah stau alternatif untuk mengurangi konfilk agensi dengan meningkatkan pendanaan dengan hutang. Peningkatan hutang ini akan menurunkan konflik yang nantinya di audit oleh pihak eksternal. Kemampuan perusahaan dalam membiayai kewajiban jangka panjangnya dinamakan solvabilitas. Semakin tinggi rasio solvabilitas suatu emiten, resiko kerugiannya pula akan semakin tinggi. Ini mempengaruhi harga saham yang akan menurunkan nilai perusahaan. Hal itu akan mengurangi kepercayaan investor terhadap perusahaan. Dari uraian di atas dapat ditarik hipotesis bahwa :</w:t>
      </w:r>
    </w:p>
    <w:p>
      <w:pPr>
        <w:keepNext w:val="0"/>
        <w:keepLines w:val="0"/>
        <w:pageBreakBefore w:val="0"/>
        <w:widowControl/>
        <w:tabs>
          <w:tab w:val="left" w:pos="800"/>
        </w:tabs>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H2 : Solvabilitas berpengaruhi terhadap Nilai Perusahaan pada emiten Subsektor Farmasi yang terdaftar di BEI tahun 2019-2021</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color w:val="000000"/>
          <w:sz w:val="24"/>
          <w:szCs w:val="24"/>
          <w:lang w:bidi="ar"/>
        </w:rPr>
      </w:pPr>
      <w:r>
        <w:rPr>
          <w:rFonts w:hint="default" w:ascii="Times New Roman" w:hAnsi="Times New Roman" w:cs="Times New Roman"/>
          <w:color w:val="000000"/>
          <w:sz w:val="24"/>
          <w:szCs w:val="24"/>
          <w:lang w:bidi="ar"/>
        </w:rPr>
        <w:t>Harjito dan Martono (2014:55) menyatakan bahwa suatu perusahaan yang ingin mempertahankan kelangsungan kegiatan usahanya harus memiliki kemampuan melunasi kewajiban-kewajiban finansial uang segera dilunasi.</w:t>
      </w:r>
      <w:r>
        <w:rPr>
          <w:rFonts w:hint="default" w:ascii="Times New Roman" w:hAnsi="Times New Roman" w:cs="Times New Roman"/>
          <w:color w:val="000000"/>
          <w:sz w:val="24"/>
          <w:szCs w:val="24"/>
          <w:lang w:val="id-ID" w:bidi="ar"/>
        </w:rPr>
        <w:t xml:space="preserve"> </w:t>
      </w:r>
      <w:r>
        <w:rPr>
          <w:rFonts w:hint="default" w:ascii="Times New Roman" w:hAnsi="Times New Roman" w:cs="Times New Roman"/>
          <w:color w:val="000000"/>
          <w:sz w:val="24"/>
          <w:szCs w:val="24"/>
          <w:lang w:bidi="ar"/>
        </w:rPr>
        <w:t xml:space="preserve">Rasio </w:t>
      </w:r>
      <w:r>
        <w:rPr>
          <w:rFonts w:hint="default" w:ascii="Times New Roman" w:hAnsi="Times New Roman" w:cs="Times New Roman"/>
          <w:color w:val="000000"/>
          <w:sz w:val="24"/>
          <w:szCs w:val="24"/>
          <w:lang w:val="id-ID" w:bidi="ar"/>
        </w:rPr>
        <w:t>l</w:t>
      </w:r>
      <w:r>
        <w:rPr>
          <w:rFonts w:hint="default" w:ascii="Times New Roman" w:hAnsi="Times New Roman" w:cs="Times New Roman"/>
          <w:color w:val="000000"/>
          <w:sz w:val="24"/>
          <w:szCs w:val="24"/>
          <w:lang w:bidi="ar"/>
        </w:rPr>
        <w:t>ikuiditas menunjukkan kemampuan perusahaan dalam melaksanakan kewajiban atau membayar hutang jangka pendeknya. Perusahaan yang mempunyai tingkat likuiditas yang tinggi mengindikasikan kesempatan bertumbuh perusahaan cenderung tinggi.</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sz w:val="24"/>
          <w:szCs w:val="24"/>
          <w:lang w:val="id-ID"/>
        </w:rPr>
      </w:pPr>
      <w:r>
        <w:rPr>
          <w:rFonts w:hint="default" w:ascii="Times New Roman" w:hAnsi="Times New Roman" w:cs="Times New Roman"/>
          <w:color w:val="000000"/>
          <w:sz w:val="24"/>
          <w:szCs w:val="24"/>
          <w:lang w:val="id-ID" w:bidi="ar"/>
        </w:rPr>
        <w:t xml:space="preserve">Semakin tinggi tingkat likuidasinya, investor akan lebih percaya dengan emiten tersebut, karena perusahaan mmapu memenuhi kewajiban jangka pendeknya maksimal sampai jatuh tempo. Hal ini akan berdampak baik bagi nilai perusahaan. Kondisi akan menjadi sinyal untuk investor karena perusahaan dianggap sebagai pemilik memiliki tanggung jawab atas pengelolaan perusahaan.teori sinyal menjelaskan tindakan manajemen dalam menyampaikan informasi kepada investor yang nantinya akan mengubah keputusan investor setelah melihat kondisi perusahaan melalui laporan keuangan.  </w:t>
      </w:r>
      <w:r>
        <w:rPr>
          <w:rFonts w:hint="default" w:ascii="Times New Roman" w:hAnsi="Times New Roman" w:cs="Times New Roman"/>
          <w:sz w:val="24"/>
          <w:szCs w:val="24"/>
          <w:lang w:val="id-ID"/>
        </w:rPr>
        <w:t>Dari uraian di atas dapat ditarik hipotesis bahwa :</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id-ID"/>
        </w:rPr>
        <w:t>H3 : Likuditas berpengaruh terhadap Nilai Perusahaan pada emiten Subsektor Farmasi yang terdaftar di BEI tahun 2019-2021</w:t>
      </w:r>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METODE PENELITIAN</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id-ID"/>
        </w:rPr>
        <w:t>Metode penelitian dalam penelitian ini adalah metode penelitian kuantitatif dengan pendekatan deskriptif.</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Sugiyono (2018) menyatakan bahwa penelitian deskriptif adalah penelitian yang dilakukan untuk mengetahui nilai variabel independen, baik satu atau lebih variabel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tanpa membuat perbandingan, atau menghubungkan dengan variabel lain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Jenis data dalam penelitian ini menggunakan data sekunder, yaitu data yang diperoleh tidak langsung dari sumbernya, melainkan dari pihak lain yaitu Bursa Efek Indonesia (BEI). Sumber data dalam penelitian ini adalah laporan keuangan perusahaan farmasi pada periode 2019-2021 yang tercatat di BEI yang diakses melalui </w:t>
      </w:r>
      <w:r>
        <w:rPr>
          <w:rFonts w:hint="default" w:ascii="Times New Roman" w:hAnsi="Times New Roman" w:cs="Times New Roman"/>
        </w:rPr>
        <w:fldChar w:fldCharType="begin"/>
      </w:r>
      <w:r>
        <w:rPr>
          <w:rFonts w:hint="default" w:ascii="Times New Roman" w:hAnsi="Times New Roman" w:cs="Times New Roman"/>
        </w:rPr>
        <w:instrText xml:space="preserve"> HYPERLINK "http://www.idx.co.id" </w:instrText>
      </w:r>
      <w:r>
        <w:rPr>
          <w:rFonts w:hint="default" w:ascii="Times New Roman" w:hAnsi="Times New Roman" w:cs="Times New Roman"/>
        </w:rPr>
        <w:fldChar w:fldCharType="separate"/>
      </w:r>
      <w:r>
        <w:rPr>
          <w:rStyle w:val="6"/>
          <w:rFonts w:hint="default" w:ascii="Times New Roman" w:hAnsi="Times New Roman" w:cs="Times New Roman"/>
          <w:color w:val="auto"/>
          <w:sz w:val="24"/>
          <w:szCs w:val="24"/>
          <w:u w:val="none"/>
          <w:lang w:val="id-ID"/>
        </w:rPr>
        <w:t>www.idx.co.id</w:t>
      </w:r>
      <w:r>
        <w:rPr>
          <w:rStyle w:val="6"/>
          <w:rFonts w:hint="default" w:ascii="Times New Roman" w:hAnsi="Times New Roman" w:cs="Times New Roman"/>
          <w:color w:val="auto"/>
          <w:sz w:val="24"/>
          <w:szCs w:val="24"/>
          <w:u w:val="none"/>
          <w:lang w:val="id-ID"/>
        </w:rPr>
        <w:fldChar w:fldCharType="end"/>
      </w:r>
      <w:r>
        <w:rPr>
          <w:rStyle w:val="6"/>
          <w:rFonts w:hint="default" w:ascii="Times New Roman" w:hAnsi="Times New Roman" w:cs="Times New Roman"/>
          <w:color w:val="auto"/>
          <w:sz w:val="24"/>
          <w:szCs w:val="24"/>
          <w:u w:val="none"/>
        </w:rPr>
        <w:t xml:space="preserve">. </w:t>
      </w:r>
      <w:r>
        <w:rPr>
          <w:rFonts w:hint="default" w:ascii="Times New Roman" w:hAnsi="Times New Roman" w:cs="Times New Roman"/>
          <w:sz w:val="24"/>
          <w:szCs w:val="24"/>
          <w:lang w:val="id-ID"/>
        </w:rPr>
        <w:t xml:space="preserve">Metode pengumpulan data yang digunakan dalam penelitian ini adalah metode studi dokumentasi dan </w:t>
      </w:r>
      <w:r>
        <w:rPr>
          <w:rFonts w:hint="default" w:ascii="Times New Roman" w:hAnsi="Times New Roman" w:cs="Times New Roman"/>
          <w:sz w:val="24"/>
          <w:szCs w:val="24"/>
        </w:rPr>
        <w:t>diolah</w:t>
      </w:r>
      <w:r>
        <w:rPr>
          <w:rFonts w:hint="default" w:ascii="Times New Roman" w:hAnsi="Times New Roman" w:cs="Times New Roman"/>
          <w:sz w:val="24"/>
          <w:szCs w:val="24"/>
          <w:lang w:val="id-ID"/>
        </w:rPr>
        <w:t xml:space="preserve"> menggunakan program SPSS versi 25</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Variabel dependen adalah variabel yang dipengaruhi oleh variabel independen. Variabel dependen dalam penelitian ini adalah Nilai Perusahaan yang diproksikan oleh </w:t>
      </w:r>
      <w:r>
        <w:rPr>
          <w:rFonts w:hint="default" w:ascii="Times New Roman" w:hAnsi="Times New Roman" w:cs="Times New Roman"/>
          <w:i/>
          <w:iCs/>
          <w:sz w:val="24"/>
          <w:szCs w:val="24"/>
          <w:lang w:val="id-ID"/>
        </w:rPr>
        <w:t>Price to Book Value</w:t>
      </w:r>
      <w:r>
        <w:rPr>
          <w:rFonts w:hint="default" w:ascii="Times New Roman" w:hAnsi="Times New Roman" w:cs="Times New Roman"/>
          <w:sz w:val="24"/>
          <w:szCs w:val="24"/>
          <w:lang w:val="id-ID"/>
        </w:rPr>
        <w:t xml:space="preserve"> (PBV).</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Nilai PBV dapat dihitung dengan rumus :</w:t>
      </w:r>
    </w:p>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cs="Times New Roman"/>
          <w:sz w:val="28"/>
          <w:szCs w:val="28"/>
          <w:lang w:val="id-ID"/>
        </w:rPr>
      </w:pPr>
      <w:r>
        <w:rPr>
          <w:rFonts w:hint="default" w:ascii="Times New Roman" w:hAnsi="Times New Roman" w:cs="Times New Roman"/>
          <w:sz w:val="24"/>
          <w:szCs w:val="24"/>
          <w:lang w:val="id-ID"/>
        </w:rPr>
        <w:t>PBV</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m:oMath>
        <m:f>
          <m:fPr>
            <m:ctrlPr>
              <w:rPr>
                <w:rFonts w:hint="default" w:ascii="Cambria Math" w:hAnsi="Cambria Math" w:cs="Times New Roman"/>
                <w:i/>
                <w:sz w:val="28"/>
                <w:szCs w:val="28"/>
              </w:rPr>
            </m:ctrlPr>
          </m:fPr>
          <m:num>
            <m:r>
              <m:rPr/>
              <w:rPr>
                <w:rFonts w:hint="default" w:ascii="Cambria Math" w:hAnsi="Cambria Math" w:cs="Times New Roman"/>
                <w:sz w:val="28"/>
                <w:szCs w:val="28"/>
              </w:rPr>
              <m:t>Harga Lembar /Lembar Saℎam</m:t>
            </m:r>
            <m:ctrlPr>
              <w:rPr>
                <w:rFonts w:hint="default" w:ascii="Cambria Math" w:hAnsi="Cambria Math" w:cs="Times New Roman"/>
                <w:i/>
                <w:sz w:val="28"/>
                <w:szCs w:val="28"/>
              </w:rPr>
            </m:ctrlPr>
          </m:num>
          <m:den>
            <m:r>
              <m:rPr/>
              <w:rPr>
                <w:rFonts w:hint="default" w:ascii="Cambria Math" w:hAnsi="Cambria Math" w:cs="Times New Roman"/>
                <w:sz w:val="28"/>
                <w:szCs w:val="28"/>
              </w:rPr>
              <m:t>Nilai Buku /Lembar Saℎam</m:t>
            </m:r>
            <m:ctrlPr>
              <w:rPr>
                <w:rFonts w:hint="default" w:ascii="Cambria Math" w:hAnsi="Cambria Math" w:cs="Times New Roman"/>
                <w:i/>
                <w:sz w:val="28"/>
                <w:szCs w:val="28"/>
              </w:rPr>
            </m:ctrlPr>
          </m:den>
        </m:f>
      </m:oMath>
    </w:p>
    <w:p>
      <w:pPr>
        <w:keepNext w:val="0"/>
        <w:keepLines w:val="0"/>
        <w:pageBreakBefore w:val="0"/>
        <w:widowControl/>
        <w:kinsoku/>
        <w:wordWrap/>
        <w:overflowPunct/>
        <w:topLinePunct w:val="0"/>
        <w:autoSpaceDE/>
        <w:autoSpaceDN/>
        <w:bidi w:val="0"/>
        <w:adjustRightInd/>
        <w:snapToGrid/>
        <w:spacing w:line="23" w:lineRule="atLeast"/>
        <w:jc w:val="both"/>
        <w:textAlignment w:val="auto"/>
        <w:rPr>
          <w:rFonts w:hint="default" w:ascii="Times New Roman" w:hAnsi="Times New Roman" w:cs="Times New Roman"/>
          <w:color w:val="000000"/>
          <w:sz w:val="24"/>
          <w:szCs w:val="24"/>
          <w:lang w:val="id-ID" w:bidi="ar"/>
        </w:rPr>
      </w:pPr>
      <w:r>
        <w:rPr>
          <w:rFonts w:hint="default" w:ascii="Times New Roman" w:hAnsi="Times New Roman" w:cs="Times New Roman"/>
          <w:color w:val="000000"/>
          <w:sz w:val="24"/>
          <w:szCs w:val="24"/>
          <w:lang w:bidi="ar"/>
        </w:rPr>
        <w:t>Semakin tinggi rasio PBV berarti bahwa pasar percaya pada prospek perusahaan</w:t>
      </w:r>
      <w:r>
        <w:rPr>
          <w:rFonts w:hint="default" w:ascii="Times New Roman" w:hAnsi="Times New Roman" w:cs="Times New Roman"/>
          <w:color w:val="000000"/>
          <w:sz w:val="24"/>
          <w:szCs w:val="24"/>
          <w:lang w:val="id-ID" w:bidi="ar"/>
        </w:rPr>
        <w:t>.</w:t>
      </w:r>
      <w:r>
        <w:rPr>
          <w:rFonts w:hint="default" w:ascii="Times New Roman" w:hAnsi="Times New Roman" w:cs="Times New Roman"/>
          <w:color w:val="000000"/>
          <w:sz w:val="24"/>
          <w:szCs w:val="24"/>
          <w:lang w:bidi="ar"/>
        </w:rPr>
        <w:t xml:space="preserve"> Variabel independen adalah variabel yang menjelaskan atau mempengaruhi atau menyebabkan perubahan atau munculnya variabel dependen (terikat). Variabel independen yang digunakan dalam penelitian ini adalah profitabilitas, solvabilitas, dan likuiditas</w:t>
      </w:r>
      <w:r>
        <w:rPr>
          <w:rFonts w:hint="default" w:ascii="Times New Roman" w:hAnsi="Times New Roman" w:cs="Times New Roman"/>
          <w:color w:val="000000"/>
          <w:sz w:val="24"/>
          <w:szCs w:val="24"/>
          <w:lang w:val="id-ID" w:bidi="ar"/>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23" w:lineRule="atLeast"/>
        <w:ind w:left="600" w:leftChars="300"/>
        <w:jc w:val="both"/>
        <w:textAlignment w:val="auto"/>
        <w:rPr>
          <w:rFonts w:hint="default" w:ascii="Times New Roman" w:hAnsi="Times New Roman" w:cs="Times New Roman"/>
          <w:color w:val="000000"/>
          <w:sz w:val="24"/>
          <w:szCs w:val="24"/>
          <w:lang w:val="id-ID" w:bidi="ar"/>
        </w:rPr>
      </w:pPr>
      <w:r>
        <w:rPr>
          <w:rFonts w:hint="default" w:ascii="Times New Roman" w:hAnsi="Times New Roman" w:cs="Times New Roman"/>
          <w:color w:val="000000"/>
          <w:sz w:val="24"/>
          <w:szCs w:val="24"/>
          <w:lang w:val="id-ID" w:bidi="ar"/>
        </w:rPr>
        <w:t>Profitabilitas</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eastAsia="sans-serif" w:cs="Times New Roman"/>
          <w:sz w:val="24"/>
          <w:szCs w:val="24"/>
        </w:rPr>
      </w:pPr>
      <w:r>
        <w:rPr>
          <w:rFonts w:hint="default" w:ascii="Times New Roman" w:hAnsi="Times New Roman" w:cs="Times New Roman"/>
          <w:sz w:val="24"/>
          <w:szCs w:val="24"/>
          <w:lang w:val="id-ID"/>
        </w:rPr>
        <w:t>Dalam penelitian ini, rasio profitabilitas diproksikan dengan</w:t>
      </w:r>
      <w:r>
        <w:rPr>
          <w:rFonts w:hint="default" w:ascii="Times New Roman" w:hAnsi="Times New Roman" w:eastAsia="sans-serif" w:cs="Times New Roman"/>
          <w:sz w:val="24"/>
          <w:szCs w:val="24"/>
        </w:rPr>
        <w:t xml:space="preserve"> ROE</w:t>
      </w:r>
      <w:r>
        <w:rPr>
          <w:rFonts w:hint="default" w:ascii="Times New Roman" w:hAnsi="Times New Roman" w:eastAsia="sans-serif" w:cs="Times New Roman"/>
          <w:sz w:val="24"/>
          <w:szCs w:val="24"/>
          <w:lang w:val="id-ID"/>
        </w:rPr>
        <w:t>, ROE</w:t>
      </w:r>
      <w:r>
        <w:rPr>
          <w:rFonts w:hint="default" w:ascii="Times New Roman" w:hAnsi="Times New Roman" w:eastAsia="sans-serif" w:cs="Times New Roman"/>
          <w:sz w:val="24"/>
          <w:szCs w:val="24"/>
        </w:rPr>
        <w:t xml:space="preserve"> dapat dihitung dengan</w:t>
      </w:r>
      <w:r>
        <w:rPr>
          <w:rFonts w:hint="default" w:ascii="Times New Roman" w:hAnsi="Times New Roman" w:eastAsia="sans-serif" w:cs="Times New Roman"/>
          <w:sz w:val="24"/>
          <w:szCs w:val="24"/>
          <w:lang w:val="id-ID"/>
        </w:rPr>
        <w:t xml:space="preserve"> </w:t>
      </w:r>
      <w:r>
        <w:rPr>
          <w:rFonts w:hint="default" w:ascii="Times New Roman" w:hAnsi="Times New Roman" w:eastAsia="sans-serif" w:cs="Times New Roman"/>
          <w:sz w:val="24"/>
          <w:szCs w:val="24"/>
        </w:rPr>
        <w:t>menggunakan rumus sebagai berikut</w:t>
      </w:r>
      <w:r>
        <w:rPr>
          <w:rFonts w:hint="default" w:ascii="Times New Roman" w:hAnsi="Times New Roman" w:eastAsia="sans-serif" w:cs="Times New Roman"/>
          <w:sz w:val="24"/>
          <w:szCs w:val="24"/>
          <w:lang w:val="id-ID"/>
        </w:rPr>
        <w:t xml:space="preserve"> </w:t>
      </w:r>
      <w:r>
        <w:rPr>
          <w:rFonts w:hint="default" w:ascii="Times New Roman" w:hAnsi="Times New Roman" w:eastAsia="sans-serif" w:cs="Times New Roman"/>
          <w:sz w:val="24"/>
          <w:szCs w:val="24"/>
        </w:rPr>
        <w:t>:</w:t>
      </w:r>
    </w:p>
    <w:p>
      <w:pPr>
        <w:keepNext w:val="0"/>
        <w:keepLines w:val="0"/>
        <w:pageBreakBefore w:val="0"/>
        <w:widowControl/>
        <w:kinsoku/>
        <w:wordWrap/>
        <w:overflowPunct/>
        <w:topLinePunct w:val="0"/>
        <w:autoSpaceDE/>
        <w:autoSpaceDN/>
        <w:bidi w:val="0"/>
        <w:adjustRightInd/>
        <w:snapToGrid/>
        <w:spacing w:line="23" w:lineRule="atLeast"/>
        <w:ind w:left="1000" w:leftChars="500"/>
        <w:jc w:val="center"/>
        <w:textAlignment w:val="auto"/>
        <w:rPr>
          <w:rFonts w:hint="default" w:ascii="Times New Roman" w:hAnsi="Times New Roman" w:cs="Times New Roman"/>
          <w:sz w:val="24"/>
          <w:szCs w:val="24"/>
          <w:lang w:val="id-ID"/>
        </w:rPr>
      </w:pPr>
      <w:r>
        <w:rPr>
          <w:rFonts w:hint="default" w:ascii="Times New Roman" w:hAnsi="Times New Roman" w:eastAsia="sans-serif" w:cs="Times New Roman"/>
          <w:sz w:val="24"/>
          <w:szCs w:val="24"/>
          <w:lang w:val="id-ID"/>
        </w:rPr>
        <w:t xml:space="preserve">ROE = </w:t>
      </w:r>
      <m:oMath>
        <m:f>
          <m:fPr>
            <m:ctrlPr>
              <w:rPr>
                <w:rFonts w:hint="default" w:ascii="Cambria Math" w:hAnsi="Cambria Math" w:cs="Times New Roman"/>
                <w:iCs/>
                <w:sz w:val="28"/>
                <w:szCs w:val="28"/>
              </w:rPr>
            </m:ctrlPr>
          </m:fPr>
          <m:num>
            <m:r>
              <m:rPr>
                <m:sty m:val="p"/>
              </m:rPr>
              <w:rPr>
                <w:rFonts w:hint="default" w:ascii="Cambria Math" w:hAnsi="Cambria Math" w:cs="Times New Roman"/>
                <w:sz w:val="28"/>
                <w:szCs w:val="28"/>
              </w:rPr>
              <m:t>Laba Bersih</m:t>
            </m:r>
            <m:ctrlPr>
              <w:rPr>
                <w:rFonts w:hint="default" w:ascii="Cambria Math" w:hAnsi="Cambria Math" w:cs="Times New Roman"/>
                <w:iCs/>
                <w:sz w:val="28"/>
                <w:szCs w:val="28"/>
              </w:rPr>
            </m:ctrlPr>
          </m:num>
          <m:den>
            <m:r>
              <m:rPr>
                <m:sty m:val="p"/>
              </m:rPr>
              <w:rPr>
                <w:rFonts w:hint="default" w:ascii="Cambria Math" w:hAnsi="Cambria Math" w:cs="Times New Roman"/>
                <w:sz w:val="28"/>
                <w:szCs w:val="28"/>
              </w:rPr>
              <m:t>Modal</m:t>
            </m:r>
            <m:ctrlPr>
              <w:rPr>
                <w:rFonts w:hint="default" w:ascii="Cambria Math" w:hAnsi="Cambria Math" w:cs="Times New Roman"/>
                <w:iCs/>
                <w:sz w:val="28"/>
                <w:szCs w:val="28"/>
              </w:rPr>
            </m:ctrlPr>
          </m:den>
        </m:f>
      </m:oMath>
    </w:p>
    <w:p>
      <w:pPr>
        <w:keepNext w:val="0"/>
        <w:keepLines w:val="0"/>
        <w:pageBreakBefore w:val="0"/>
        <w:widowControl/>
        <w:numPr>
          <w:ilvl w:val="0"/>
          <w:numId w:val="2"/>
        </w:numPr>
        <w:tabs>
          <w:tab w:val="left" w:pos="800"/>
        </w:tabs>
        <w:kinsoku/>
        <w:wordWrap/>
        <w:overflowPunct/>
        <w:topLinePunct w:val="0"/>
        <w:autoSpaceDE/>
        <w:autoSpaceDN/>
        <w:bidi w:val="0"/>
        <w:adjustRightInd/>
        <w:snapToGrid/>
        <w:spacing w:line="23" w:lineRule="atLeast"/>
        <w:ind w:left="596" w:leftChars="200" w:hanging="196" w:hangingChars="82"/>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Solvabilitas</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eastAsia="sans-serif" w:cs="Times New Roman"/>
          <w:sz w:val="24"/>
          <w:szCs w:val="24"/>
          <w:lang w:val="id-ID"/>
        </w:rPr>
      </w:pPr>
      <w:r>
        <w:rPr>
          <w:rFonts w:hint="default" w:ascii="Times New Roman" w:hAnsi="Times New Roman" w:eastAsia="sans-serif" w:cs="Times New Roman"/>
          <w:sz w:val="24"/>
          <w:szCs w:val="24"/>
          <w:lang w:val="id-ID"/>
        </w:rPr>
        <w:t xml:space="preserve">Dalam penelitian ini, rasio solvabilitas diukur menggunakan </w:t>
      </w:r>
      <w:r>
        <w:rPr>
          <w:rFonts w:hint="default" w:ascii="Times New Roman" w:hAnsi="Times New Roman" w:eastAsia="sans-serif" w:cs="Times New Roman"/>
          <w:i/>
          <w:iCs/>
          <w:sz w:val="24"/>
          <w:szCs w:val="24"/>
          <w:lang w:val="id-ID"/>
        </w:rPr>
        <w:t>Debt Equity</w:t>
      </w:r>
      <w:r>
        <w:rPr>
          <w:rFonts w:hint="default" w:ascii="Times New Roman" w:hAnsi="Times New Roman" w:eastAsia="sans-serif" w:cs="Times New Roman"/>
          <w:sz w:val="24"/>
          <w:szCs w:val="24"/>
          <w:lang w:val="id-ID"/>
        </w:rPr>
        <w:t xml:space="preserve"> </w:t>
      </w:r>
      <w:r>
        <w:rPr>
          <w:rFonts w:hint="default" w:ascii="Times New Roman" w:hAnsi="Times New Roman" w:eastAsia="sans-serif" w:cs="Times New Roman"/>
          <w:i/>
          <w:iCs/>
          <w:sz w:val="24"/>
          <w:szCs w:val="24"/>
          <w:lang w:val="id-ID"/>
        </w:rPr>
        <w:t>Rasio</w:t>
      </w:r>
      <w:r>
        <w:rPr>
          <w:rFonts w:hint="default" w:ascii="Times New Roman" w:hAnsi="Times New Roman" w:eastAsia="sans-serif" w:cs="Times New Roman"/>
          <w:sz w:val="24"/>
          <w:szCs w:val="24"/>
          <w:lang w:val="id-ID"/>
        </w:rPr>
        <w:t xml:space="preserve"> (DER). </w:t>
      </w:r>
      <w:r>
        <w:rPr>
          <w:rFonts w:hint="default" w:ascii="Times New Roman" w:hAnsi="Times New Roman" w:eastAsia="sans-serif" w:cs="Times New Roman"/>
          <w:sz w:val="24"/>
          <w:szCs w:val="24"/>
        </w:rPr>
        <w:t>Rasio ini berfungsi untuk mengetahui setiap</w:t>
      </w:r>
      <w:r>
        <w:rPr>
          <w:rFonts w:hint="default" w:ascii="Times New Roman" w:hAnsi="Times New Roman" w:eastAsia="sans-serif" w:cs="Times New Roman"/>
          <w:sz w:val="24"/>
          <w:szCs w:val="24"/>
          <w:lang w:val="id-ID"/>
        </w:rPr>
        <w:t xml:space="preserve"> </w:t>
      </w:r>
      <w:r>
        <w:rPr>
          <w:rFonts w:hint="default" w:ascii="Times New Roman" w:hAnsi="Times New Roman" w:eastAsia="sans-serif" w:cs="Times New Roman"/>
          <w:sz w:val="24"/>
          <w:szCs w:val="24"/>
        </w:rPr>
        <w:t>rupiah modal sendiri yang dijadikan sebagai jaminan utang</w:t>
      </w:r>
      <w:r>
        <w:rPr>
          <w:rFonts w:hint="default" w:ascii="Times New Roman" w:hAnsi="Times New Roman" w:eastAsia="sans-serif" w:cs="Times New Roman"/>
          <w:sz w:val="24"/>
          <w:szCs w:val="24"/>
          <w:lang w:val="id-ID"/>
        </w:rPr>
        <w:t xml:space="preserve"> </w:t>
      </w:r>
      <w:r>
        <w:rPr>
          <w:rFonts w:hint="default" w:ascii="Times New Roman" w:hAnsi="Times New Roman" w:eastAsia="sans-serif" w:cs="Times New Roman"/>
          <w:sz w:val="24"/>
          <w:szCs w:val="24"/>
        </w:rPr>
        <w:t>(Kasmir, 2019)</w:t>
      </w:r>
      <w:r>
        <w:rPr>
          <w:rFonts w:hint="default" w:ascii="Times New Roman" w:hAnsi="Times New Roman" w:eastAsia="sans-serif" w:cs="Times New Roman"/>
          <w:sz w:val="24"/>
          <w:szCs w:val="24"/>
          <w:lang w:val="id-ID"/>
        </w:rPr>
        <w:t>. DER dapat diukur menggunakan rumus :</w:t>
      </w:r>
    </w:p>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int="default" w:ascii="Times New Roman" w:hAnsi="Times New Roman" w:cs="Times New Roman"/>
          <w:sz w:val="24"/>
          <w:szCs w:val="24"/>
          <w:lang w:val="id-ID"/>
        </w:rPr>
      </w:pPr>
      <w:r>
        <w:rPr>
          <w:rFonts w:hint="default" w:ascii="Times New Roman" w:hAnsi="Times New Roman" w:eastAsia="sans-serif" w:cs="Times New Roman"/>
          <w:sz w:val="24"/>
          <w:szCs w:val="24"/>
          <w:lang w:val="id-ID"/>
        </w:rPr>
        <w:t xml:space="preserve">DER = </w:t>
      </w:r>
      <m:oMath>
        <m:f>
          <m:fPr>
            <m:ctrlPr>
              <w:rPr>
                <w:rFonts w:hint="default" w:ascii="Cambria Math" w:hAnsi="Cambria Math" w:cs="Times New Roman"/>
                <w:iCs/>
                <w:sz w:val="28"/>
                <w:szCs w:val="28"/>
              </w:rPr>
            </m:ctrlPr>
          </m:fPr>
          <m:num>
            <m:r>
              <m:rPr>
                <m:sty m:val="p"/>
              </m:rPr>
              <w:rPr>
                <w:rFonts w:hint="default" w:ascii="Cambria Math" w:hAnsi="Cambria Math" w:cs="Times New Roman"/>
                <w:sz w:val="28"/>
                <w:szCs w:val="28"/>
              </w:rPr>
              <m:t>Total Utang</m:t>
            </m:r>
            <m:ctrlPr>
              <w:rPr>
                <w:rFonts w:hint="default" w:ascii="Cambria Math" w:hAnsi="Cambria Math" w:cs="Times New Roman"/>
                <w:iCs/>
                <w:sz w:val="28"/>
                <w:szCs w:val="28"/>
              </w:rPr>
            </m:ctrlPr>
          </m:num>
          <m:den>
            <m:r>
              <m:rPr>
                <m:sty m:val="p"/>
              </m:rPr>
              <w:rPr>
                <w:rFonts w:hint="default" w:ascii="Cambria Math" w:hAnsi="Cambria Math" w:cs="Times New Roman"/>
                <w:sz w:val="28"/>
                <w:szCs w:val="28"/>
              </w:rPr>
              <m:t>Total Ekuitasl (Equity)</m:t>
            </m:r>
            <m:ctrlPr>
              <w:rPr>
                <w:rFonts w:hint="default" w:ascii="Cambria Math" w:hAnsi="Cambria Math" w:cs="Times New Roman"/>
                <w:iCs/>
                <w:sz w:val="28"/>
                <w:szCs w:val="28"/>
              </w:rPr>
            </m:ctrlPr>
          </m:den>
        </m:f>
      </m:oMath>
    </w:p>
    <w:p>
      <w:pPr>
        <w:keepNext w:val="0"/>
        <w:keepLines w:val="0"/>
        <w:pageBreakBefore w:val="0"/>
        <w:widowControl/>
        <w:numPr>
          <w:ilvl w:val="0"/>
          <w:numId w:val="2"/>
        </w:numPr>
        <w:kinsoku/>
        <w:wordWrap/>
        <w:overflowPunct/>
        <w:topLinePunct w:val="0"/>
        <w:autoSpaceDE/>
        <w:autoSpaceDN/>
        <w:bidi w:val="0"/>
        <w:adjustRightInd/>
        <w:snapToGrid/>
        <w:spacing w:line="23" w:lineRule="atLeast"/>
        <w:ind w:left="793" w:leftChars="200" w:hanging="393" w:hangingChars="164"/>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Likuiditas</w:t>
      </w:r>
    </w:p>
    <w:p>
      <w:pPr>
        <w:keepNext w:val="0"/>
        <w:keepLines w:val="0"/>
        <w:pageBreakBefore w:val="0"/>
        <w:widowControl/>
        <w:kinsoku/>
        <w:wordWrap/>
        <w:overflowPunct/>
        <w:topLinePunct w:val="0"/>
        <w:autoSpaceDE/>
        <w:autoSpaceDN/>
        <w:bidi w:val="0"/>
        <w:adjustRightInd/>
        <w:snapToGrid/>
        <w:spacing w:line="23" w:lineRule="atLeast"/>
        <w:ind w:firstLine="720"/>
        <w:jc w:val="both"/>
        <w:textAlignment w:val="auto"/>
        <w:rPr>
          <w:rFonts w:hint="default" w:ascii="Times New Roman" w:hAnsi="Times New Roman" w:eastAsia="sans-serif" w:cs="Times New Roman"/>
          <w:sz w:val="24"/>
          <w:szCs w:val="24"/>
          <w:lang w:val="id-ID"/>
        </w:rPr>
      </w:pPr>
      <w:r>
        <w:rPr>
          <w:rFonts w:hint="default" w:ascii="Times New Roman" w:hAnsi="Times New Roman" w:eastAsia="sans-serif" w:cs="Times New Roman"/>
          <w:sz w:val="24"/>
          <w:szCs w:val="24"/>
        </w:rPr>
        <w:t xml:space="preserve">Dalam penelitian ini, rasio likuiditas dihitung dengan menggunakan </w:t>
      </w:r>
      <w:r>
        <w:rPr>
          <w:rFonts w:hint="default" w:ascii="Times New Roman" w:hAnsi="Times New Roman" w:eastAsia="sans-serif" w:cs="Times New Roman"/>
          <w:i/>
          <w:iCs/>
          <w:sz w:val="24"/>
          <w:szCs w:val="24"/>
        </w:rPr>
        <w:t>Current Ratio</w:t>
      </w:r>
      <w:r>
        <w:rPr>
          <w:rFonts w:hint="default" w:ascii="Times New Roman" w:hAnsi="Times New Roman" w:eastAsia="sans-serif" w:cs="Times New Roman"/>
          <w:sz w:val="24"/>
          <w:szCs w:val="24"/>
        </w:rPr>
        <w:t xml:space="preserve">. </w:t>
      </w:r>
      <w:r>
        <w:rPr>
          <w:rFonts w:hint="default" w:ascii="Times New Roman" w:hAnsi="Times New Roman" w:eastAsia="sans-serif" w:cs="Times New Roman"/>
          <w:i/>
          <w:iCs/>
          <w:sz w:val="24"/>
          <w:szCs w:val="24"/>
          <w:lang w:val="id-ID"/>
        </w:rPr>
        <w:t xml:space="preserve">Current Ratio </w:t>
      </w:r>
      <w:r>
        <w:rPr>
          <w:rFonts w:hint="default" w:ascii="Times New Roman" w:hAnsi="Times New Roman" w:eastAsia="sans-serif" w:cs="Times New Roman"/>
          <w:sz w:val="24"/>
          <w:szCs w:val="24"/>
          <w:lang w:val="id-ID"/>
        </w:rPr>
        <w:t>dirumus sebagai berikut.</w:t>
      </w:r>
    </w:p>
    <w:p>
      <w:pPr>
        <w:keepNext w:val="0"/>
        <w:keepLines w:val="0"/>
        <w:pageBreakBefore w:val="0"/>
        <w:widowControl/>
        <w:kinsoku/>
        <w:wordWrap/>
        <w:overflowPunct/>
        <w:topLinePunct w:val="0"/>
        <w:autoSpaceDE/>
        <w:autoSpaceDN/>
        <w:bidi w:val="0"/>
        <w:adjustRightInd/>
        <w:snapToGrid/>
        <w:spacing w:line="23" w:lineRule="atLeast"/>
        <w:jc w:val="center"/>
        <w:textAlignment w:val="auto"/>
        <w:rPr>
          <w:rFonts w:hAnsi="Cambria Math"/>
          <w:i w:val="0"/>
          <w:iCs/>
          <w:sz w:val="28"/>
          <w:szCs w:val="28"/>
        </w:rPr>
      </w:pPr>
      <w:r>
        <w:rPr>
          <w:rFonts w:hint="default" w:ascii="Times New Roman" w:hAnsi="Times New Roman" w:eastAsia="sans-serif" w:cs="Times New Roman"/>
          <w:sz w:val="24"/>
          <w:szCs w:val="24"/>
          <w:lang w:val="id-ID"/>
        </w:rPr>
        <w:t xml:space="preserve">Current Ratio = </w:t>
      </w:r>
      <m:oMath>
        <m:f>
          <m:fPr>
            <m:ctrlPr>
              <w:rPr>
                <w:rFonts w:hint="default" w:ascii="Cambria Math" w:hAnsi="Cambria Math" w:cs="Times New Roman"/>
                <w:iCs/>
                <w:sz w:val="28"/>
                <w:szCs w:val="28"/>
              </w:rPr>
            </m:ctrlPr>
          </m:fPr>
          <m:num>
            <m:r>
              <m:rPr>
                <m:sty m:val="p"/>
              </m:rPr>
              <w:rPr>
                <w:rFonts w:hint="default" w:ascii="Cambria Math" w:hAnsi="Cambria Math" w:cs="Times New Roman"/>
                <w:sz w:val="28"/>
                <w:szCs w:val="28"/>
              </w:rPr>
              <m:t>Total Aktiva Lancar</m:t>
            </m:r>
            <m:ctrlPr>
              <w:rPr>
                <w:rFonts w:hint="default" w:ascii="Cambria Math" w:hAnsi="Cambria Math" w:cs="Times New Roman"/>
                <w:iCs/>
                <w:sz w:val="28"/>
                <w:szCs w:val="28"/>
              </w:rPr>
            </m:ctrlPr>
          </m:num>
          <m:den>
            <m:r>
              <m:rPr>
                <m:sty m:val="p"/>
              </m:rPr>
              <w:rPr>
                <w:rFonts w:hint="default" w:ascii="Cambria Math" w:hAnsi="Cambria Math" w:cs="Times New Roman"/>
                <w:sz w:val="28"/>
                <w:szCs w:val="28"/>
              </w:rPr>
              <m:t>Total Kewajiban Lancar</m:t>
            </m:r>
            <m:ctrlPr>
              <w:rPr>
                <w:rFonts w:hint="default" w:ascii="Cambria Math" w:hAnsi="Cambria Math" w:cs="Times New Roman"/>
                <w:iCs/>
                <w:sz w:val="28"/>
                <w:szCs w:val="28"/>
              </w:rPr>
            </m:ctrlPr>
          </m:den>
        </m:f>
      </m:oMath>
    </w:p>
    <w:p>
      <w:pPr>
        <w:jc w:val="both"/>
        <w:rPr>
          <w:rFonts w:hAnsi="Cambria Math"/>
          <w:b/>
          <w:bCs/>
          <w:sz w:val="24"/>
          <w:szCs w:val="24"/>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Ansi="Cambria Math"/>
          <w:b/>
          <w:bCs/>
          <w:sz w:val="24"/>
          <w:szCs w:val="24"/>
        </w:rPr>
      </w:pPr>
      <w:r>
        <w:rPr>
          <w:rFonts w:hAnsi="Cambria Math"/>
          <w:b/>
          <w:bCs/>
          <w:sz w:val="24"/>
          <w:szCs w:val="24"/>
        </w:rPr>
        <w:t>HASIL DAN PEMBAHASAN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b/>
          <w:bCs/>
          <w:sz w:val="24"/>
          <w:szCs w:val="24"/>
          <w:lang w:val="id-ID"/>
        </w:rPr>
      </w:pPr>
      <w:bookmarkStart w:id="0" w:name="_Toc111397911"/>
      <w:bookmarkStart w:id="1" w:name="_Toc10501"/>
      <w:bookmarkStart w:id="2" w:name="_Toc30194"/>
      <w:bookmarkStart w:id="3" w:name="_Toc20497"/>
      <w:bookmarkStart w:id="4" w:name="_Toc12439"/>
      <w:bookmarkStart w:id="5" w:name="_Toc8074"/>
      <w:r>
        <w:rPr>
          <w:b/>
          <w:bCs/>
          <w:sz w:val="24"/>
          <w:szCs w:val="24"/>
          <w:lang w:val="id-ID"/>
        </w:rPr>
        <w:t>Analisis Statistik Deskriptif</w:t>
      </w:r>
      <w:bookmarkEnd w:id="0"/>
      <w:bookmarkEnd w:id="1"/>
      <w:bookmarkEnd w:id="2"/>
      <w:bookmarkEnd w:id="3"/>
      <w:bookmarkEnd w:id="4"/>
      <w:bookmarkEnd w:id="5"/>
    </w:p>
    <w:p>
      <w:pPr>
        <w:keepNext w:val="0"/>
        <w:keepLines w:val="0"/>
        <w:pageBreakBefore w:val="0"/>
        <w:widowControl/>
        <w:kinsoku/>
        <w:wordWrap/>
        <w:overflowPunct/>
        <w:topLinePunct w:val="0"/>
        <w:autoSpaceDE/>
        <w:autoSpaceDN/>
        <w:bidi w:val="0"/>
        <w:adjustRightInd/>
        <w:snapToGrid/>
        <w:spacing w:line="276" w:lineRule="auto"/>
        <w:jc w:val="both"/>
        <w:textAlignment w:val="auto"/>
        <w:outlineLvl w:val="4"/>
        <w:rPr>
          <w:rFonts w:hint="default"/>
          <w:sz w:val="24"/>
          <w:szCs w:val="24"/>
          <w:lang w:val="id-ID"/>
        </w:rPr>
      </w:pPr>
      <w:r>
        <w:rPr>
          <w:sz w:val="24"/>
          <w:szCs w:val="24"/>
          <w:lang w:val="id-ID"/>
        </w:rPr>
        <w:t xml:space="preserve">Analisis deskriptif digunakan untuk memberikan gambaran tentang variabel independen dalam penelitian ini. Ukuran yang digunakan dalam analisis ini adalah </w:t>
      </w:r>
      <w:r>
        <w:rPr>
          <w:sz w:val="24"/>
          <w:szCs w:val="24"/>
        </w:rPr>
        <w:t>rerata</w:t>
      </w:r>
      <w:r>
        <w:rPr>
          <w:sz w:val="24"/>
          <w:szCs w:val="24"/>
          <w:lang w:val="id-ID"/>
        </w:rPr>
        <w:t xml:space="preserve"> (mean), standar devia</w:t>
      </w:r>
      <w:r>
        <w:rPr>
          <w:sz w:val="24"/>
          <w:szCs w:val="24"/>
        </w:rPr>
        <w:t>si</w:t>
      </w:r>
      <w:r>
        <w:rPr>
          <w:sz w:val="24"/>
          <w:szCs w:val="24"/>
          <w:lang w:val="id-ID"/>
        </w:rPr>
        <w:t xml:space="preserve">, </w:t>
      </w:r>
      <w:r>
        <w:rPr>
          <w:sz w:val="24"/>
          <w:szCs w:val="24"/>
        </w:rPr>
        <w:t xml:space="preserve">nilai </w:t>
      </w:r>
      <w:r>
        <w:rPr>
          <w:sz w:val="24"/>
          <w:szCs w:val="24"/>
          <w:lang w:val="id-ID"/>
        </w:rPr>
        <w:t>ma</w:t>
      </w:r>
      <w:r>
        <w:rPr>
          <w:sz w:val="24"/>
          <w:szCs w:val="24"/>
        </w:rPr>
        <w:t>ks</w:t>
      </w:r>
      <w:r>
        <w:rPr>
          <w:sz w:val="24"/>
          <w:szCs w:val="24"/>
          <w:lang w:val="id-ID"/>
        </w:rPr>
        <w:t>imu</w:t>
      </w:r>
      <w:r>
        <w:rPr>
          <w:sz w:val="24"/>
          <w:szCs w:val="24"/>
        </w:rPr>
        <w:t>m</w:t>
      </w:r>
      <w:r>
        <w:rPr>
          <w:sz w:val="24"/>
          <w:szCs w:val="24"/>
          <w:lang w:val="id-ID"/>
        </w:rPr>
        <w:t xml:space="preserve">, dan </w:t>
      </w:r>
      <w:r>
        <w:rPr>
          <w:sz w:val="24"/>
          <w:szCs w:val="24"/>
        </w:rPr>
        <w:t xml:space="preserve">nilai </w:t>
      </w:r>
      <w:r>
        <w:rPr>
          <w:sz w:val="24"/>
          <w:szCs w:val="24"/>
          <w:lang w:val="id-ID"/>
        </w:rPr>
        <w:t>minimu. Berikut ini adalah hasil pengujian analisis deskriptif untuk setiap variabel yang digunakan dalam penelitian ini berdasarkan hasil pengolahan data menggunakan SPSS versi 25</w:t>
      </w:r>
      <w:r>
        <w:rPr>
          <w:rFonts w:hint="default"/>
          <w:sz w:val="24"/>
          <w:szCs w:val="24"/>
          <w:lang w:val="id-ID"/>
        </w:rPr>
        <w:t xml:space="preserve">. </w:t>
      </w:r>
      <w:bookmarkStart w:id="6" w:name="_Toc2358"/>
    </w:p>
    <w:p>
      <w:pPr>
        <w:jc w:val="center"/>
        <w:outlineLvl w:val="4"/>
        <w:rPr>
          <w:b/>
          <w:bCs/>
          <w:sz w:val="24"/>
          <w:szCs w:val="24"/>
          <w:lang w:val="id-ID"/>
        </w:rPr>
      </w:pPr>
      <w:r>
        <w:rPr>
          <w:b/>
          <w:bCs/>
          <w:sz w:val="24"/>
          <w:szCs w:val="24"/>
          <w:lang w:val="id-ID"/>
        </w:rPr>
        <w:t>Tabel 4.3</w:t>
      </w:r>
      <w:bookmarkEnd w:id="6"/>
      <w:bookmarkStart w:id="7" w:name="_Toc27822"/>
    </w:p>
    <w:tbl>
      <w:tblPr>
        <w:tblStyle w:val="3"/>
        <w:tblpPr w:leftFromText="180" w:rightFromText="180" w:vertAnchor="page" w:horzAnchor="page" w:tblpX="1474" w:tblpY="8403"/>
        <w:tblW w:w="4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5"/>
        <w:gridCol w:w="450"/>
        <w:gridCol w:w="630"/>
        <w:gridCol w:w="72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95" w:type="dxa"/>
            <w:vAlign w:val="bottom"/>
          </w:tcPr>
          <w:p>
            <w:pPr>
              <w:rPr>
                <w:sz w:val="24"/>
                <w:szCs w:val="24"/>
              </w:rPr>
            </w:pPr>
          </w:p>
        </w:tc>
        <w:tc>
          <w:tcPr>
            <w:tcW w:w="450" w:type="dxa"/>
            <w:vAlign w:val="bottom"/>
          </w:tcPr>
          <w:p>
            <w:pPr>
              <w:ind w:left="60" w:right="60"/>
              <w:jc w:val="center"/>
              <w:rPr>
                <w:sz w:val="24"/>
                <w:szCs w:val="24"/>
              </w:rPr>
            </w:pPr>
            <w:r>
              <w:rPr>
                <w:sz w:val="24"/>
                <w:szCs w:val="24"/>
              </w:rPr>
              <w:t>N</w:t>
            </w:r>
          </w:p>
        </w:tc>
        <w:tc>
          <w:tcPr>
            <w:tcW w:w="630" w:type="dxa"/>
            <w:vAlign w:val="bottom"/>
          </w:tcPr>
          <w:p>
            <w:pPr>
              <w:ind w:left="60" w:right="60"/>
              <w:jc w:val="center"/>
              <w:rPr>
                <w:sz w:val="24"/>
                <w:szCs w:val="24"/>
              </w:rPr>
            </w:pPr>
            <w:r>
              <w:rPr>
                <w:sz w:val="24"/>
                <w:szCs w:val="24"/>
              </w:rPr>
              <w:t>Min.</w:t>
            </w:r>
          </w:p>
        </w:tc>
        <w:tc>
          <w:tcPr>
            <w:tcW w:w="720" w:type="dxa"/>
            <w:vAlign w:val="bottom"/>
          </w:tcPr>
          <w:p>
            <w:pPr>
              <w:ind w:left="60" w:right="60"/>
              <w:jc w:val="center"/>
              <w:rPr>
                <w:sz w:val="24"/>
                <w:szCs w:val="24"/>
              </w:rPr>
            </w:pPr>
            <w:r>
              <w:rPr>
                <w:sz w:val="24"/>
                <w:szCs w:val="24"/>
              </w:rPr>
              <w:t>Max.</w:t>
            </w:r>
          </w:p>
        </w:tc>
        <w:tc>
          <w:tcPr>
            <w:tcW w:w="810" w:type="dxa"/>
            <w:vAlign w:val="bottom"/>
          </w:tcPr>
          <w:p>
            <w:pPr>
              <w:ind w:left="60" w:right="60"/>
              <w:jc w:val="center"/>
              <w:rPr>
                <w:sz w:val="24"/>
                <w:szCs w:val="24"/>
              </w:rPr>
            </w:pPr>
            <w:r>
              <w:rPr>
                <w:sz w:val="24"/>
                <w:szCs w:val="24"/>
              </w:rPr>
              <w:t>Mean</w:t>
            </w:r>
          </w:p>
        </w:tc>
        <w:tc>
          <w:tcPr>
            <w:tcW w:w="1080" w:type="dxa"/>
            <w:vAlign w:val="bottom"/>
          </w:tcPr>
          <w:p>
            <w:pPr>
              <w:ind w:left="60" w:right="60"/>
              <w:jc w:val="center"/>
              <w:rPr>
                <w:sz w:val="24"/>
                <w:szCs w:val="24"/>
              </w:rPr>
            </w:pPr>
            <w:r>
              <w:rPr>
                <w:sz w:val="24"/>
                <w:szCs w:val="24"/>
              </w:rPr>
              <w:t>Std.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95" w:type="dxa"/>
          </w:tcPr>
          <w:p>
            <w:pPr>
              <w:ind w:left="60" w:right="60"/>
              <w:rPr>
                <w:sz w:val="24"/>
                <w:szCs w:val="24"/>
              </w:rPr>
            </w:pPr>
            <w:r>
              <w:rPr>
                <w:sz w:val="24"/>
                <w:szCs w:val="24"/>
              </w:rPr>
              <w:t>ROE</w:t>
            </w:r>
          </w:p>
        </w:tc>
        <w:tc>
          <w:tcPr>
            <w:tcW w:w="450" w:type="dxa"/>
          </w:tcPr>
          <w:p>
            <w:pPr>
              <w:ind w:left="60" w:right="60"/>
              <w:jc w:val="right"/>
              <w:rPr>
                <w:sz w:val="24"/>
                <w:szCs w:val="24"/>
              </w:rPr>
            </w:pPr>
            <w:r>
              <w:rPr>
                <w:sz w:val="24"/>
                <w:szCs w:val="24"/>
              </w:rPr>
              <w:t>33</w:t>
            </w:r>
          </w:p>
        </w:tc>
        <w:tc>
          <w:tcPr>
            <w:tcW w:w="630" w:type="dxa"/>
          </w:tcPr>
          <w:p>
            <w:pPr>
              <w:ind w:left="60" w:right="60"/>
              <w:jc w:val="right"/>
              <w:rPr>
                <w:sz w:val="24"/>
                <w:szCs w:val="24"/>
              </w:rPr>
            </w:pPr>
            <w:r>
              <w:rPr>
                <w:sz w:val="24"/>
                <w:szCs w:val="24"/>
              </w:rPr>
              <w:t>-,07</w:t>
            </w:r>
          </w:p>
        </w:tc>
        <w:tc>
          <w:tcPr>
            <w:tcW w:w="720" w:type="dxa"/>
          </w:tcPr>
          <w:p>
            <w:pPr>
              <w:ind w:left="60" w:right="60"/>
              <w:jc w:val="right"/>
              <w:rPr>
                <w:sz w:val="24"/>
                <w:szCs w:val="24"/>
              </w:rPr>
            </w:pPr>
            <w:r>
              <w:rPr>
                <w:sz w:val="24"/>
                <w:szCs w:val="24"/>
              </w:rPr>
              <w:t>,36</w:t>
            </w:r>
          </w:p>
        </w:tc>
        <w:tc>
          <w:tcPr>
            <w:tcW w:w="810" w:type="dxa"/>
          </w:tcPr>
          <w:p>
            <w:pPr>
              <w:ind w:left="60" w:right="60"/>
              <w:jc w:val="right"/>
              <w:rPr>
                <w:sz w:val="24"/>
                <w:szCs w:val="24"/>
              </w:rPr>
            </w:pPr>
            <w:r>
              <w:rPr>
                <w:sz w:val="24"/>
                <w:szCs w:val="24"/>
              </w:rPr>
              <w:t>,1111</w:t>
            </w:r>
          </w:p>
        </w:tc>
        <w:tc>
          <w:tcPr>
            <w:tcW w:w="1080" w:type="dxa"/>
          </w:tcPr>
          <w:p>
            <w:pPr>
              <w:ind w:left="60" w:right="60"/>
              <w:jc w:val="right"/>
              <w:rPr>
                <w:sz w:val="24"/>
                <w:szCs w:val="24"/>
              </w:rPr>
            </w:pPr>
            <w:r>
              <w:rPr>
                <w:sz w:val="24"/>
                <w:szCs w:val="24"/>
              </w:rPr>
              <w:t>,09377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95" w:type="dxa"/>
          </w:tcPr>
          <w:p>
            <w:pPr>
              <w:ind w:left="60" w:right="60"/>
              <w:rPr>
                <w:sz w:val="24"/>
                <w:szCs w:val="24"/>
              </w:rPr>
            </w:pPr>
            <w:r>
              <w:rPr>
                <w:sz w:val="24"/>
                <w:szCs w:val="24"/>
              </w:rPr>
              <w:t>DER</w:t>
            </w:r>
          </w:p>
        </w:tc>
        <w:tc>
          <w:tcPr>
            <w:tcW w:w="450" w:type="dxa"/>
          </w:tcPr>
          <w:p>
            <w:pPr>
              <w:ind w:left="60" w:right="60"/>
              <w:jc w:val="right"/>
              <w:rPr>
                <w:sz w:val="24"/>
                <w:szCs w:val="24"/>
              </w:rPr>
            </w:pPr>
            <w:r>
              <w:rPr>
                <w:sz w:val="24"/>
                <w:szCs w:val="24"/>
              </w:rPr>
              <w:t>33</w:t>
            </w:r>
          </w:p>
        </w:tc>
        <w:tc>
          <w:tcPr>
            <w:tcW w:w="630" w:type="dxa"/>
          </w:tcPr>
          <w:p>
            <w:pPr>
              <w:ind w:left="60" w:right="60"/>
              <w:jc w:val="right"/>
              <w:rPr>
                <w:sz w:val="24"/>
                <w:szCs w:val="24"/>
              </w:rPr>
            </w:pPr>
            <w:r>
              <w:rPr>
                <w:sz w:val="24"/>
                <w:szCs w:val="24"/>
              </w:rPr>
              <w:t>,15</w:t>
            </w:r>
          </w:p>
        </w:tc>
        <w:tc>
          <w:tcPr>
            <w:tcW w:w="720" w:type="dxa"/>
          </w:tcPr>
          <w:p>
            <w:pPr>
              <w:ind w:left="60" w:right="60"/>
              <w:jc w:val="right"/>
              <w:rPr>
                <w:sz w:val="24"/>
                <w:szCs w:val="24"/>
              </w:rPr>
            </w:pPr>
            <w:r>
              <w:rPr>
                <w:sz w:val="24"/>
                <w:szCs w:val="24"/>
              </w:rPr>
              <w:t>4,23</w:t>
            </w:r>
          </w:p>
        </w:tc>
        <w:tc>
          <w:tcPr>
            <w:tcW w:w="810" w:type="dxa"/>
          </w:tcPr>
          <w:p>
            <w:pPr>
              <w:ind w:left="60" w:right="60"/>
              <w:jc w:val="right"/>
              <w:rPr>
                <w:sz w:val="24"/>
                <w:szCs w:val="24"/>
              </w:rPr>
            </w:pPr>
            <w:r>
              <w:rPr>
                <w:sz w:val="24"/>
                <w:szCs w:val="24"/>
              </w:rPr>
              <w:t>1,2667</w:t>
            </w:r>
          </w:p>
        </w:tc>
        <w:tc>
          <w:tcPr>
            <w:tcW w:w="1080" w:type="dxa"/>
          </w:tcPr>
          <w:p>
            <w:pPr>
              <w:ind w:left="60" w:right="60"/>
              <w:jc w:val="right"/>
              <w:rPr>
                <w:sz w:val="24"/>
                <w:szCs w:val="24"/>
              </w:rPr>
            </w:pPr>
            <w:r>
              <w:rPr>
                <w:sz w:val="24"/>
                <w:szCs w:val="24"/>
              </w:rPr>
              <w:t>1,28198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95" w:type="dxa"/>
          </w:tcPr>
          <w:p>
            <w:pPr>
              <w:ind w:left="60" w:right="60"/>
              <w:rPr>
                <w:sz w:val="24"/>
                <w:szCs w:val="24"/>
              </w:rPr>
            </w:pPr>
            <w:r>
              <w:rPr>
                <w:sz w:val="24"/>
                <w:szCs w:val="24"/>
              </w:rPr>
              <w:t>CR</w:t>
            </w:r>
          </w:p>
        </w:tc>
        <w:tc>
          <w:tcPr>
            <w:tcW w:w="450" w:type="dxa"/>
          </w:tcPr>
          <w:p>
            <w:pPr>
              <w:ind w:left="60" w:right="60"/>
              <w:jc w:val="right"/>
              <w:rPr>
                <w:sz w:val="24"/>
                <w:szCs w:val="24"/>
              </w:rPr>
            </w:pPr>
            <w:r>
              <w:rPr>
                <w:sz w:val="24"/>
                <w:szCs w:val="24"/>
              </w:rPr>
              <w:t>33</w:t>
            </w:r>
          </w:p>
        </w:tc>
        <w:tc>
          <w:tcPr>
            <w:tcW w:w="630" w:type="dxa"/>
          </w:tcPr>
          <w:p>
            <w:pPr>
              <w:ind w:left="60" w:right="60"/>
              <w:jc w:val="right"/>
              <w:rPr>
                <w:sz w:val="24"/>
                <w:szCs w:val="24"/>
              </w:rPr>
            </w:pPr>
            <w:r>
              <w:rPr>
                <w:sz w:val="24"/>
                <w:szCs w:val="24"/>
              </w:rPr>
              <w:t>,90</w:t>
            </w:r>
          </w:p>
        </w:tc>
        <w:tc>
          <w:tcPr>
            <w:tcW w:w="720" w:type="dxa"/>
          </w:tcPr>
          <w:p>
            <w:pPr>
              <w:ind w:left="60" w:right="60"/>
              <w:jc w:val="right"/>
              <w:rPr>
                <w:sz w:val="24"/>
                <w:szCs w:val="24"/>
              </w:rPr>
            </w:pPr>
            <w:r>
              <w:rPr>
                <w:sz w:val="24"/>
                <w:szCs w:val="24"/>
              </w:rPr>
              <w:t>5,94</w:t>
            </w:r>
          </w:p>
        </w:tc>
        <w:tc>
          <w:tcPr>
            <w:tcW w:w="810" w:type="dxa"/>
          </w:tcPr>
          <w:p>
            <w:pPr>
              <w:ind w:left="60" w:right="60"/>
              <w:jc w:val="right"/>
              <w:rPr>
                <w:sz w:val="24"/>
                <w:szCs w:val="24"/>
              </w:rPr>
            </w:pPr>
            <w:r>
              <w:rPr>
                <w:sz w:val="24"/>
                <w:szCs w:val="24"/>
              </w:rPr>
              <w:t>2,5103</w:t>
            </w:r>
          </w:p>
        </w:tc>
        <w:tc>
          <w:tcPr>
            <w:tcW w:w="1080" w:type="dxa"/>
          </w:tcPr>
          <w:p>
            <w:pPr>
              <w:ind w:left="60" w:right="60"/>
              <w:jc w:val="right"/>
              <w:rPr>
                <w:sz w:val="24"/>
                <w:szCs w:val="24"/>
              </w:rPr>
            </w:pPr>
            <w:r>
              <w:rPr>
                <w:sz w:val="24"/>
                <w:szCs w:val="24"/>
              </w:rPr>
              <w:t>1,32880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95" w:type="dxa"/>
          </w:tcPr>
          <w:p>
            <w:pPr>
              <w:ind w:left="60" w:right="60"/>
              <w:rPr>
                <w:sz w:val="24"/>
                <w:szCs w:val="24"/>
              </w:rPr>
            </w:pPr>
            <w:r>
              <w:rPr>
                <w:sz w:val="24"/>
                <w:szCs w:val="24"/>
              </w:rPr>
              <w:t>PBV</w:t>
            </w:r>
          </w:p>
        </w:tc>
        <w:tc>
          <w:tcPr>
            <w:tcW w:w="450" w:type="dxa"/>
          </w:tcPr>
          <w:p>
            <w:pPr>
              <w:ind w:left="60" w:right="60"/>
              <w:jc w:val="right"/>
              <w:rPr>
                <w:sz w:val="24"/>
                <w:szCs w:val="24"/>
              </w:rPr>
            </w:pPr>
            <w:r>
              <w:rPr>
                <w:sz w:val="24"/>
                <w:szCs w:val="24"/>
              </w:rPr>
              <w:t>33</w:t>
            </w:r>
          </w:p>
        </w:tc>
        <w:tc>
          <w:tcPr>
            <w:tcW w:w="630" w:type="dxa"/>
          </w:tcPr>
          <w:p>
            <w:pPr>
              <w:ind w:left="60" w:right="60"/>
              <w:jc w:val="right"/>
              <w:rPr>
                <w:sz w:val="24"/>
                <w:szCs w:val="24"/>
              </w:rPr>
            </w:pPr>
            <w:r>
              <w:rPr>
                <w:sz w:val="24"/>
                <w:szCs w:val="24"/>
              </w:rPr>
              <w:t>,11</w:t>
            </w:r>
          </w:p>
        </w:tc>
        <w:tc>
          <w:tcPr>
            <w:tcW w:w="720" w:type="dxa"/>
          </w:tcPr>
          <w:p>
            <w:pPr>
              <w:ind w:left="60" w:right="60"/>
              <w:jc w:val="right"/>
              <w:rPr>
                <w:sz w:val="24"/>
                <w:szCs w:val="24"/>
              </w:rPr>
            </w:pPr>
            <w:r>
              <w:rPr>
                <w:sz w:val="24"/>
                <w:szCs w:val="24"/>
              </w:rPr>
              <w:t>17,36</w:t>
            </w:r>
          </w:p>
        </w:tc>
        <w:tc>
          <w:tcPr>
            <w:tcW w:w="810" w:type="dxa"/>
          </w:tcPr>
          <w:p>
            <w:pPr>
              <w:ind w:left="60" w:right="60"/>
              <w:jc w:val="right"/>
              <w:rPr>
                <w:sz w:val="24"/>
                <w:szCs w:val="24"/>
              </w:rPr>
            </w:pPr>
            <w:r>
              <w:rPr>
                <w:sz w:val="24"/>
                <w:szCs w:val="24"/>
              </w:rPr>
              <w:t>3,0055</w:t>
            </w:r>
          </w:p>
        </w:tc>
        <w:tc>
          <w:tcPr>
            <w:tcW w:w="1080" w:type="dxa"/>
          </w:tcPr>
          <w:p>
            <w:pPr>
              <w:ind w:left="60" w:right="60"/>
              <w:jc w:val="right"/>
              <w:rPr>
                <w:sz w:val="24"/>
                <w:szCs w:val="24"/>
              </w:rPr>
            </w:pPr>
            <w:r>
              <w:rPr>
                <w:sz w:val="24"/>
                <w:szCs w:val="24"/>
              </w:rPr>
              <w:t>3,65014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95" w:type="dxa"/>
          </w:tcPr>
          <w:p>
            <w:pPr>
              <w:ind w:left="60" w:right="60"/>
              <w:rPr>
                <w:sz w:val="24"/>
                <w:szCs w:val="24"/>
              </w:rPr>
            </w:pPr>
            <w:r>
              <w:rPr>
                <w:sz w:val="24"/>
                <w:szCs w:val="24"/>
              </w:rPr>
              <w:t>Valid N (listwise)</w:t>
            </w:r>
          </w:p>
        </w:tc>
        <w:tc>
          <w:tcPr>
            <w:tcW w:w="450" w:type="dxa"/>
          </w:tcPr>
          <w:p>
            <w:pPr>
              <w:ind w:left="60" w:right="60"/>
              <w:jc w:val="right"/>
              <w:rPr>
                <w:sz w:val="24"/>
                <w:szCs w:val="24"/>
              </w:rPr>
            </w:pPr>
            <w:r>
              <w:rPr>
                <w:sz w:val="24"/>
                <w:szCs w:val="24"/>
              </w:rPr>
              <w:t>33</w:t>
            </w:r>
          </w:p>
        </w:tc>
        <w:tc>
          <w:tcPr>
            <w:tcW w:w="630" w:type="dxa"/>
            <w:vAlign w:val="center"/>
          </w:tcPr>
          <w:p>
            <w:pPr>
              <w:rPr>
                <w:sz w:val="24"/>
                <w:szCs w:val="24"/>
              </w:rPr>
            </w:pPr>
          </w:p>
        </w:tc>
        <w:tc>
          <w:tcPr>
            <w:tcW w:w="720" w:type="dxa"/>
            <w:vAlign w:val="center"/>
          </w:tcPr>
          <w:p>
            <w:pPr>
              <w:rPr>
                <w:sz w:val="24"/>
                <w:szCs w:val="24"/>
              </w:rPr>
            </w:pPr>
          </w:p>
        </w:tc>
        <w:tc>
          <w:tcPr>
            <w:tcW w:w="810" w:type="dxa"/>
            <w:vAlign w:val="center"/>
          </w:tcPr>
          <w:p>
            <w:pPr>
              <w:rPr>
                <w:sz w:val="24"/>
                <w:szCs w:val="24"/>
              </w:rPr>
            </w:pPr>
          </w:p>
        </w:tc>
        <w:tc>
          <w:tcPr>
            <w:tcW w:w="1080" w:type="dxa"/>
            <w:vAlign w:val="center"/>
          </w:tcPr>
          <w:p>
            <w:pPr>
              <w:rPr>
                <w:sz w:val="24"/>
                <w:szCs w:val="24"/>
              </w:rPr>
            </w:pPr>
          </w:p>
        </w:tc>
      </w:tr>
    </w:tbl>
    <w:p>
      <w:pPr>
        <w:jc w:val="center"/>
        <w:outlineLvl w:val="4"/>
        <w:rPr>
          <w:i/>
          <w:iCs/>
          <w:sz w:val="24"/>
          <w:szCs w:val="24"/>
          <w:lang w:val="id-ID"/>
        </w:rPr>
      </w:pPr>
      <w:r>
        <w:rPr>
          <w:b/>
          <w:bCs/>
          <w:color w:val="010205"/>
          <w:sz w:val="24"/>
          <w:szCs w:val="24"/>
        </w:rPr>
        <w:t>Descriptive Statistics</w:t>
      </w:r>
      <w:bookmarkEnd w:id="7"/>
    </w:p>
    <w:p>
      <w:pPr>
        <w:rPr>
          <w:i/>
          <w:iCs/>
          <w:sz w:val="20"/>
          <w:szCs w:val="20"/>
          <w:lang w:val="id-ID"/>
        </w:rPr>
      </w:pPr>
      <w:r>
        <w:rPr>
          <w:i/>
          <w:iCs/>
          <w:sz w:val="20"/>
          <w:szCs w:val="20"/>
          <w:lang w:val="id-ID"/>
        </w:rPr>
        <w:t>(Sumber : Data diolah sendiri)</w:t>
      </w:r>
    </w:p>
    <w:p>
      <w:pPr>
        <w:rPr>
          <w:rFonts w:eastAsia="Times New Roman"/>
          <w:sz w:val="24"/>
          <w:szCs w:val="24"/>
        </w:rPr>
      </w:pPr>
    </w:p>
    <w:p>
      <w:pPr>
        <w:keepNext w:val="0"/>
        <w:keepLines w:val="0"/>
        <w:pageBreakBefore w:val="0"/>
        <w:widowControl/>
        <w:tabs>
          <w:tab w:val="left" w:pos="0"/>
        </w:tabs>
        <w:kinsoku/>
        <w:wordWrap/>
        <w:overflowPunct/>
        <w:topLinePunct w:val="0"/>
        <w:autoSpaceDE/>
        <w:autoSpaceDN/>
        <w:bidi w:val="0"/>
        <w:adjustRightInd/>
        <w:snapToGrid/>
        <w:spacing w:line="276" w:lineRule="auto"/>
        <w:jc w:val="both"/>
        <w:textAlignment w:val="auto"/>
        <w:outlineLvl w:val="1"/>
        <w:rPr>
          <w:sz w:val="24"/>
          <w:szCs w:val="24"/>
          <w:lang w:val="id-ID"/>
        </w:rPr>
      </w:pPr>
      <w:r>
        <w:rPr>
          <w:sz w:val="24"/>
          <w:szCs w:val="24"/>
          <w:lang w:val="id-ID"/>
        </w:rPr>
        <w:t xml:space="preserve">Dari tabel di atas didapat data bahwa ROE mempunyai nilai minimum -0,07 yang terjadi pada </w:t>
      </w:r>
      <w:r>
        <w:rPr>
          <w:color w:val="000000"/>
          <w:sz w:val="24"/>
          <w:szCs w:val="24"/>
          <w:lang w:bidi="ar"/>
        </w:rPr>
        <w:t>Indofarma Tbk</w:t>
      </w:r>
      <w:r>
        <w:rPr>
          <w:color w:val="000000"/>
          <w:sz w:val="24"/>
          <w:szCs w:val="24"/>
          <w:lang w:val="id-ID" w:bidi="ar"/>
        </w:rPr>
        <w:t xml:space="preserve"> </w:t>
      </w:r>
      <w:r>
        <w:rPr>
          <w:sz w:val="24"/>
          <w:szCs w:val="24"/>
          <w:lang w:val="id-ID"/>
        </w:rPr>
        <w:t xml:space="preserve">dan nilai maksimum sebesar 0,36 pada </w:t>
      </w:r>
      <w:r>
        <w:rPr>
          <w:color w:val="000000"/>
          <w:sz w:val="24"/>
          <w:szCs w:val="24"/>
          <w:lang w:bidi="ar"/>
        </w:rPr>
        <w:t>Industri Jamu dan Farmasi Sido Muncul Tbk</w:t>
      </w:r>
      <w:r>
        <w:rPr>
          <w:color w:val="000000"/>
          <w:sz w:val="24"/>
          <w:szCs w:val="24"/>
          <w:lang w:val="id-ID" w:bidi="ar"/>
        </w:rPr>
        <w:t xml:space="preserve"> </w:t>
      </w:r>
      <w:r>
        <w:rPr>
          <w:sz w:val="24"/>
          <w:szCs w:val="24"/>
          <w:lang w:val="id-ID"/>
        </w:rPr>
        <w:t xml:space="preserve">dengan nilai rerata sebesar 0,1111 dan standar deviasi 0,09377. Variabel DER mempunyai nilai minimum 0,15 pada </w:t>
      </w:r>
      <w:r>
        <w:rPr>
          <w:color w:val="000000"/>
          <w:sz w:val="24"/>
          <w:szCs w:val="24"/>
          <w:lang w:bidi="ar"/>
        </w:rPr>
        <w:t>Industri Jamu dan Farmasi Sido Muncul Tbk</w:t>
      </w:r>
      <w:r>
        <w:rPr>
          <w:color w:val="000000"/>
          <w:sz w:val="24"/>
          <w:szCs w:val="24"/>
          <w:lang w:val="id-ID" w:bidi="ar"/>
        </w:rPr>
        <w:t xml:space="preserve"> </w:t>
      </w:r>
      <w:r>
        <w:rPr>
          <w:sz w:val="24"/>
          <w:szCs w:val="24"/>
          <w:lang w:val="id-ID"/>
        </w:rPr>
        <w:t xml:space="preserve">dan nilai maksimum sebesar 4,23 pada </w:t>
      </w:r>
      <w:r>
        <w:rPr>
          <w:sz w:val="24"/>
          <w:szCs w:val="24"/>
          <w:lang w:bidi="ar"/>
        </w:rPr>
        <w:t>Millennium Pharmacon</w:t>
      </w:r>
      <w:r>
        <w:rPr>
          <w:sz w:val="24"/>
          <w:szCs w:val="24"/>
          <w:lang w:val="id-ID" w:bidi="ar"/>
        </w:rPr>
        <w:t xml:space="preserve"> </w:t>
      </w:r>
      <w:r>
        <w:rPr>
          <w:sz w:val="24"/>
          <w:szCs w:val="24"/>
          <w:lang w:bidi="ar"/>
        </w:rPr>
        <w:t>International Tbk</w:t>
      </w:r>
      <w:r>
        <w:rPr>
          <w:sz w:val="24"/>
          <w:szCs w:val="24"/>
          <w:lang w:val="id-ID" w:bidi="ar"/>
        </w:rPr>
        <w:t xml:space="preserve"> </w:t>
      </w:r>
      <w:r>
        <w:rPr>
          <w:sz w:val="24"/>
          <w:szCs w:val="24"/>
          <w:lang w:val="id-ID"/>
        </w:rPr>
        <w:t xml:space="preserve">dengan nilai rerata 1,2667 dan standar deviasi 1,28198. Sedangkan pada variabel bebas CR nilai minimum sebesar 0,90 </w:t>
      </w:r>
      <w:r>
        <w:rPr>
          <w:color w:val="000000"/>
          <w:sz w:val="24"/>
          <w:szCs w:val="24"/>
          <w:lang w:bidi="ar"/>
        </w:rPr>
        <w:t>Kimia Farma Tbk</w:t>
      </w:r>
      <w:r>
        <w:rPr>
          <w:color w:val="000000"/>
          <w:sz w:val="24"/>
          <w:szCs w:val="24"/>
          <w:lang w:val="id-ID" w:bidi="ar"/>
        </w:rPr>
        <w:t xml:space="preserve"> </w:t>
      </w:r>
      <w:r>
        <w:rPr>
          <w:sz w:val="24"/>
          <w:szCs w:val="24"/>
          <w:lang w:val="id-ID"/>
        </w:rPr>
        <w:t xml:space="preserve">dan </w:t>
      </w:r>
      <w:r>
        <w:rPr>
          <w:color w:val="000000"/>
          <w:sz w:val="24"/>
          <w:szCs w:val="24"/>
          <w:lang w:bidi="ar"/>
        </w:rPr>
        <w:t>Merck Sharp Dohme Pharma Tbk</w:t>
      </w:r>
      <w:r>
        <w:rPr>
          <w:color w:val="000000"/>
          <w:sz w:val="24"/>
          <w:szCs w:val="24"/>
          <w:lang w:val="id-ID" w:bidi="ar"/>
        </w:rPr>
        <w:t xml:space="preserve"> </w:t>
      </w:r>
      <w:r>
        <w:rPr>
          <w:sz w:val="24"/>
          <w:szCs w:val="24"/>
          <w:lang w:val="id-ID"/>
        </w:rPr>
        <w:t xml:space="preserve">memperoleh nilai maksimum 5,94 dan dengan nilai rerata sebesar 2,5095 dan standar deviasai sebesar 1,32838. PBV sebagai variabel terikat mempunyai nilai minimum sebesar 0,11 terjadi pada </w:t>
      </w:r>
      <w:r>
        <w:rPr>
          <w:color w:val="000000"/>
          <w:sz w:val="24"/>
          <w:szCs w:val="24"/>
          <w:lang w:bidi="ar"/>
        </w:rPr>
        <w:t>Merck Sharp Dohme Pharma Tbk</w:t>
      </w:r>
      <w:r>
        <w:rPr>
          <w:color w:val="000000"/>
          <w:sz w:val="24"/>
          <w:szCs w:val="24"/>
          <w:lang w:val="id-ID" w:bidi="ar"/>
        </w:rPr>
        <w:t xml:space="preserve"> </w:t>
      </w:r>
      <w:r>
        <w:rPr>
          <w:sz w:val="24"/>
          <w:szCs w:val="24"/>
          <w:lang w:val="id-ID"/>
        </w:rPr>
        <w:t xml:space="preserve">dan nilai maksimum sebesar 17,36 yang terjadi pada </w:t>
      </w:r>
      <w:r>
        <w:rPr>
          <w:color w:val="000000"/>
          <w:sz w:val="24"/>
          <w:szCs w:val="24"/>
          <w:lang w:bidi="ar"/>
        </w:rPr>
        <w:t>Indofarma Tbk</w:t>
      </w:r>
      <w:r>
        <w:rPr>
          <w:color w:val="000000"/>
          <w:sz w:val="24"/>
          <w:szCs w:val="24"/>
          <w:lang w:val="id-ID" w:bidi="ar"/>
        </w:rPr>
        <w:t xml:space="preserve"> </w:t>
      </w:r>
      <w:r>
        <w:rPr>
          <w:sz w:val="24"/>
          <w:szCs w:val="24"/>
          <w:lang w:val="id-ID"/>
        </w:rPr>
        <w:t xml:space="preserve">dengan rerata sebesar 3,0055 dan standar deviasi sebesar </w:t>
      </w:r>
      <w:r>
        <w:rPr>
          <w:color w:val="010205"/>
          <w:sz w:val="24"/>
          <w:szCs w:val="24"/>
        </w:rPr>
        <w:t>3,65014</w:t>
      </w:r>
      <w:r>
        <w:rPr>
          <w:rFonts w:hint="default"/>
          <w:color w:val="010205"/>
          <w:sz w:val="24"/>
          <w:szCs w:val="24"/>
          <w:lang w:val="id-ID"/>
        </w:rPr>
        <w:t>.</w:t>
      </w:r>
    </w:p>
    <w:p>
      <w:pPr>
        <w:keepNext w:val="0"/>
        <w:keepLines w:val="0"/>
        <w:pageBreakBefore w:val="0"/>
        <w:widowControl/>
        <w:numPr>
          <w:ilvl w:val="0"/>
          <w:numId w:val="3"/>
        </w:numPr>
        <w:kinsoku/>
        <w:wordWrap/>
        <w:overflowPunct/>
        <w:topLinePunct w:val="0"/>
        <w:autoSpaceDE/>
        <w:autoSpaceDN/>
        <w:bidi w:val="0"/>
        <w:adjustRightInd/>
        <w:snapToGrid/>
        <w:spacing w:line="276" w:lineRule="auto"/>
        <w:jc w:val="both"/>
        <w:textAlignment w:val="auto"/>
        <w:outlineLvl w:val="1"/>
        <w:rPr>
          <w:b/>
          <w:bCs/>
          <w:sz w:val="24"/>
          <w:szCs w:val="24"/>
          <w:lang w:val="id-ID"/>
        </w:rPr>
      </w:pPr>
      <w:bookmarkStart w:id="8" w:name="_Toc17532"/>
      <w:bookmarkStart w:id="9" w:name="_Toc9984"/>
      <w:bookmarkStart w:id="10" w:name="_Toc29051"/>
      <w:bookmarkStart w:id="11" w:name="_Toc6527"/>
      <w:bookmarkStart w:id="12" w:name="_Toc111397912"/>
      <w:bookmarkStart w:id="13" w:name="_Toc27367"/>
      <w:r>
        <w:rPr>
          <w:b/>
          <w:bCs/>
          <w:sz w:val="24"/>
          <w:szCs w:val="24"/>
          <w:lang w:val="id-ID"/>
        </w:rPr>
        <w:t>Uji Asumsi Klasik</w:t>
      </w:r>
      <w:bookmarkEnd w:id="8"/>
      <w:bookmarkEnd w:id="9"/>
      <w:bookmarkEnd w:id="10"/>
      <w:bookmarkEnd w:id="11"/>
      <w:bookmarkEnd w:id="12"/>
      <w:bookmarkEnd w:id="13"/>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200" w:leftChars="100"/>
        <w:jc w:val="both"/>
        <w:textAlignment w:val="auto"/>
        <w:outlineLvl w:val="2"/>
        <w:rPr>
          <w:b/>
          <w:bCs/>
          <w:sz w:val="24"/>
          <w:szCs w:val="24"/>
          <w:lang w:val="id-ID"/>
        </w:rPr>
      </w:pPr>
      <w:bookmarkStart w:id="14" w:name="_Toc111397913"/>
      <w:bookmarkStart w:id="15" w:name="_Toc9306"/>
      <w:bookmarkStart w:id="16" w:name="_Toc19435"/>
      <w:bookmarkStart w:id="17" w:name="_Toc13582"/>
      <w:bookmarkStart w:id="18" w:name="_Toc28485"/>
      <w:bookmarkStart w:id="19" w:name="_Toc7305"/>
      <w:r>
        <w:rPr>
          <w:b/>
          <w:bCs/>
          <w:sz w:val="24"/>
          <w:szCs w:val="24"/>
          <w:lang w:val="id-ID"/>
        </w:rPr>
        <w:t>Uji Normalitas</w:t>
      </w:r>
      <w:bookmarkEnd w:id="14"/>
      <w:bookmarkEnd w:id="15"/>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sans-serif"/>
          <w:sz w:val="24"/>
          <w:szCs w:val="24"/>
          <w:lang w:val="id-ID"/>
        </w:rPr>
      </w:pPr>
      <w:r>
        <w:rPr>
          <w:rFonts w:eastAsia="sans-serif"/>
          <w:sz w:val="24"/>
          <w:szCs w:val="24"/>
          <w:lang w:val="id-ID"/>
        </w:rPr>
        <w:t>Pengujian ini bertujuan untuk menguji apakah pada model regresi, variabel pembaur (residual) memiliki distribusi normal. Pada uji normalitas dilakukan pengujian menggunakan uji O</w:t>
      </w:r>
      <w:r>
        <w:rPr>
          <w:rFonts w:eastAsia="sans-serif"/>
          <w:i/>
          <w:iCs/>
          <w:sz w:val="24"/>
          <w:szCs w:val="24"/>
          <w:lang w:val="id-ID"/>
        </w:rPr>
        <w:t>ne Sample Kolmogorov-Smirnov</w:t>
      </w:r>
      <w:r>
        <w:rPr>
          <w:rFonts w:eastAsia="sans-serif"/>
          <w:sz w:val="24"/>
          <w:szCs w:val="24"/>
          <w:lang w:val="id-ID"/>
        </w:rPr>
        <w:t xml:space="preserve"> (</w:t>
      </w:r>
      <w:r>
        <w:rPr>
          <w:rFonts w:eastAsia="sans-serif"/>
          <w:i/>
          <w:iCs/>
          <w:sz w:val="24"/>
          <w:szCs w:val="24"/>
          <w:lang w:val="id-ID"/>
        </w:rPr>
        <w:t>K-S</w:t>
      </w:r>
      <w:r>
        <w:rPr>
          <w:rFonts w:eastAsia="sans-serif"/>
          <w:sz w:val="24"/>
          <w:szCs w:val="24"/>
          <w:lang w:val="id-ID"/>
        </w:rPr>
        <w:t>) menggunakan alat bantu IBM SPSS versi 25. Kriteria pada pengujian O</w:t>
      </w:r>
      <w:r>
        <w:rPr>
          <w:rFonts w:eastAsia="sans-serif"/>
          <w:i/>
          <w:iCs/>
          <w:sz w:val="24"/>
          <w:szCs w:val="24"/>
          <w:lang w:val="id-ID"/>
        </w:rPr>
        <w:t>ne Sample Kolmogorov-Smirnov</w:t>
      </w:r>
      <w:r>
        <w:rPr>
          <w:rFonts w:eastAsia="sans-serif"/>
          <w:sz w:val="24"/>
          <w:szCs w:val="24"/>
          <w:lang w:val="id-ID"/>
        </w:rPr>
        <w:t xml:space="preserve"> (</w:t>
      </w:r>
      <w:r>
        <w:rPr>
          <w:rFonts w:eastAsia="sans-serif"/>
          <w:i/>
          <w:iCs/>
          <w:sz w:val="24"/>
          <w:szCs w:val="24"/>
          <w:lang w:val="id-ID"/>
        </w:rPr>
        <w:t>K-S</w:t>
      </w:r>
      <w:r>
        <w:rPr>
          <w:rFonts w:eastAsia="sans-serif"/>
          <w:sz w:val="24"/>
          <w:szCs w:val="24"/>
          <w:lang w:val="id-ID"/>
        </w:rPr>
        <w:t>) adalah apabila nilai signifansi &gt; 5% atau 0,05 , maka data memiliki distribusi normal.</w:t>
      </w:r>
    </w:p>
    <w:p>
      <w:pPr>
        <w:jc w:val="center"/>
        <w:outlineLvl w:val="4"/>
        <w:rPr>
          <w:rFonts w:eastAsia="sans-serif"/>
          <w:b/>
          <w:bCs/>
          <w:sz w:val="24"/>
          <w:szCs w:val="24"/>
          <w:lang w:val="id-ID"/>
        </w:rPr>
      </w:pPr>
      <w:bookmarkStart w:id="20" w:name="_Toc3094"/>
      <w:r>
        <w:rPr>
          <w:rFonts w:eastAsia="sans-serif"/>
          <w:b/>
          <w:bCs/>
          <w:sz w:val="24"/>
          <w:szCs w:val="24"/>
          <w:lang w:val="id-ID"/>
        </w:rPr>
        <w:t>Tabel 4.4</w:t>
      </w:r>
      <w:bookmarkEnd w:id="20"/>
    </w:p>
    <w:p>
      <w:pPr>
        <w:jc w:val="center"/>
        <w:outlineLvl w:val="4"/>
        <w:rPr>
          <w:rFonts w:eastAsia="sans-serif"/>
          <w:b/>
          <w:bCs/>
          <w:sz w:val="24"/>
          <w:szCs w:val="24"/>
          <w:lang w:val="id-ID"/>
        </w:rPr>
      </w:pPr>
      <w:bookmarkStart w:id="21" w:name="_Toc6833"/>
      <w:r>
        <w:rPr>
          <w:rFonts w:eastAsia="sans-serif"/>
          <w:b/>
          <w:bCs/>
          <w:sz w:val="24"/>
          <w:szCs w:val="24"/>
          <w:lang w:val="id-ID"/>
        </w:rPr>
        <w:t>Hasil Uji Normalitas</w:t>
      </w:r>
      <w:bookmarkEnd w:id="21"/>
    </w:p>
    <w:p>
      <w:pPr>
        <w:jc w:val="center"/>
        <w:rPr>
          <w:sz w:val="24"/>
          <w:szCs w:val="24"/>
        </w:rPr>
      </w:pPr>
      <w:r>
        <w:rPr>
          <w:rFonts w:eastAsia="sans-serif"/>
          <w:b/>
          <w:bCs/>
          <w:sz w:val="24"/>
          <w:szCs w:val="24"/>
          <w:lang w:val="id-ID"/>
        </w:rPr>
        <w:t>O</w:t>
      </w:r>
      <w:r>
        <w:rPr>
          <w:rFonts w:eastAsia="sans-serif"/>
          <w:b/>
          <w:bCs/>
          <w:i/>
          <w:iCs/>
          <w:sz w:val="24"/>
          <w:szCs w:val="24"/>
          <w:lang w:val="id-ID"/>
        </w:rPr>
        <w:t>ne Sample Kolmogorov-Smirnov</w:t>
      </w:r>
      <w:r>
        <w:rPr>
          <w:rFonts w:eastAsia="sans-serif"/>
          <w:b/>
          <w:bCs/>
          <w:sz w:val="24"/>
          <w:szCs w:val="24"/>
          <w:lang w:val="id-ID"/>
        </w:rPr>
        <w:t xml:space="preserve"> (</w:t>
      </w:r>
      <w:r>
        <w:rPr>
          <w:rFonts w:eastAsia="sans-serif"/>
          <w:b/>
          <w:bCs/>
          <w:i/>
          <w:iCs/>
          <w:sz w:val="24"/>
          <w:szCs w:val="24"/>
          <w:lang w:val="id-ID"/>
        </w:rPr>
        <w:t>K-S</w:t>
      </w:r>
      <w:r>
        <w:rPr>
          <w:rFonts w:eastAsia="sans-serif"/>
          <w:b/>
          <w:bCs/>
          <w:sz w:val="24"/>
          <w:szCs w:val="24"/>
          <w:lang w:val="id-ID"/>
        </w:rPr>
        <w:t>)</w:t>
      </w:r>
    </w:p>
    <w:tbl>
      <w:tblPr>
        <w:tblStyle w:val="3"/>
        <w:tblW w:w="423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50"/>
        <w:gridCol w:w="1260"/>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610" w:type="dxa"/>
            <w:gridSpan w:val="2"/>
            <w:tcBorders>
              <w:top w:val="single" w:color="auto" w:sz="4" w:space="0"/>
              <w:left w:val="single" w:color="auto" w:sz="4" w:space="0"/>
              <w:bottom w:val="single" w:color="auto" w:sz="4" w:space="0"/>
              <w:right w:val="single" w:color="auto" w:sz="4" w:space="0"/>
            </w:tcBorders>
            <w:vAlign w:val="bottom"/>
          </w:tcPr>
          <w:p>
            <w:pPr>
              <w:rPr>
                <w:sz w:val="22"/>
                <w:szCs w:val="22"/>
              </w:rPr>
            </w:pPr>
          </w:p>
        </w:tc>
        <w:tc>
          <w:tcPr>
            <w:tcW w:w="1620" w:type="dxa"/>
            <w:tcBorders>
              <w:top w:val="single" w:color="auto" w:sz="4" w:space="0"/>
              <w:left w:val="single" w:color="auto" w:sz="4" w:space="0"/>
              <w:bottom w:val="single" w:color="auto" w:sz="4" w:space="0"/>
              <w:right w:val="single" w:color="auto" w:sz="4" w:space="0"/>
            </w:tcBorders>
            <w:vAlign w:val="bottom"/>
          </w:tcPr>
          <w:p>
            <w:pPr>
              <w:ind w:left="60" w:right="60"/>
              <w:jc w:val="center"/>
              <w:rPr>
                <w:sz w:val="22"/>
                <w:szCs w:val="22"/>
              </w:rPr>
            </w:pPr>
            <w:r>
              <w:rPr>
                <w:sz w:val="22"/>
                <w:szCs w:val="22"/>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610" w:type="dxa"/>
            <w:gridSpan w:val="2"/>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N</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350" w:type="dxa"/>
            <w:vMerge w:val="restart"/>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Normal Parameters</w:t>
            </w:r>
            <w:r>
              <w:rPr>
                <w:sz w:val="22"/>
                <w:szCs w:val="22"/>
                <w:vertAlign w:val="superscript"/>
              </w:rPr>
              <w:t>a,b</w:t>
            </w:r>
          </w:p>
        </w:tc>
        <w:tc>
          <w:tcPr>
            <w:tcW w:w="1260"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Mean</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350" w:type="dxa"/>
            <w:vMerge w:val="continue"/>
            <w:tcBorders>
              <w:top w:val="single" w:color="auto" w:sz="4" w:space="0"/>
              <w:left w:val="single" w:color="auto" w:sz="4" w:space="0"/>
              <w:bottom w:val="single" w:color="auto" w:sz="4" w:space="0"/>
              <w:right w:val="single" w:color="auto" w:sz="4" w:space="0"/>
            </w:tcBorders>
          </w:tcPr>
          <w:p>
            <w:pPr>
              <w:rPr>
                <w:sz w:val="22"/>
                <w:szCs w:val="22"/>
              </w:rPr>
            </w:pPr>
          </w:p>
        </w:tc>
        <w:tc>
          <w:tcPr>
            <w:tcW w:w="1260"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Std. Deviation</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3,60157227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350" w:type="dxa"/>
            <w:vMerge w:val="restart"/>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Most Extreme Differences</w:t>
            </w:r>
          </w:p>
        </w:tc>
        <w:tc>
          <w:tcPr>
            <w:tcW w:w="1260"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Absolute</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350" w:type="dxa"/>
            <w:vMerge w:val="continue"/>
            <w:tcBorders>
              <w:top w:val="single" w:color="auto" w:sz="4" w:space="0"/>
              <w:left w:val="single" w:color="auto" w:sz="4" w:space="0"/>
              <w:bottom w:val="single" w:color="auto" w:sz="4" w:space="0"/>
              <w:right w:val="single" w:color="auto" w:sz="4" w:space="0"/>
            </w:tcBorders>
          </w:tcPr>
          <w:p>
            <w:pPr>
              <w:rPr>
                <w:sz w:val="22"/>
                <w:szCs w:val="22"/>
              </w:rPr>
            </w:pPr>
          </w:p>
        </w:tc>
        <w:tc>
          <w:tcPr>
            <w:tcW w:w="1260"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Positive</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350" w:type="dxa"/>
            <w:vMerge w:val="continue"/>
            <w:tcBorders>
              <w:top w:val="single" w:color="auto" w:sz="4" w:space="0"/>
              <w:left w:val="single" w:color="auto" w:sz="4" w:space="0"/>
              <w:bottom w:val="single" w:color="auto" w:sz="4" w:space="0"/>
              <w:right w:val="single" w:color="auto" w:sz="4" w:space="0"/>
            </w:tcBorders>
          </w:tcPr>
          <w:p>
            <w:pPr>
              <w:rPr>
                <w:sz w:val="22"/>
                <w:szCs w:val="22"/>
              </w:rPr>
            </w:pPr>
          </w:p>
        </w:tc>
        <w:tc>
          <w:tcPr>
            <w:tcW w:w="1260"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Negative</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610" w:type="dxa"/>
            <w:gridSpan w:val="2"/>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Test Statistic</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610" w:type="dxa"/>
            <w:gridSpan w:val="2"/>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Asymp. Sig. (2-tailed)</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,000</w:t>
            </w:r>
            <w:r>
              <w:rPr>
                <w:sz w:val="22"/>
                <w:szCs w:val="22"/>
                <w:vertAlign w:val="superscript"/>
              </w:rPr>
              <w: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610" w:type="dxa"/>
            <w:gridSpan w:val="2"/>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Exact Sig. (2-tailed)</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,056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610" w:type="dxa"/>
            <w:gridSpan w:val="2"/>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Point Probability</w:t>
            </w:r>
          </w:p>
        </w:tc>
        <w:tc>
          <w:tcPr>
            <w:tcW w:w="162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30" w:type="dxa"/>
            <w:gridSpan w:val="3"/>
            <w:tcBorders>
              <w:top w:val="single" w:color="auto" w:sz="4" w:space="0"/>
              <w:left w:val="single" w:color="auto" w:sz="4" w:space="0"/>
              <w:bottom w:val="nil"/>
              <w:right w:val="single" w:color="auto" w:sz="4" w:space="0"/>
            </w:tcBorders>
          </w:tcPr>
          <w:p>
            <w:pPr>
              <w:ind w:left="60" w:right="60"/>
              <w:rPr>
                <w:sz w:val="22"/>
                <w:szCs w:val="22"/>
              </w:rPr>
            </w:pPr>
            <w:r>
              <w:rPr>
                <w:sz w:val="22"/>
                <w:szCs w:val="22"/>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30" w:type="dxa"/>
            <w:gridSpan w:val="3"/>
            <w:tcBorders>
              <w:top w:val="nil"/>
              <w:left w:val="single" w:color="auto" w:sz="4" w:space="0"/>
              <w:bottom w:val="nil"/>
              <w:right w:val="single" w:color="auto" w:sz="4" w:space="0"/>
            </w:tcBorders>
            <w:shd w:val="clear" w:color="auto" w:fill="FFFFFF"/>
          </w:tcPr>
          <w:p>
            <w:pPr>
              <w:ind w:left="60" w:right="60"/>
              <w:rPr>
                <w:color w:val="010205"/>
                <w:sz w:val="22"/>
                <w:szCs w:val="22"/>
              </w:rPr>
            </w:pPr>
            <w:r>
              <w:rPr>
                <w:color w:val="010205"/>
                <w:sz w:val="22"/>
                <w:szCs w:val="22"/>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30" w:type="dxa"/>
            <w:gridSpan w:val="3"/>
            <w:tcBorders>
              <w:top w:val="nil"/>
              <w:left w:val="single" w:color="auto" w:sz="4" w:space="0"/>
              <w:bottom w:val="single" w:color="auto" w:sz="4" w:space="0"/>
              <w:right w:val="single" w:color="auto" w:sz="4" w:space="0"/>
            </w:tcBorders>
            <w:shd w:val="clear" w:color="auto" w:fill="FFFFFF"/>
          </w:tcPr>
          <w:p>
            <w:pPr>
              <w:ind w:left="60" w:right="60"/>
              <w:rPr>
                <w:color w:val="010205"/>
                <w:sz w:val="22"/>
                <w:szCs w:val="22"/>
              </w:rPr>
            </w:pPr>
            <w:r>
              <w:rPr>
                <w:color w:val="010205"/>
                <w:sz w:val="22"/>
                <w:szCs w:val="22"/>
              </w:rPr>
              <w:t>c. Lilliefors Significance Correction.</w:t>
            </w:r>
          </w:p>
        </w:tc>
      </w:tr>
    </w:tbl>
    <w:p>
      <w:pPr>
        <w:jc w:val="both"/>
        <w:rPr>
          <w:rFonts w:eastAsia="sans-serif"/>
          <w:i/>
          <w:iCs/>
          <w:lang w:val="id-ID"/>
        </w:rPr>
      </w:pPr>
      <w:r>
        <w:rPr>
          <w:rFonts w:eastAsia="sans-serif"/>
          <w:i/>
          <w:iCs/>
          <w:lang w:val="id-ID"/>
        </w:rPr>
        <w:t>(Sumber : Data diolah sendiri)</w:t>
      </w:r>
    </w:p>
    <w:p>
      <w:pPr>
        <w:jc w:val="both"/>
        <w:rPr>
          <w:rFonts w:eastAsia="sans-serif"/>
          <w:i/>
          <w:iCs/>
          <w:sz w:val="24"/>
          <w:szCs w:val="24"/>
          <w:lang w:val="id-ID"/>
        </w:rPr>
      </w:pPr>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sans-serif"/>
          <w:sz w:val="24"/>
          <w:szCs w:val="24"/>
          <w:lang w:val="id-ID"/>
        </w:rPr>
      </w:pPr>
      <w:r>
        <w:rPr>
          <w:rFonts w:eastAsia="sans-serif"/>
          <w:sz w:val="24"/>
          <w:szCs w:val="24"/>
          <w:lang w:val="id-ID"/>
        </w:rPr>
        <w:t>Berdasarkan Tabel 4.4 pengujian normalitas dengan Kolomogorov-Smirnov (K-S) bahwa nilai Kolmogorov-Smirnov sebesar 0,227 dan nilai Exact Sig. (2-tailed) sebesar 0,056 dimana nilai tersebut lebih besar dari signifikansi sebesar 0,05 maka disimpulkan bahwa data terdistribusi normal.</w:t>
      </w:r>
    </w:p>
    <w:p>
      <w:pPr>
        <w:keepNext w:val="0"/>
        <w:keepLines w:val="0"/>
        <w:pageBreakBefore w:val="0"/>
        <w:widowControl/>
        <w:numPr>
          <w:ilvl w:val="0"/>
          <w:numId w:val="4"/>
        </w:numPr>
        <w:kinsoku/>
        <w:wordWrap/>
        <w:overflowPunct/>
        <w:topLinePunct w:val="0"/>
        <w:autoSpaceDE/>
        <w:autoSpaceDN/>
        <w:bidi w:val="0"/>
        <w:adjustRightInd/>
        <w:snapToGrid/>
        <w:spacing w:line="276" w:lineRule="auto"/>
        <w:jc w:val="both"/>
        <w:textAlignment w:val="auto"/>
        <w:outlineLvl w:val="2"/>
        <w:rPr>
          <w:rFonts w:eastAsia="sans-serif"/>
          <w:b/>
          <w:bCs/>
          <w:sz w:val="24"/>
          <w:szCs w:val="24"/>
          <w:lang w:val="id-ID"/>
        </w:rPr>
      </w:pPr>
      <w:bookmarkStart w:id="22" w:name="_Toc111397914"/>
      <w:bookmarkStart w:id="23" w:name="_Toc21783"/>
      <w:bookmarkStart w:id="24" w:name="_Toc28735"/>
      <w:bookmarkStart w:id="25" w:name="_Toc22330"/>
      <w:bookmarkStart w:id="26" w:name="_Toc12184"/>
      <w:bookmarkStart w:id="27" w:name="_Toc20549"/>
      <w:r>
        <w:rPr>
          <w:rFonts w:eastAsia="sans-serif"/>
          <w:b/>
          <w:bCs/>
          <w:sz w:val="24"/>
          <w:szCs w:val="24"/>
          <w:lang w:val="id-ID"/>
        </w:rPr>
        <w:t>Uji Multikolinieritas</w:t>
      </w:r>
      <w:bookmarkEnd w:id="22"/>
      <w:bookmarkEnd w:id="23"/>
      <w:bookmarkEnd w:id="24"/>
      <w:bookmarkEnd w:id="25"/>
      <w:bookmarkEnd w:id="26"/>
      <w:bookmarkEnd w:id="27"/>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sans-serif"/>
          <w:b/>
          <w:bCs/>
          <w:sz w:val="24"/>
          <w:szCs w:val="24"/>
          <w:lang w:val="id-ID"/>
        </w:rPr>
      </w:pPr>
      <w:r>
        <w:rPr>
          <w:rFonts w:eastAsia="sans-serif"/>
          <w:sz w:val="24"/>
          <w:szCs w:val="24"/>
          <w:lang w:val="id-ID"/>
        </w:rPr>
        <w:t>Uji multikolinieritas digunakan untuk menguji dalam model analsisi</w:t>
      </w:r>
      <w:r>
        <w:rPr>
          <w:rFonts w:eastAsia="sans-serif"/>
          <w:sz w:val="24"/>
          <w:szCs w:val="24"/>
        </w:rPr>
        <w:t>s</w:t>
      </w:r>
      <w:r>
        <w:rPr>
          <w:rFonts w:eastAsia="sans-serif"/>
          <w:sz w:val="24"/>
          <w:szCs w:val="24"/>
          <w:lang w:val="id-ID"/>
        </w:rPr>
        <w:t xml:space="preserve"> regresi apakah terdapat gejala korelasi antara variabel bebas. Kriteria uji multikolinieritas yaitu apabila jika nilai toleransi ≥ 0,10 dan nilai VIF ≤ 10 berarti tidak ada multikolinieritas terhadap antar variabel bebas dalam model anali</w:t>
      </w:r>
      <w:r>
        <w:rPr>
          <w:rFonts w:eastAsia="sans-serif"/>
          <w:sz w:val="24"/>
          <w:szCs w:val="24"/>
        </w:rPr>
        <w:t>s</w:t>
      </w:r>
      <w:r>
        <w:rPr>
          <w:rFonts w:eastAsia="sans-serif"/>
          <w:sz w:val="24"/>
          <w:szCs w:val="24"/>
          <w:lang w:val="id-ID"/>
        </w:rPr>
        <w:t>is regresi. Sedangkan jika nilai toleransi ≤ 0,10 dan nilai VIF ≥ 10 berarti terdapat multikolinieritas terhadap antar variabel bebas dalam model analiis regresi.</w:t>
      </w:r>
      <w:bookmarkStart w:id="28" w:name="_Toc15939"/>
    </w:p>
    <w:p>
      <w:pPr>
        <w:jc w:val="center"/>
        <w:outlineLvl w:val="4"/>
        <w:rPr>
          <w:rFonts w:eastAsia="sans-serif"/>
          <w:b/>
          <w:bCs/>
          <w:sz w:val="24"/>
          <w:szCs w:val="24"/>
          <w:lang w:val="id-ID"/>
        </w:rPr>
      </w:pPr>
      <w:r>
        <w:rPr>
          <w:rFonts w:eastAsia="sans-serif"/>
          <w:b/>
          <w:bCs/>
          <w:sz w:val="24"/>
          <w:szCs w:val="24"/>
          <w:lang w:val="id-ID"/>
        </w:rPr>
        <w:t>Tabel 4.5</w:t>
      </w:r>
      <w:bookmarkEnd w:id="28"/>
    </w:p>
    <w:p>
      <w:pPr>
        <w:jc w:val="center"/>
        <w:outlineLvl w:val="4"/>
        <w:rPr>
          <w:rFonts w:eastAsia="sans-serif"/>
          <w:b/>
          <w:bCs/>
          <w:sz w:val="24"/>
          <w:szCs w:val="24"/>
          <w:lang w:val="id-ID"/>
        </w:rPr>
      </w:pPr>
      <w:bookmarkStart w:id="29" w:name="_Toc29229"/>
      <w:r>
        <w:rPr>
          <w:rFonts w:eastAsia="sans-serif"/>
          <w:b/>
          <w:bCs/>
          <w:sz w:val="24"/>
          <w:szCs w:val="24"/>
          <w:lang w:val="id-ID"/>
        </w:rPr>
        <w:t>Hasil Uji Multikolinieritas</w:t>
      </w:r>
      <w:bookmarkEnd w:id="29"/>
    </w:p>
    <w:p>
      <w:pPr>
        <w:jc w:val="center"/>
        <w:rPr>
          <w:b/>
          <w:sz w:val="24"/>
          <w:szCs w:val="24"/>
          <w:vertAlign w:val="superscript"/>
        </w:rPr>
      </w:pPr>
      <w:r>
        <w:rPr>
          <w:b/>
          <w:sz w:val="24"/>
          <w:szCs w:val="24"/>
        </w:rPr>
        <w:t>Coefficients</w:t>
      </w:r>
      <w:r>
        <w:rPr>
          <w:b/>
          <w:sz w:val="24"/>
          <w:szCs w:val="24"/>
          <w:vertAlign w:val="superscript"/>
        </w:rPr>
        <w:t>a</w:t>
      </w:r>
    </w:p>
    <w:tbl>
      <w:tblPr>
        <w:tblStyle w:val="3"/>
        <w:tblpPr w:leftFromText="180" w:rightFromText="180" w:vertAnchor="text" w:horzAnchor="page" w:tblpX="1550" w:tblpY="176"/>
        <w:tblOverlap w:val="never"/>
        <w:tblW w:w="35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5"/>
        <w:gridCol w:w="1170"/>
        <w:gridCol w:w="1170"/>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3" w:hRule="atLeast"/>
        </w:trPr>
        <w:tc>
          <w:tcPr>
            <w:tcW w:w="1525"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bottom"/>
          </w:tcPr>
          <w:p>
            <w:pPr>
              <w:ind w:right="60"/>
              <w:jc w:val="center"/>
              <w:rPr>
                <w:sz w:val="24"/>
                <w:szCs w:val="24"/>
              </w:rPr>
            </w:pPr>
            <w:r>
              <w:rPr>
                <w:sz w:val="24"/>
                <w:szCs w:val="24"/>
              </w:rPr>
              <w:t>Model</w:t>
            </w:r>
          </w:p>
        </w:tc>
        <w:tc>
          <w:tcPr>
            <w:tcW w:w="2070"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ind w:right="60"/>
              <w:jc w:val="center"/>
              <w:rPr>
                <w:sz w:val="24"/>
                <w:szCs w:val="24"/>
              </w:rPr>
            </w:pPr>
            <w:r>
              <w:rPr>
                <w:sz w:val="24"/>
                <w:szCs w:val="24"/>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3" w:hRule="atLeast"/>
        </w:trPr>
        <w:tc>
          <w:tcPr>
            <w:tcW w:w="1525"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sz w:val="24"/>
                <w:szCs w:val="24"/>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bottom"/>
          </w:tcPr>
          <w:p>
            <w:pPr>
              <w:ind w:right="60"/>
              <w:jc w:val="center"/>
              <w:rPr>
                <w:sz w:val="24"/>
                <w:szCs w:val="24"/>
              </w:rPr>
            </w:pPr>
            <w:r>
              <w:rPr>
                <w:sz w:val="24"/>
                <w:szCs w:val="24"/>
              </w:rPr>
              <w:t>Tolerance</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bottom"/>
          </w:tcPr>
          <w:p>
            <w:pPr>
              <w:ind w:right="60"/>
              <w:jc w:val="center"/>
              <w:rPr>
                <w:sz w:val="24"/>
                <w:szCs w:val="24"/>
              </w:rPr>
            </w:pPr>
            <w:r>
              <w:rPr>
                <w:sz w:val="24"/>
                <w:szCs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5" w:hRule="atLeast"/>
        </w:trPr>
        <w:tc>
          <w:tcPr>
            <w:tcW w:w="355" w:type="dxa"/>
            <w:vMerge w:val="restart"/>
            <w:tcBorders>
              <w:top w:val="single" w:color="auto" w:sz="4" w:space="0"/>
              <w:left w:val="single" w:color="auto" w:sz="4" w:space="0"/>
              <w:bottom w:val="single" w:color="auto" w:sz="4" w:space="0"/>
              <w:right w:val="single" w:color="auto" w:sz="4" w:space="0"/>
            </w:tcBorders>
          </w:tcPr>
          <w:p>
            <w:pPr>
              <w:ind w:right="60"/>
              <w:rPr>
                <w:sz w:val="24"/>
                <w:szCs w:val="24"/>
              </w:rPr>
            </w:pPr>
            <w:r>
              <w:rPr>
                <w:sz w:val="24"/>
                <w:szCs w:val="24"/>
              </w:rPr>
              <w:t>1</w:t>
            </w:r>
          </w:p>
        </w:tc>
        <w:tc>
          <w:tcPr>
            <w:tcW w:w="1170" w:type="dxa"/>
            <w:tcBorders>
              <w:top w:val="single" w:color="auto" w:sz="4" w:space="0"/>
              <w:left w:val="single" w:color="auto" w:sz="4" w:space="0"/>
              <w:bottom w:val="single" w:color="auto" w:sz="4" w:space="0"/>
              <w:right w:val="single" w:color="auto" w:sz="4" w:space="0"/>
            </w:tcBorders>
          </w:tcPr>
          <w:p>
            <w:pPr>
              <w:ind w:right="60"/>
              <w:rPr>
                <w:sz w:val="24"/>
                <w:szCs w:val="24"/>
              </w:rPr>
            </w:pPr>
            <w:r>
              <w:rPr>
                <w:sz w:val="24"/>
                <w:szCs w:val="24"/>
              </w:rPr>
              <w:t>(Constant)</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5" w:hRule="atLeast"/>
        </w:trPr>
        <w:tc>
          <w:tcPr>
            <w:tcW w:w="355" w:type="dxa"/>
            <w:vMerge w:val="continue"/>
            <w:tcBorders>
              <w:top w:val="single" w:color="auto" w:sz="4" w:space="0"/>
              <w:left w:val="single" w:color="auto" w:sz="4" w:space="0"/>
              <w:bottom w:val="single" w:color="auto" w:sz="4" w:space="0"/>
              <w:right w:val="single" w:color="auto" w:sz="4" w:space="0"/>
            </w:tcBorders>
          </w:tcPr>
          <w:p>
            <w:pPr>
              <w:rPr>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right="60"/>
              <w:rPr>
                <w:sz w:val="24"/>
                <w:szCs w:val="24"/>
                <w:lang w:val="id-ID"/>
              </w:rPr>
            </w:pPr>
            <w:r>
              <w:rPr>
                <w:sz w:val="24"/>
                <w:szCs w:val="24"/>
              </w:rPr>
              <w:t>RO</w:t>
            </w:r>
            <w:r>
              <w:rPr>
                <w:sz w:val="24"/>
                <w:szCs w:val="24"/>
                <w:lang w:val="id-ID"/>
              </w:rPr>
              <w:t>E</w:t>
            </w:r>
          </w:p>
        </w:tc>
        <w:tc>
          <w:tcPr>
            <w:tcW w:w="1170" w:type="dxa"/>
            <w:tcBorders>
              <w:top w:val="single" w:color="auto" w:sz="4" w:space="0"/>
              <w:left w:val="single" w:color="auto" w:sz="4" w:space="0"/>
              <w:bottom w:val="single" w:color="auto" w:sz="4" w:space="0"/>
              <w:right w:val="single" w:color="auto" w:sz="4" w:space="0"/>
            </w:tcBorders>
          </w:tcPr>
          <w:p>
            <w:pPr>
              <w:ind w:right="60"/>
              <w:jc w:val="center"/>
              <w:rPr>
                <w:sz w:val="24"/>
                <w:szCs w:val="24"/>
              </w:rPr>
            </w:pPr>
            <w:r>
              <w:rPr>
                <w:sz w:val="24"/>
                <w:szCs w:val="24"/>
              </w:rPr>
              <w:t>,472</w:t>
            </w:r>
          </w:p>
        </w:tc>
        <w:tc>
          <w:tcPr>
            <w:tcW w:w="900" w:type="dxa"/>
            <w:tcBorders>
              <w:top w:val="single" w:color="auto" w:sz="4" w:space="0"/>
              <w:left w:val="single" w:color="auto" w:sz="4" w:space="0"/>
              <w:bottom w:val="single" w:color="auto" w:sz="4" w:space="0"/>
              <w:right w:val="single" w:color="auto" w:sz="4" w:space="0"/>
            </w:tcBorders>
          </w:tcPr>
          <w:p>
            <w:pPr>
              <w:ind w:right="60"/>
              <w:jc w:val="center"/>
              <w:rPr>
                <w:sz w:val="24"/>
                <w:szCs w:val="24"/>
              </w:rPr>
            </w:pPr>
            <w:r>
              <w:rPr>
                <w:sz w:val="24"/>
                <w:szCs w:val="24"/>
              </w:rPr>
              <w:t>2,117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5" w:hRule="atLeast"/>
        </w:trPr>
        <w:tc>
          <w:tcPr>
            <w:tcW w:w="355" w:type="dxa"/>
            <w:vMerge w:val="continue"/>
            <w:tcBorders>
              <w:top w:val="single" w:color="auto" w:sz="4" w:space="0"/>
              <w:left w:val="single" w:color="auto" w:sz="4" w:space="0"/>
              <w:bottom w:val="single" w:color="auto" w:sz="4" w:space="0"/>
              <w:right w:val="single" w:color="auto" w:sz="4" w:space="0"/>
            </w:tcBorders>
          </w:tcPr>
          <w:p>
            <w:pPr>
              <w:rPr>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right="60"/>
              <w:rPr>
                <w:sz w:val="24"/>
                <w:szCs w:val="24"/>
              </w:rPr>
            </w:pPr>
            <w:r>
              <w:rPr>
                <w:sz w:val="24"/>
                <w:szCs w:val="24"/>
              </w:rPr>
              <w:t>D</w:t>
            </w:r>
            <w:r>
              <w:rPr>
                <w:sz w:val="24"/>
                <w:szCs w:val="24"/>
                <w:lang w:val="id-ID"/>
              </w:rPr>
              <w:t>E</w:t>
            </w:r>
            <w:r>
              <w:rPr>
                <w:sz w:val="24"/>
                <w:szCs w:val="24"/>
              </w:rPr>
              <w:t>R</w:t>
            </w:r>
          </w:p>
        </w:tc>
        <w:tc>
          <w:tcPr>
            <w:tcW w:w="1170" w:type="dxa"/>
            <w:tcBorders>
              <w:top w:val="single" w:color="auto" w:sz="4" w:space="0"/>
              <w:left w:val="single" w:color="auto" w:sz="4" w:space="0"/>
              <w:bottom w:val="single" w:color="auto" w:sz="4" w:space="0"/>
              <w:right w:val="single" w:color="auto" w:sz="4" w:space="0"/>
            </w:tcBorders>
          </w:tcPr>
          <w:p>
            <w:pPr>
              <w:ind w:right="60"/>
              <w:jc w:val="center"/>
              <w:rPr>
                <w:sz w:val="24"/>
                <w:szCs w:val="24"/>
              </w:rPr>
            </w:pPr>
            <w:r>
              <w:rPr>
                <w:sz w:val="24"/>
                <w:szCs w:val="24"/>
              </w:rPr>
              <w:t>,484</w:t>
            </w:r>
          </w:p>
        </w:tc>
        <w:tc>
          <w:tcPr>
            <w:tcW w:w="900" w:type="dxa"/>
            <w:tcBorders>
              <w:top w:val="single" w:color="auto" w:sz="4" w:space="0"/>
              <w:left w:val="single" w:color="auto" w:sz="4" w:space="0"/>
              <w:bottom w:val="single" w:color="auto" w:sz="4" w:space="0"/>
              <w:right w:val="single" w:color="auto" w:sz="4" w:space="0"/>
            </w:tcBorders>
          </w:tcPr>
          <w:p>
            <w:pPr>
              <w:ind w:right="60"/>
              <w:jc w:val="center"/>
              <w:rPr>
                <w:sz w:val="24"/>
                <w:szCs w:val="24"/>
              </w:rPr>
            </w:pPr>
            <w:r>
              <w:rPr>
                <w:sz w:val="24"/>
                <w:szCs w:val="24"/>
              </w:rPr>
              <w:t>2,065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5" w:hRule="atLeast"/>
        </w:trPr>
        <w:tc>
          <w:tcPr>
            <w:tcW w:w="355" w:type="dxa"/>
            <w:vMerge w:val="continue"/>
            <w:tcBorders>
              <w:top w:val="single" w:color="auto" w:sz="4" w:space="0"/>
              <w:left w:val="single" w:color="auto" w:sz="4" w:space="0"/>
              <w:bottom w:val="single" w:color="auto" w:sz="4" w:space="0"/>
              <w:right w:val="single" w:color="auto" w:sz="4" w:space="0"/>
            </w:tcBorders>
          </w:tcPr>
          <w:p>
            <w:pPr>
              <w:rPr>
                <w:sz w:val="24"/>
                <w:szCs w:val="24"/>
              </w:rPr>
            </w:pPr>
          </w:p>
        </w:tc>
        <w:tc>
          <w:tcPr>
            <w:tcW w:w="1170" w:type="dxa"/>
            <w:tcBorders>
              <w:top w:val="single" w:color="auto" w:sz="4" w:space="0"/>
              <w:left w:val="single" w:color="auto" w:sz="4" w:space="0"/>
              <w:bottom w:val="single" w:color="auto" w:sz="4" w:space="0"/>
              <w:right w:val="single" w:color="auto" w:sz="4" w:space="0"/>
            </w:tcBorders>
          </w:tcPr>
          <w:p>
            <w:pPr>
              <w:ind w:right="60"/>
              <w:rPr>
                <w:sz w:val="24"/>
                <w:szCs w:val="24"/>
              </w:rPr>
            </w:pPr>
            <w:r>
              <w:rPr>
                <w:sz w:val="24"/>
                <w:szCs w:val="24"/>
              </w:rPr>
              <w:t>CR</w:t>
            </w:r>
          </w:p>
        </w:tc>
        <w:tc>
          <w:tcPr>
            <w:tcW w:w="1170" w:type="dxa"/>
            <w:tcBorders>
              <w:top w:val="single" w:color="auto" w:sz="4" w:space="0"/>
              <w:left w:val="single" w:color="auto" w:sz="4" w:space="0"/>
              <w:bottom w:val="single" w:color="auto" w:sz="4" w:space="0"/>
              <w:right w:val="single" w:color="auto" w:sz="4" w:space="0"/>
            </w:tcBorders>
          </w:tcPr>
          <w:p>
            <w:pPr>
              <w:ind w:right="60"/>
              <w:jc w:val="center"/>
              <w:rPr>
                <w:sz w:val="24"/>
                <w:szCs w:val="24"/>
              </w:rPr>
            </w:pPr>
            <w:r>
              <w:rPr>
                <w:sz w:val="24"/>
                <w:szCs w:val="24"/>
              </w:rPr>
              <w:t>,481</w:t>
            </w:r>
          </w:p>
        </w:tc>
        <w:tc>
          <w:tcPr>
            <w:tcW w:w="900" w:type="dxa"/>
            <w:tcBorders>
              <w:top w:val="single" w:color="auto" w:sz="4" w:space="0"/>
              <w:left w:val="single" w:color="auto" w:sz="4" w:space="0"/>
              <w:bottom w:val="single" w:color="auto" w:sz="4" w:space="0"/>
              <w:right w:val="single" w:color="auto" w:sz="4" w:space="0"/>
            </w:tcBorders>
          </w:tcPr>
          <w:p>
            <w:pPr>
              <w:ind w:right="60"/>
              <w:jc w:val="center"/>
              <w:rPr>
                <w:sz w:val="24"/>
                <w:szCs w:val="24"/>
              </w:rPr>
            </w:pPr>
            <w:r>
              <w:rPr>
                <w:sz w:val="24"/>
                <w:szCs w:val="24"/>
              </w:rPr>
              <w:t>2,080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0" w:hRule="atLeast"/>
        </w:trPr>
        <w:tc>
          <w:tcPr>
            <w:tcW w:w="3595" w:type="dxa"/>
            <w:gridSpan w:val="4"/>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a. Dependent Variable: PBV</w:t>
            </w:r>
          </w:p>
        </w:tc>
      </w:tr>
    </w:tbl>
    <w:p>
      <w:pPr>
        <w:ind w:left="800" w:leftChars="400"/>
        <w:jc w:val="center"/>
        <w:rPr>
          <w:b/>
          <w:sz w:val="24"/>
          <w:szCs w:val="24"/>
          <w:vertAlign w:val="superscript"/>
        </w:rPr>
      </w:pPr>
    </w:p>
    <w:p>
      <w:pPr>
        <w:ind w:left="800" w:leftChars="400"/>
        <w:jc w:val="center"/>
        <w:rPr>
          <w:b/>
          <w:sz w:val="24"/>
          <w:szCs w:val="24"/>
          <w:vertAlign w:val="superscript"/>
        </w:rPr>
      </w:pPr>
    </w:p>
    <w:p>
      <w:pPr>
        <w:jc w:val="both"/>
        <w:rPr>
          <w:b/>
          <w:sz w:val="24"/>
          <w:szCs w:val="24"/>
          <w:vertAlign w:val="superscript"/>
        </w:rPr>
      </w:pPr>
    </w:p>
    <w:p>
      <w:pPr>
        <w:ind w:left="800" w:leftChars="400"/>
        <w:jc w:val="center"/>
        <w:rPr>
          <w:b/>
          <w:sz w:val="24"/>
          <w:szCs w:val="24"/>
          <w:vertAlign w:val="superscript"/>
        </w:rPr>
      </w:pPr>
    </w:p>
    <w:p>
      <w:pPr>
        <w:ind w:left="800" w:leftChars="400"/>
        <w:jc w:val="center"/>
        <w:rPr>
          <w:b/>
          <w:sz w:val="24"/>
          <w:szCs w:val="24"/>
          <w:vertAlign w:val="superscript"/>
        </w:rPr>
      </w:pPr>
    </w:p>
    <w:p>
      <w:pPr>
        <w:jc w:val="both"/>
        <w:rPr>
          <w:bCs/>
          <w:i/>
          <w:iCs/>
          <w:sz w:val="24"/>
          <w:szCs w:val="24"/>
          <w:lang w:val="id-ID"/>
        </w:rPr>
      </w:pPr>
    </w:p>
    <w:p>
      <w:pPr>
        <w:jc w:val="both"/>
        <w:rPr>
          <w:bCs/>
          <w:i/>
          <w:iCs/>
          <w:sz w:val="24"/>
          <w:szCs w:val="24"/>
          <w:lang w:val="id-ID"/>
        </w:rPr>
      </w:pPr>
    </w:p>
    <w:p>
      <w:pPr>
        <w:jc w:val="both"/>
        <w:rPr>
          <w:bCs/>
          <w:i/>
          <w:iCs/>
          <w:sz w:val="24"/>
          <w:szCs w:val="24"/>
          <w:lang w:val="id-ID"/>
        </w:rPr>
      </w:pPr>
    </w:p>
    <w:p>
      <w:pPr>
        <w:jc w:val="both"/>
        <w:rPr>
          <w:bCs/>
          <w:i/>
          <w:iCs/>
          <w:sz w:val="24"/>
          <w:szCs w:val="24"/>
          <w:lang w:val="id-ID"/>
        </w:rPr>
      </w:pPr>
    </w:p>
    <w:p>
      <w:pPr>
        <w:jc w:val="both"/>
        <w:rPr>
          <w:bCs/>
          <w:i/>
          <w:iCs/>
          <w:sz w:val="24"/>
          <w:szCs w:val="24"/>
          <w:lang w:val="id-ID"/>
        </w:rPr>
      </w:pPr>
    </w:p>
    <w:p>
      <w:pPr>
        <w:jc w:val="both"/>
        <w:rPr>
          <w:bCs/>
          <w:i/>
          <w:iCs/>
          <w:sz w:val="24"/>
          <w:szCs w:val="24"/>
          <w:lang w:val="id-ID"/>
        </w:rPr>
      </w:pPr>
    </w:p>
    <w:p>
      <w:pPr>
        <w:jc w:val="both"/>
        <w:rPr>
          <w:bCs/>
          <w:i/>
          <w:iCs/>
          <w:sz w:val="20"/>
          <w:szCs w:val="20"/>
          <w:lang w:val="id-ID"/>
        </w:rPr>
      </w:pPr>
      <w:r>
        <w:rPr>
          <w:bCs/>
          <w:i/>
          <w:iCs/>
          <w:sz w:val="20"/>
          <w:szCs w:val="20"/>
          <w:lang w:val="id-ID"/>
        </w:rPr>
        <w:t>(Sumber : Data diolah sendiri)</w:t>
      </w:r>
    </w:p>
    <w:p>
      <w:pPr>
        <w:ind w:firstLine="720"/>
        <w:jc w:val="both"/>
        <w:rPr>
          <w:bCs/>
          <w:sz w:val="24"/>
          <w:szCs w:val="24"/>
          <w:lang w:val="id-ID"/>
        </w:rPr>
      </w:pPr>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bCs/>
          <w:sz w:val="24"/>
          <w:szCs w:val="24"/>
          <w:lang w:val="id-ID"/>
        </w:rPr>
      </w:pPr>
      <w:r>
        <w:rPr>
          <w:bCs/>
          <w:sz w:val="24"/>
          <w:szCs w:val="24"/>
          <w:lang w:val="id-ID"/>
        </w:rPr>
        <w:t>Berdasarkan tabel 4.5 dapat diketahui bahwa nilai toleransi ROE sebesar 0,472 dan VIF sebesar 2,117. Nilai toleransi DER sebesar 0,484 dan VIF sebesar 2,065. Sedangkan CR nilai toleransinya sebesar 0,481 dan VIF 2,080. Dari semua variabel bebas yang diuji, menunjukkan tidak ada korelasi antar variabel bebas dalam model regresi dan memenuhi kriteria bahwa nilai toleransinya lebih besar dari 0,10 dan VIF lebih kecil dari 10.</w:t>
      </w:r>
    </w:p>
    <w:p>
      <w:pPr>
        <w:keepNext w:val="0"/>
        <w:keepLines w:val="0"/>
        <w:pageBreakBefore w:val="0"/>
        <w:widowControl/>
        <w:numPr>
          <w:ilvl w:val="0"/>
          <w:numId w:val="4"/>
        </w:numPr>
        <w:kinsoku/>
        <w:wordWrap/>
        <w:overflowPunct/>
        <w:topLinePunct w:val="0"/>
        <w:autoSpaceDE/>
        <w:autoSpaceDN/>
        <w:bidi w:val="0"/>
        <w:adjustRightInd/>
        <w:snapToGrid/>
        <w:spacing w:line="276" w:lineRule="auto"/>
        <w:jc w:val="both"/>
        <w:textAlignment w:val="auto"/>
        <w:outlineLvl w:val="2"/>
        <w:rPr>
          <w:b/>
          <w:sz w:val="24"/>
          <w:szCs w:val="24"/>
          <w:lang w:val="id-ID"/>
        </w:rPr>
      </w:pPr>
      <w:bookmarkStart w:id="30" w:name="_Toc8524"/>
      <w:bookmarkStart w:id="31" w:name="_Toc111397915"/>
      <w:bookmarkStart w:id="32" w:name="_Toc13727"/>
      <w:bookmarkStart w:id="33" w:name="_Toc16063"/>
      <w:bookmarkStart w:id="34" w:name="_Toc23812"/>
      <w:bookmarkStart w:id="35" w:name="_Toc7818"/>
      <w:r>
        <w:rPr>
          <w:b/>
          <w:sz w:val="24"/>
          <w:szCs w:val="24"/>
          <w:lang w:val="id-ID"/>
        </w:rPr>
        <w:t>Uji Autokorelasi</w:t>
      </w:r>
      <w:bookmarkEnd w:id="30"/>
      <w:bookmarkEnd w:id="31"/>
      <w:bookmarkEnd w:id="32"/>
      <w:bookmarkEnd w:id="33"/>
      <w:bookmarkEnd w:id="34"/>
      <w:bookmarkEnd w:id="35"/>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sans-serif"/>
          <w:sz w:val="24"/>
          <w:szCs w:val="24"/>
          <w:lang w:val="id-ID"/>
        </w:rPr>
      </w:pPr>
      <w:r>
        <w:rPr>
          <w:bCs/>
          <w:sz w:val="24"/>
          <w:szCs w:val="24"/>
          <w:lang w:val="id-ID"/>
        </w:rPr>
        <w:t>Tujuan dari uji autokorelasi adalah untuk menguji apakah dalam model regresi linier terdapat korelasi antara kesalahan pembaur pada periode t dan kesalahan pembaur pada periode t-1 (sebelumnya).</w:t>
      </w:r>
      <w:r>
        <w:rPr>
          <w:bCs/>
          <w:sz w:val="24"/>
          <w:szCs w:val="24"/>
        </w:rPr>
        <w:t xml:space="preserve"> </w:t>
      </w:r>
      <w:r>
        <w:rPr>
          <w:sz w:val="24"/>
          <w:szCs w:val="24"/>
          <w:lang w:val="id-ID"/>
        </w:rPr>
        <w:t xml:space="preserve">Uji autokorelasi menggunakan </w:t>
      </w:r>
      <w:r>
        <w:rPr>
          <w:i/>
          <w:iCs/>
          <w:sz w:val="24"/>
          <w:szCs w:val="24"/>
          <w:lang w:val="id-ID"/>
        </w:rPr>
        <w:t>Runs Test</w:t>
      </w:r>
      <w:r>
        <w:rPr>
          <w:sz w:val="24"/>
          <w:szCs w:val="24"/>
          <w:lang w:val="id-ID"/>
        </w:rPr>
        <w:t xml:space="preserve"> dengan kriteria jika nilai Asymp. Sig. (2-tailed) </w:t>
      </w:r>
      <w:r>
        <w:rPr>
          <w:rFonts w:eastAsia="sans-serif"/>
          <w:sz w:val="24"/>
          <w:szCs w:val="24"/>
          <w:lang w:val="id-ID"/>
        </w:rPr>
        <w:t>≥ 0,05 berarti data tidak terdapat autokorelasi dan sebaliknya jika Asymp. Sig. (2-tailed) ≤ 0,05 maka data terdapat autokorelasi.</w:t>
      </w:r>
    </w:p>
    <w:p>
      <w:pPr>
        <w:jc w:val="center"/>
        <w:outlineLvl w:val="4"/>
        <w:rPr>
          <w:b/>
          <w:bCs/>
          <w:sz w:val="24"/>
          <w:szCs w:val="24"/>
          <w:lang w:val="id-ID"/>
        </w:rPr>
      </w:pPr>
      <w:bookmarkStart w:id="36" w:name="_Toc30612"/>
      <w:r>
        <w:rPr>
          <w:b/>
          <w:bCs/>
          <w:sz w:val="24"/>
          <w:szCs w:val="24"/>
          <w:lang w:val="id-ID"/>
        </w:rPr>
        <w:t>Tabel 4.6</w:t>
      </w:r>
      <w:bookmarkEnd w:id="36"/>
    </w:p>
    <w:p>
      <w:pPr>
        <w:jc w:val="center"/>
        <w:outlineLvl w:val="4"/>
        <w:rPr>
          <w:b/>
          <w:bCs/>
          <w:sz w:val="24"/>
          <w:szCs w:val="24"/>
          <w:lang w:val="id-ID"/>
        </w:rPr>
      </w:pPr>
      <w:bookmarkStart w:id="37" w:name="_Toc28358"/>
      <w:r>
        <w:rPr>
          <w:b/>
          <w:bCs/>
          <w:sz w:val="24"/>
          <w:szCs w:val="24"/>
          <w:lang w:val="id-ID"/>
        </w:rPr>
        <w:t>Hasil Uji Autokorelasi</w:t>
      </w:r>
      <w:bookmarkEnd w:id="37"/>
    </w:p>
    <w:p>
      <w:pPr>
        <w:jc w:val="center"/>
        <w:rPr>
          <w:sz w:val="24"/>
          <w:szCs w:val="24"/>
        </w:rPr>
      </w:pPr>
      <w:r>
        <w:rPr>
          <w:b/>
          <w:bCs/>
          <w:sz w:val="24"/>
          <w:szCs w:val="24"/>
          <w:lang w:val="id-ID"/>
        </w:rPr>
        <w:t>Runs Test</w:t>
      </w:r>
    </w:p>
    <w:tbl>
      <w:tblPr>
        <w:tblStyle w:val="3"/>
        <w:tblW w:w="404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5"/>
        <w:gridCol w:w="17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vAlign w:val="bottom"/>
          </w:tcPr>
          <w:p>
            <w:pPr>
              <w:rPr>
                <w:sz w:val="22"/>
                <w:szCs w:val="22"/>
              </w:rPr>
            </w:pPr>
          </w:p>
        </w:tc>
        <w:tc>
          <w:tcPr>
            <w:tcW w:w="1710" w:type="dxa"/>
            <w:tcBorders>
              <w:top w:val="single" w:color="auto" w:sz="4" w:space="0"/>
              <w:left w:val="single" w:color="auto" w:sz="4" w:space="0"/>
              <w:bottom w:val="single" w:color="auto" w:sz="4" w:space="0"/>
              <w:right w:val="single" w:color="auto" w:sz="4" w:space="0"/>
            </w:tcBorders>
            <w:vAlign w:val="bottom"/>
          </w:tcPr>
          <w:p>
            <w:pPr>
              <w:ind w:left="60" w:right="60"/>
              <w:jc w:val="center"/>
              <w:rPr>
                <w:sz w:val="22"/>
                <w:szCs w:val="22"/>
              </w:rPr>
            </w:pPr>
            <w:r>
              <w:rPr>
                <w:sz w:val="22"/>
                <w:szCs w:val="22"/>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Test Value</w:t>
            </w:r>
            <w:r>
              <w:rPr>
                <w:sz w:val="22"/>
                <w:szCs w:val="22"/>
                <w:vertAlign w:val="superscript"/>
              </w:rPr>
              <w:t>a</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-,88755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Cases &lt; Test Value</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Cases &gt;= Test Value</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Total Cases</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Number of Runs</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Z</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,713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35" w:type="dxa"/>
            <w:tcBorders>
              <w:top w:val="single" w:color="auto" w:sz="4" w:space="0"/>
              <w:left w:val="single" w:color="auto" w:sz="4" w:space="0"/>
              <w:bottom w:val="single" w:color="auto" w:sz="4" w:space="0"/>
              <w:right w:val="single" w:color="auto" w:sz="4" w:space="0"/>
            </w:tcBorders>
          </w:tcPr>
          <w:p>
            <w:pPr>
              <w:ind w:left="60" w:right="60"/>
              <w:rPr>
                <w:sz w:val="22"/>
                <w:szCs w:val="22"/>
              </w:rPr>
            </w:pPr>
            <w:r>
              <w:rPr>
                <w:sz w:val="22"/>
                <w:szCs w:val="22"/>
              </w:rPr>
              <w:t>Asymp. Sig. (2-tailed)</w:t>
            </w:r>
          </w:p>
        </w:tc>
        <w:tc>
          <w:tcPr>
            <w:tcW w:w="1710" w:type="dxa"/>
            <w:tcBorders>
              <w:top w:val="single" w:color="auto" w:sz="4" w:space="0"/>
              <w:left w:val="single" w:color="auto" w:sz="4" w:space="0"/>
              <w:bottom w:val="single" w:color="auto" w:sz="4" w:space="0"/>
              <w:right w:val="single" w:color="auto" w:sz="4" w:space="0"/>
            </w:tcBorders>
          </w:tcPr>
          <w:p>
            <w:pPr>
              <w:ind w:left="60" w:right="60"/>
              <w:jc w:val="right"/>
              <w:rPr>
                <w:sz w:val="22"/>
                <w:szCs w:val="22"/>
              </w:rPr>
            </w:pPr>
            <w:r>
              <w:rPr>
                <w:sz w:val="22"/>
                <w:szCs w:val="22"/>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045" w:type="dxa"/>
            <w:gridSpan w:val="2"/>
            <w:tcBorders>
              <w:top w:val="single" w:color="auto" w:sz="4" w:space="0"/>
              <w:left w:val="single" w:color="auto" w:sz="4" w:space="0"/>
              <w:bottom w:val="single" w:color="auto" w:sz="4" w:space="0"/>
              <w:right w:val="single" w:color="auto" w:sz="4" w:space="0"/>
            </w:tcBorders>
            <w:shd w:val="clear" w:color="auto" w:fill="FFFFFF"/>
          </w:tcPr>
          <w:p>
            <w:pPr>
              <w:ind w:left="60" w:right="60"/>
              <w:rPr>
                <w:color w:val="010205"/>
                <w:sz w:val="22"/>
                <w:szCs w:val="22"/>
              </w:rPr>
            </w:pPr>
            <w:r>
              <w:rPr>
                <w:color w:val="010205"/>
                <w:sz w:val="22"/>
                <w:szCs w:val="22"/>
              </w:rPr>
              <w:t>a. Median</w:t>
            </w:r>
          </w:p>
        </w:tc>
      </w:tr>
    </w:tbl>
    <w:p>
      <w:pPr>
        <w:jc w:val="both"/>
        <w:rPr>
          <w:rFonts w:eastAsia="sans-serif"/>
          <w:i/>
          <w:iCs/>
          <w:sz w:val="20"/>
          <w:szCs w:val="20"/>
          <w:lang w:val="id-ID"/>
        </w:rPr>
      </w:pPr>
      <w:r>
        <w:rPr>
          <w:rFonts w:eastAsia="sans-serif"/>
          <w:i/>
          <w:iCs/>
          <w:sz w:val="20"/>
          <w:szCs w:val="20"/>
          <w:lang w:val="id-ID"/>
        </w:rPr>
        <w:t>(Sumber : Data diolah sendiri)</w:t>
      </w:r>
    </w:p>
    <w:p>
      <w:pPr>
        <w:ind w:firstLine="720"/>
        <w:jc w:val="both"/>
        <w:rPr>
          <w:rFonts w:eastAsia="sans-serif"/>
          <w:sz w:val="24"/>
          <w:szCs w:val="24"/>
          <w:lang w:val="id-ID"/>
        </w:rPr>
      </w:pPr>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sans-serif"/>
          <w:sz w:val="24"/>
          <w:szCs w:val="24"/>
          <w:lang w:val="id-ID"/>
        </w:rPr>
      </w:pPr>
      <w:r>
        <w:rPr>
          <w:rFonts w:eastAsia="sans-serif"/>
          <w:sz w:val="24"/>
          <w:szCs w:val="24"/>
          <w:lang w:val="id-ID"/>
        </w:rPr>
        <w:t xml:space="preserve">Tabel 4.6 menunjukkan bahwa Asymp. Sig. (2-tailed) menunjukkan nilai 0,476 yang berarti nilai tersebut lebih besar dari nilai kriteria Asymp. Sig. (2-tailed) ≥ 0,05 yang berarti data yang digunakan dalam penelitian ini tidak menunjukkan gejala autokorelasi. </w:t>
      </w:r>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sans-serif"/>
          <w:sz w:val="24"/>
          <w:szCs w:val="24"/>
          <w:lang w:val="id-ID"/>
        </w:rPr>
      </w:pPr>
    </w:p>
    <w:p>
      <w:pPr>
        <w:keepNext w:val="0"/>
        <w:keepLines w:val="0"/>
        <w:pageBreakBefore w:val="0"/>
        <w:widowControl/>
        <w:numPr>
          <w:ilvl w:val="0"/>
          <w:numId w:val="4"/>
        </w:numPr>
        <w:kinsoku/>
        <w:wordWrap/>
        <w:overflowPunct/>
        <w:topLinePunct w:val="0"/>
        <w:autoSpaceDE/>
        <w:autoSpaceDN/>
        <w:bidi w:val="0"/>
        <w:adjustRightInd/>
        <w:snapToGrid/>
        <w:spacing w:line="276" w:lineRule="auto"/>
        <w:jc w:val="both"/>
        <w:textAlignment w:val="auto"/>
        <w:outlineLvl w:val="2"/>
        <w:rPr>
          <w:rFonts w:eastAsia="sans-serif"/>
          <w:b/>
          <w:bCs/>
          <w:sz w:val="24"/>
          <w:szCs w:val="24"/>
          <w:lang w:val="id-ID"/>
        </w:rPr>
      </w:pPr>
      <w:bookmarkStart w:id="38" w:name="_Toc18400"/>
      <w:bookmarkStart w:id="39" w:name="_Toc21667"/>
      <w:bookmarkStart w:id="40" w:name="_Toc11731"/>
      <w:bookmarkStart w:id="41" w:name="_Toc7849"/>
      <w:bookmarkStart w:id="42" w:name="_Toc27691"/>
      <w:bookmarkStart w:id="43" w:name="_Toc111397916"/>
      <w:r>
        <w:rPr>
          <w:rFonts w:eastAsia="sans-serif"/>
          <w:b/>
          <w:bCs/>
          <w:sz w:val="24"/>
          <w:szCs w:val="24"/>
          <w:lang w:val="id-ID"/>
        </w:rPr>
        <w:t>Uji Heteroskedastisitas</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color w:val="000000"/>
          <w:sz w:val="24"/>
          <w:szCs w:val="24"/>
          <w:lang w:val="id-ID" w:bidi="ar"/>
        </w:rPr>
      </w:pPr>
      <w:r>
        <w:rPr>
          <w:rFonts w:eastAsia="sans-serif"/>
          <w:sz w:val="24"/>
          <w:szCs w:val="24"/>
          <w:lang w:val="id-ID"/>
        </w:rPr>
        <w:t>Tujuan dari uji heteroskedastisitas adalah untuk menguji apakah dalam model regresi terdapat ketimpangan varians dari residual satu pengamatan ke pengamatan lainnya. Pada penelitian ini, uji heteroskedastisitas dengan melihat gambar Scatterplot yang dibantu menggunakan SPSS versi 25</w:t>
      </w:r>
      <w:r>
        <w:rPr>
          <w:color w:val="000000"/>
          <w:sz w:val="24"/>
          <w:szCs w:val="24"/>
          <w:lang w:val="id-ID" w:bidi="ar"/>
        </w:rPr>
        <w:t xml:space="preserve">. </w:t>
      </w:r>
    </w:p>
    <w:p>
      <w:pPr>
        <w:jc w:val="center"/>
        <w:outlineLvl w:val="0"/>
        <w:rPr>
          <w:b/>
          <w:bCs/>
          <w:sz w:val="24"/>
          <w:szCs w:val="24"/>
          <w:lang w:val="id-ID"/>
        </w:rPr>
      </w:pPr>
      <w:bookmarkStart w:id="44" w:name="_Toc110864447"/>
      <w:bookmarkStart w:id="45" w:name="_Toc7577"/>
      <w:bookmarkStart w:id="46" w:name="_Toc111397917"/>
      <w:bookmarkStart w:id="47" w:name="_Toc110271791"/>
      <w:bookmarkStart w:id="48" w:name="_Toc2616"/>
      <w:r>
        <w:rPr>
          <w:b/>
          <w:bCs/>
          <w:sz w:val="24"/>
          <w:szCs w:val="24"/>
          <w:lang w:val="id-ID"/>
        </w:rPr>
        <w:t>Gambar 4.1</w:t>
      </w:r>
      <w:bookmarkEnd w:id="44"/>
      <w:bookmarkEnd w:id="45"/>
      <w:bookmarkEnd w:id="46"/>
      <w:bookmarkEnd w:id="47"/>
      <w:bookmarkEnd w:id="48"/>
    </w:p>
    <w:p>
      <w:pPr>
        <w:jc w:val="center"/>
        <w:outlineLvl w:val="0"/>
        <w:rPr>
          <w:sz w:val="24"/>
          <w:szCs w:val="24"/>
          <w:lang w:val="id-ID"/>
        </w:rPr>
      </w:pPr>
      <w:bookmarkStart w:id="49" w:name="_Toc111397918"/>
      <w:bookmarkStart w:id="50" w:name="_Toc32750"/>
      <w:bookmarkStart w:id="51" w:name="_Toc110864448"/>
      <w:bookmarkStart w:id="52" w:name="_Toc496"/>
      <w:bookmarkStart w:id="53" w:name="_Toc110271792"/>
      <w:r>
        <w:rPr>
          <w:b/>
          <w:bCs/>
          <w:sz w:val="24"/>
          <w:szCs w:val="24"/>
          <w:lang w:val="id-ID"/>
        </w:rPr>
        <w:t>Hasil Uji Heteroskedastisitas</w:t>
      </w:r>
      <w:bookmarkEnd w:id="49"/>
      <w:bookmarkEnd w:id="50"/>
      <w:bookmarkEnd w:id="51"/>
      <w:bookmarkEnd w:id="52"/>
      <w:bookmarkEnd w:id="53"/>
    </w:p>
    <w:p>
      <w:pPr>
        <w:jc w:val="center"/>
        <w:rPr>
          <w:rFonts w:eastAsia="Times New Roman"/>
          <w:sz w:val="24"/>
          <w:szCs w:val="24"/>
        </w:rPr>
      </w:pPr>
      <w:r>
        <w:rPr>
          <w:sz w:val="24"/>
          <w:szCs w:val="24"/>
          <w:lang w:val="id-ID" w:eastAsia="id-ID"/>
        </w:rPr>
        <w:drawing>
          <wp:inline distT="0" distB="0" distL="114300" distR="114300">
            <wp:extent cx="2717165" cy="1600200"/>
            <wp:effectExtent l="0" t="0" r="698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8"/>
                    <a:stretch>
                      <a:fillRect/>
                    </a:stretch>
                  </pic:blipFill>
                  <pic:spPr>
                    <a:xfrm>
                      <a:off x="0" y="0"/>
                      <a:ext cx="2735729" cy="1610855"/>
                    </a:xfrm>
                    <a:prstGeom prst="rect">
                      <a:avLst/>
                    </a:prstGeom>
                    <a:noFill/>
                    <a:ln>
                      <a:noFill/>
                    </a:ln>
                  </pic:spPr>
                </pic:pic>
              </a:graphicData>
            </a:graphic>
          </wp:inline>
        </w:drawing>
      </w:r>
    </w:p>
    <w:p>
      <w:pPr>
        <w:ind w:left="400" w:leftChars="200"/>
        <w:rPr>
          <w:rFonts w:eastAsia="Times New Roman"/>
          <w:i/>
          <w:iCs/>
          <w:sz w:val="20"/>
          <w:szCs w:val="20"/>
          <w:lang w:val="id-ID"/>
        </w:rPr>
      </w:pPr>
      <w:r>
        <w:rPr>
          <w:rFonts w:eastAsia="Times New Roman"/>
          <w:i/>
          <w:iCs/>
          <w:sz w:val="20"/>
          <w:szCs w:val="20"/>
          <w:lang w:val="id-ID"/>
        </w:rPr>
        <w:t>(Sumber : Data diolah sendiri)</w:t>
      </w:r>
    </w:p>
    <w:p>
      <w:pPr>
        <w:ind w:left="400" w:leftChars="200"/>
        <w:rPr>
          <w:rFonts w:eastAsia="Times New Roman"/>
          <w:i/>
          <w:iCs/>
          <w:sz w:val="24"/>
          <w:szCs w:val="24"/>
          <w:lang w:val="id-ID"/>
        </w:rPr>
      </w:pPr>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rFonts w:eastAsia="Times New Roman"/>
          <w:sz w:val="24"/>
          <w:szCs w:val="24"/>
          <w:lang w:val="id-ID"/>
        </w:rPr>
      </w:pPr>
      <w:r>
        <w:rPr>
          <w:rFonts w:eastAsia="Times New Roman"/>
          <w:sz w:val="24"/>
          <w:szCs w:val="24"/>
          <w:lang w:val="id-ID"/>
        </w:rPr>
        <w:t>Berdasarkan Gambar 4.1 dapat diketahui bahwa grafik tidak membentu pola yang jelas dan titik-titik pada hasil pengujian tersebut menyebar di bawah maupun di atas 0 di sumbu Y. sehingga dapat ditarik kesimpulan bahwa tidak terjadi heteroskedastisitas dalam model regresi tersebut.</w:t>
      </w:r>
      <w:bookmarkStart w:id="54" w:name="_Toc20377"/>
      <w:bookmarkStart w:id="55" w:name="_Toc14820"/>
      <w:bookmarkStart w:id="56" w:name="_Toc5557"/>
      <w:bookmarkStart w:id="57" w:name="_Toc15934"/>
      <w:bookmarkStart w:id="58" w:name="_Toc111397919"/>
      <w:bookmarkStart w:id="59" w:name="_Toc19773"/>
    </w:p>
    <w:p>
      <w:pPr>
        <w:jc w:val="both"/>
        <w:rPr>
          <w:rFonts w:eastAsia="Times New Roman"/>
          <w:sz w:val="24"/>
          <w:szCs w:val="24"/>
          <w:lang w:val="id-ID"/>
        </w:rPr>
        <w:sectPr>
          <w:type w:val="continuous"/>
          <w:pgSz w:w="12240" w:h="15840"/>
          <w:pgMar w:top="1440" w:right="1440" w:bottom="1440" w:left="1440" w:header="720" w:footer="720" w:gutter="0"/>
          <w:cols w:equalWidth="0" w:num="2">
            <w:col w:w="4467" w:space="425"/>
            <w:col w:w="4467"/>
          </w:cols>
          <w:docGrid w:linePitch="360" w:charSpace="0"/>
        </w:sectPr>
      </w:pPr>
    </w:p>
    <w:p>
      <w:pPr>
        <w:jc w:val="both"/>
        <w:outlineLvl w:val="1"/>
        <w:rPr>
          <w:b/>
          <w:bCs/>
          <w:color w:val="000000"/>
          <w:sz w:val="24"/>
          <w:szCs w:val="24"/>
          <w:lang w:val="id-ID" w:bidi="ar"/>
        </w:rPr>
      </w:pPr>
    </w:p>
    <w:bookmarkEnd w:id="54"/>
    <w:bookmarkEnd w:id="55"/>
    <w:bookmarkEnd w:id="56"/>
    <w:bookmarkEnd w:id="57"/>
    <w:bookmarkEnd w:id="58"/>
    <w:bookmarkEnd w:id="59"/>
    <w:p>
      <w:pPr>
        <w:pStyle w:val="8"/>
        <w:numPr>
          <w:ilvl w:val="0"/>
          <w:numId w:val="5"/>
        </w:numPr>
        <w:ind w:left="0" w:leftChars="0" w:firstLine="0" w:firstLineChars="0"/>
        <w:jc w:val="both"/>
        <w:outlineLvl w:val="1"/>
        <w:rPr>
          <w:b/>
          <w:bCs/>
          <w:color w:val="000000"/>
          <w:sz w:val="24"/>
          <w:szCs w:val="24"/>
          <w:lang w:val="id-ID" w:bidi="ar"/>
        </w:rPr>
        <w:sectPr>
          <w:headerReference r:id="rId5" w:type="default"/>
          <w:footerReference r:id="rId6" w:type="default"/>
          <w:type w:val="continuous"/>
          <w:pgSz w:w="12240" w:h="15840"/>
          <w:pgMar w:top="1440" w:right="1440" w:bottom="1440" w:left="1440" w:header="720" w:footer="720" w:gutter="0"/>
          <w:cols w:equalWidth="0" w:num="2">
            <w:col w:w="4467" w:space="425"/>
            <w:col w:w="4467"/>
          </w:cols>
          <w:docGrid w:linePitch="360" w:charSpace="0"/>
        </w:sectPr>
      </w:pPr>
    </w:p>
    <w:p>
      <w:pPr>
        <w:pStyle w:val="8"/>
        <w:numPr>
          <w:ilvl w:val="0"/>
          <w:numId w:val="5"/>
        </w:numPr>
        <w:ind w:left="0" w:leftChars="0" w:firstLine="0" w:firstLineChars="0"/>
        <w:jc w:val="both"/>
        <w:outlineLvl w:val="1"/>
        <w:rPr>
          <w:b/>
          <w:bCs/>
          <w:color w:val="000000"/>
          <w:sz w:val="24"/>
          <w:szCs w:val="24"/>
          <w:lang w:val="id-ID" w:bidi="ar"/>
        </w:rPr>
      </w:pPr>
      <w:r>
        <w:rPr>
          <w:b/>
          <w:bCs/>
          <w:color w:val="000000"/>
          <w:sz w:val="24"/>
          <w:szCs w:val="24"/>
          <w:lang w:val="id-ID" w:bidi="ar"/>
        </w:rPr>
        <w:t>Analisis Regresi Linier Berganda</w:t>
      </w:r>
    </w:p>
    <w:p>
      <w:pPr>
        <w:ind w:left="400" w:leftChars="200"/>
        <w:jc w:val="center"/>
        <w:outlineLvl w:val="4"/>
        <w:rPr>
          <w:b/>
          <w:bCs/>
          <w:color w:val="000000"/>
          <w:sz w:val="24"/>
          <w:szCs w:val="24"/>
          <w:lang w:val="id-ID" w:bidi="ar"/>
        </w:rPr>
      </w:pPr>
      <w:bookmarkStart w:id="60" w:name="_Toc22457"/>
      <w:r>
        <w:rPr>
          <w:b/>
          <w:bCs/>
          <w:color w:val="000000"/>
          <w:sz w:val="24"/>
          <w:szCs w:val="24"/>
          <w:lang w:val="id-ID" w:bidi="ar"/>
        </w:rPr>
        <w:t>Tabel 4.7</w:t>
      </w:r>
      <w:bookmarkEnd w:id="60"/>
    </w:p>
    <w:p>
      <w:pPr>
        <w:ind w:left="400" w:leftChars="200"/>
        <w:jc w:val="center"/>
        <w:outlineLvl w:val="4"/>
        <w:rPr>
          <w:color w:val="000000"/>
          <w:sz w:val="24"/>
          <w:szCs w:val="24"/>
          <w:lang w:val="id-ID" w:bidi="ar"/>
        </w:rPr>
      </w:pPr>
      <w:bookmarkStart w:id="61" w:name="_Toc17120"/>
      <w:r>
        <w:rPr>
          <w:b/>
          <w:bCs/>
          <w:color w:val="000000"/>
          <w:sz w:val="24"/>
          <w:szCs w:val="24"/>
          <w:lang w:val="id-ID" w:bidi="ar"/>
        </w:rPr>
        <w:t>Hasil Uji Regresi Linier Berganda</w:t>
      </w:r>
      <w:bookmarkEnd w:id="61"/>
    </w:p>
    <w:p>
      <w:pPr>
        <w:ind w:left="400" w:leftChars="200"/>
        <w:jc w:val="center"/>
        <w:rPr>
          <w:sz w:val="24"/>
          <w:szCs w:val="24"/>
        </w:rPr>
      </w:pPr>
      <w:r>
        <w:rPr>
          <w:b/>
          <w:color w:val="010205"/>
          <w:sz w:val="24"/>
          <w:szCs w:val="24"/>
        </w:rPr>
        <w:t>Coefficients</w:t>
      </w:r>
      <w:r>
        <w:rPr>
          <w:b/>
          <w:color w:val="010205"/>
          <w:sz w:val="24"/>
          <w:szCs w:val="24"/>
          <w:vertAlign w:val="superscript"/>
        </w:rPr>
        <w:t>a</w:t>
      </w:r>
    </w:p>
    <w:tbl>
      <w:tblPr>
        <w:tblStyle w:val="3"/>
        <w:tblpPr w:leftFromText="180" w:rightFromText="180" w:vertAnchor="text" w:horzAnchor="page" w:tblpX="2677" w:tblpY="356"/>
        <w:tblOverlap w:val="never"/>
        <w:tblW w:w="727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6"/>
        <w:gridCol w:w="1214"/>
        <w:gridCol w:w="1086"/>
        <w:gridCol w:w="1087"/>
        <w:gridCol w:w="1437"/>
        <w:gridCol w:w="798"/>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55" w:hRule="atLeast"/>
        </w:trPr>
        <w:tc>
          <w:tcPr>
            <w:tcW w:w="1970" w:type="dxa"/>
            <w:gridSpan w:val="2"/>
            <w:vMerge w:val="restart"/>
            <w:tcBorders>
              <w:top w:val="single" w:color="auto" w:sz="4" w:space="0"/>
              <w:left w:val="single" w:color="auto" w:sz="4" w:space="0"/>
              <w:bottom w:val="single" w:color="auto" w:sz="4" w:space="0"/>
              <w:right w:val="single" w:color="auto" w:sz="4" w:space="0"/>
            </w:tcBorders>
            <w:vAlign w:val="bottom"/>
          </w:tcPr>
          <w:p>
            <w:pPr>
              <w:ind w:left="60" w:right="60"/>
              <w:rPr>
                <w:sz w:val="24"/>
                <w:szCs w:val="24"/>
              </w:rPr>
            </w:pPr>
            <w:r>
              <w:rPr>
                <w:sz w:val="24"/>
                <w:szCs w:val="24"/>
              </w:rPr>
              <w:t>Model</w:t>
            </w:r>
          </w:p>
        </w:tc>
        <w:tc>
          <w:tcPr>
            <w:tcW w:w="2173" w:type="dxa"/>
            <w:gridSpan w:val="2"/>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Unstandardized Coefficients</w:t>
            </w:r>
          </w:p>
        </w:tc>
        <w:tc>
          <w:tcPr>
            <w:tcW w:w="1437" w:type="dxa"/>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Standardized Coefficients</w:t>
            </w:r>
          </w:p>
        </w:tc>
        <w:tc>
          <w:tcPr>
            <w:tcW w:w="798" w:type="dxa"/>
            <w:vMerge w:val="restart"/>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t</w:t>
            </w:r>
          </w:p>
        </w:tc>
        <w:tc>
          <w:tcPr>
            <w:tcW w:w="900" w:type="dxa"/>
            <w:vMerge w:val="restart"/>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trPr>
        <w:tc>
          <w:tcPr>
            <w:tcW w:w="1970" w:type="dxa"/>
            <w:gridSpan w:val="2"/>
            <w:vMerge w:val="continue"/>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086" w:type="dxa"/>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B</w:t>
            </w:r>
          </w:p>
        </w:tc>
        <w:tc>
          <w:tcPr>
            <w:tcW w:w="1087" w:type="dxa"/>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Std. Error</w:t>
            </w:r>
          </w:p>
        </w:tc>
        <w:tc>
          <w:tcPr>
            <w:tcW w:w="1437" w:type="dxa"/>
            <w:tcBorders>
              <w:top w:val="single" w:color="auto" w:sz="4" w:space="0"/>
              <w:left w:val="single" w:color="auto" w:sz="4" w:space="0"/>
              <w:bottom w:val="single" w:color="auto" w:sz="4" w:space="0"/>
              <w:right w:val="single" w:color="auto" w:sz="4" w:space="0"/>
            </w:tcBorders>
            <w:vAlign w:val="bottom"/>
          </w:tcPr>
          <w:p>
            <w:pPr>
              <w:ind w:left="60" w:right="60"/>
              <w:jc w:val="center"/>
              <w:rPr>
                <w:sz w:val="24"/>
                <w:szCs w:val="24"/>
              </w:rPr>
            </w:pPr>
            <w:r>
              <w:rPr>
                <w:sz w:val="24"/>
                <w:szCs w:val="24"/>
              </w:rPr>
              <w:t>Beta</w:t>
            </w:r>
          </w:p>
        </w:tc>
        <w:tc>
          <w:tcPr>
            <w:tcW w:w="798" w:type="dxa"/>
            <w:vMerge w:val="continue"/>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bottom"/>
          </w:tcPr>
          <w:p>
            <w:pPr>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 w:type="dxa"/>
            <w:vMerge w:val="restart"/>
            <w:tcBorders>
              <w:top w:val="single" w:color="auto" w:sz="4" w:space="0"/>
              <w:left w:val="single" w:color="auto" w:sz="4" w:space="0"/>
              <w:bottom w:val="single" w:color="auto" w:sz="4" w:space="0"/>
              <w:right w:val="single" w:color="auto" w:sz="4" w:space="0"/>
            </w:tcBorders>
          </w:tcPr>
          <w:p>
            <w:pPr>
              <w:ind w:left="60" w:right="60"/>
              <w:rPr>
                <w:sz w:val="24"/>
                <w:szCs w:val="24"/>
              </w:rPr>
            </w:pPr>
            <w:r>
              <w:rPr>
                <w:sz w:val="24"/>
                <w:szCs w:val="24"/>
              </w:rPr>
              <w:t>1</w:t>
            </w:r>
          </w:p>
        </w:tc>
        <w:tc>
          <w:tcPr>
            <w:tcW w:w="1214" w:type="dxa"/>
            <w:tcBorders>
              <w:top w:val="single" w:color="auto" w:sz="4" w:space="0"/>
              <w:left w:val="single" w:color="auto" w:sz="4" w:space="0"/>
              <w:bottom w:val="single" w:color="auto" w:sz="4" w:space="0"/>
              <w:right w:val="single" w:color="auto" w:sz="4" w:space="0"/>
            </w:tcBorders>
          </w:tcPr>
          <w:p>
            <w:pPr>
              <w:ind w:left="60" w:right="60"/>
              <w:rPr>
                <w:sz w:val="24"/>
                <w:szCs w:val="24"/>
              </w:rPr>
            </w:pPr>
            <w:r>
              <w:rPr>
                <w:sz w:val="24"/>
                <w:szCs w:val="24"/>
              </w:rPr>
              <w:t>(Constant)</w:t>
            </w:r>
          </w:p>
        </w:tc>
        <w:tc>
          <w:tcPr>
            <w:tcW w:w="1086"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1,266</w:t>
            </w:r>
          </w:p>
        </w:tc>
        <w:tc>
          <w:tcPr>
            <w:tcW w:w="108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2,543</w:t>
            </w:r>
          </w:p>
        </w:tc>
        <w:tc>
          <w:tcPr>
            <w:tcW w:w="1437"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798"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,498</w:t>
            </w:r>
          </w:p>
        </w:tc>
        <w:tc>
          <w:tcPr>
            <w:tcW w:w="900"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,622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 w:type="dxa"/>
            <w:vMerge w:val="continue"/>
            <w:tcBorders>
              <w:top w:val="single" w:color="auto" w:sz="4" w:space="0"/>
              <w:left w:val="single" w:color="auto" w:sz="4" w:space="0"/>
              <w:bottom w:val="single" w:color="auto" w:sz="4" w:space="0"/>
              <w:right w:val="single" w:color="auto" w:sz="4" w:space="0"/>
            </w:tcBorders>
          </w:tcPr>
          <w:p>
            <w:pPr>
              <w:rPr>
                <w:sz w:val="24"/>
                <w:szCs w:val="24"/>
              </w:rPr>
            </w:pPr>
          </w:p>
        </w:tc>
        <w:tc>
          <w:tcPr>
            <w:tcW w:w="1214" w:type="dxa"/>
            <w:tcBorders>
              <w:top w:val="single" w:color="auto" w:sz="4" w:space="0"/>
              <w:left w:val="single" w:color="auto" w:sz="4" w:space="0"/>
              <w:bottom w:val="single" w:color="auto" w:sz="4" w:space="0"/>
              <w:right w:val="single" w:color="auto" w:sz="4" w:space="0"/>
            </w:tcBorders>
          </w:tcPr>
          <w:p>
            <w:pPr>
              <w:ind w:left="60" w:right="60"/>
              <w:rPr>
                <w:sz w:val="24"/>
                <w:szCs w:val="24"/>
              </w:rPr>
            </w:pPr>
            <w:r>
              <w:rPr>
                <w:sz w:val="24"/>
                <w:szCs w:val="24"/>
              </w:rPr>
              <w:t>ROE</w:t>
            </w:r>
          </w:p>
        </w:tc>
        <w:tc>
          <w:tcPr>
            <w:tcW w:w="1086"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,259</w:t>
            </w:r>
          </w:p>
        </w:tc>
        <w:tc>
          <w:tcPr>
            <w:tcW w:w="108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10,377</w:t>
            </w:r>
          </w:p>
        </w:tc>
        <w:tc>
          <w:tcPr>
            <w:tcW w:w="143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,007</w:t>
            </w:r>
          </w:p>
        </w:tc>
        <w:tc>
          <w:tcPr>
            <w:tcW w:w="798"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,025</w:t>
            </w:r>
          </w:p>
        </w:tc>
        <w:tc>
          <w:tcPr>
            <w:tcW w:w="900"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 w:type="dxa"/>
            <w:vMerge w:val="continue"/>
            <w:tcBorders>
              <w:top w:val="single" w:color="auto" w:sz="4" w:space="0"/>
              <w:left w:val="single" w:color="auto" w:sz="4" w:space="0"/>
              <w:bottom w:val="single" w:color="auto" w:sz="4" w:space="0"/>
              <w:right w:val="single" w:color="auto" w:sz="4" w:space="0"/>
            </w:tcBorders>
          </w:tcPr>
          <w:p>
            <w:pPr>
              <w:rPr>
                <w:sz w:val="24"/>
                <w:szCs w:val="24"/>
              </w:rPr>
            </w:pPr>
          </w:p>
        </w:tc>
        <w:tc>
          <w:tcPr>
            <w:tcW w:w="1214" w:type="dxa"/>
            <w:tcBorders>
              <w:top w:val="single" w:color="auto" w:sz="4" w:space="0"/>
              <w:left w:val="single" w:color="auto" w:sz="4" w:space="0"/>
              <w:bottom w:val="single" w:color="auto" w:sz="4" w:space="0"/>
              <w:right w:val="single" w:color="auto" w:sz="4" w:space="0"/>
            </w:tcBorders>
          </w:tcPr>
          <w:p>
            <w:pPr>
              <w:ind w:left="60" w:right="60"/>
              <w:rPr>
                <w:sz w:val="24"/>
                <w:szCs w:val="24"/>
              </w:rPr>
            </w:pPr>
            <w:r>
              <w:rPr>
                <w:sz w:val="24"/>
                <w:szCs w:val="24"/>
              </w:rPr>
              <w:t>DER</w:t>
            </w:r>
          </w:p>
        </w:tc>
        <w:tc>
          <w:tcPr>
            <w:tcW w:w="1086"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,617</w:t>
            </w:r>
          </w:p>
        </w:tc>
        <w:tc>
          <w:tcPr>
            <w:tcW w:w="108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,750</w:t>
            </w:r>
          </w:p>
        </w:tc>
        <w:tc>
          <w:tcPr>
            <w:tcW w:w="143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,217</w:t>
            </w:r>
          </w:p>
        </w:tc>
        <w:tc>
          <w:tcPr>
            <w:tcW w:w="798"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,823</w:t>
            </w:r>
          </w:p>
        </w:tc>
        <w:tc>
          <w:tcPr>
            <w:tcW w:w="900"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 w:type="dxa"/>
            <w:vMerge w:val="continue"/>
            <w:tcBorders>
              <w:top w:val="single" w:color="auto" w:sz="4" w:space="0"/>
              <w:left w:val="single" w:color="auto" w:sz="4" w:space="0"/>
              <w:bottom w:val="single" w:color="auto" w:sz="4" w:space="0"/>
              <w:right w:val="single" w:color="auto" w:sz="4" w:space="0"/>
            </w:tcBorders>
          </w:tcPr>
          <w:p>
            <w:pPr>
              <w:rPr>
                <w:sz w:val="24"/>
                <w:szCs w:val="24"/>
              </w:rPr>
            </w:pPr>
          </w:p>
        </w:tc>
        <w:tc>
          <w:tcPr>
            <w:tcW w:w="1214" w:type="dxa"/>
            <w:tcBorders>
              <w:top w:val="single" w:color="auto" w:sz="4" w:space="0"/>
              <w:left w:val="single" w:color="auto" w:sz="4" w:space="0"/>
              <w:bottom w:val="single" w:color="auto" w:sz="4" w:space="0"/>
              <w:right w:val="single" w:color="auto" w:sz="4" w:space="0"/>
            </w:tcBorders>
          </w:tcPr>
          <w:p>
            <w:pPr>
              <w:ind w:left="60" w:right="60"/>
              <w:rPr>
                <w:sz w:val="24"/>
                <w:szCs w:val="24"/>
              </w:rPr>
            </w:pPr>
            <w:r>
              <w:rPr>
                <w:sz w:val="24"/>
                <w:szCs w:val="24"/>
              </w:rPr>
              <w:t>CR</w:t>
            </w:r>
          </w:p>
        </w:tc>
        <w:tc>
          <w:tcPr>
            <w:tcW w:w="1086"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,370</w:t>
            </w:r>
          </w:p>
        </w:tc>
        <w:tc>
          <w:tcPr>
            <w:tcW w:w="108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,726</w:t>
            </w:r>
          </w:p>
        </w:tc>
        <w:tc>
          <w:tcPr>
            <w:tcW w:w="1437"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,135</w:t>
            </w:r>
          </w:p>
        </w:tc>
        <w:tc>
          <w:tcPr>
            <w:tcW w:w="798"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,510</w:t>
            </w:r>
          </w:p>
        </w:tc>
        <w:tc>
          <w:tcPr>
            <w:tcW w:w="900" w:type="dxa"/>
            <w:tcBorders>
              <w:top w:val="single" w:color="auto" w:sz="4" w:space="0"/>
              <w:left w:val="single" w:color="auto" w:sz="4" w:space="0"/>
              <w:bottom w:val="single" w:color="auto" w:sz="4" w:space="0"/>
              <w:right w:val="single" w:color="auto" w:sz="4" w:space="0"/>
            </w:tcBorders>
          </w:tcPr>
          <w:p>
            <w:pPr>
              <w:ind w:left="60" w:right="60"/>
              <w:jc w:val="right"/>
              <w:rPr>
                <w:sz w:val="24"/>
                <w:szCs w:val="24"/>
              </w:rPr>
            </w:pPr>
            <w:r>
              <w:rPr>
                <w:sz w:val="24"/>
                <w:szCs w:val="24"/>
              </w:rPr>
              <w:t>,614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78" w:type="dxa"/>
            <w:gridSpan w:val="7"/>
            <w:tcBorders>
              <w:top w:val="single" w:color="auto" w:sz="4" w:space="0"/>
              <w:left w:val="single" w:color="auto" w:sz="4" w:space="0"/>
              <w:bottom w:val="single" w:color="auto" w:sz="4" w:space="0"/>
              <w:right w:val="single" w:color="auto" w:sz="4" w:space="0"/>
            </w:tcBorders>
          </w:tcPr>
          <w:p>
            <w:pPr>
              <w:ind w:left="60" w:right="60"/>
              <w:rPr>
                <w:sz w:val="24"/>
                <w:szCs w:val="24"/>
              </w:rPr>
            </w:pPr>
            <w:r>
              <w:rPr>
                <w:sz w:val="24"/>
                <w:szCs w:val="24"/>
              </w:rPr>
              <w:t>a. Dependent Variable: PBV</w:t>
            </w:r>
          </w:p>
        </w:tc>
      </w:tr>
    </w:tbl>
    <w:p>
      <w:pPr>
        <w:ind w:left="400" w:leftChars="200"/>
        <w:jc w:val="both"/>
        <w:rPr>
          <w:i/>
          <w:iCs/>
          <w:color w:val="000000"/>
          <w:sz w:val="24"/>
          <w:szCs w:val="24"/>
          <w:lang w:val="id-ID" w:bidi="ar"/>
        </w:rPr>
      </w:pPr>
    </w:p>
    <w:p>
      <w:pPr>
        <w:ind w:left="1120" w:leftChars="560"/>
        <w:jc w:val="both"/>
        <w:rPr>
          <w:i/>
          <w:iCs/>
          <w:color w:val="000000"/>
          <w:sz w:val="24"/>
          <w:szCs w:val="24"/>
          <w:lang w:val="id-ID" w:bidi="ar"/>
        </w:rPr>
      </w:pPr>
      <w:r>
        <w:rPr>
          <w:i/>
          <w:iCs/>
          <w:color w:val="000000"/>
          <w:sz w:val="24"/>
          <w:szCs w:val="24"/>
          <w:lang w:bidi="ar"/>
        </w:rPr>
        <w:t xml:space="preserve"> </w:t>
      </w:r>
    </w:p>
    <w:p>
      <w:pPr>
        <w:ind w:left="720" w:leftChars="0" w:firstLine="720" w:firstLineChars="0"/>
        <w:jc w:val="both"/>
        <w:rPr>
          <w:i/>
          <w:iCs/>
          <w:color w:val="000000"/>
          <w:sz w:val="20"/>
          <w:szCs w:val="20"/>
          <w:lang w:val="id-ID" w:bidi="ar"/>
        </w:rPr>
      </w:pPr>
      <w:r>
        <w:rPr>
          <w:rFonts w:hint="default"/>
          <w:i/>
          <w:iCs/>
          <w:color w:val="000000"/>
          <w:sz w:val="20"/>
          <w:szCs w:val="20"/>
          <w:lang w:val="id-ID" w:bidi="ar"/>
        </w:rPr>
        <w:t xml:space="preserve">(Sumber </w:t>
      </w:r>
      <w:r>
        <w:rPr>
          <w:i/>
          <w:iCs/>
          <w:color w:val="000000"/>
          <w:sz w:val="20"/>
          <w:szCs w:val="20"/>
          <w:lang w:val="id-ID" w:bidi="ar"/>
        </w:rPr>
        <w:t>: Data diolah sendiri)</w:t>
      </w:r>
    </w:p>
    <w:p>
      <w:pPr>
        <w:ind w:firstLine="720" w:firstLineChars="0"/>
        <w:jc w:val="both"/>
        <w:rPr>
          <w:color w:val="000000"/>
          <w:sz w:val="24"/>
          <w:szCs w:val="24"/>
          <w:lang w:val="id-ID" w:bidi="ar"/>
        </w:rPr>
      </w:pPr>
    </w:p>
    <w:p>
      <w:pPr>
        <w:jc w:val="both"/>
        <w:rPr>
          <w:color w:val="000000"/>
          <w:sz w:val="24"/>
          <w:szCs w:val="24"/>
          <w:lang w:val="id-ID" w:bidi="ar"/>
        </w:rPr>
        <w:sectPr>
          <w:type w:val="continuous"/>
          <w:pgSz w:w="12240" w:h="15840"/>
          <w:pgMar w:top="1440" w:right="1440" w:bottom="1440" w:left="1440" w:header="720" w:footer="720"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color w:val="000000"/>
          <w:sz w:val="24"/>
          <w:szCs w:val="24"/>
          <w:lang w:val="id-ID" w:bidi="ar"/>
        </w:rPr>
      </w:pPr>
      <w:r>
        <w:rPr>
          <w:color w:val="000000"/>
          <w:sz w:val="24"/>
          <w:szCs w:val="24"/>
          <w:lang w:val="id-ID" w:bidi="ar"/>
        </w:rPr>
        <w:t>Berdasarkan tabel 4.7 , maka dapat ditarik persamaan regresi linier sebagai berikut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color w:val="000000"/>
          <w:sz w:val="24"/>
          <w:szCs w:val="24"/>
          <w:lang w:val="id-ID" w:bidi="ar"/>
        </w:rPr>
      </w:pPr>
      <w:r>
        <w:rPr>
          <w:b/>
          <w:bCs/>
          <w:color w:val="000000"/>
          <w:sz w:val="24"/>
          <w:szCs w:val="24"/>
          <w:lang w:val="id-ID" w:bidi="ar"/>
        </w:rPr>
        <w:t>PBV = 1,266 + 0,259</w:t>
      </w:r>
      <w:r>
        <w:rPr>
          <w:b/>
          <w:bCs/>
          <w:color w:val="000000"/>
          <w:sz w:val="24"/>
          <w:szCs w:val="24"/>
          <w:lang w:bidi="ar"/>
        </w:rPr>
        <w:t>X</w:t>
      </w:r>
      <w:r>
        <w:rPr>
          <w:b/>
          <w:bCs/>
          <w:color w:val="000000"/>
          <w:sz w:val="24"/>
          <w:szCs w:val="24"/>
          <w:vertAlign w:val="subscript"/>
          <w:lang w:bidi="ar"/>
        </w:rPr>
        <w:t>1</w:t>
      </w:r>
      <w:r>
        <w:rPr>
          <w:b/>
          <w:bCs/>
          <w:color w:val="000000"/>
          <w:sz w:val="24"/>
          <w:szCs w:val="24"/>
          <w:lang w:val="id-ID" w:bidi="ar"/>
        </w:rPr>
        <w:t xml:space="preserve"> + 0,617</w:t>
      </w:r>
      <w:r>
        <w:rPr>
          <w:b/>
          <w:bCs/>
          <w:color w:val="000000"/>
          <w:sz w:val="24"/>
          <w:szCs w:val="24"/>
          <w:lang w:bidi="ar"/>
        </w:rPr>
        <w:t>X</w:t>
      </w:r>
      <w:r>
        <w:rPr>
          <w:b/>
          <w:bCs/>
          <w:color w:val="000000"/>
          <w:sz w:val="24"/>
          <w:szCs w:val="24"/>
          <w:vertAlign w:val="subscript"/>
          <w:lang w:bidi="ar"/>
        </w:rPr>
        <w:t>2</w:t>
      </w:r>
      <w:r>
        <w:rPr>
          <w:b/>
          <w:bCs/>
          <w:color w:val="000000"/>
          <w:sz w:val="24"/>
          <w:szCs w:val="24"/>
          <w:lang w:val="id-ID" w:bidi="ar"/>
        </w:rPr>
        <w:t xml:space="preserve"> + 0,370</w:t>
      </w:r>
      <w:r>
        <w:rPr>
          <w:b/>
          <w:bCs/>
          <w:color w:val="000000"/>
          <w:sz w:val="24"/>
          <w:szCs w:val="24"/>
          <w:lang w:bidi="ar"/>
        </w:rPr>
        <w:t>X</w:t>
      </w:r>
      <w:r>
        <w:rPr>
          <w:b/>
          <w:bCs/>
          <w:color w:val="000000"/>
          <w:sz w:val="24"/>
          <w:szCs w:val="24"/>
          <w:vertAlign w:val="subscript"/>
          <w:lang w:bidi="ar"/>
        </w:rPr>
        <w:t>3</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color w:val="000000"/>
          <w:sz w:val="24"/>
          <w:szCs w:val="24"/>
          <w:lang w:val="id-ID" w:bidi="ar"/>
        </w:rPr>
      </w:pPr>
      <w:r>
        <w:rPr>
          <w:color w:val="000000"/>
          <w:sz w:val="24"/>
          <w:szCs w:val="24"/>
          <w:lang w:val="id-ID" w:bidi="ar"/>
        </w:rPr>
        <w:t>Dari persamaan tersebut dapat dilihat bahwa :</w:t>
      </w:r>
    </w:p>
    <w:p>
      <w:pPr>
        <w:keepNext w:val="0"/>
        <w:keepLines w:val="0"/>
        <w:pageBreakBefore w:val="0"/>
        <w:widowControl/>
        <w:numPr>
          <w:ilvl w:val="0"/>
          <w:numId w:val="6"/>
        </w:numPr>
        <w:kinsoku/>
        <w:wordWrap/>
        <w:overflowPunct/>
        <w:topLinePunct w:val="0"/>
        <w:autoSpaceDE/>
        <w:autoSpaceDN/>
        <w:bidi w:val="0"/>
        <w:adjustRightInd/>
        <w:snapToGrid/>
        <w:spacing w:line="276" w:lineRule="auto"/>
        <w:ind w:left="360" w:hanging="360"/>
        <w:jc w:val="both"/>
        <w:textAlignment w:val="auto"/>
        <w:rPr>
          <w:color w:val="000000"/>
          <w:sz w:val="24"/>
          <w:szCs w:val="24"/>
          <w:lang w:val="id-ID" w:bidi="ar"/>
        </w:rPr>
      </w:pPr>
      <w:r>
        <w:rPr>
          <w:color w:val="000000"/>
          <w:sz w:val="24"/>
          <w:szCs w:val="24"/>
          <w:lang w:val="id-ID" w:bidi="ar"/>
        </w:rPr>
        <w:t>Nilai konstanta 1,266 artinya nilai ROE (X</w:t>
      </w:r>
      <w:r>
        <w:rPr>
          <w:color w:val="000000"/>
          <w:sz w:val="24"/>
          <w:szCs w:val="24"/>
          <w:vertAlign w:val="subscript"/>
          <w:lang w:val="id-ID" w:bidi="ar"/>
        </w:rPr>
        <w:t>1</w:t>
      </w:r>
      <w:r>
        <w:rPr>
          <w:color w:val="000000"/>
          <w:sz w:val="24"/>
          <w:szCs w:val="24"/>
          <w:lang w:val="id-ID" w:bidi="ar"/>
        </w:rPr>
        <w:t>), DER (X</w:t>
      </w:r>
      <w:r>
        <w:rPr>
          <w:color w:val="000000"/>
          <w:sz w:val="24"/>
          <w:szCs w:val="24"/>
          <w:vertAlign w:val="subscript"/>
          <w:lang w:val="id-ID" w:bidi="ar"/>
        </w:rPr>
        <w:t>2</w:t>
      </w:r>
      <w:r>
        <w:rPr>
          <w:color w:val="000000"/>
          <w:sz w:val="24"/>
          <w:szCs w:val="24"/>
          <w:lang w:val="id-ID" w:bidi="ar"/>
        </w:rPr>
        <w:t>), dan CR (X</w:t>
      </w:r>
      <w:r>
        <w:rPr>
          <w:color w:val="000000"/>
          <w:sz w:val="24"/>
          <w:szCs w:val="24"/>
          <w:vertAlign w:val="subscript"/>
          <w:lang w:val="id-ID" w:bidi="ar"/>
        </w:rPr>
        <w:t>3</w:t>
      </w:r>
      <w:r>
        <w:rPr>
          <w:color w:val="000000"/>
          <w:sz w:val="24"/>
          <w:szCs w:val="24"/>
          <w:lang w:val="id-ID" w:bidi="ar"/>
        </w:rPr>
        <w:t>) nilainya sama dengan 0, sehingga nilai PBV(Y) adalah 1,266.</w:t>
      </w:r>
    </w:p>
    <w:p>
      <w:pPr>
        <w:keepNext w:val="0"/>
        <w:keepLines w:val="0"/>
        <w:pageBreakBefore w:val="0"/>
        <w:widowControl/>
        <w:numPr>
          <w:ilvl w:val="0"/>
          <w:numId w:val="6"/>
        </w:numPr>
        <w:kinsoku/>
        <w:wordWrap/>
        <w:overflowPunct/>
        <w:topLinePunct w:val="0"/>
        <w:autoSpaceDE/>
        <w:autoSpaceDN/>
        <w:bidi w:val="0"/>
        <w:adjustRightInd/>
        <w:snapToGrid/>
        <w:spacing w:line="276" w:lineRule="auto"/>
        <w:ind w:left="360" w:hanging="360"/>
        <w:jc w:val="both"/>
        <w:textAlignment w:val="auto"/>
        <w:rPr>
          <w:color w:val="000000"/>
          <w:sz w:val="24"/>
          <w:szCs w:val="24"/>
          <w:lang w:val="id-ID" w:bidi="ar"/>
        </w:rPr>
      </w:pPr>
      <w:r>
        <w:rPr>
          <w:color w:val="000000"/>
          <w:sz w:val="24"/>
          <w:szCs w:val="24"/>
          <w:lang w:val="id-ID" w:bidi="ar"/>
        </w:rPr>
        <w:t>Nilai koefisien ROE (X</w:t>
      </w:r>
      <w:r>
        <w:rPr>
          <w:color w:val="000000"/>
          <w:sz w:val="24"/>
          <w:szCs w:val="24"/>
          <w:vertAlign w:val="subscript"/>
          <w:lang w:val="id-ID" w:bidi="ar"/>
        </w:rPr>
        <w:t>1</w:t>
      </w:r>
      <w:r>
        <w:rPr>
          <w:color w:val="000000"/>
          <w:sz w:val="24"/>
          <w:szCs w:val="24"/>
          <w:lang w:val="id-ID" w:bidi="ar"/>
        </w:rPr>
        <w:t xml:space="preserve">) adalah </w:t>
      </w:r>
      <w:r>
        <w:rPr>
          <w:color w:val="000000"/>
          <w:sz w:val="24"/>
          <w:szCs w:val="24"/>
          <w:lang w:bidi="ar"/>
        </w:rPr>
        <w:t>0</w:t>
      </w:r>
      <w:r>
        <w:rPr>
          <w:sz w:val="24"/>
          <w:szCs w:val="24"/>
        </w:rPr>
        <w:t>,259</w:t>
      </w:r>
      <w:r>
        <w:rPr>
          <w:color w:val="000000"/>
          <w:sz w:val="24"/>
          <w:szCs w:val="24"/>
          <w:lang w:val="id-ID" w:bidi="ar"/>
        </w:rPr>
        <w:t xml:space="preserve"> menunjukkan bahwa PBV akan mengalami kenaikan sebesar 0,259 satuan untuk setiap satu peningkatan satu satuan ROE dan sebaliknya. </w:t>
      </w:r>
    </w:p>
    <w:p>
      <w:pPr>
        <w:keepNext w:val="0"/>
        <w:keepLines w:val="0"/>
        <w:pageBreakBefore w:val="0"/>
        <w:widowControl/>
        <w:numPr>
          <w:ilvl w:val="0"/>
          <w:numId w:val="6"/>
        </w:numPr>
        <w:kinsoku/>
        <w:wordWrap/>
        <w:overflowPunct/>
        <w:topLinePunct w:val="0"/>
        <w:autoSpaceDE/>
        <w:autoSpaceDN/>
        <w:bidi w:val="0"/>
        <w:adjustRightInd/>
        <w:snapToGrid/>
        <w:spacing w:line="276" w:lineRule="auto"/>
        <w:ind w:left="360" w:hanging="360"/>
        <w:jc w:val="both"/>
        <w:textAlignment w:val="auto"/>
        <w:rPr>
          <w:color w:val="000000"/>
          <w:sz w:val="24"/>
          <w:szCs w:val="24"/>
          <w:lang w:val="id-ID" w:bidi="ar"/>
        </w:rPr>
      </w:pPr>
      <w:r>
        <w:rPr>
          <w:color w:val="000000"/>
          <w:sz w:val="24"/>
          <w:szCs w:val="24"/>
          <w:lang w:val="id-ID" w:bidi="ar"/>
        </w:rPr>
        <w:t>Nilai koefisien DER (X</w:t>
      </w:r>
      <w:r>
        <w:rPr>
          <w:color w:val="000000"/>
          <w:sz w:val="24"/>
          <w:szCs w:val="24"/>
          <w:vertAlign w:val="subscript"/>
          <w:lang w:val="id-ID" w:bidi="ar"/>
        </w:rPr>
        <w:t>2</w:t>
      </w:r>
      <w:r>
        <w:rPr>
          <w:color w:val="000000"/>
          <w:sz w:val="24"/>
          <w:szCs w:val="24"/>
          <w:lang w:val="id-ID" w:bidi="ar"/>
        </w:rPr>
        <w:t xml:space="preserve">) adalah 0,617 menunjukkan bahwa PBV akan mengalami kenaikan sebesar 0,617 satuan untuk setiap satu peningkatan satu satuan DER dan sebaliknya. </w:t>
      </w:r>
    </w:p>
    <w:p>
      <w:pPr>
        <w:keepNext w:val="0"/>
        <w:keepLines w:val="0"/>
        <w:pageBreakBefore w:val="0"/>
        <w:widowControl/>
        <w:numPr>
          <w:ilvl w:val="0"/>
          <w:numId w:val="6"/>
        </w:numPr>
        <w:kinsoku/>
        <w:wordWrap/>
        <w:overflowPunct/>
        <w:topLinePunct w:val="0"/>
        <w:autoSpaceDE/>
        <w:autoSpaceDN/>
        <w:bidi w:val="0"/>
        <w:adjustRightInd/>
        <w:snapToGrid/>
        <w:spacing w:line="276" w:lineRule="auto"/>
        <w:ind w:left="360" w:hanging="360"/>
        <w:jc w:val="both"/>
        <w:textAlignment w:val="auto"/>
        <w:rPr>
          <w:color w:val="000000"/>
          <w:sz w:val="24"/>
          <w:szCs w:val="24"/>
          <w:lang w:val="id-ID" w:bidi="ar"/>
        </w:rPr>
      </w:pPr>
      <w:r>
        <w:rPr>
          <w:color w:val="000000"/>
          <w:sz w:val="24"/>
          <w:szCs w:val="24"/>
          <w:lang w:val="id-ID" w:bidi="ar"/>
        </w:rPr>
        <w:t>Nilai koefisien CR (X</w:t>
      </w:r>
      <w:r>
        <w:rPr>
          <w:color w:val="000000"/>
          <w:sz w:val="24"/>
          <w:szCs w:val="24"/>
          <w:vertAlign w:val="subscript"/>
          <w:lang w:val="id-ID" w:bidi="ar"/>
        </w:rPr>
        <w:t>3</w:t>
      </w:r>
      <w:r>
        <w:rPr>
          <w:color w:val="000000"/>
          <w:sz w:val="24"/>
          <w:szCs w:val="24"/>
          <w:lang w:val="id-ID" w:bidi="ar"/>
        </w:rPr>
        <w:t>) adalah 0</w:t>
      </w:r>
      <w:r>
        <w:rPr>
          <w:sz w:val="24"/>
          <w:szCs w:val="24"/>
        </w:rPr>
        <w:t>,370</w:t>
      </w:r>
      <w:r>
        <w:rPr>
          <w:color w:val="000000"/>
          <w:sz w:val="24"/>
          <w:szCs w:val="24"/>
          <w:lang w:val="id-ID" w:bidi="ar"/>
        </w:rPr>
        <w:t xml:space="preserve"> menunjukkan bahwa PBV akan mengalami kenaikan sebesar 0,</w:t>
      </w:r>
      <w:r>
        <w:rPr>
          <w:sz w:val="24"/>
          <w:szCs w:val="24"/>
        </w:rPr>
        <w:t>370</w:t>
      </w:r>
      <w:r>
        <w:rPr>
          <w:sz w:val="24"/>
          <w:szCs w:val="24"/>
          <w:lang w:val="id-ID"/>
        </w:rPr>
        <w:t xml:space="preserve"> </w:t>
      </w:r>
      <w:r>
        <w:rPr>
          <w:color w:val="000000"/>
          <w:sz w:val="24"/>
          <w:szCs w:val="24"/>
          <w:lang w:val="id-ID" w:bidi="ar"/>
        </w:rPr>
        <w:t xml:space="preserve">satuan setiap satu peningkatan satu satuan CR dan sebaliknya. </w:t>
      </w:r>
    </w:p>
    <w:p>
      <w:pPr>
        <w:keepNext w:val="0"/>
        <w:keepLines w:val="0"/>
        <w:pageBreakBefore w:val="0"/>
        <w:widowControl/>
        <w:numPr>
          <w:ilvl w:val="0"/>
          <w:numId w:val="3"/>
        </w:numPr>
        <w:kinsoku/>
        <w:wordWrap/>
        <w:overflowPunct/>
        <w:topLinePunct w:val="0"/>
        <w:autoSpaceDE/>
        <w:autoSpaceDN/>
        <w:bidi w:val="0"/>
        <w:adjustRightInd/>
        <w:snapToGrid/>
        <w:spacing w:line="276" w:lineRule="auto"/>
        <w:ind w:left="200" w:leftChars="100"/>
        <w:jc w:val="both"/>
        <w:textAlignment w:val="auto"/>
        <w:outlineLvl w:val="2"/>
        <w:rPr>
          <w:b/>
          <w:bCs/>
          <w:color w:val="000000"/>
          <w:sz w:val="24"/>
          <w:szCs w:val="24"/>
          <w:lang w:val="id-ID" w:bidi="ar"/>
        </w:rPr>
      </w:pPr>
      <w:bookmarkStart w:id="62" w:name="_Toc418"/>
      <w:bookmarkStart w:id="63" w:name="_Toc14770"/>
      <w:bookmarkStart w:id="64" w:name="_Toc111397920"/>
      <w:bookmarkStart w:id="65" w:name="_Toc26209"/>
      <w:bookmarkStart w:id="66" w:name="_Toc26247"/>
      <w:bookmarkStart w:id="67" w:name="_Toc2506"/>
      <w:r>
        <w:rPr>
          <w:b/>
          <w:bCs/>
          <w:color w:val="000000"/>
          <w:sz w:val="24"/>
          <w:szCs w:val="24"/>
          <w:lang w:val="id-ID" w:bidi="ar"/>
        </w:rPr>
        <w:t>Uji Parsial (t)</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line="276" w:lineRule="auto"/>
        <w:ind w:firstLine="720"/>
        <w:jc w:val="both"/>
        <w:textAlignment w:val="auto"/>
        <w:rPr>
          <w:color w:val="000000"/>
          <w:sz w:val="24"/>
          <w:szCs w:val="24"/>
          <w:lang w:val="id-ID" w:bidi="ar"/>
        </w:rPr>
      </w:pPr>
      <w:r>
        <w:rPr>
          <w:color w:val="000000"/>
          <w:sz w:val="24"/>
          <w:szCs w:val="24"/>
          <w:lang w:val="id-ID" w:bidi="ar"/>
        </w:rPr>
        <w:t>Tujuan dari uji parsial (t) adalah untuk menguji apakah variabel independen (X) sebagian (setiap variabel) memiliki efek signifikan pada variabel dependen (Y). Dasar pengambilan uji parsial (t) diperoleh berdasarkan nilai signifikansi.</w:t>
      </w:r>
    </w:p>
    <w:p>
      <w:pPr>
        <w:keepNext w:val="0"/>
        <w:keepLines w:val="0"/>
        <w:pageBreakBefore w:val="0"/>
        <w:widowControl/>
        <w:kinsoku/>
        <w:wordWrap/>
        <w:overflowPunct/>
        <w:topLinePunct w:val="0"/>
        <w:autoSpaceDE/>
        <w:autoSpaceDN/>
        <w:bidi w:val="0"/>
        <w:adjustRightInd/>
        <w:snapToGrid/>
        <w:spacing w:line="276" w:lineRule="auto"/>
        <w:ind w:left="600" w:leftChars="300"/>
        <w:jc w:val="both"/>
        <w:textAlignment w:val="auto"/>
        <w:rPr>
          <w:color w:val="000000"/>
          <w:sz w:val="24"/>
          <w:szCs w:val="24"/>
          <w:lang w:val="id-ID" w:bidi="ar"/>
        </w:rPr>
      </w:pPr>
      <w:r>
        <w:rPr>
          <w:color w:val="000000"/>
          <w:sz w:val="24"/>
          <w:szCs w:val="24"/>
          <w:lang w:val="id-ID" w:bidi="ar"/>
        </w:rPr>
        <w:t>Hasil uji parsial (t) menghasilkan :</w:t>
      </w:r>
    </w:p>
    <w:p>
      <w:pPr>
        <w:pStyle w:val="8"/>
        <w:keepNext w:val="0"/>
        <w:keepLines w:val="0"/>
        <w:pageBreakBefore w:val="0"/>
        <w:widowControl/>
        <w:numPr>
          <w:ilvl w:val="0"/>
          <w:numId w:val="7"/>
        </w:numPr>
        <w:tabs>
          <w:tab w:val="left" w:pos="425"/>
          <w:tab w:val="left" w:pos="800"/>
        </w:tabs>
        <w:kinsoku/>
        <w:wordWrap/>
        <w:overflowPunct/>
        <w:topLinePunct w:val="0"/>
        <w:autoSpaceDE/>
        <w:autoSpaceDN/>
        <w:bidi w:val="0"/>
        <w:adjustRightInd/>
        <w:snapToGrid/>
        <w:spacing w:line="276" w:lineRule="auto"/>
        <w:ind w:left="450"/>
        <w:jc w:val="both"/>
        <w:textAlignment w:val="auto"/>
        <w:rPr>
          <w:color w:val="000000"/>
          <w:sz w:val="24"/>
          <w:szCs w:val="24"/>
          <w:lang w:val="id-ID" w:bidi="ar"/>
        </w:rPr>
      </w:pPr>
      <w:r>
        <w:rPr>
          <w:color w:val="000000"/>
          <w:sz w:val="24"/>
          <w:szCs w:val="24"/>
          <w:lang w:val="id-ID" w:bidi="ar"/>
        </w:rPr>
        <w:t>Pengaruh Profitabilitas  terhadap Nilai Perusahaan</w:t>
      </w:r>
    </w:p>
    <w:p>
      <w:pPr>
        <w:pStyle w:val="8"/>
        <w:keepNext w:val="0"/>
        <w:keepLines w:val="0"/>
        <w:pageBreakBefore w:val="0"/>
        <w:widowControl/>
        <w:tabs>
          <w:tab w:val="left" w:pos="425"/>
          <w:tab w:val="left" w:pos="800"/>
        </w:tabs>
        <w:kinsoku/>
        <w:wordWrap/>
        <w:overflowPunct/>
        <w:topLinePunct w:val="0"/>
        <w:autoSpaceDE/>
        <w:autoSpaceDN/>
        <w:bidi w:val="0"/>
        <w:adjustRightInd/>
        <w:snapToGrid/>
        <w:spacing w:line="276" w:lineRule="auto"/>
        <w:ind w:left="450"/>
        <w:jc w:val="both"/>
        <w:textAlignment w:val="auto"/>
        <w:rPr>
          <w:color w:val="000000"/>
          <w:sz w:val="24"/>
          <w:szCs w:val="24"/>
          <w:lang w:val="id-ID" w:bidi="ar"/>
        </w:rPr>
      </w:pPr>
      <w:r>
        <w:rPr>
          <w:color w:val="000000"/>
          <w:sz w:val="24"/>
          <w:szCs w:val="24"/>
          <w:lang w:val="id-ID" w:bidi="ar"/>
        </w:rPr>
        <w:tab/>
      </w:r>
      <w:r>
        <w:rPr>
          <w:color w:val="000000"/>
          <w:sz w:val="24"/>
          <w:szCs w:val="24"/>
          <w:lang w:val="id-ID" w:bidi="ar"/>
        </w:rPr>
        <w:t>Uji statistik menunjukkan bahwa koefisien ROE mempunyai nilai positif dengan nilai Sig. 0</w:t>
      </w:r>
      <w:r>
        <w:rPr>
          <w:sz w:val="24"/>
          <w:szCs w:val="24"/>
        </w:rPr>
        <w:t>,980</w:t>
      </w:r>
      <w:r>
        <w:rPr>
          <w:sz w:val="24"/>
          <w:szCs w:val="24"/>
          <w:lang w:val="id-ID"/>
        </w:rPr>
        <w:t xml:space="preserve"> </w:t>
      </w:r>
      <w:r>
        <w:rPr>
          <w:color w:val="000000"/>
          <w:sz w:val="24"/>
          <w:szCs w:val="24"/>
          <w:lang w:val="id-ID" w:bidi="ar"/>
        </w:rPr>
        <w:t xml:space="preserve">dimana nilai tersebut lebih besar dari </w:t>
      </w:r>
      <w:r>
        <w:rPr>
          <w:rFonts w:ascii="Arial" w:hAnsi="Arial" w:cs="Arial"/>
          <w:color w:val="000000"/>
          <w:sz w:val="24"/>
          <w:szCs w:val="24"/>
          <w:lang w:val="id-ID" w:bidi="ar"/>
        </w:rPr>
        <w:t>α</w:t>
      </w:r>
      <w:r>
        <w:rPr>
          <w:color w:val="000000"/>
          <w:sz w:val="24"/>
          <w:szCs w:val="24"/>
          <w:lang w:val="id-ID" w:bidi="ar"/>
        </w:rPr>
        <w:t xml:space="preserve"> = 0,05 sehingga dapat disimpulkan secara parsial bahwa ROE tidak berpengaruh terhadap nilai perusahaan (PBV). Dengan demikian bahwa H1 yang menyatakan profitabilitas berpengaruh pada nilai perusahaan pada emiten subsektor Farmasi yang terdaftar di BEI 2019-2021 ditolak.</w:t>
      </w:r>
    </w:p>
    <w:p>
      <w:pPr>
        <w:pStyle w:val="8"/>
        <w:keepNext w:val="0"/>
        <w:keepLines w:val="0"/>
        <w:pageBreakBefore w:val="0"/>
        <w:widowControl/>
        <w:numPr>
          <w:ilvl w:val="0"/>
          <w:numId w:val="7"/>
        </w:numPr>
        <w:tabs>
          <w:tab w:val="left" w:pos="425"/>
          <w:tab w:val="left" w:pos="800"/>
        </w:tabs>
        <w:kinsoku/>
        <w:wordWrap/>
        <w:overflowPunct/>
        <w:topLinePunct w:val="0"/>
        <w:autoSpaceDE/>
        <w:autoSpaceDN/>
        <w:bidi w:val="0"/>
        <w:adjustRightInd/>
        <w:snapToGrid/>
        <w:spacing w:line="276" w:lineRule="auto"/>
        <w:ind w:left="450"/>
        <w:jc w:val="both"/>
        <w:textAlignment w:val="auto"/>
        <w:rPr>
          <w:color w:val="000000"/>
          <w:sz w:val="24"/>
          <w:szCs w:val="24"/>
          <w:lang w:val="id-ID" w:bidi="ar"/>
        </w:rPr>
      </w:pPr>
      <w:r>
        <w:rPr>
          <w:color w:val="000000"/>
          <w:sz w:val="24"/>
          <w:szCs w:val="24"/>
          <w:lang w:val="id-ID" w:bidi="ar"/>
        </w:rPr>
        <w:t>Pengaruh Solvabilitas terhadap Nilai Perusahaan</w:t>
      </w:r>
    </w:p>
    <w:p>
      <w:pPr>
        <w:pStyle w:val="8"/>
        <w:keepNext w:val="0"/>
        <w:keepLines w:val="0"/>
        <w:pageBreakBefore w:val="0"/>
        <w:widowControl/>
        <w:tabs>
          <w:tab w:val="left" w:pos="425"/>
          <w:tab w:val="left" w:pos="800"/>
        </w:tabs>
        <w:kinsoku/>
        <w:wordWrap/>
        <w:overflowPunct/>
        <w:topLinePunct w:val="0"/>
        <w:autoSpaceDE/>
        <w:autoSpaceDN/>
        <w:bidi w:val="0"/>
        <w:adjustRightInd/>
        <w:snapToGrid/>
        <w:spacing w:line="276" w:lineRule="auto"/>
        <w:ind w:left="450"/>
        <w:jc w:val="both"/>
        <w:textAlignment w:val="auto"/>
        <w:rPr>
          <w:color w:val="000000"/>
          <w:sz w:val="24"/>
          <w:szCs w:val="24"/>
          <w:lang w:val="id-ID" w:bidi="ar"/>
        </w:rPr>
      </w:pPr>
      <w:r>
        <w:rPr>
          <w:color w:val="000000"/>
          <w:sz w:val="24"/>
          <w:szCs w:val="24"/>
          <w:lang w:val="id-ID" w:bidi="ar"/>
        </w:rPr>
        <w:tab/>
      </w:r>
      <w:r>
        <w:rPr>
          <w:color w:val="000000"/>
          <w:sz w:val="24"/>
          <w:szCs w:val="24"/>
          <w:lang w:val="id-ID" w:bidi="ar"/>
        </w:rPr>
        <w:t xml:space="preserve">Uji statistik menunjukkan bahwa koefisien DER mempunyai nilai positif dengan nilai </w:t>
      </w:r>
      <w:r>
        <w:rPr>
          <w:color w:val="000000"/>
          <w:sz w:val="24"/>
          <w:szCs w:val="24"/>
          <w:lang w:bidi="ar"/>
        </w:rPr>
        <w:t>signifikansi</w:t>
      </w:r>
      <w:r>
        <w:rPr>
          <w:color w:val="000000"/>
          <w:sz w:val="24"/>
          <w:szCs w:val="24"/>
          <w:lang w:val="id-ID" w:bidi="ar"/>
        </w:rPr>
        <w:t xml:space="preserve"> sebesar 0</w:t>
      </w:r>
      <w:r>
        <w:rPr>
          <w:sz w:val="24"/>
          <w:szCs w:val="24"/>
        </w:rPr>
        <w:t>,417</w:t>
      </w:r>
      <w:r>
        <w:rPr>
          <w:sz w:val="24"/>
          <w:szCs w:val="24"/>
          <w:lang w:val="id-ID"/>
        </w:rPr>
        <w:t xml:space="preserve"> </w:t>
      </w:r>
      <w:r>
        <w:rPr>
          <w:color w:val="000000"/>
          <w:sz w:val="24"/>
          <w:szCs w:val="24"/>
          <w:lang w:val="id-ID" w:bidi="ar"/>
        </w:rPr>
        <w:t xml:space="preserve">dimana nilai tersebut lebih besar dari </w:t>
      </w:r>
      <w:r>
        <w:rPr>
          <w:rFonts w:ascii="Arial" w:hAnsi="Arial" w:cs="Arial"/>
          <w:color w:val="000000"/>
          <w:sz w:val="24"/>
          <w:szCs w:val="24"/>
          <w:lang w:val="id-ID" w:bidi="ar"/>
        </w:rPr>
        <w:t>α</w:t>
      </w:r>
      <w:r>
        <w:rPr>
          <w:rFonts w:hint="default" w:ascii="Arial" w:hAnsi="Arial" w:cs="Arial"/>
          <w:color w:val="000000"/>
          <w:sz w:val="24"/>
          <w:szCs w:val="24"/>
          <w:lang w:val="id-ID" w:bidi="ar"/>
        </w:rPr>
        <w:t xml:space="preserve"> </w:t>
      </w:r>
      <w:r>
        <w:rPr>
          <w:color w:val="000000"/>
          <w:sz w:val="24"/>
          <w:szCs w:val="24"/>
          <w:lang w:val="id-ID" w:bidi="ar"/>
        </w:rPr>
        <w:t>= 0,05 sehingga dapat disimpulkan secara parsial bahwa DER tidak berpengaruh terhadap nilai perusahaan (PBV). Dengan demikian bahwa H2 yang menyatakan Solvabilitas berpengaruh pada nilai perusahaan pada emiten subsektor Farmasi yang terdaftar di BEI 2019-2021 ditolak.</w:t>
      </w:r>
    </w:p>
    <w:p>
      <w:pPr>
        <w:pStyle w:val="8"/>
        <w:keepNext w:val="0"/>
        <w:keepLines w:val="0"/>
        <w:pageBreakBefore w:val="0"/>
        <w:widowControl/>
        <w:numPr>
          <w:ilvl w:val="0"/>
          <w:numId w:val="7"/>
        </w:numPr>
        <w:tabs>
          <w:tab w:val="left" w:pos="425"/>
          <w:tab w:val="left" w:pos="800"/>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color w:val="000000"/>
          <w:sz w:val="24"/>
          <w:szCs w:val="24"/>
          <w:lang w:val="id-ID" w:bidi="ar"/>
        </w:rPr>
        <w:t xml:space="preserve">Pengaruh likuiditas terhadap Nilai Perusahaan </w:t>
      </w:r>
    </w:p>
    <w:p>
      <w:pPr>
        <w:keepNext w:val="0"/>
        <w:keepLines w:val="0"/>
        <w:pageBreakBefore w:val="0"/>
        <w:widowControl/>
        <w:tabs>
          <w:tab w:val="left" w:pos="800"/>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color w:val="000000"/>
          <w:sz w:val="24"/>
          <w:szCs w:val="24"/>
          <w:lang w:val="id-ID" w:bidi="ar"/>
        </w:rPr>
        <w:tab/>
      </w:r>
      <w:r>
        <w:rPr>
          <w:color w:val="000000"/>
          <w:sz w:val="24"/>
          <w:szCs w:val="24"/>
          <w:lang w:val="id-ID" w:bidi="ar"/>
        </w:rPr>
        <w:t xml:space="preserve">Uji statistik menunjukkan bahwa koefisien CR mempunyai nilai positif dengan nilai </w:t>
      </w:r>
      <w:r>
        <w:rPr>
          <w:color w:val="000000"/>
          <w:sz w:val="24"/>
          <w:szCs w:val="24"/>
          <w:lang w:bidi="ar"/>
        </w:rPr>
        <w:t>signifikansi</w:t>
      </w:r>
      <w:r>
        <w:rPr>
          <w:color w:val="000000"/>
          <w:sz w:val="24"/>
          <w:szCs w:val="24"/>
          <w:lang w:val="id-ID" w:bidi="ar"/>
        </w:rPr>
        <w:t xml:space="preserve"> sebesar 0,</w:t>
      </w:r>
      <w:r>
        <w:rPr>
          <w:sz w:val="24"/>
          <w:szCs w:val="24"/>
        </w:rPr>
        <w:t>614</w:t>
      </w:r>
      <w:r>
        <w:rPr>
          <w:sz w:val="24"/>
          <w:szCs w:val="24"/>
          <w:lang w:val="id-ID"/>
        </w:rPr>
        <w:t xml:space="preserve"> </w:t>
      </w:r>
      <w:r>
        <w:rPr>
          <w:color w:val="000000"/>
          <w:sz w:val="24"/>
          <w:szCs w:val="24"/>
          <w:lang w:val="id-ID" w:bidi="ar"/>
        </w:rPr>
        <w:t xml:space="preserve">dimana </w:t>
      </w:r>
      <w:r>
        <w:rPr>
          <w:rFonts w:ascii="Arial" w:hAnsi="Arial" w:cs="Arial"/>
          <w:color w:val="000000"/>
          <w:sz w:val="24"/>
          <w:szCs w:val="24"/>
          <w:lang w:val="id-ID" w:bidi="ar"/>
        </w:rPr>
        <w:t>α</w:t>
      </w:r>
      <w:r>
        <w:rPr>
          <w:color w:val="000000"/>
          <w:sz w:val="24"/>
          <w:szCs w:val="24"/>
          <w:lang w:val="id-ID" w:bidi="ar"/>
        </w:rPr>
        <w:t xml:space="preserve"> = 0,05 sehingga dapat disimpulkan secara parsial bahwa CR tidak berpengaruh terhadap nilai perusahaan (PBV). Dengan demikian bahwa H3 yang menyatakan Likuiditas berpengaruh pada nilai perusahaan pada emiten subsektor Farmasi yang terdaftar di BEI 2019-2021 ditolak.</w:t>
      </w:r>
    </w:p>
    <w:p>
      <w:pPr>
        <w:keepNext w:val="0"/>
        <w:keepLines w:val="0"/>
        <w:pageBreakBefore w:val="0"/>
        <w:widowControl/>
        <w:tabs>
          <w:tab w:val="left" w:pos="800"/>
        </w:tabs>
        <w:kinsoku/>
        <w:wordWrap/>
        <w:overflowPunct/>
        <w:topLinePunct w:val="0"/>
        <w:autoSpaceDE/>
        <w:autoSpaceDN/>
        <w:bidi w:val="0"/>
        <w:adjustRightInd/>
        <w:snapToGrid/>
        <w:spacing w:line="276" w:lineRule="auto"/>
        <w:jc w:val="both"/>
        <w:textAlignment w:val="auto"/>
        <w:rPr>
          <w:color w:val="000000"/>
          <w:sz w:val="24"/>
          <w:szCs w:val="24"/>
          <w:lang w:val="id-ID" w:bidi="ar"/>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hAnsi="Cambria Math"/>
          <w:b/>
          <w:bCs/>
          <w:sz w:val="24"/>
          <w:szCs w:val="24"/>
          <w:lang w:val="id-ID"/>
        </w:rPr>
      </w:pPr>
      <w:r>
        <w:rPr>
          <w:rFonts w:hint="default" w:hAnsi="Cambria Math"/>
          <w:b/>
          <w:bCs/>
          <w:sz w:val="24"/>
          <w:szCs w:val="24"/>
          <w:lang w:val="id-ID"/>
        </w:rPr>
        <w:t>KESIMPULAN DAN SARAN</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hAnsi="Cambria Math"/>
          <w:b/>
          <w:bCs/>
          <w:sz w:val="24"/>
          <w:szCs w:val="24"/>
          <w:lang w:val="id-ID"/>
        </w:rPr>
      </w:pPr>
      <w:r>
        <w:rPr>
          <w:rFonts w:hint="default" w:hAnsi="Cambria Math"/>
          <w:b/>
          <w:bCs/>
          <w:sz w:val="24"/>
          <w:szCs w:val="24"/>
          <w:lang w:val="id-ID"/>
        </w:rPr>
        <w:t>KESIMPULAN</w:t>
      </w:r>
    </w:p>
    <w:p>
      <w:pPr>
        <w:keepNext w:val="0"/>
        <w:keepLines w:val="0"/>
        <w:pageBreakBefore w:val="0"/>
        <w:widowControl/>
        <w:tabs>
          <w:tab w:val="left" w:pos="800"/>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color w:val="000000"/>
          <w:sz w:val="24"/>
          <w:szCs w:val="24"/>
          <w:lang w:val="id-ID" w:bidi="ar"/>
        </w:rPr>
        <w:t>Penelitian ini bertujuan untuk mengetahui pengaruh profitabilitas, solvabilitas, dan likuiditas terhadap nilai perusahaan subsektor farmasi yang terdaftar di Bursa Efek Indonesia (BEI) periode 2019-2021. berdasarkan regresi linier berganda, penelitian ini menarik kesimpulan bahwa :</w:t>
      </w:r>
    </w:p>
    <w:p>
      <w:pPr>
        <w:keepNext w:val="0"/>
        <w:keepLines w:val="0"/>
        <w:pageBreakBefore w:val="0"/>
        <w:widowControl/>
        <w:numPr>
          <w:ilvl w:val="0"/>
          <w:numId w:val="8"/>
        </w:numPr>
        <w:tabs>
          <w:tab w:val="left" w:pos="400"/>
          <w:tab w:val="clear" w:pos="425"/>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rFonts w:hint="default"/>
          <w:color w:val="000000"/>
          <w:sz w:val="24"/>
          <w:szCs w:val="24"/>
          <w:lang w:val="id-ID" w:bidi="ar"/>
        </w:rPr>
        <w:t>Pr</w:t>
      </w:r>
      <w:r>
        <w:rPr>
          <w:color w:val="000000"/>
          <w:sz w:val="24"/>
          <w:szCs w:val="24"/>
          <w:lang w:val="id-ID" w:bidi="ar"/>
        </w:rPr>
        <w:t>ofitabilitas tidak berpengaruh terhadap nilai perusahaan pada emiten subsektor Farmasi yang terdaftar di BEI 2019-2021. Dilihat dari koefisien yang bernilai positif dan tingkat signifikansinya sebesar 0,980.</w:t>
      </w:r>
    </w:p>
    <w:p>
      <w:pPr>
        <w:keepNext w:val="0"/>
        <w:keepLines w:val="0"/>
        <w:pageBreakBefore w:val="0"/>
        <w:widowControl/>
        <w:numPr>
          <w:ilvl w:val="0"/>
          <w:numId w:val="8"/>
        </w:numPr>
        <w:tabs>
          <w:tab w:val="left" w:pos="400"/>
          <w:tab w:val="clear" w:pos="425"/>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rFonts w:hint="default"/>
          <w:color w:val="000000"/>
          <w:sz w:val="24"/>
          <w:szCs w:val="24"/>
          <w:lang w:val="id-ID" w:bidi="ar"/>
        </w:rPr>
        <w:t>S</w:t>
      </w:r>
      <w:r>
        <w:rPr>
          <w:color w:val="000000"/>
          <w:sz w:val="24"/>
          <w:szCs w:val="24"/>
          <w:lang w:val="id-ID" w:bidi="ar"/>
        </w:rPr>
        <w:t>olvabilitas tidak berpengaruh terhadap nilai perusahaan pada emiten subsektor Farmasi yang terdaftar di BEI 2019-2021. Dilihat dari koefisien yang bernilai positif dan tingkat signifikansinya sebesar 0,417.</w:t>
      </w:r>
    </w:p>
    <w:p>
      <w:pPr>
        <w:keepNext w:val="0"/>
        <w:keepLines w:val="0"/>
        <w:pageBreakBefore w:val="0"/>
        <w:widowControl/>
        <w:numPr>
          <w:ilvl w:val="0"/>
          <w:numId w:val="8"/>
        </w:numPr>
        <w:tabs>
          <w:tab w:val="left" w:pos="400"/>
          <w:tab w:val="clear" w:pos="425"/>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rFonts w:hint="default"/>
          <w:color w:val="000000"/>
          <w:sz w:val="24"/>
          <w:szCs w:val="24"/>
          <w:lang w:val="id-ID" w:bidi="ar"/>
        </w:rPr>
        <w:t>L</w:t>
      </w:r>
      <w:r>
        <w:rPr>
          <w:color w:val="000000"/>
          <w:sz w:val="24"/>
          <w:szCs w:val="24"/>
          <w:lang w:val="id-ID" w:bidi="ar"/>
        </w:rPr>
        <w:t>ikuiditas tidak berpengaruh terhadap nilai perusahaan pada emiten subsektor Farmasi yang terdaftar di BEI 2019-2021. Dilihat dari koefisien yang bernilai positif dan tingkat signifikansinya sebesar 0,614.</w:t>
      </w:r>
    </w:p>
    <w:p>
      <w:pPr>
        <w:keepNext w:val="0"/>
        <w:keepLines w:val="0"/>
        <w:pageBreakBefore w:val="0"/>
        <w:widowControl/>
        <w:tabs>
          <w:tab w:val="left" w:pos="400"/>
        </w:tabs>
        <w:kinsoku/>
        <w:wordWrap/>
        <w:overflowPunct/>
        <w:topLinePunct w:val="0"/>
        <w:autoSpaceDE/>
        <w:autoSpaceDN/>
        <w:bidi w:val="0"/>
        <w:adjustRightInd/>
        <w:snapToGrid/>
        <w:spacing w:line="276" w:lineRule="auto"/>
        <w:jc w:val="both"/>
        <w:textAlignment w:val="auto"/>
        <w:rPr>
          <w:color w:val="000000"/>
          <w:sz w:val="24"/>
          <w:szCs w:val="24"/>
          <w:lang w:val="id-ID" w:bidi="ar"/>
        </w:rPr>
      </w:pP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line="276" w:lineRule="auto"/>
        <w:jc w:val="both"/>
        <w:textAlignment w:val="auto"/>
        <w:outlineLvl w:val="1"/>
        <w:rPr>
          <w:color w:val="000000"/>
          <w:sz w:val="24"/>
          <w:szCs w:val="24"/>
          <w:lang w:val="id-ID" w:bidi="ar"/>
        </w:rPr>
      </w:pPr>
      <w:bookmarkStart w:id="68" w:name="_Toc29081"/>
      <w:bookmarkStart w:id="69" w:name="_Toc9417"/>
      <w:bookmarkStart w:id="70" w:name="_Toc113597181"/>
      <w:bookmarkStart w:id="71" w:name="_Toc11587"/>
      <w:bookmarkStart w:id="72" w:name="_Toc943"/>
      <w:bookmarkStart w:id="73" w:name="_Toc11008"/>
      <w:r>
        <w:rPr>
          <w:b/>
          <w:bCs/>
          <w:color w:val="000000"/>
          <w:sz w:val="24"/>
          <w:szCs w:val="24"/>
          <w:lang w:val="id-ID" w:bidi="ar"/>
        </w:rPr>
        <w:t>SARAN</w:t>
      </w:r>
      <w:bookmarkEnd w:id="68"/>
      <w:bookmarkEnd w:id="69"/>
      <w:bookmarkEnd w:id="70"/>
      <w:bookmarkEnd w:id="71"/>
      <w:bookmarkEnd w:id="72"/>
      <w:bookmarkEnd w:id="73"/>
    </w:p>
    <w:p>
      <w:pPr>
        <w:keepNext w:val="0"/>
        <w:keepLines w:val="0"/>
        <w:pageBreakBefore w:val="0"/>
        <w:widowControl/>
        <w:tabs>
          <w:tab w:val="left" w:pos="800"/>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color w:val="000000"/>
          <w:sz w:val="24"/>
          <w:szCs w:val="24"/>
          <w:lang w:val="id-ID" w:bidi="ar"/>
        </w:rPr>
        <w:tab/>
      </w:r>
      <w:r>
        <w:rPr>
          <w:color w:val="000000"/>
          <w:sz w:val="24"/>
          <w:szCs w:val="24"/>
          <w:lang w:val="id-ID" w:bidi="ar"/>
        </w:rPr>
        <w:t>Berdasarkan hasil penelitian yang telah dilakukan, peneliti memberikan saran sebagai berikut :</w:t>
      </w:r>
      <w:bookmarkStart w:id="74" w:name="_Toc110271800"/>
      <w:bookmarkStart w:id="75" w:name="_Toc20925"/>
      <w:bookmarkStart w:id="76" w:name="_Toc28577"/>
      <w:bookmarkStart w:id="77" w:name="_Toc14208"/>
      <w:bookmarkStart w:id="78" w:name="_Toc110864456"/>
      <w:bookmarkStart w:id="79" w:name="_Toc4027"/>
      <w:bookmarkStart w:id="80" w:name="_Toc113597182"/>
      <w:bookmarkStart w:id="81" w:name="_Toc111397926"/>
      <w:bookmarkStart w:id="82" w:name="_Toc10693"/>
      <w:bookmarkStart w:id="83" w:name="_Toc12832"/>
    </w:p>
    <w:p>
      <w:pPr>
        <w:keepNext w:val="0"/>
        <w:keepLines w:val="0"/>
        <w:pageBreakBefore w:val="0"/>
        <w:widowControl/>
        <w:numPr>
          <w:ilvl w:val="0"/>
          <w:numId w:val="9"/>
        </w:numPr>
        <w:tabs>
          <w:tab w:val="left" w:pos="600"/>
          <w:tab w:val="clear" w:pos="425"/>
        </w:tabs>
        <w:kinsoku/>
        <w:wordWrap/>
        <w:overflowPunct/>
        <w:topLinePunct w:val="0"/>
        <w:autoSpaceDE/>
        <w:autoSpaceDN/>
        <w:bidi w:val="0"/>
        <w:adjustRightInd/>
        <w:snapToGrid/>
        <w:spacing w:line="276" w:lineRule="auto"/>
        <w:ind w:left="400" w:leftChars="0" w:hanging="425" w:firstLineChars="0"/>
        <w:jc w:val="both"/>
        <w:textAlignment w:val="auto"/>
        <w:rPr>
          <w:sz w:val="24"/>
          <w:szCs w:val="24"/>
          <w:lang w:val="id-ID"/>
        </w:rPr>
      </w:pPr>
      <w:r>
        <w:rPr>
          <w:color w:val="000000"/>
          <w:sz w:val="24"/>
          <w:szCs w:val="24"/>
          <w:lang w:val="id-ID" w:bidi="ar"/>
        </w:rPr>
        <w:t>Bagi Perusahaan</w:t>
      </w:r>
      <w:bookmarkEnd w:id="74"/>
      <w:bookmarkEnd w:id="75"/>
      <w:bookmarkEnd w:id="76"/>
      <w:bookmarkEnd w:id="77"/>
      <w:bookmarkEnd w:id="78"/>
      <w:bookmarkEnd w:id="79"/>
      <w:bookmarkEnd w:id="80"/>
      <w:bookmarkEnd w:id="81"/>
      <w:bookmarkEnd w:id="82"/>
      <w:bookmarkEnd w:id="83"/>
    </w:p>
    <w:p>
      <w:pPr>
        <w:keepNext w:val="0"/>
        <w:keepLines w:val="0"/>
        <w:pageBreakBefore w:val="0"/>
        <w:widowControl/>
        <w:tabs>
          <w:tab w:val="left" w:pos="800"/>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rFonts w:hint="default"/>
          <w:color w:val="000000"/>
          <w:sz w:val="24"/>
          <w:szCs w:val="24"/>
          <w:lang w:val="id-ID" w:bidi="ar"/>
        </w:rPr>
        <w:tab/>
      </w:r>
      <w:r>
        <w:rPr>
          <w:color w:val="000000"/>
          <w:sz w:val="24"/>
          <w:szCs w:val="24"/>
          <w:lang w:val="id-ID" w:bidi="ar"/>
        </w:rPr>
        <w:t>Perusahaan untuk lebih meningkatkan efisiensi kinerja perusahaan, pemaksimalan aset dan pengelolaan pengeluaran atau kewajiban serta ekuitas perusahaan untuk menjaga nilai perusahaan.</w:t>
      </w:r>
    </w:p>
    <w:p>
      <w:pPr>
        <w:keepNext w:val="0"/>
        <w:keepLines w:val="0"/>
        <w:pageBreakBefore w:val="0"/>
        <w:widowControl/>
        <w:numPr>
          <w:ilvl w:val="0"/>
          <w:numId w:val="9"/>
        </w:numPr>
        <w:tabs>
          <w:tab w:val="left" w:pos="800"/>
          <w:tab w:val="clear" w:pos="425"/>
        </w:tabs>
        <w:kinsoku/>
        <w:wordWrap/>
        <w:overflowPunct/>
        <w:topLinePunct w:val="0"/>
        <w:autoSpaceDE/>
        <w:autoSpaceDN/>
        <w:bidi w:val="0"/>
        <w:adjustRightInd/>
        <w:snapToGrid/>
        <w:spacing w:line="276" w:lineRule="auto"/>
        <w:ind w:left="425" w:leftChars="0" w:hanging="425" w:firstLineChars="0"/>
        <w:jc w:val="both"/>
        <w:textAlignment w:val="auto"/>
        <w:outlineLvl w:val="1"/>
        <w:rPr>
          <w:color w:val="000000"/>
          <w:sz w:val="24"/>
          <w:szCs w:val="24"/>
          <w:lang w:val="id-ID" w:bidi="ar"/>
        </w:rPr>
      </w:pPr>
      <w:bookmarkStart w:id="84" w:name="_Toc110271801"/>
      <w:bookmarkStart w:id="85" w:name="_Toc25148"/>
      <w:bookmarkStart w:id="86" w:name="_Toc14790"/>
      <w:bookmarkStart w:id="87" w:name="_Toc113597183"/>
      <w:bookmarkStart w:id="88" w:name="_Toc5570"/>
      <w:bookmarkStart w:id="89" w:name="_Toc16725"/>
      <w:bookmarkStart w:id="90" w:name="_Toc19780"/>
      <w:bookmarkStart w:id="91" w:name="_Toc23415"/>
      <w:bookmarkStart w:id="92" w:name="_Toc111397927"/>
      <w:bookmarkStart w:id="93" w:name="_Toc110864457"/>
      <w:r>
        <w:rPr>
          <w:color w:val="000000"/>
          <w:sz w:val="24"/>
          <w:szCs w:val="24"/>
          <w:lang w:val="id-ID" w:bidi="ar"/>
        </w:rPr>
        <w:t>Bagi Peneliti</w:t>
      </w:r>
      <w:bookmarkEnd w:id="84"/>
      <w:bookmarkEnd w:id="85"/>
      <w:bookmarkEnd w:id="86"/>
      <w:bookmarkEnd w:id="87"/>
      <w:bookmarkEnd w:id="88"/>
      <w:bookmarkEnd w:id="89"/>
      <w:bookmarkEnd w:id="90"/>
      <w:bookmarkEnd w:id="91"/>
      <w:bookmarkEnd w:id="92"/>
      <w:bookmarkEnd w:id="93"/>
    </w:p>
    <w:p>
      <w:pPr>
        <w:keepNext w:val="0"/>
        <w:keepLines w:val="0"/>
        <w:pageBreakBefore w:val="0"/>
        <w:widowControl/>
        <w:numPr>
          <w:ilvl w:val="0"/>
          <w:numId w:val="10"/>
        </w:numPr>
        <w:tabs>
          <w:tab w:val="left" w:pos="400"/>
          <w:tab w:val="clear" w:pos="425"/>
        </w:tabs>
        <w:kinsoku/>
        <w:wordWrap/>
        <w:overflowPunct/>
        <w:topLinePunct w:val="0"/>
        <w:autoSpaceDE/>
        <w:autoSpaceDN/>
        <w:bidi w:val="0"/>
        <w:adjustRightInd/>
        <w:snapToGrid/>
        <w:spacing w:line="276" w:lineRule="auto"/>
        <w:jc w:val="both"/>
        <w:textAlignment w:val="auto"/>
        <w:rPr>
          <w:color w:val="000000"/>
          <w:sz w:val="24"/>
          <w:szCs w:val="24"/>
          <w:lang w:val="id-ID" w:bidi="ar"/>
        </w:rPr>
      </w:pPr>
      <w:r>
        <w:rPr>
          <w:color w:val="000000"/>
          <w:sz w:val="24"/>
          <w:szCs w:val="24"/>
          <w:lang w:val="id-ID" w:bidi="ar"/>
        </w:rPr>
        <w:t>Untuk melihat nilai perusahaan dari berbagai sudut pandang, peneliti selanjutnya dapat menggunakan proksi lain seperti : Tobins Q atau PER.</w:t>
      </w:r>
    </w:p>
    <w:p>
      <w:pPr>
        <w:keepNext w:val="0"/>
        <w:keepLines w:val="0"/>
        <w:pageBreakBefore w:val="0"/>
        <w:widowControl/>
        <w:numPr>
          <w:ilvl w:val="0"/>
          <w:numId w:val="10"/>
        </w:numPr>
        <w:tabs>
          <w:tab w:val="left" w:pos="400"/>
          <w:tab w:val="clear" w:pos="425"/>
        </w:tabs>
        <w:kinsoku/>
        <w:wordWrap/>
        <w:overflowPunct/>
        <w:topLinePunct w:val="0"/>
        <w:autoSpaceDE/>
        <w:autoSpaceDN/>
        <w:bidi w:val="0"/>
        <w:adjustRightInd/>
        <w:snapToGrid/>
        <w:spacing w:line="276" w:lineRule="auto"/>
        <w:jc w:val="both"/>
        <w:textAlignment w:val="auto"/>
        <w:rPr>
          <w:rFonts w:hint="default" w:hAnsi="Cambria Math"/>
          <w:sz w:val="24"/>
          <w:szCs w:val="24"/>
          <w:lang w:val="id-ID"/>
        </w:rPr>
      </w:pPr>
      <w:r>
        <w:rPr>
          <w:color w:val="000000"/>
          <w:sz w:val="24"/>
          <w:szCs w:val="24"/>
          <w:lang w:val="id-ID" w:bidi="ar"/>
        </w:rPr>
        <w:t xml:space="preserve">Untuk penelitian selanjutnya, peneliti dapat menggunakan variabel-variabel bebas lainnya, seperti : ROA, EPS, ROI untuk mengukur profitabilitas; DAR, </w:t>
      </w:r>
      <w:r>
        <w:rPr>
          <w:i/>
          <w:iCs/>
          <w:color w:val="000000"/>
          <w:sz w:val="24"/>
          <w:szCs w:val="24"/>
          <w:lang w:val="id-ID" w:bidi="ar"/>
        </w:rPr>
        <w:t>Times Interest Earned</w:t>
      </w:r>
      <w:r>
        <w:rPr>
          <w:color w:val="000000"/>
          <w:sz w:val="24"/>
          <w:szCs w:val="24"/>
          <w:lang w:val="id-ID" w:bidi="ar"/>
        </w:rPr>
        <w:t xml:space="preserve">, LTDtER, FCC untuk mengukur solvabilitas; dan untuk mengukur likuiditas bisa menggunakan </w:t>
      </w:r>
      <w:r>
        <w:rPr>
          <w:i/>
          <w:iCs/>
          <w:color w:val="000000"/>
          <w:sz w:val="24"/>
          <w:szCs w:val="24"/>
          <w:lang w:val="id-ID" w:bidi="ar"/>
        </w:rPr>
        <w:t>Quick Ratio</w:t>
      </w:r>
      <w:r>
        <w:rPr>
          <w:color w:val="000000"/>
          <w:sz w:val="24"/>
          <w:szCs w:val="24"/>
          <w:lang w:val="id-ID" w:bidi="ar"/>
        </w:rPr>
        <w:t xml:space="preserve"> atau </w:t>
      </w:r>
      <w:r>
        <w:rPr>
          <w:i/>
          <w:iCs/>
          <w:color w:val="000000"/>
          <w:sz w:val="24"/>
          <w:szCs w:val="24"/>
          <w:lang w:val="id-ID" w:bidi="ar"/>
        </w:rPr>
        <w:t>Cash Ratio</w:t>
      </w:r>
      <w:r>
        <w:rPr>
          <w:color w:val="000000"/>
          <w:sz w:val="24"/>
          <w:szCs w:val="24"/>
          <w:lang w:val="id-ID" w:bidi="ar"/>
        </w:rPr>
        <w:t>.</w:t>
      </w:r>
    </w:p>
    <w:p>
      <w:pPr>
        <w:keepNext w:val="0"/>
        <w:keepLines w:val="0"/>
        <w:pageBreakBefore w:val="0"/>
        <w:widowControl/>
        <w:numPr>
          <w:ilvl w:val="0"/>
          <w:numId w:val="10"/>
        </w:numPr>
        <w:tabs>
          <w:tab w:val="left" w:pos="400"/>
          <w:tab w:val="clear" w:pos="425"/>
        </w:tabs>
        <w:kinsoku/>
        <w:wordWrap/>
        <w:overflowPunct/>
        <w:topLinePunct w:val="0"/>
        <w:autoSpaceDE/>
        <w:autoSpaceDN/>
        <w:bidi w:val="0"/>
        <w:adjustRightInd/>
        <w:snapToGrid/>
        <w:spacing w:line="276" w:lineRule="auto"/>
        <w:jc w:val="both"/>
        <w:textAlignment w:val="auto"/>
        <w:rPr>
          <w:rFonts w:hint="default" w:hAnsi="Cambria Math"/>
          <w:sz w:val="24"/>
          <w:szCs w:val="24"/>
          <w:lang w:val="id-ID"/>
        </w:rPr>
      </w:pPr>
      <w:r>
        <w:rPr>
          <w:color w:val="000000"/>
          <w:sz w:val="24"/>
          <w:szCs w:val="24"/>
          <w:lang w:val="id-ID" w:bidi="ar"/>
        </w:rPr>
        <w:t>Peneliti saat ini hanya menggunakan rentan waktu 3 tahun yaitu tahun 2019-2021. Sehingga data kurang mencerminkan kondisi perusahaan dalam jangka panjang.</w:t>
      </w:r>
    </w:p>
    <w:p>
      <w:pPr>
        <w:keepNext w:val="0"/>
        <w:keepLines w:val="0"/>
        <w:pageBreakBefore w:val="0"/>
        <w:widowControl/>
        <w:numPr>
          <w:ilvl w:val="0"/>
          <w:numId w:val="0"/>
        </w:numPr>
        <w:tabs>
          <w:tab w:val="left" w:pos="400"/>
        </w:tabs>
        <w:kinsoku/>
        <w:wordWrap/>
        <w:overflowPunct/>
        <w:topLinePunct w:val="0"/>
        <w:autoSpaceDE/>
        <w:autoSpaceDN/>
        <w:bidi w:val="0"/>
        <w:adjustRightInd/>
        <w:snapToGrid/>
        <w:spacing w:line="276" w:lineRule="auto"/>
        <w:ind w:leftChars="0"/>
        <w:jc w:val="both"/>
        <w:textAlignment w:val="auto"/>
        <w:rPr>
          <w:rFonts w:hint="default" w:hAnsi="Cambria Math"/>
          <w:b/>
          <w:bCs/>
          <w:sz w:val="24"/>
          <w:szCs w:val="24"/>
          <w:lang w:val="id-ID"/>
        </w:rPr>
      </w:pPr>
    </w:p>
    <w:p>
      <w:pPr>
        <w:keepNext w:val="0"/>
        <w:keepLines w:val="0"/>
        <w:pageBreakBefore w:val="0"/>
        <w:widowControl/>
        <w:numPr>
          <w:ilvl w:val="0"/>
          <w:numId w:val="0"/>
        </w:numPr>
        <w:tabs>
          <w:tab w:val="left" w:pos="400"/>
        </w:tabs>
        <w:kinsoku/>
        <w:wordWrap/>
        <w:overflowPunct/>
        <w:topLinePunct w:val="0"/>
        <w:autoSpaceDE/>
        <w:autoSpaceDN/>
        <w:bidi w:val="0"/>
        <w:adjustRightInd/>
        <w:snapToGrid/>
        <w:spacing w:line="276" w:lineRule="auto"/>
        <w:ind w:leftChars="0"/>
        <w:jc w:val="both"/>
        <w:textAlignment w:val="auto"/>
        <w:rPr>
          <w:rFonts w:hint="default" w:hAnsi="Cambria Math"/>
          <w:b/>
          <w:bCs/>
          <w:sz w:val="24"/>
          <w:szCs w:val="24"/>
          <w:lang w:val="id-ID"/>
        </w:rPr>
      </w:pPr>
      <w:r>
        <w:rPr>
          <w:rFonts w:hint="default" w:hAnsi="Cambria Math"/>
          <w:b/>
          <w:bCs/>
          <w:sz w:val="24"/>
          <w:szCs w:val="24"/>
          <w:lang w:val="id-ID"/>
        </w:rPr>
        <w:t>DAFTAR PUSTAKA</w:t>
      </w:r>
    </w:p>
    <w:p>
      <w:pPr>
        <w:keepNext w:val="0"/>
        <w:keepLines w:val="0"/>
        <w:pageBreakBefore w:val="0"/>
        <w:widowControl/>
        <w:numPr>
          <w:ilvl w:val="0"/>
          <w:numId w:val="0"/>
        </w:numPr>
        <w:tabs>
          <w:tab w:val="left" w:pos="400"/>
        </w:tabs>
        <w:kinsoku/>
        <w:wordWrap/>
        <w:overflowPunct/>
        <w:topLinePunct w:val="0"/>
        <w:autoSpaceDE/>
        <w:autoSpaceDN/>
        <w:bidi w:val="0"/>
        <w:adjustRightInd/>
        <w:snapToGrid/>
        <w:spacing w:line="276" w:lineRule="auto"/>
        <w:ind w:left="998" w:leftChars="0" w:hanging="998" w:hangingChars="416"/>
        <w:jc w:val="both"/>
        <w:textAlignment w:val="auto"/>
        <w:rPr>
          <w:sz w:val="24"/>
          <w:szCs w:val="24"/>
          <w:lang w:val="id-ID" w:bidi="ar"/>
        </w:rPr>
      </w:pPr>
      <w:r>
        <w:rPr>
          <w:sz w:val="24"/>
          <w:szCs w:val="24"/>
          <w:lang w:val="id-ID" w:bidi="ar"/>
        </w:rPr>
        <w:t xml:space="preserve">Dr. Jan Hoesada. 2022. </w:t>
      </w:r>
      <w:r>
        <w:rPr>
          <w:i/>
          <w:iCs/>
          <w:sz w:val="24"/>
          <w:szCs w:val="24"/>
          <w:lang w:bidi="ar"/>
        </w:rPr>
        <w:t>TEORI AKUNTANSI</w:t>
      </w:r>
      <w:r>
        <w:rPr>
          <w:i/>
          <w:iCs/>
          <w:sz w:val="24"/>
          <w:szCs w:val="24"/>
          <w:lang w:val="id-ID" w:bidi="ar"/>
        </w:rPr>
        <w:t xml:space="preserve"> : </w:t>
      </w:r>
      <w:r>
        <w:rPr>
          <w:i/>
          <w:iCs/>
          <w:sz w:val="24"/>
          <w:szCs w:val="24"/>
          <w:lang w:bidi="ar"/>
        </w:rPr>
        <w:t>dalam Hampiran Historiografis Taksonomis</w:t>
      </w:r>
      <w:r>
        <w:rPr>
          <w:sz w:val="24"/>
          <w:szCs w:val="24"/>
          <w:lang w:val="id-ID" w:bidi="ar"/>
        </w:rPr>
        <w:t>. Yogyakarta:Gramedia. Tersedia dari bo</w:t>
      </w:r>
      <w:bookmarkStart w:id="94" w:name="_GoBack"/>
      <w:bookmarkEnd w:id="94"/>
      <w:r>
        <w:rPr>
          <w:sz w:val="24"/>
          <w:szCs w:val="24"/>
          <w:lang w:val="id-ID" w:bidi="ar"/>
        </w:rPr>
        <w:t>oks.google.com</w:t>
      </w:r>
    </w:p>
    <w:p>
      <w:pPr>
        <w:keepNext w:val="0"/>
        <w:keepLines w:val="0"/>
        <w:pageBreakBefore w:val="0"/>
        <w:widowControl/>
        <w:kinsoku/>
        <w:wordWrap/>
        <w:overflowPunct/>
        <w:topLinePunct w:val="0"/>
        <w:autoSpaceDE/>
        <w:autoSpaceDN/>
        <w:bidi w:val="0"/>
        <w:adjustRightInd/>
        <w:snapToGrid/>
        <w:spacing w:line="276" w:lineRule="auto"/>
        <w:ind w:left="998" w:hanging="998" w:hangingChars="416"/>
        <w:jc w:val="both"/>
        <w:textAlignment w:val="auto"/>
        <w:rPr>
          <w:sz w:val="24"/>
          <w:szCs w:val="24"/>
          <w:lang w:val="id-ID"/>
        </w:rPr>
      </w:pPr>
      <w:r>
        <w:rPr>
          <w:sz w:val="24"/>
          <w:szCs w:val="24"/>
          <w:lang w:val="id-ID"/>
        </w:rPr>
        <w:t xml:space="preserve">Hery. 2021. </w:t>
      </w:r>
      <w:r>
        <w:rPr>
          <w:i/>
          <w:iCs/>
          <w:sz w:val="24"/>
          <w:szCs w:val="24"/>
        </w:rPr>
        <w:t>Analisis Laporan Keuangan-Integrated And Comprehensive</w:t>
      </w:r>
      <w:r>
        <w:rPr>
          <w:sz w:val="24"/>
          <w:szCs w:val="24"/>
          <w:lang w:val="id-ID"/>
        </w:rPr>
        <w:t xml:space="preserve">. Jakarta : Grasindo. </w:t>
      </w:r>
      <w:r>
        <w:rPr>
          <w:sz w:val="24"/>
          <w:szCs w:val="24"/>
          <w:lang w:val="id-ID" w:bidi="ar"/>
        </w:rPr>
        <w:t>Tersedia dari books.google.com</w:t>
      </w:r>
    </w:p>
    <w:p>
      <w:pPr>
        <w:keepNext w:val="0"/>
        <w:keepLines w:val="0"/>
        <w:pageBreakBefore w:val="0"/>
        <w:widowControl/>
        <w:kinsoku/>
        <w:wordWrap/>
        <w:overflowPunct/>
        <w:topLinePunct w:val="0"/>
        <w:autoSpaceDE/>
        <w:autoSpaceDN/>
        <w:bidi w:val="0"/>
        <w:adjustRightInd/>
        <w:snapToGrid/>
        <w:spacing w:line="276" w:lineRule="auto"/>
        <w:ind w:left="996" w:leftChars="0" w:hanging="996" w:hangingChars="498"/>
        <w:jc w:val="both"/>
        <w:textAlignment w:val="auto"/>
        <w:rPr>
          <w:sz w:val="24"/>
          <w:szCs w:val="24"/>
          <w:lang w:val="id-ID"/>
        </w:rPr>
      </w:pPr>
      <w:r>
        <w:fldChar w:fldCharType="begin"/>
      </w:r>
      <w:r>
        <w:instrText xml:space="preserve"> HYPERLINK "Https://accounting.binus.ac.id/" </w:instrText>
      </w:r>
      <w:r>
        <w:fldChar w:fldCharType="separate"/>
      </w:r>
      <w:r>
        <w:rPr>
          <w:rStyle w:val="6"/>
          <w:color w:val="auto"/>
          <w:sz w:val="24"/>
          <w:szCs w:val="24"/>
          <w:u w:val="none"/>
          <w:lang w:val="id-ID"/>
        </w:rPr>
        <w:t>Https://accounting.binus.ac.id/</w:t>
      </w:r>
      <w:r>
        <w:rPr>
          <w:rStyle w:val="6"/>
          <w:color w:val="auto"/>
          <w:sz w:val="24"/>
          <w:szCs w:val="24"/>
          <w:u w:val="none"/>
          <w:lang w:val="id-ID"/>
        </w:rPr>
        <w:fldChar w:fldCharType="end"/>
      </w:r>
      <w:r>
        <w:rPr>
          <w:sz w:val="24"/>
          <w:szCs w:val="24"/>
          <w:lang w:val="id-ID"/>
        </w:rPr>
        <w:t xml:space="preserve"> diakses pada tanggal 05 Juli 2022</w:t>
      </w:r>
    </w:p>
    <w:p>
      <w:pPr>
        <w:keepNext w:val="0"/>
        <w:keepLines w:val="0"/>
        <w:pageBreakBefore w:val="0"/>
        <w:widowControl/>
        <w:kinsoku/>
        <w:wordWrap/>
        <w:overflowPunct/>
        <w:topLinePunct w:val="0"/>
        <w:autoSpaceDE/>
        <w:autoSpaceDN/>
        <w:bidi w:val="0"/>
        <w:adjustRightInd/>
        <w:snapToGrid/>
        <w:spacing w:line="276" w:lineRule="auto"/>
        <w:ind w:left="1000" w:leftChars="0" w:hanging="1000" w:hangingChars="500"/>
        <w:jc w:val="both"/>
        <w:textAlignment w:val="auto"/>
        <w:rPr>
          <w:sz w:val="24"/>
          <w:szCs w:val="24"/>
          <w:lang w:val="id-ID"/>
        </w:rPr>
      </w:pPr>
      <w:r>
        <w:fldChar w:fldCharType="begin"/>
      </w:r>
      <w:r>
        <w:instrText xml:space="preserve"> HYPERLINK "https://www.cnbcindonesia.com/market/20211129115150-17-295130/gegara-omicron-saham-farmasi-melesat-berjamaah" </w:instrText>
      </w:r>
      <w:r>
        <w:fldChar w:fldCharType="separate"/>
      </w:r>
      <w:r>
        <w:rPr>
          <w:sz w:val="24"/>
          <w:szCs w:val="24"/>
          <w:lang w:val="id-ID"/>
        </w:rPr>
        <w:t>H</w:t>
      </w:r>
      <w:r>
        <w:rPr>
          <w:rStyle w:val="6"/>
          <w:color w:val="auto"/>
          <w:sz w:val="24"/>
          <w:szCs w:val="24"/>
          <w:u w:val="none"/>
          <w:lang w:val="id-ID"/>
        </w:rPr>
        <w:t>ttps://www.cnbcindonesia.com</w:t>
      </w:r>
      <w:r>
        <w:rPr>
          <w:rStyle w:val="6"/>
          <w:color w:val="auto"/>
          <w:sz w:val="24"/>
          <w:szCs w:val="24"/>
          <w:u w:val="none"/>
          <w:lang w:val="id-ID"/>
        </w:rPr>
        <w:fldChar w:fldCharType="end"/>
      </w:r>
      <w:r>
        <w:rPr>
          <w:sz w:val="24"/>
          <w:szCs w:val="24"/>
          <w:lang w:val="id-ID"/>
        </w:rPr>
        <w:t xml:space="preserve"> diakses pada tanggal 10 Juni 2022</w:t>
      </w:r>
    </w:p>
    <w:p>
      <w:pPr>
        <w:keepNext w:val="0"/>
        <w:keepLines w:val="0"/>
        <w:pageBreakBefore w:val="0"/>
        <w:widowControl/>
        <w:kinsoku/>
        <w:wordWrap/>
        <w:overflowPunct/>
        <w:topLinePunct w:val="0"/>
        <w:autoSpaceDE/>
        <w:autoSpaceDN/>
        <w:bidi w:val="0"/>
        <w:adjustRightInd/>
        <w:snapToGrid/>
        <w:spacing w:line="276" w:lineRule="auto"/>
        <w:ind w:left="998" w:hanging="998" w:hangingChars="416"/>
        <w:jc w:val="both"/>
        <w:textAlignment w:val="auto"/>
        <w:rPr>
          <w:sz w:val="24"/>
          <w:szCs w:val="24"/>
          <w:lang w:val="id-ID"/>
        </w:rPr>
      </w:pPr>
      <w:r>
        <w:rPr>
          <w:sz w:val="24"/>
          <w:szCs w:val="24"/>
        </w:rPr>
        <w:t>Kusmiati, Mia</w:t>
      </w:r>
      <w:r>
        <w:rPr>
          <w:sz w:val="24"/>
          <w:szCs w:val="24"/>
          <w:lang w:val="id-ID"/>
        </w:rPr>
        <w:t xml:space="preserve">. </w:t>
      </w:r>
      <w:r>
        <w:rPr>
          <w:sz w:val="24"/>
          <w:szCs w:val="24"/>
        </w:rPr>
        <w:t>2019</w:t>
      </w:r>
      <w:r>
        <w:rPr>
          <w:sz w:val="24"/>
          <w:szCs w:val="24"/>
          <w:lang w:val="id-ID"/>
        </w:rPr>
        <w:t>.</w:t>
      </w:r>
      <w:r>
        <w:rPr>
          <w:sz w:val="24"/>
          <w:szCs w:val="24"/>
        </w:rPr>
        <w:t xml:space="preserve"> </w:t>
      </w:r>
      <w:r>
        <w:fldChar w:fldCharType="begin"/>
      </w:r>
      <w:r>
        <w:instrText xml:space="preserve"> HYPERLINK "http://repositori.unsil.ac.id/1022/" </w:instrText>
      </w:r>
      <w:r>
        <w:fldChar w:fldCharType="separate"/>
      </w:r>
      <w:r>
        <w:rPr>
          <w:rStyle w:val="6"/>
          <w:i/>
          <w:iCs/>
          <w:color w:val="auto"/>
          <w:sz w:val="24"/>
          <w:szCs w:val="24"/>
          <w:u w:val="none"/>
        </w:rPr>
        <w:t xml:space="preserve">Pengaruh Profitabilitas </w:t>
      </w:r>
      <w:r>
        <w:rPr>
          <w:rStyle w:val="6"/>
          <w:i/>
          <w:iCs/>
          <w:color w:val="auto"/>
          <w:sz w:val="24"/>
          <w:szCs w:val="24"/>
          <w:u w:val="none"/>
          <w:lang w:val="id-ID"/>
        </w:rPr>
        <w:t>d</w:t>
      </w:r>
      <w:r>
        <w:rPr>
          <w:rStyle w:val="6"/>
          <w:i/>
          <w:iCs/>
          <w:color w:val="auto"/>
          <w:sz w:val="24"/>
          <w:szCs w:val="24"/>
          <w:u w:val="none"/>
        </w:rPr>
        <w:t>an Tingkat Pertumbuhan Terhadap Struktur Modal (Studi Kasus Pada Pt Unilever Indonesia, Tbk.)</w:t>
      </w:r>
      <w:r>
        <w:rPr>
          <w:rStyle w:val="6"/>
          <w:color w:val="auto"/>
          <w:sz w:val="24"/>
          <w:szCs w:val="24"/>
          <w:u w:val="none"/>
        </w:rPr>
        <w:t>.</w:t>
      </w:r>
      <w:r>
        <w:rPr>
          <w:rStyle w:val="6"/>
          <w:color w:val="auto"/>
          <w:sz w:val="24"/>
          <w:szCs w:val="24"/>
          <w:u w:val="none"/>
        </w:rPr>
        <w:fldChar w:fldCharType="end"/>
      </w:r>
      <w:r>
        <w:rPr>
          <w:sz w:val="24"/>
          <w:szCs w:val="24"/>
        </w:rPr>
        <w:t xml:space="preserve"> Sarjana Thesis, Universitas Siliwangi.</w:t>
      </w:r>
    </w:p>
    <w:p>
      <w:pPr>
        <w:keepNext w:val="0"/>
        <w:keepLines w:val="0"/>
        <w:pageBreakBefore w:val="0"/>
        <w:widowControl/>
        <w:kinsoku/>
        <w:wordWrap/>
        <w:overflowPunct/>
        <w:topLinePunct w:val="0"/>
        <w:autoSpaceDE/>
        <w:autoSpaceDN/>
        <w:bidi w:val="0"/>
        <w:adjustRightInd/>
        <w:snapToGrid/>
        <w:spacing w:line="276" w:lineRule="auto"/>
        <w:ind w:left="998" w:hanging="998" w:hangingChars="416"/>
        <w:jc w:val="both"/>
        <w:textAlignment w:val="auto"/>
        <w:rPr>
          <w:rFonts w:eastAsia="Book Antiqua"/>
          <w:color w:val="000000"/>
          <w:sz w:val="24"/>
          <w:szCs w:val="24"/>
          <w:lang w:val="id-ID" w:bidi="ar"/>
        </w:rPr>
      </w:pPr>
      <w:r>
        <w:rPr>
          <w:sz w:val="24"/>
          <w:szCs w:val="24"/>
          <w:lang w:val="id-ID"/>
        </w:rPr>
        <w:t xml:space="preserve">Monalisa, Suci dan Yahya. 2019. </w:t>
      </w:r>
      <w:r>
        <w:rPr>
          <w:rFonts w:eastAsia="Book Antiqua"/>
          <w:i/>
          <w:iCs/>
          <w:color w:val="000000"/>
          <w:sz w:val="24"/>
          <w:szCs w:val="24"/>
          <w:lang w:bidi="ar"/>
        </w:rPr>
        <w:t>Pengaruh Solvabilitas,</w:t>
      </w:r>
      <w:r>
        <w:rPr>
          <w:rFonts w:eastAsia="Book Antiqua"/>
          <w:i/>
          <w:iCs/>
          <w:color w:val="000000"/>
          <w:sz w:val="24"/>
          <w:szCs w:val="24"/>
          <w:lang w:val="id-ID" w:bidi="ar"/>
        </w:rPr>
        <w:t xml:space="preserve"> </w:t>
      </w:r>
      <w:r>
        <w:rPr>
          <w:rFonts w:eastAsia="Book Antiqua"/>
          <w:i/>
          <w:iCs/>
          <w:color w:val="000000"/>
          <w:sz w:val="24"/>
          <w:szCs w:val="24"/>
          <w:lang w:bidi="ar"/>
        </w:rPr>
        <w:t xml:space="preserve">Profitabilitas, </w:t>
      </w:r>
      <w:r>
        <w:rPr>
          <w:rFonts w:eastAsia="Book Antiqua"/>
          <w:i/>
          <w:iCs/>
          <w:color w:val="000000"/>
          <w:sz w:val="24"/>
          <w:szCs w:val="24"/>
          <w:lang w:val="id-ID" w:bidi="ar"/>
        </w:rPr>
        <w:t>d</w:t>
      </w:r>
      <w:r>
        <w:rPr>
          <w:rFonts w:eastAsia="Book Antiqua"/>
          <w:i/>
          <w:iCs/>
          <w:color w:val="000000"/>
          <w:sz w:val="24"/>
          <w:szCs w:val="24"/>
          <w:lang w:bidi="ar"/>
        </w:rPr>
        <w:t>an Aktivitas Terhadap Nilai</w:t>
      </w:r>
      <w:r>
        <w:rPr>
          <w:rFonts w:eastAsia="Book Antiqua"/>
          <w:i/>
          <w:iCs/>
          <w:color w:val="000000"/>
          <w:sz w:val="24"/>
          <w:szCs w:val="24"/>
          <w:lang w:val="id-ID" w:bidi="ar"/>
        </w:rPr>
        <w:t xml:space="preserve"> </w:t>
      </w:r>
      <w:r>
        <w:rPr>
          <w:rFonts w:eastAsia="Book Antiqua"/>
          <w:i/>
          <w:iCs/>
          <w:color w:val="000000"/>
          <w:sz w:val="24"/>
          <w:szCs w:val="24"/>
          <w:lang w:bidi="ar"/>
        </w:rPr>
        <w:t xml:space="preserve">Perusahaan Farmasi Yang Terdaftar </w:t>
      </w:r>
      <w:r>
        <w:rPr>
          <w:rFonts w:eastAsia="Book Antiqua"/>
          <w:i/>
          <w:iCs/>
          <w:color w:val="000000"/>
          <w:sz w:val="24"/>
          <w:szCs w:val="24"/>
          <w:lang w:val="id-ID" w:bidi="ar"/>
        </w:rPr>
        <w:t>d</w:t>
      </w:r>
      <w:r>
        <w:rPr>
          <w:rFonts w:eastAsia="Book Antiqua"/>
          <w:i/>
          <w:iCs/>
          <w:color w:val="000000"/>
          <w:sz w:val="24"/>
          <w:szCs w:val="24"/>
          <w:lang w:bidi="ar"/>
        </w:rPr>
        <w:t>i B</w:t>
      </w:r>
      <w:r>
        <w:rPr>
          <w:rFonts w:eastAsia="Book Antiqua"/>
          <w:i/>
          <w:iCs/>
          <w:color w:val="000000"/>
          <w:sz w:val="24"/>
          <w:szCs w:val="24"/>
          <w:lang w:val="id-ID" w:bidi="ar"/>
        </w:rPr>
        <w:t>EI</w:t>
      </w:r>
      <w:r>
        <w:rPr>
          <w:rFonts w:eastAsia="Book Antiqua"/>
          <w:color w:val="000000"/>
          <w:sz w:val="24"/>
          <w:szCs w:val="24"/>
          <w:lang w:val="id-ID" w:bidi="ar"/>
        </w:rPr>
        <w:t>. Jurnal Ilmu dan Riset Manajemen. 8(4):9</w:t>
      </w:r>
    </w:p>
    <w:p>
      <w:pPr>
        <w:keepNext w:val="0"/>
        <w:keepLines w:val="0"/>
        <w:pageBreakBefore w:val="0"/>
        <w:widowControl/>
        <w:kinsoku/>
        <w:wordWrap/>
        <w:overflowPunct/>
        <w:topLinePunct w:val="0"/>
        <w:autoSpaceDE/>
        <w:autoSpaceDN/>
        <w:bidi w:val="0"/>
        <w:adjustRightInd/>
        <w:snapToGrid/>
        <w:spacing w:line="276" w:lineRule="auto"/>
        <w:ind w:left="998" w:hanging="998" w:hangingChars="416"/>
        <w:jc w:val="both"/>
        <w:textAlignment w:val="auto"/>
        <w:rPr>
          <w:rFonts w:eastAsia="Book Antiqua"/>
          <w:color w:val="000000"/>
          <w:sz w:val="24"/>
          <w:szCs w:val="24"/>
          <w:lang w:val="id-ID" w:bidi="ar"/>
        </w:rPr>
      </w:pPr>
      <w:r>
        <w:rPr>
          <w:rFonts w:eastAsia="Book Antiqua"/>
          <w:color w:val="000000"/>
          <w:sz w:val="24"/>
          <w:szCs w:val="24"/>
          <w:lang w:val="id-ID" w:bidi="ar"/>
        </w:rPr>
        <w:t xml:space="preserve">Ningrum, Endah Prawesti. 2022. </w:t>
      </w:r>
      <w:r>
        <w:rPr>
          <w:rFonts w:eastAsia="Book Antiqua"/>
          <w:i/>
          <w:iCs/>
          <w:color w:val="000000"/>
          <w:sz w:val="24"/>
          <w:szCs w:val="24"/>
          <w:lang w:val="id-ID" w:bidi="ar"/>
        </w:rPr>
        <w:t>Nilai Perusahaa : Konsep dan Aplikasi</w:t>
      </w:r>
      <w:r>
        <w:rPr>
          <w:rFonts w:eastAsia="Book Antiqua"/>
          <w:color w:val="000000"/>
          <w:sz w:val="24"/>
          <w:szCs w:val="24"/>
          <w:lang w:val="id-ID" w:bidi="ar"/>
        </w:rPr>
        <w:t>. Indramayu : CV. Adanu Abimata. Tersedia dari books.google.com</w:t>
      </w:r>
    </w:p>
    <w:p>
      <w:pPr>
        <w:keepNext w:val="0"/>
        <w:keepLines w:val="0"/>
        <w:pageBreakBefore w:val="0"/>
        <w:widowControl/>
        <w:kinsoku/>
        <w:wordWrap/>
        <w:overflowPunct/>
        <w:topLinePunct w:val="0"/>
        <w:autoSpaceDE/>
        <w:autoSpaceDN/>
        <w:bidi w:val="0"/>
        <w:adjustRightInd/>
        <w:snapToGrid/>
        <w:spacing w:line="276" w:lineRule="auto"/>
        <w:ind w:left="998" w:hanging="998" w:hangingChars="416"/>
        <w:jc w:val="both"/>
        <w:textAlignment w:val="auto"/>
        <w:rPr>
          <w:rFonts w:eastAsia="Book Antiqua"/>
          <w:color w:val="000000"/>
          <w:sz w:val="24"/>
          <w:szCs w:val="24"/>
          <w:lang w:val="id-ID" w:bidi="ar"/>
        </w:rPr>
      </w:pPr>
      <w:r>
        <w:rPr>
          <w:rFonts w:eastAsia="Book Antiqua"/>
          <w:color w:val="000000"/>
          <w:sz w:val="24"/>
          <w:szCs w:val="24"/>
          <w:lang w:val="id-ID" w:bidi="ar"/>
        </w:rPr>
        <w:t xml:space="preserve">Siregar, Eddy Irsan. 2021. </w:t>
      </w:r>
      <w:r>
        <w:rPr>
          <w:sz w:val="24"/>
          <w:szCs w:val="24"/>
        </w:rPr>
        <w:t>Kinerja Keuangan Terhadap Profitabilitas Sub Sektor Konstruksi</w:t>
      </w:r>
      <w:r>
        <w:rPr>
          <w:sz w:val="24"/>
          <w:szCs w:val="24"/>
          <w:lang w:val="id-ID"/>
        </w:rPr>
        <w:t xml:space="preserve">. Penerbit NEM. Tersedia dari </w:t>
      </w:r>
      <w:r>
        <w:rPr>
          <w:i/>
          <w:iCs/>
          <w:sz w:val="24"/>
          <w:szCs w:val="24"/>
          <w:lang w:val="id-ID"/>
        </w:rPr>
        <w:t>books.google.co.id</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eastAsia="Book Antiqua"/>
          <w:color w:val="000000"/>
          <w:sz w:val="24"/>
          <w:szCs w:val="24"/>
          <w:lang w:val="id-ID" w:bidi="ar"/>
        </w:rPr>
      </w:pPr>
      <w:r>
        <w:rPr>
          <w:rFonts w:eastAsia="Book Antiqua"/>
          <w:color w:val="000000"/>
          <w:sz w:val="24"/>
          <w:szCs w:val="24"/>
          <w:lang w:val="id-ID" w:bidi="ar"/>
        </w:rPr>
        <w:t>SPSS Versi 25</w:t>
      </w:r>
    </w:p>
    <w:p>
      <w:pPr>
        <w:keepNext w:val="0"/>
        <w:keepLines w:val="0"/>
        <w:pageBreakBefore w:val="0"/>
        <w:widowControl/>
        <w:kinsoku/>
        <w:wordWrap/>
        <w:overflowPunct/>
        <w:topLinePunct w:val="0"/>
        <w:autoSpaceDE/>
        <w:autoSpaceDN/>
        <w:bidi w:val="0"/>
        <w:adjustRightInd/>
        <w:snapToGrid/>
        <w:spacing w:line="276" w:lineRule="auto"/>
        <w:ind w:left="998" w:hanging="832" w:hangingChars="416"/>
        <w:jc w:val="both"/>
        <w:textAlignment w:val="auto"/>
        <w:rPr>
          <w:rFonts w:hint="default" w:hAnsi="Cambria Math"/>
          <w:i w:val="0"/>
          <w:iCs/>
          <w:sz w:val="28"/>
          <w:szCs w:val="28"/>
          <w:lang w:val="id-ID"/>
        </w:rPr>
        <w:sectPr>
          <w:type w:val="continuous"/>
          <w:pgSz w:w="12240" w:h="15840"/>
          <w:pgMar w:top="1440" w:right="1440" w:bottom="1440" w:left="1440" w:header="720" w:footer="720" w:gutter="0"/>
          <w:cols w:equalWidth="0" w:num="2">
            <w:col w:w="4466" w:space="427"/>
            <w:col w:w="4467"/>
          </w:cols>
          <w:docGrid w:linePitch="360" w:charSpace="0"/>
        </w:sectPr>
      </w:pPr>
      <w:r>
        <w:fldChar w:fldCharType="begin"/>
      </w:r>
      <w:r>
        <w:instrText xml:space="preserve"> HYPERLINK "http://www.idx.co.id" </w:instrText>
      </w:r>
      <w:r>
        <w:fldChar w:fldCharType="separate"/>
      </w:r>
      <w:r>
        <w:rPr>
          <w:rStyle w:val="6"/>
          <w:color w:val="auto"/>
          <w:sz w:val="24"/>
          <w:szCs w:val="24"/>
          <w:u w:val="none"/>
          <w:lang w:val="id-ID"/>
        </w:rPr>
        <w:t>www.idx.co.id</w:t>
      </w:r>
      <w:r>
        <w:rPr>
          <w:rStyle w:val="6"/>
          <w:color w:val="auto"/>
          <w:sz w:val="24"/>
          <w:szCs w:val="24"/>
          <w:u w:val="none"/>
          <w:lang w:val="id-ID"/>
        </w:rPr>
        <w:fldChar w:fldCharType="end"/>
      </w:r>
    </w:p>
    <w:p>
      <w:pPr>
        <w:spacing w:line="240" w:lineRule="auto"/>
        <w:jc w:val="both"/>
        <w:rPr>
          <w:sz w:val="24"/>
          <w:szCs w:val="24"/>
          <w:lang w:val="id-ID"/>
        </w:rPr>
      </w:pPr>
    </w:p>
    <w:sectPr>
      <w:type w:val="continuous"/>
      <w:pgSz w:w="12240" w:h="15840"/>
      <w:pgMar w:top="1440" w:right="1440" w:bottom="1440" w:left="1440" w:header="720" w:footer="720" w:gutter="0"/>
      <w:cols w:equalWidth="0" w:num="2">
        <w:col w:w="4467" w:space="425"/>
        <w:col w:w="4467"/>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ovIWFSACAABi&#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F5620"/>
    <w:multiLevelType w:val="singleLevel"/>
    <w:tmpl w:val="818F5620"/>
    <w:lvl w:ilvl="0" w:tentative="0">
      <w:start w:val="1"/>
      <w:numFmt w:val="lowerLetter"/>
      <w:lvlText w:val="%1."/>
      <w:lvlJc w:val="left"/>
      <w:pPr>
        <w:tabs>
          <w:tab w:val="left" w:pos="425"/>
        </w:tabs>
        <w:ind w:left="425" w:hanging="425"/>
      </w:pPr>
      <w:rPr>
        <w:rFonts w:hint="default"/>
      </w:rPr>
    </w:lvl>
  </w:abstractNum>
  <w:abstractNum w:abstractNumId="1">
    <w:nsid w:val="87194A58"/>
    <w:multiLevelType w:val="singleLevel"/>
    <w:tmpl w:val="87194A58"/>
    <w:lvl w:ilvl="0" w:tentative="0">
      <w:start w:val="2"/>
      <w:numFmt w:val="decimal"/>
      <w:suff w:val="space"/>
      <w:lvlText w:val="%1."/>
      <w:lvlJc w:val="left"/>
    </w:lvl>
  </w:abstractNum>
  <w:abstractNum w:abstractNumId="2">
    <w:nsid w:val="CFE48979"/>
    <w:multiLevelType w:val="singleLevel"/>
    <w:tmpl w:val="CFE48979"/>
    <w:lvl w:ilvl="0" w:tentative="0">
      <w:start w:val="1"/>
      <w:numFmt w:val="lowerLetter"/>
      <w:lvlText w:val="%1."/>
      <w:lvlJc w:val="left"/>
      <w:pPr>
        <w:tabs>
          <w:tab w:val="left" w:pos="425"/>
        </w:tabs>
        <w:ind w:left="425" w:hanging="425"/>
      </w:pPr>
      <w:rPr>
        <w:rFonts w:hint="default"/>
      </w:rPr>
    </w:lvl>
  </w:abstractNum>
  <w:abstractNum w:abstractNumId="3">
    <w:nsid w:val="D56EA49A"/>
    <w:multiLevelType w:val="singleLevel"/>
    <w:tmpl w:val="D56EA49A"/>
    <w:lvl w:ilvl="0" w:tentative="0">
      <w:start w:val="1"/>
      <w:numFmt w:val="lowerLetter"/>
      <w:suff w:val="space"/>
      <w:lvlText w:val="%1."/>
      <w:lvlJc w:val="left"/>
    </w:lvl>
  </w:abstractNum>
  <w:abstractNum w:abstractNumId="4">
    <w:nsid w:val="D7F2C10E"/>
    <w:multiLevelType w:val="singleLevel"/>
    <w:tmpl w:val="D7F2C10E"/>
    <w:lvl w:ilvl="0" w:tentative="0">
      <w:start w:val="1"/>
      <w:numFmt w:val="decimal"/>
      <w:lvlText w:val="%1."/>
      <w:lvlJc w:val="left"/>
      <w:pPr>
        <w:tabs>
          <w:tab w:val="left" w:pos="425"/>
        </w:tabs>
        <w:ind w:left="425" w:leftChars="0" w:hanging="425" w:firstLineChars="0"/>
      </w:pPr>
      <w:rPr>
        <w:rFonts w:hint="default"/>
      </w:rPr>
    </w:lvl>
  </w:abstractNum>
  <w:abstractNum w:abstractNumId="5">
    <w:nsid w:val="D7F33272"/>
    <w:multiLevelType w:val="singleLevel"/>
    <w:tmpl w:val="D7F33272"/>
    <w:lvl w:ilvl="0" w:tentative="0">
      <w:start w:val="1"/>
      <w:numFmt w:val="lowerLetter"/>
      <w:suff w:val="space"/>
      <w:lvlText w:val="%1."/>
      <w:lvlJc w:val="left"/>
    </w:lvl>
  </w:abstractNum>
  <w:abstractNum w:abstractNumId="6">
    <w:nsid w:val="DCD2FC0D"/>
    <w:multiLevelType w:val="singleLevel"/>
    <w:tmpl w:val="DCD2FC0D"/>
    <w:lvl w:ilvl="0" w:tentative="0">
      <w:start w:val="1"/>
      <w:numFmt w:val="decimal"/>
      <w:suff w:val="space"/>
      <w:lvlText w:val="%1."/>
      <w:lvlJc w:val="left"/>
    </w:lvl>
  </w:abstractNum>
  <w:abstractNum w:abstractNumId="7">
    <w:nsid w:val="5471FB78"/>
    <w:multiLevelType w:val="singleLevel"/>
    <w:tmpl w:val="5471FB78"/>
    <w:lvl w:ilvl="0" w:tentative="0">
      <w:start w:val="1"/>
      <w:numFmt w:val="decimal"/>
      <w:lvlText w:val="%1."/>
      <w:lvlJc w:val="left"/>
      <w:pPr>
        <w:tabs>
          <w:tab w:val="left" w:pos="425"/>
        </w:tabs>
        <w:ind w:left="425" w:hanging="425"/>
      </w:pPr>
      <w:rPr>
        <w:rFonts w:hint="default"/>
      </w:rPr>
    </w:lvl>
  </w:abstractNum>
  <w:abstractNum w:abstractNumId="8">
    <w:nsid w:val="633D680E"/>
    <w:multiLevelType w:val="multilevel"/>
    <w:tmpl w:val="633D68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3D57CCF"/>
    <w:multiLevelType w:val="multilevel"/>
    <w:tmpl w:val="73D57CCF"/>
    <w:lvl w:ilvl="0" w:tentative="0">
      <w:start w:val="1"/>
      <w:numFmt w:val="lowerLetter"/>
      <w:lvlText w:val="%1."/>
      <w:lvlJc w:val="left"/>
      <w:pPr>
        <w:ind w:left="630" w:hanging="360"/>
      </w:pPr>
      <w:rPr>
        <w:rFonts w:hint="default"/>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num w:numId="1">
    <w:abstractNumId w:val="8"/>
  </w:num>
  <w:num w:numId="2">
    <w:abstractNumId w:val="5"/>
  </w:num>
  <w:num w:numId="3">
    <w:abstractNumId w:val="6"/>
  </w:num>
  <w:num w:numId="4">
    <w:abstractNumId w:val="3"/>
  </w:num>
  <w:num w:numId="5">
    <w:abstractNumId w:val="1"/>
  </w:num>
  <w:num w:numId="6">
    <w:abstractNumId w:val="0"/>
  </w:num>
  <w:num w:numId="7">
    <w:abstractNumId w:val="9"/>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B8"/>
    <w:rsid w:val="00187B92"/>
    <w:rsid w:val="0021525F"/>
    <w:rsid w:val="00234D98"/>
    <w:rsid w:val="00262AB8"/>
    <w:rsid w:val="00264976"/>
    <w:rsid w:val="00280CA4"/>
    <w:rsid w:val="002C45D2"/>
    <w:rsid w:val="002F0C16"/>
    <w:rsid w:val="003C69F6"/>
    <w:rsid w:val="003F00A6"/>
    <w:rsid w:val="00486FC2"/>
    <w:rsid w:val="004A4295"/>
    <w:rsid w:val="004E7C80"/>
    <w:rsid w:val="0055026F"/>
    <w:rsid w:val="00555B81"/>
    <w:rsid w:val="00595B3B"/>
    <w:rsid w:val="005F4BCF"/>
    <w:rsid w:val="00694B59"/>
    <w:rsid w:val="006B2978"/>
    <w:rsid w:val="007D1D30"/>
    <w:rsid w:val="00854643"/>
    <w:rsid w:val="008A1E45"/>
    <w:rsid w:val="008E1D46"/>
    <w:rsid w:val="00970046"/>
    <w:rsid w:val="009868E6"/>
    <w:rsid w:val="00AA01EE"/>
    <w:rsid w:val="00AA6A5C"/>
    <w:rsid w:val="00AC5799"/>
    <w:rsid w:val="00B3255D"/>
    <w:rsid w:val="00B96D05"/>
    <w:rsid w:val="00BA597D"/>
    <w:rsid w:val="00BB5DDC"/>
    <w:rsid w:val="00BD7E4D"/>
    <w:rsid w:val="00BF55FB"/>
    <w:rsid w:val="00C25A4A"/>
    <w:rsid w:val="00C3487B"/>
    <w:rsid w:val="00C36598"/>
    <w:rsid w:val="00C763F9"/>
    <w:rsid w:val="00CC0328"/>
    <w:rsid w:val="1205799E"/>
    <w:rsid w:val="1BBF6495"/>
    <w:rsid w:val="20F40139"/>
    <w:rsid w:val="54E3249D"/>
    <w:rsid w:val="69AE7F72"/>
    <w:rsid w:val="69CF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0"/>
      <w:szCs w:val="20"/>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99"/>
    <w:rPr>
      <w:color w:val="0000FF"/>
      <w:u w:val="single"/>
    </w:rPr>
  </w:style>
  <w:style w:type="paragraph" w:styleId="7">
    <w:name w:val="Normal (Web)"/>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2994</Words>
  <Characters>17066</Characters>
  <Lines>142</Lines>
  <Paragraphs>40</Paragraphs>
  <TotalTime>3</TotalTime>
  <ScaleCrop>false</ScaleCrop>
  <LinksUpToDate>false</LinksUpToDate>
  <CharactersWithSpaces>20020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2022-08-27T13:21:00Z</dcterms:created>
  <dc:creator>zaqi zakaria</dc:creator>
  <cp:lastModifiedBy>ASUS</cp:lastModifiedBy>
  <dcterms:modified xsi:type="dcterms:W3CDTF">2022-09-19T04:23:51Z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5159EB1963B944ECB1A0BD360B2C2DAB</vt:lpwstr>
  </property>
</Properties>
</file>