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BA2" w:rsidRDefault="004B5E7F">
      <w:pPr>
        <w:jc w:val="center"/>
        <w:rPr>
          <w:rFonts w:ascii="Times New Roman" w:hAnsi="Times New Roman" w:cs="Times New Roman"/>
          <w:b/>
          <w:bCs/>
          <w:sz w:val="24"/>
          <w:szCs w:val="24"/>
        </w:rPr>
      </w:pPr>
      <w:r>
        <w:rPr>
          <w:rFonts w:ascii="Times New Roman" w:hAnsi="Times New Roman" w:cs="Times New Roman"/>
          <w:b/>
          <w:bCs/>
          <w:sz w:val="24"/>
          <w:szCs w:val="24"/>
        </w:rPr>
        <w:t>PENGARUH CORPORATE GOVERNANCE TERHADAP KONSERVATISME AKUNTANSI</w:t>
      </w:r>
    </w:p>
    <w:p w:rsidR="00C47BA2" w:rsidRDefault="004B5E7F">
      <w:pPr>
        <w:jc w:val="center"/>
        <w:rPr>
          <w:rFonts w:ascii="Times New Roman" w:hAnsi="Times New Roman" w:cs="Times New Roman"/>
          <w:b/>
          <w:bCs/>
          <w:sz w:val="24"/>
          <w:szCs w:val="24"/>
        </w:rPr>
      </w:pPr>
      <w:r>
        <w:rPr>
          <w:rFonts w:ascii="Times New Roman" w:hAnsi="Times New Roman" w:cs="Times New Roman"/>
          <w:b/>
          <w:bCs/>
          <w:sz w:val="24"/>
          <w:szCs w:val="24"/>
        </w:rPr>
        <w:t>(Studi Kasus Pada Perusahaan Pertambangan yang Terdaftar di BEI Periode 2017 -2019)</w:t>
      </w:r>
    </w:p>
    <w:p w:rsidR="00C47BA2" w:rsidRDefault="00C47BA2">
      <w:pPr>
        <w:spacing w:line="480" w:lineRule="auto"/>
        <w:jc w:val="center"/>
        <w:rPr>
          <w:rFonts w:ascii="Times New Roman" w:hAnsi="Times New Roman" w:cs="Times New Roman"/>
          <w:b/>
          <w:bCs/>
          <w:sz w:val="24"/>
          <w:szCs w:val="24"/>
        </w:rPr>
      </w:pPr>
    </w:p>
    <w:p w:rsidR="00C47BA2" w:rsidRDefault="004B5E7F">
      <w:pPr>
        <w:jc w:val="center"/>
        <w:rPr>
          <w:rFonts w:ascii="Times New Roman" w:hAnsi="Times New Roman" w:cs="Times New Roman"/>
          <w:b/>
          <w:bCs/>
          <w:i/>
          <w:sz w:val="24"/>
          <w:szCs w:val="24"/>
          <w:lang w:val="en-GB"/>
        </w:rPr>
      </w:pPr>
      <w:r>
        <w:rPr>
          <w:rFonts w:ascii="Times New Roman" w:hAnsi="Times New Roman" w:cs="Times New Roman"/>
          <w:b/>
          <w:bCs/>
          <w:i/>
          <w:sz w:val="24"/>
          <w:szCs w:val="24"/>
          <w:lang w:val="en-GB"/>
        </w:rPr>
        <w:t>THE EFFECT OF CORPORATE GOVERNANCE ON ACCOUNTING CONSERVATISM</w:t>
      </w:r>
    </w:p>
    <w:p w:rsidR="00C47BA2" w:rsidRDefault="004B5E7F">
      <w:pPr>
        <w:jc w:val="center"/>
        <w:rPr>
          <w:rFonts w:ascii="Times New Roman" w:hAnsi="Times New Roman" w:cs="Times New Roman"/>
          <w:b/>
          <w:bCs/>
          <w:i/>
          <w:sz w:val="24"/>
          <w:szCs w:val="24"/>
          <w:lang w:val="en-GB"/>
        </w:rPr>
      </w:pPr>
      <w:r>
        <w:rPr>
          <w:rFonts w:ascii="Times New Roman" w:hAnsi="Times New Roman" w:cs="Times New Roman"/>
          <w:b/>
          <w:bCs/>
          <w:i/>
          <w:sz w:val="24"/>
          <w:szCs w:val="24"/>
          <w:lang w:val="en-GB"/>
        </w:rPr>
        <w:t xml:space="preserve">(Empirical Study on mining Companies Listed </w:t>
      </w:r>
      <w:r>
        <w:rPr>
          <w:rFonts w:ascii="Times New Roman" w:hAnsi="Times New Roman" w:cs="Times New Roman"/>
          <w:b/>
          <w:bCs/>
          <w:i/>
          <w:sz w:val="24"/>
          <w:szCs w:val="24"/>
          <w:lang w:val="en-GB"/>
        </w:rPr>
        <w:t>on the Indonesia Stock</w:t>
      </w:r>
    </w:p>
    <w:p w:rsidR="00C47BA2" w:rsidRDefault="004B5E7F">
      <w:pPr>
        <w:jc w:val="center"/>
        <w:rPr>
          <w:rFonts w:ascii="Times New Roman" w:hAnsi="Times New Roman" w:cs="Times New Roman"/>
          <w:b/>
          <w:bCs/>
          <w:i/>
          <w:sz w:val="24"/>
          <w:szCs w:val="24"/>
        </w:rPr>
      </w:pPr>
      <w:r>
        <w:rPr>
          <w:rFonts w:ascii="Times New Roman" w:hAnsi="Times New Roman" w:cs="Times New Roman"/>
          <w:b/>
          <w:bCs/>
          <w:i/>
          <w:sz w:val="24"/>
          <w:szCs w:val="24"/>
          <w:lang w:val="en-GB"/>
        </w:rPr>
        <w:t>Exchange for the Period 2017 – 2019)</w:t>
      </w:r>
    </w:p>
    <w:p w:rsidR="00C47BA2" w:rsidRDefault="00C47BA2">
      <w:pPr>
        <w:spacing w:line="480" w:lineRule="auto"/>
        <w:jc w:val="center"/>
        <w:rPr>
          <w:rFonts w:ascii="Times New Roman" w:hAnsi="Times New Roman" w:cs="Times New Roman"/>
          <w:b/>
          <w:bCs/>
          <w:i/>
          <w:sz w:val="24"/>
          <w:szCs w:val="24"/>
        </w:rPr>
      </w:pPr>
    </w:p>
    <w:p w:rsidR="00C47BA2" w:rsidRDefault="004B5E7F">
      <w:pPr>
        <w:jc w:val="center"/>
        <w:rPr>
          <w:rFonts w:ascii="Times New Roman" w:hAnsi="Times New Roman" w:cs="Times New Roman"/>
          <w:b/>
          <w:bCs/>
          <w:iCs/>
          <w:sz w:val="22"/>
          <w:szCs w:val="22"/>
        </w:rPr>
      </w:pPr>
      <w:r>
        <w:rPr>
          <w:rFonts w:ascii="Times New Roman" w:hAnsi="Times New Roman" w:cs="Times New Roman"/>
          <w:b/>
          <w:bCs/>
          <w:iCs/>
          <w:sz w:val="22"/>
          <w:szCs w:val="22"/>
        </w:rPr>
        <w:t>Patricia Noventry Sinaga</w:t>
      </w:r>
    </w:p>
    <w:p w:rsidR="00C47BA2" w:rsidRDefault="004B5E7F">
      <w:pPr>
        <w:jc w:val="center"/>
        <w:rPr>
          <w:rFonts w:ascii="Times New Roman" w:hAnsi="Times New Roman" w:cs="Times New Roman"/>
          <w:iCs/>
        </w:rPr>
      </w:pPr>
      <w:r>
        <w:rPr>
          <w:rFonts w:ascii="Times New Roman" w:hAnsi="Times New Roman" w:cs="Times New Roman"/>
          <w:iCs/>
        </w:rPr>
        <w:t>Universitas Mercu Buana Yogyakarta</w:t>
      </w:r>
    </w:p>
    <w:p w:rsidR="00C47BA2" w:rsidRDefault="004B5E7F">
      <w:pPr>
        <w:jc w:val="center"/>
        <w:rPr>
          <w:rFonts w:ascii="Times New Roman" w:hAnsi="Times New Roman" w:cs="Times New Roman"/>
          <w:iCs/>
        </w:rPr>
      </w:pPr>
      <w:hyperlink r:id="rId5" w:history="1">
        <w:r>
          <w:rPr>
            <w:rStyle w:val="Hyperlink"/>
            <w:rFonts w:ascii="Times New Roman" w:hAnsi="Times New Roman" w:cs="Times New Roman"/>
            <w:iCs/>
          </w:rPr>
          <w:t>patriciasinaga485@gmail.com</w:t>
        </w:r>
      </w:hyperlink>
    </w:p>
    <w:p w:rsidR="00C47BA2" w:rsidRDefault="00C47BA2">
      <w:pPr>
        <w:spacing w:line="480" w:lineRule="auto"/>
        <w:jc w:val="center"/>
        <w:rPr>
          <w:rFonts w:ascii="Times New Roman" w:hAnsi="Times New Roman" w:cs="Times New Roman"/>
          <w:iCs/>
          <w:sz w:val="24"/>
          <w:szCs w:val="24"/>
        </w:rPr>
      </w:pPr>
    </w:p>
    <w:p w:rsidR="00C47BA2" w:rsidRDefault="004B5E7F">
      <w:pPr>
        <w:jc w:val="center"/>
        <w:rPr>
          <w:rFonts w:ascii="Times New Roman" w:hAnsi="Times New Roman" w:cs="Times New Roman"/>
          <w:b/>
          <w:bCs/>
          <w:iCs/>
        </w:rPr>
      </w:pPr>
      <w:r>
        <w:rPr>
          <w:rFonts w:ascii="Times New Roman" w:hAnsi="Times New Roman" w:cs="Times New Roman"/>
          <w:b/>
          <w:bCs/>
          <w:iCs/>
        </w:rPr>
        <w:t>Abstrak</w:t>
      </w:r>
    </w:p>
    <w:p w:rsidR="00C47BA2" w:rsidRDefault="004B5E7F">
      <w:pPr>
        <w:ind w:firstLine="720"/>
        <w:jc w:val="both"/>
        <w:rPr>
          <w:rFonts w:ascii="Times New Roman" w:hAnsi="Times New Roman" w:cs="Times New Roman"/>
          <w:lang w:val="en-GB"/>
        </w:rPr>
      </w:pPr>
      <w:r>
        <w:rPr>
          <w:rFonts w:ascii="Times New Roman" w:hAnsi="Times New Roman" w:cs="Times New Roman"/>
          <w:lang w:val="en-GB"/>
        </w:rPr>
        <w:t>Dalam perusahaan, perilaku oportunistik manajer merupakan suatu permasalahan yang sering dijumpai. Sehingga perlu adanya penerapan konsep konservatisme akuntansi. Tingginya tingkat konservatisme akuntansi akan mempengaruhi nilai perusahaan dimata umum. Pen</w:t>
      </w:r>
      <w:r>
        <w:rPr>
          <w:rFonts w:ascii="Times New Roman" w:hAnsi="Times New Roman" w:cs="Times New Roman"/>
          <w:lang w:val="en-GB"/>
        </w:rPr>
        <w:t xml:space="preserve">elitian ini dilakukan dengan tujuan untuk mengetahui pengaruh </w:t>
      </w:r>
      <w:r>
        <w:rPr>
          <w:rFonts w:ascii="Times New Roman" w:hAnsi="Times New Roman" w:cs="Times New Roman"/>
          <w:i/>
          <w:lang w:val="en-GB"/>
        </w:rPr>
        <w:t xml:space="preserve">corporate governance </w:t>
      </w:r>
      <w:r>
        <w:rPr>
          <w:rFonts w:ascii="Times New Roman" w:hAnsi="Times New Roman" w:cs="Times New Roman"/>
          <w:lang w:val="en-GB"/>
        </w:rPr>
        <w:t>dewan komisaris dan komite audit terhadap tingkat konservatisme akuntansi.</w:t>
      </w:r>
      <w:r>
        <w:rPr>
          <w:rFonts w:ascii="Times New Roman" w:hAnsi="Times New Roman" w:cs="Times New Roman"/>
        </w:rPr>
        <w:t xml:space="preserve"> </w:t>
      </w:r>
      <w:r>
        <w:rPr>
          <w:rFonts w:ascii="Times New Roman" w:hAnsi="Times New Roman" w:cs="Times New Roman"/>
          <w:lang w:val="en-GB"/>
        </w:rPr>
        <w:t>Penelitian ini dilakukan pada perusahaan pertambangan yang terdaftar di Bursa Efek Indonseia (BEI)</w:t>
      </w:r>
      <w:r>
        <w:rPr>
          <w:rFonts w:ascii="Times New Roman" w:hAnsi="Times New Roman" w:cs="Times New Roman"/>
          <w:lang w:val="en-GB"/>
        </w:rPr>
        <w:t xml:space="preserve"> periode 2017 – 2019. Mekanisme </w:t>
      </w:r>
      <w:r>
        <w:rPr>
          <w:rFonts w:ascii="Times New Roman" w:hAnsi="Times New Roman" w:cs="Times New Roman"/>
          <w:i/>
          <w:lang w:val="en-GB"/>
        </w:rPr>
        <w:t xml:space="preserve">corporate governance </w:t>
      </w:r>
      <w:r>
        <w:rPr>
          <w:rFonts w:ascii="Times New Roman" w:hAnsi="Times New Roman" w:cs="Times New Roman"/>
          <w:lang w:val="en-GB"/>
        </w:rPr>
        <w:t>yang digunakan dalam penelitian ini adalah kompetensi dewan komisaris, ukuran dewan komisaris, kompetensi komite audit, dan frekuensi pertemuan komite audit. Metode pengambilan sampel yang digunakan dala</w:t>
      </w:r>
      <w:r>
        <w:rPr>
          <w:rFonts w:ascii="Times New Roman" w:hAnsi="Times New Roman" w:cs="Times New Roman"/>
          <w:lang w:val="en-GB"/>
        </w:rPr>
        <w:t xml:space="preserve">m penelitian ini menggunakan teknik </w:t>
      </w:r>
      <w:r>
        <w:rPr>
          <w:rFonts w:ascii="Times New Roman" w:hAnsi="Times New Roman" w:cs="Times New Roman"/>
          <w:i/>
          <w:lang w:val="en-GB"/>
        </w:rPr>
        <w:t>purposive sampling</w:t>
      </w:r>
      <w:r>
        <w:rPr>
          <w:rFonts w:ascii="Times New Roman" w:hAnsi="Times New Roman" w:cs="Times New Roman"/>
          <w:lang w:val="en-GB"/>
        </w:rPr>
        <w:t xml:space="preserve"> yaitu pemilihan sampel berdasarkan kriteria yang dikhususkan untuk tujuan tertentu dan dengan pertimbangan untuk mendapatkan sampel yang </w:t>
      </w:r>
      <w:r>
        <w:rPr>
          <w:rFonts w:ascii="Times New Roman" w:hAnsi="Times New Roman" w:cs="Times New Roman"/>
          <w:i/>
          <w:lang w:val="en-GB"/>
        </w:rPr>
        <w:t>representative</w:t>
      </w:r>
      <w:r>
        <w:rPr>
          <w:rFonts w:ascii="Times New Roman" w:hAnsi="Times New Roman" w:cs="Times New Roman"/>
          <w:lang w:val="en-GB"/>
        </w:rPr>
        <w:t xml:space="preserve">. Hasil penelitian menunjukkan bahwa ukuran dewan </w:t>
      </w:r>
      <w:r>
        <w:rPr>
          <w:rFonts w:ascii="Times New Roman" w:hAnsi="Times New Roman" w:cs="Times New Roman"/>
          <w:lang w:val="en-GB"/>
        </w:rPr>
        <w:t>komisaris berpengaruh terhadap tingkat konservatisme akuntansi. Sedangkan kompetensi komite audit</w:t>
      </w:r>
    </w:p>
    <w:p w:rsidR="00C47BA2" w:rsidRDefault="004B5E7F">
      <w:pPr>
        <w:spacing w:line="360" w:lineRule="auto"/>
        <w:jc w:val="both"/>
        <w:rPr>
          <w:rFonts w:ascii="Times New Roman" w:hAnsi="Times New Roman" w:cs="Times New Roman"/>
          <w:lang w:val="en-GB"/>
        </w:rPr>
      </w:pPr>
      <w:r>
        <w:rPr>
          <w:rFonts w:ascii="Times New Roman" w:hAnsi="Times New Roman" w:cs="Times New Roman"/>
          <w:lang w:val="en-GB"/>
        </w:rPr>
        <w:t xml:space="preserve">dan frekuensi pertemuan komite audit tidak berpengauh terhadap tingkat konservatisme akuntansi. </w:t>
      </w:r>
    </w:p>
    <w:p w:rsidR="00C47BA2" w:rsidRDefault="004B5E7F">
      <w:pPr>
        <w:jc w:val="both"/>
        <w:rPr>
          <w:rFonts w:ascii="Times New Roman" w:hAnsi="Times New Roman" w:cs="Times New Roman"/>
          <w:b/>
          <w:bCs/>
        </w:rPr>
      </w:pPr>
      <w:r>
        <w:rPr>
          <w:rFonts w:ascii="Times New Roman" w:hAnsi="Times New Roman" w:cs="Times New Roman"/>
          <w:b/>
          <w:bCs/>
        </w:rPr>
        <w:t>Kata kunci</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rPr>
        <w:t>Dewan Komisaris, Komite Audit, Frekuensi Pertemu</w:t>
      </w:r>
      <w:r>
        <w:rPr>
          <w:rFonts w:ascii="Times New Roman" w:hAnsi="Times New Roman" w:cs="Times New Roman"/>
          <w:b/>
          <w:bCs/>
        </w:rPr>
        <w:t xml:space="preserve">an Komite Audit, Konservatisme Akuntansi </w:t>
      </w:r>
    </w:p>
    <w:p w:rsidR="00C47BA2" w:rsidRDefault="00C47BA2">
      <w:pPr>
        <w:spacing w:line="360" w:lineRule="auto"/>
        <w:jc w:val="both"/>
        <w:rPr>
          <w:rFonts w:ascii="Times New Roman" w:hAnsi="Times New Roman" w:cs="Times New Roman"/>
        </w:rPr>
      </w:pPr>
    </w:p>
    <w:p w:rsidR="00C47BA2" w:rsidRDefault="004B5E7F">
      <w:pPr>
        <w:jc w:val="center"/>
        <w:rPr>
          <w:rFonts w:ascii="Times New Roman" w:hAnsi="Times New Roman" w:cs="Times New Roman"/>
          <w:b/>
          <w:bCs/>
          <w:i/>
          <w:iCs/>
        </w:rPr>
      </w:pPr>
      <w:r>
        <w:rPr>
          <w:rFonts w:ascii="Times New Roman" w:hAnsi="Times New Roman" w:cs="Times New Roman"/>
          <w:b/>
          <w:bCs/>
          <w:i/>
          <w:iCs/>
        </w:rPr>
        <w:t>Abstract</w:t>
      </w:r>
    </w:p>
    <w:p w:rsidR="00C47BA2" w:rsidRDefault="004B5E7F">
      <w:pPr>
        <w:ind w:firstLine="720"/>
        <w:jc w:val="both"/>
        <w:rPr>
          <w:rFonts w:ascii="Times New Roman" w:hAnsi="Times New Roman" w:cs="Times New Roman"/>
          <w:i/>
          <w:lang w:val="en-GB"/>
        </w:rPr>
      </w:pPr>
      <w:r>
        <w:rPr>
          <w:rFonts w:ascii="Times New Roman" w:hAnsi="Times New Roman" w:cs="Times New Roman"/>
          <w:i/>
          <w:lang w:val="en-GB"/>
        </w:rPr>
        <w:t xml:space="preserve">In companies, managers' opportunistic behaviour is a problem that is often encountered. So it is necessary to apply the concept of accounting conservatism. The high level of accounting conservatism will </w:t>
      </w:r>
      <w:r>
        <w:rPr>
          <w:rFonts w:ascii="Times New Roman" w:hAnsi="Times New Roman" w:cs="Times New Roman"/>
          <w:i/>
          <w:lang w:val="en-GB"/>
        </w:rPr>
        <w:t>affect the value of the company in the eyes of the public. This study was conducted with the aim of knowing the effect of corporate governance on the board of commissioners and audit committee on the level of accounting conservatism.</w:t>
      </w:r>
      <w:r>
        <w:rPr>
          <w:rFonts w:ascii="Times New Roman" w:hAnsi="Times New Roman" w:cs="Times New Roman"/>
          <w:i/>
        </w:rPr>
        <w:t xml:space="preserve"> </w:t>
      </w:r>
      <w:r>
        <w:rPr>
          <w:rFonts w:ascii="Times New Roman" w:hAnsi="Times New Roman" w:cs="Times New Roman"/>
          <w:i/>
          <w:lang w:val="en-GB"/>
        </w:rPr>
        <w:t>This research was cond</w:t>
      </w:r>
      <w:r>
        <w:rPr>
          <w:rFonts w:ascii="Times New Roman" w:hAnsi="Times New Roman" w:cs="Times New Roman"/>
          <w:i/>
          <w:lang w:val="en-GB"/>
        </w:rPr>
        <w:t>ucted on mining companies listed on the Indonesia Stock Exchange (IDX) for the period 2017 – 2019. The corporate governance mechanisms used in this study are the competence of the board of commissioners, the size of the board of commissioners, the competen</w:t>
      </w:r>
      <w:r>
        <w:rPr>
          <w:rFonts w:ascii="Times New Roman" w:hAnsi="Times New Roman" w:cs="Times New Roman"/>
          <w:i/>
          <w:lang w:val="en-GB"/>
        </w:rPr>
        <w:t>ce of the audit committee, and the frequency of audit committee meetings. The sampling method used in this study used a purposive sampling technique that is the selection of samples based on criteria that were specifically for certain purposes and with con</w:t>
      </w:r>
      <w:r>
        <w:rPr>
          <w:rFonts w:ascii="Times New Roman" w:hAnsi="Times New Roman" w:cs="Times New Roman"/>
          <w:i/>
          <w:lang w:val="en-GB"/>
        </w:rPr>
        <w:t xml:space="preserve">sideration to get a representative sample. The results showed that the size of the board of commissioners has an effect on the level of accounting conservatism. Meanwhile, the competence of the audit committee and the frequency of audit committee meetings </w:t>
      </w:r>
      <w:r>
        <w:rPr>
          <w:rFonts w:ascii="Times New Roman" w:hAnsi="Times New Roman" w:cs="Times New Roman"/>
          <w:i/>
          <w:lang w:val="en-GB"/>
        </w:rPr>
        <w:t>have no effect on the level of</w:t>
      </w:r>
    </w:p>
    <w:p w:rsidR="00C47BA2" w:rsidRDefault="004B5E7F">
      <w:pPr>
        <w:spacing w:line="360" w:lineRule="auto"/>
        <w:jc w:val="both"/>
        <w:rPr>
          <w:rFonts w:ascii="Times New Roman" w:hAnsi="Times New Roman" w:cs="Times New Roman"/>
          <w:i/>
        </w:rPr>
      </w:pPr>
      <w:r>
        <w:rPr>
          <w:rFonts w:ascii="Times New Roman" w:hAnsi="Times New Roman" w:cs="Times New Roman"/>
          <w:i/>
          <w:lang w:val="en-GB"/>
        </w:rPr>
        <w:t>accounting conservatism.</w:t>
      </w:r>
      <w:r>
        <w:rPr>
          <w:rFonts w:ascii="Times New Roman" w:hAnsi="Times New Roman" w:cs="Times New Roman"/>
          <w:i/>
        </w:rPr>
        <w:t xml:space="preserve"> </w:t>
      </w:r>
    </w:p>
    <w:p w:rsidR="00C47BA2" w:rsidRDefault="004B5E7F">
      <w:pPr>
        <w:spacing w:line="480" w:lineRule="auto"/>
        <w:jc w:val="both"/>
        <w:rPr>
          <w:rFonts w:ascii="Times New Roman" w:hAnsi="Times New Roman" w:cs="Times New Roman"/>
          <w:i/>
        </w:rPr>
      </w:pPr>
      <w:r>
        <w:rPr>
          <w:rFonts w:ascii="Times New Roman" w:hAnsi="Times New Roman" w:cs="Times New Roman"/>
          <w:b/>
          <w:bCs/>
          <w:i/>
          <w:lang w:val="en-GB"/>
        </w:rPr>
        <w:t>Keywords</w:t>
      </w:r>
      <w:r>
        <w:rPr>
          <w:rFonts w:ascii="Times New Roman" w:hAnsi="Times New Roman" w:cs="Times New Roman"/>
          <w:b/>
          <w:bCs/>
          <w:i/>
          <w:lang w:val="en-GB"/>
        </w:rPr>
        <w:t>: Board of Commissioners, Audit Committee, Frequency of Audit Committee Meetings</w:t>
      </w:r>
      <w:r>
        <w:rPr>
          <w:rFonts w:ascii="Times New Roman" w:hAnsi="Times New Roman" w:cs="Times New Roman"/>
          <w:i/>
          <w:lang w:val="en-GB"/>
        </w:rPr>
        <w:t>.</w:t>
      </w:r>
      <w:r>
        <w:rPr>
          <w:rFonts w:ascii="Times New Roman" w:hAnsi="Times New Roman" w:cs="Times New Roman"/>
          <w:i/>
        </w:rPr>
        <w:t xml:space="preserve"> </w:t>
      </w:r>
    </w:p>
    <w:p w:rsidR="00C47BA2" w:rsidRDefault="004B5E7F">
      <w:pPr>
        <w:jc w:val="both"/>
        <w:rPr>
          <w:rFonts w:ascii="Times New Roman" w:hAnsi="Times New Roman" w:cs="Times New Roman"/>
          <w:b/>
          <w:bCs/>
          <w:iCs/>
          <w:sz w:val="22"/>
          <w:szCs w:val="22"/>
        </w:rPr>
      </w:pPr>
      <w:r>
        <w:rPr>
          <w:rFonts w:ascii="Times New Roman" w:hAnsi="Times New Roman" w:cs="Times New Roman"/>
          <w:b/>
          <w:bCs/>
          <w:iCs/>
          <w:sz w:val="22"/>
          <w:szCs w:val="22"/>
        </w:rPr>
        <w:t xml:space="preserve">PENDAHULUAN </w:t>
      </w:r>
    </w:p>
    <w:p w:rsidR="00C47BA2" w:rsidRDefault="004B5E7F">
      <w:pPr>
        <w:jc w:val="both"/>
        <w:rPr>
          <w:rFonts w:ascii="Times New Roman" w:hAnsi="Times New Roman" w:cs="Times New Roman"/>
          <w:iCs/>
          <w:sz w:val="22"/>
          <w:szCs w:val="22"/>
        </w:rPr>
      </w:pPr>
      <w:r>
        <w:rPr>
          <w:rFonts w:ascii="Times New Roman" w:hAnsi="Times New Roman" w:cs="Times New Roman"/>
          <w:b/>
          <w:bCs/>
          <w:iCs/>
          <w:sz w:val="22"/>
          <w:szCs w:val="22"/>
        </w:rPr>
        <w:tab/>
      </w:r>
      <w:r>
        <w:rPr>
          <w:rFonts w:ascii="Times New Roman" w:hAnsi="Times New Roman" w:cs="Times New Roman"/>
          <w:iCs/>
          <w:sz w:val="22"/>
          <w:szCs w:val="22"/>
        </w:rPr>
        <w:t xml:space="preserve">Perkembangan penerapan </w:t>
      </w:r>
      <w:r>
        <w:rPr>
          <w:rFonts w:ascii="Times New Roman" w:hAnsi="Times New Roman" w:cs="Times New Roman"/>
          <w:i/>
          <w:sz w:val="22"/>
          <w:szCs w:val="22"/>
        </w:rPr>
        <w:t>corporate governance</w:t>
      </w:r>
      <w:r>
        <w:rPr>
          <w:rFonts w:ascii="Times New Roman" w:hAnsi="Times New Roman" w:cs="Times New Roman"/>
          <w:iCs/>
          <w:sz w:val="22"/>
          <w:szCs w:val="22"/>
        </w:rPr>
        <w:t xml:space="preserve"> bermula dari peristiwa ekonomi berupa krisis keua</w:t>
      </w:r>
      <w:r>
        <w:rPr>
          <w:rFonts w:ascii="Times New Roman" w:hAnsi="Times New Roman" w:cs="Times New Roman"/>
          <w:iCs/>
          <w:sz w:val="22"/>
          <w:szCs w:val="22"/>
        </w:rPr>
        <w:t>ngan pada tahun 1997 yang menyebabkan jatuhn</w:t>
      </w:r>
      <w:r>
        <w:rPr>
          <w:rFonts w:ascii="Times New Roman" w:hAnsi="Times New Roman" w:cs="Times New Roman"/>
          <w:iCs/>
          <w:sz w:val="22"/>
          <w:szCs w:val="22"/>
        </w:rPr>
        <w:t xml:space="preserve">ya banyak perusahaan. </w:t>
      </w:r>
      <w:r>
        <w:rPr>
          <w:rFonts w:ascii="Times New Roman" w:eastAsia="Helvetica" w:hAnsi="Times New Roman" w:cs="Times New Roman"/>
          <w:i/>
          <w:iCs/>
          <w:sz w:val="22"/>
          <w:szCs w:val="22"/>
          <w:shd w:val="clear" w:color="auto" w:fill="FFFFFF"/>
        </w:rPr>
        <w:t>Corporate governance</w:t>
      </w:r>
      <w:r>
        <w:rPr>
          <w:rFonts w:ascii="Times New Roman" w:eastAsia="Helvetica" w:hAnsi="Times New Roman" w:cs="Times New Roman"/>
          <w:sz w:val="22"/>
          <w:szCs w:val="22"/>
          <w:shd w:val="clear" w:color="auto" w:fill="FFFFFF"/>
        </w:rPr>
        <w:t xml:space="preserve"> dapat didefiniskan sebagai susunan aturan yang menentukan hubungan </w:t>
      </w:r>
      <w:r>
        <w:rPr>
          <w:rFonts w:ascii="Times New Roman" w:eastAsia="Helvetica" w:hAnsi="Times New Roman" w:cs="Times New Roman"/>
          <w:sz w:val="22"/>
          <w:szCs w:val="22"/>
          <w:shd w:val="clear" w:color="auto" w:fill="FFFFFF"/>
        </w:rPr>
        <w:lastRenderedPageBreak/>
        <w:t>antara pemegang saham, manajer, kreditor, pemerintah, karyawan dan stakeholder internal dan eksternal yang lain sesuai dengan hak dan tanggung jawabnya (FCGI, 2003).</w:t>
      </w:r>
    </w:p>
    <w:p w:rsidR="00C47BA2" w:rsidRDefault="004B5E7F">
      <w:pPr>
        <w:ind w:firstLine="720"/>
        <w:jc w:val="both"/>
        <w:rPr>
          <w:rFonts w:ascii="Times New Roman" w:eastAsia="SimSun" w:hAnsi="Times New Roman" w:cs="Times New Roman"/>
          <w:sz w:val="22"/>
          <w:szCs w:val="22"/>
        </w:rPr>
      </w:pPr>
      <w:r>
        <w:rPr>
          <w:rFonts w:ascii="Times New Roman" w:hAnsi="Times New Roman" w:cs="Times New Roman"/>
          <w:iCs/>
          <w:sz w:val="22"/>
          <w:szCs w:val="22"/>
        </w:rPr>
        <w:t>Penerapan konsep konse</w:t>
      </w:r>
      <w:r>
        <w:rPr>
          <w:rFonts w:ascii="Times New Roman" w:hAnsi="Times New Roman" w:cs="Times New Roman"/>
          <w:iCs/>
          <w:sz w:val="22"/>
          <w:szCs w:val="22"/>
        </w:rPr>
        <w:t xml:space="preserve">rvatisme akuntansi untuk menciptakan laporan keuangan yang terlepas dari perilaku oportunistik manajemen (Watts, 2003). Prinsip konservatisme akuntansi memiliki kedudukan yang penting dalam mengandalkan kondisi keuangan manajemen jika terjadi instabilitas </w:t>
      </w:r>
      <w:r>
        <w:rPr>
          <w:rFonts w:ascii="Times New Roman" w:hAnsi="Times New Roman" w:cs="Times New Roman"/>
          <w:iCs/>
          <w:sz w:val="22"/>
          <w:szCs w:val="22"/>
        </w:rPr>
        <w:t>ekonomi. Implementasi prinsip konservatisme akuntansi dalam mengungkapkan laporan keuangan suatu perusahaan, salah satunya didorong oleh sistem tata kelola perusahaan (</w:t>
      </w:r>
      <w:r>
        <w:rPr>
          <w:rFonts w:ascii="Times New Roman" w:hAnsi="Times New Roman" w:cs="Times New Roman"/>
          <w:i/>
          <w:sz w:val="22"/>
          <w:szCs w:val="22"/>
        </w:rPr>
        <w:t>corporate governance</w:t>
      </w:r>
      <w:r>
        <w:rPr>
          <w:rFonts w:ascii="Times New Roman" w:hAnsi="Times New Roman" w:cs="Times New Roman"/>
          <w:iCs/>
          <w:sz w:val="22"/>
          <w:szCs w:val="22"/>
        </w:rPr>
        <w:t xml:space="preserve">). </w:t>
      </w:r>
      <w:r>
        <w:rPr>
          <w:rFonts w:ascii="Times New Roman" w:eastAsia="SimSun" w:hAnsi="Times New Roman" w:cs="Times New Roman"/>
          <w:sz w:val="22"/>
          <w:szCs w:val="22"/>
        </w:rPr>
        <w:t>Konservatisme jika diterapkan dapat mengurangi kemungkinan manaje</w:t>
      </w:r>
      <w:r>
        <w:rPr>
          <w:rFonts w:ascii="Times New Roman" w:eastAsia="SimSun" w:hAnsi="Times New Roman" w:cs="Times New Roman"/>
          <w:sz w:val="22"/>
          <w:szCs w:val="22"/>
        </w:rPr>
        <w:t>r melakukan manipulasi laporan keuangan (LaFond &amp; Watts 2006).</w:t>
      </w:r>
      <w:r>
        <w:rPr>
          <w:rFonts w:ascii="Times New Roman" w:eastAsia="SimSun" w:hAnsi="Times New Roman" w:cs="Times New Roman"/>
          <w:sz w:val="22"/>
          <w:szCs w:val="22"/>
        </w:rPr>
        <w:t xml:space="preserve"> PSAK sebagai standar pencatatan akuntansi di Indonesia menjadi pemicu timbulnya penerapan konservatisme. Penerapan prinsip konservatisme di dalam PSAK tampak dengan terdapatnya beragam opsi met</w:t>
      </w:r>
      <w:r>
        <w:rPr>
          <w:rFonts w:ascii="Times New Roman" w:eastAsia="SimSun" w:hAnsi="Times New Roman" w:cs="Times New Roman"/>
          <w:sz w:val="22"/>
          <w:szCs w:val="22"/>
        </w:rPr>
        <w:t>ode pencatatan dalam sebuah situsi yang sama.</w:t>
      </w:r>
    </w:p>
    <w:p w:rsidR="00C47BA2" w:rsidRDefault="004B5E7F">
      <w:pPr>
        <w:ind w:firstLine="720"/>
        <w:jc w:val="both"/>
        <w:rPr>
          <w:rFonts w:ascii="Times New Roman" w:eastAsia="SimSun" w:hAnsi="Times New Roman" w:cs="Times New Roman"/>
          <w:sz w:val="22"/>
          <w:szCs w:val="22"/>
        </w:rPr>
      </w:pPr>
      <w:r>
        <w:rPr>
          <w:rFonts w:ascii="Times New Roman" w:eastAsia="SimSun" w:hAnsi="Times New Roman"/>
          <w:sz w:val="22"/>
          <w:szCs w:val="22"/>
        </w:rPr>
        <w:t xml:space="preserve">Konservatisme akuntansi digunakan untuk mengurangi risiko dan mengurangi penggunaan optimisme yang berlebihan </w:t>
      </w:r>
      <w:r>
        <w:rPr>
          <w:rFonts w:ascii="Times New Roman" w:eastAsia="SimSun" w:hAnsi="Times New Roman"/>
          <w:sz w:val="22"/>
          <w:szCs w:val="22"/>
        </w:rPr>
        <w:t>oleh manajer dan pemilik bisnis. Penggunaan konservatisme dapat menyebabkan kesalahan dalam menghi</w:t>
      </w:r>
      <w:r>
        <w:rPr>
          <w:rFonts w:ascii="Times New Roman" w:eastAsia="SimSun" w:hAnsi="Times New Roman"/>
          <w:sz w:val="22"/>
          <w:szCs w:val="22"/>
        </w:rPr>
        <w:t>tung laba atau rugi reguler perusahaan sehingga tidak dapat digunakan secara berlebihan karena</w:t>
      </w:r>
      <w:r>
        <w:rPr>
          <w:rFonts w:ascii="Times New Roman" w:eastAsia="SimSun" w:hAnsi="Times New Roman"/>
          <w:sz w:val="22"/>
          <w:szCs w:val="22"/>
        </w:rPr>
        <w:t xml:space="preserve"> tidak mencerminkan keadaan perusahaan yang sebenarnya. </w:t>
      </w:r>
    </w:p>
    <w:p w:rsidR="00C47BA2" w:rsidRDefault="004B5E7F">
      <w:pPr>
        <w:ind w:firstLine="720"/>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Penelitian ini dilakukan pada perusahaan pertambangan yang terdaftar di BEI. Penelitian ini memilih periode objek penelitian tahun 2017 - 2019 untuk mengetahui apakah </w:t>
      </w:r>
      <w:r>
        <w:rPr>
          <w:rFonts w:ascii="Times New Roman" w:eastAsia="SimSun" w:hAnsi="Times New Roman" w:cs="Times New Roman"/>
          <w:sz w:val="22"/>
          <w:szCs w:val="22"/>
        </w:rPr>
        <w:t>kah pada periode ini hasilnya akan konsisten atau berbeda dengan penelitian sebelumnya</w:t>
      </w:r>
      <w:r>
        <w:rPr>
          <w:rFonts w:ascii="Times New Roman" w:eastAsia="SimSun" w:hAnsi="Times New Roman" w:cs="Times New Roman"/>
          <w:sz w:val="22"/>
          <w:szCs w:val="22"/>
        </w:rPr>
        <w:t>. P</w:t>
      </w:r>
      <w:r>
        <w:rPr>
          <w:rFonts w:ascii="Times New Roman" w:eastAsia="SimSun" w:hAnsi="Times New Roman" w:cs="Times New Roman"/>
          <w:sz w:val="22"/>
          <w:szCs w:val="22"/>
        </w:rPr>
        <w:t xml:space="preserve">ertimbangan pemilihan perusahaan pertambangan sebagai objek karena sebagian besar penelitian terdahulu belum ada yang menggunakan perusahaan pertambangan sebagai objek penelitian. </w:t>
      </w:r>
    </w:p>
    <w:p w:rsidR="00C47BA2" w:rsidRDefault="004B5E7F">
      <w:pPr>
        <w:ind w:firstLine="720"/>
        <w:jc w:val="both"/>
        <w:rPr>
          <w:rFonts w:ascii="Times New Roman" w:eastAsia="SimSun" w:hAnsi="Times New Roman" w:cs="Times New Roman"/>
          <w:sz w:val="22"/>
          <w:szCs w:val="22"/>
        </w:rPr>
      </w:pPr>
      <w:r>
        <w:rPr>
          <w:rFonts w:ascii="Times New Roman" w:eastAsia="SimSun" w:hAnsi="Times New Roman" w:cs="Times New Roman"/>
          <w:sz w:val="22"/>
          <w:szCs w:val="22"/>
        </w:rPr>
        <w:t>Persoalan penelitian yang dikaji dalam penelitian ini adalah: (i) Apakah de</w:t>
      </w:r>
      <w:r>
        <w:rPr>
          <w:rFonts w:ascii="Times New Roman" w:eastAsia="SimSun" w:hAnsi="Times New Roman" w:cs="Times New Roman"/>
          <w:sz w:val="22"/>
          <w:szCs w:val="22"/>
        </w:rPr>
        <w:t xml:space="preserve">wan komisaris berpengaruh positif terhadap konservatisme akuntansi? (ii) Apakah komite audit berpengaruh positif terhadap konservatisme akuntansi? (iii) Apakah frekuensi pertemuan komite audit berpengaruh positif terhadap konservatisme akuntansi? </w:t>
      </w:r>
      <w:r>
        <w:rPr>
          <w:rFonts w:ascii="Times New Roman" w:eastAsia="SimSun" w:hAnsi="Times New Roman" w:cs="Times New Roman"/>
          <w:sz w:val="22"/>
          <w:szCs w:val="22"/>
        </w:rPr>
        <w:t>Penelitia</w:t>
      </w:r>
      <w:r>
        <w:rPr>
          <w:rFonts w:ascii="Times New Roman" w:eastAsia="SimSun" w:hAnsi="Times New Roman" w:cs="Times New Roman"/>
          <w:sz w:val="22"/>
          <w:szCs w:val="22"/>
        </w:rPr>
        <w:t>n ini diharapkan</w:t>
      </w:r>
      <w:r>
        <w:rPr>
          <w:rFonts w:ascii="Times New Roman" w:eastAsia="SimSun" w:hAnsi="Times New Roman" w:cs="Times New Roman"/>
          <w:sz w:val="22"/>
          <w:szCs w:val="22"/>
        </w:rPr>
        <w:t xml:space="preserve"> mampu</w:t>
      </w:r>
      <w:r>
        <w:rPr>
          <w:rFonts w:ascii="Times New Roman" w:eastAsia="SimSun" w:hAnsi="Times New Roman" w:cs="Times New Roman"/>
          <w:sz w:val="22"/>
          <w:szCs w:val="22"/>
        </w:rPr>
        <w:t xml:space="preserve"> berkontribusi dalam pengembangan teori akuntansi, khususnya terkait konsep konservatisme akuntansi.</w:t>
      </w:r>
      <w:r>
        <w:rPr>
          <w:rFonts w:ascii="Times New Roman" w:eastAsia="SimSun" w:hAnsi="Times New Roman" w:cs="Times New Roman"/>
          <w:sz w:val="22"/>
          <w:szCs w:val="22"/>
        </w:rPr>
        <w:t xml:space="preserve"> </w:t>
      </w:r>
    </w:p>
    <w:p w:rsidR="00C47BA2" w:rsidRDefault="00C47BA2">
      <w:pPr>
        <w:ind w:firstLine="720"/>
        <w:jc w:val="both"/>
        <w:rPr>
          <w:rFonts w:ascii="Times New Roman" w:eastAsia="SimSun" w:hAnsi="Times New Roman" w:cs="Times New Roman"/>
          <w:sz w:val="22"/>
          <w:szCs w:val="22"/>
        </w:rPr>
      </w:pPr>
    </w:p>
    <w:p w:rsidR="00C47BA2" w:rsidRDefault="004B5E7F">
      <w:pPr>
        <w:jc w:val="both"/>
        <w:rPr>
          <w:rFonts w:ascii="Times New Roman" w:eastAsia="SimSun" w:hAnsi="Times New Roman" w:cs="Times New Roman"/>
          <w:b/>
          <w:bCs/>
          <w:i/>
          <w:iCs/>
          <w:sz w:val="22"/>
          <w:szCs w:val="22"/>
        </w:rPr>
      </w:pPr>
      <w:r>
        <w:rPr>
          <w:rFonts w:ascii="Times New Roman" w:eastAsia="SimSun" w:hAnsi="Times New Roman" w:cs="Times New Roman"/>
          <w:b/>
          <w:bCs/>
          <w:i/>
          <w:iCs/>
          <w:sz w:val="22"/>
          <w:szCs w:val="22"/>
        </w:rPr>
        <w:t>Corporate Governance</w:t>
      </w:r>
    </w:p>
    <w:p w:rsidR="00C47BA2" w:rsidRDefault="004B5E7F">
      <w:pPr>
        <w:jc w:val="both"/>
        <w:rPr>
          <w:rFonts w:ascii="Times New Roman" w:eastAsia="SimSun" w:hAnsi="Times New Roman" w:cs="Times New Roman"/>
          <w:sz w:val="22"/>
          <w:szCs w:val="22"/>
        </w:rPr>
      </w:pPr>
      <w:r>
        <w:rPr>
          <w:rFonts w:ascii="Times New Roman" w:eastAsia="SimSun" w:hAnsi="Times New Roman" w:cs="Times New Roman"/>
          <w:b/>
          <w:bCs/>
          <w:i/>
          <w:iCs/>
          <w:sz w:val="22"/>
          <w:szCs w:val="22"/>
        </w:rPr>
        <w:tab/>
      </w:r>
      <w:r>
        <w:rPr>
          <w:rFonts w:ascii="Times New Roman" w:hAnsi="Times New Roman" w:cs="Times New Roman"/>
          <w:sz w:val="22"/>
          <w:szCs w:val="22"/>
          <w:lang w:val="en-GB"/>
        </w:rPr>
        <w:t xml:space="preserve">Tata kelola perusahaan muncul karena kepentingan perusahaan adalah untuk memastikan bahwa dana yang </w:t>
      </w:r>
      <w:r>
        <w:rPr>
          <w:rFonts w:ascii="Times New Roman" w:hAnsi="Times New Roman" w:cs="Times New Roman"/>
          <w:sz w:val="22"/>
          <w:szCs w:val="22"/>
          <w:lang w:val="en-GB"/>
        </w:rPr>
        <w:t>diinvestasikan digunakan secara tepat dan efisien bagi pemberi modal (prinsipal/investor).</w:t>
      </w:r>
      <w:r>
        <w:rPr>
          <w:rFonts w:ascii="Times New Roman" w:hAnsi="Times New Roman" w:cs="Times New Roman"/>
          <w:sz w:val="22"/>
          <w:szCs w:val="22"/>
        </w:rPr>
        <w:t xml:space="preserve"> </w:t>
      </w:r>
      <w:r>
        <w:rPr>
          <w:rFonts w:ascii="Times New Roman" w:eastAsia="SimSun" w:hAnsi="Times New Roman" w:cs="Times New Roman"/>
          <w:sz w:val="22"/>
          <w:szCs w:val="22"/>
        </w:rPr>
        <w:t xml:space="preserve">Menurut Komite </w:t>
      </w:r>
      <w:proofErr w:type="gramStart"/>
      <w:r>
        <w:rPr>
          <w:rFonts w:ascii="Times New Roman" w:eastAsia="SimSun" w:hAnsi="Times New Roman" w:cs="Times New Roman"/>
          <w:sz w:val="22"/>
          <w:szCs w:val="22"/>
        </w:rPr>
        <w:t>Cadburry,</w:t>
      </w:r>
      <w:r>
        <w:rPr>
          <w:rFonts w:ascii="Times New Roman" w:eastAsia="SimSun" w:hAnsi="Times New Roman" w:cs="Times New Roman"/>
          <w:i/>
          <w:iCs/>
          <w:sz w:val="22"/>
          <w:szCs w:val="22"/>
        </w:rPr>
        <w:t>Corporate</w:t>
      </w:r>
      <w:proofErr w:type="gramEnd"/>
      <w:r>
        <w:rPr>
          <w:rFonts w:ascii="Times New Roman" w:eastAsia="SimSun" w:hAnsi="Times New Roman" w:cs="Times New Roman"/>
          <w:i/>
          <w:iCs/>
          <w:sz w:val="22"/>
          <w:szCs w:val="22"/>
        </w:rPr>
        <w:t xml:space="preserve"> Governance</w:t>
      </w:r>
      <w:r>
        <w:rPr>
          <w:rFonts w:ascii="Times New Roman" w:eastAsia="SimSun" w:hAnsi="Times New Roman" w:cs="Times New Roman"/>
          <w:sz w:val="22"/>
          <w:szCs w:val="22"/>
        </w:rPr>
        <w:t xml:space="preserve">  adalah prinsip mengarahkan dan mengendalikan perusahaan agar mencapai keseimbangan antara kekuatan serta kewenangan aga</w:t>
      </w:r>
      <w:r>
        <w:rPr>
          <w:rFonts w:ascii="Times New Roman" w:eastAsia="SimSun" w:hAnsi="Times New Roman" w:cs="Times New Roman"/>
          <w:sz w:val="22"/>
          <w:szCs w:val="22"/>
        </w:rPr>
        <w:t>r mencapai keseimbangan antara kekuatan serta kewenangan perusahaan dalam memberikan pertanggungjawabannya kepada para shareholders khususnya dan stakeholders pada umumnya.</w:t>
      </w:r>
      <w:r>
        <w:rPr>
          <w:rFonts w:ascii="Times New Roman" w:eastAsia="SimSun" w:hAnsi="Times New Roman" w:cs="Times New Roman"/>
          <w:sz w:val="22"/>
          <w:szCs w:val="22"/>
        </w:rPr>
        <w:t xml:space="preserve"> </w:t>
      </w:r>
      <w:r>
        <w:rPr>
          <w:rFonts w:ascii="Times New Roman" w:eastAsia="SimSun" w:hAnsi="Times New Roman" w:cs="Times New Roman"/>
          <w:sz w:val="22"/>
          <w:szCs w:val="22"/>
        </w:rPr>
        <w:t xml:space="preserve">Banyak lembaga yang mengeluarkan defenisi dari </w:t>
      </w:r>
      <w:r>
        <w:rPr>
          <w:rFonts w:ascii="Times New Roman" w:eastAsia="SimSun" w:hAnsi="Times New Roman" w:cs="Times New Roman"/>
          <w:i/>
          <w:iCs/>
          <w:sz w:val="22"/>
          <w:szCs w:val="22"/>
        </w:rPr>
        <w:t>Corporate Governance</w:t>
      </w:r>
      <w:r>
        <w:rPr>
          <w:rFonts w:ascii="Times New Roman" w:eastAsia="SimSun" w:hAnsi="Times New Roman" w:cs="Times New Roman"/>
          <w:sz w:val="22"/>
          <w:szCs w:val="22"/>
        </w:rPr>
        <w:t>, diantaranya ad</w:t>
      </w:r>
      <w:r>
        <w:rPr>
          <w:rFonts w:ascii="Times New Roman" w:eastAsia="SimSun" w:hAnsi="Times New Roman" w:cs="Times New Roman"/>
          <w:sz w:val="22"/>
          <w:szCs w:val="22"/>
        </w:rPr>
        <w:t xml:space="preserve">alah menurut Forum for </w:t>
      </w:r>
      <w:r>
        <w:rPr>
          <w:rFonts w:ascii="Times New Roman" w:eastAsia="SimSun" w:hAnsi="Times New Roman" w:cs="Times New Roman"/>
          <w:i/>
          <w:iCs/>
          <w:sz w:val="22"/>
          <w:szCs w:val="22"/>
        </w:rPr>
        <w:t>Corporate Governance in Indonesia/FCGI</w:t>
      </w:r>
      <w:r>
        <w:rPr>
          <w:rFonts w:ascii="Times New Roman" w:eastAsia="SimSun" w:hAnsi="Times New Roman" w:cs="Times New Roman"/>
          <w:sz w:val="22"/>
          <w:szCs w:val="22"/>
        </w:rPr>
        <w:t xml:space="preserve"> (2001) mendefinisikan </w:t>
      </w:r>
      <w:r>
        <w:rPr>
          <w:rFonts w:ascii="Times New Roman" w:eastAsia="SimSun" w:hAnsi="Times New Roman" w:cs="Times New Roman"/>
          <w:i/>
          <w:iCs/>
          <w:sz w:val="22"/>
          <w:szCs w:val="22"/>
        </w:rPr>
        <w:t>Corporate Governance</w:t>
      </w:r>
      <w:r>
        <w:rPr>
          <w:rFonts w:ascii="Times New Roman" w:eastAsia="SimSun" w:hAnsi="Times New Roman" w:cs="Times New Roman"/>
          <w:sz w:val="22"/>
          <w:szCs w:val="22"/>
        </w:rPr>
        <w:t xml:space="preserve"> sebagai seperangkat peraturan yang mengatur hubungan antara pemegang saham, pengurus (pengelola) perusahaan, pihak kreditur, pemerintah, karyawan serta</w:t>
      </w:r>
      <w:r>
        <w:rPr>
          <w:rFonts w:ascii="Times New Roman" w:eastAsia="SimSun" w:hAnsi="Times New Roman" w:cs="Times New Roman"/>
          <w:sz w:val="22"/>
          <w:szCs w:val="22"/>
        </w:rPr>
        <w:t xml:space="preserve"> para pemegang kepentingan internal dan eksternal lainnya yang berkaitan dengan hak-hak dan kewajiban mereka, sehingga menciptakan nilai tambah bagi semua pihak yang berkepentingan (stakeholder). </w:t>
      </w:r>
    </w:p>
    <w:p w:rsidR="00C47BA2" w:rsidRDefault="004B5E7F">
      <w:pPr>
        <w:ind w:firstLine="720"/>
        <w:jc w:val="both"/>
        <w:rPr>
          <w:rFonts w:ascii="Times New Roman" w:eastAsia="SimSun" w:hAnsi="Times New Roman" w:cs="Times New Roman"/>
          <w:sz w:val="22"/>
          <w:szCs w:val="22"/>
        </w:rPr>
      </w:pPr>
      <w:r>
        <w:rPr>
          <w:rFonts w:ascii="Times New Roman" w:eastAsia="SimSun" w:hAnsi="Times New Roman" w:cs="Times New Roman"/>
          <w:sz w:val="22"/>
          <w:szCs w:val="22"/>
        </w:rPr>
        <w:t>Menurut Siswanto Sutojo dan Jhon E Aldribge (2008),</w:t>
      </w:r>
      <w:r>
        <w:rPr>
          <w:rFonts w:ascii="Times New Roman" w:eastAsia="SimSun" w:hAnsi="Times New Roman" w:cs="Times New Roman"/>
          <w:sz w:val="22"/>
          <w:szCs w:val="22"/>
        </w:rPr>
        <w:t xml:space="preserve"> </w:t>
      </w:r>
      <w:r>
        <w:rPr>
          <w:rFonts w:ascii="Times New Roman" w:eastAsia="SimSun" w:hAnsi="Times New Roman" w:cs="Times New Roman"/>
          <w:i/>
          <w:iCs/>
          <w:sz w:val="22"/>
          <w:szCs w:val="22"/>
        </w:rPr>
        <w:t>Corpora</w:t>
      </w:r>
      <w:r>
        <w:rPr>
          <w:rFonts w:ascii="Times New Roman" w:eastAsia="SimSun" w:hAnsi="Times New Roman" w:cs="Times New Roman"/>
          <w:i/>
          <w:iCs/>
          <w:sz w:val="22"/>
          <w:szCs w:val="22"/>
        </w:rPr>
        <w:t>te Governance</w:t>
      </w:r>
      <w:r>
        <w:rPr>
          <w:rFonts w:ascii="Times New Roman" w:eastAsia="SimSun" w:hAnsi="Times New Roman" w:cs="Times New Roman"/>
          <w:sz w:val="22"/>
          <w:szCs w:val="22"/>
        </w:rPr>
        <w:t xml:space="preserve"> memiliki lima tujuan, yakni: melindungi hak dan kepentingan pemegang saham; melindungi hak dan kepentingan para anggota stakeholders non pemegang saham; meningkatkan nilai perusahaan dan para pemegang saham; meningkatkan efisiensi dan efektiv</w:t>
      </w:r>
      <w:r>
        <w:rPr>
          <w:rFonts w:ascii="Times New Roman" w:eastAsia="SimSun" w:hAnsi="Times New Roman" w:cs="Times New Roman"/>
          <w:sz w:val="22"/>
          <w:szCs w:val="22"/>
        </w:rPr>
        <w:t xml:space="preserve">itas kerja dewan pengurus dan majemen perusahaan; dan meningkatkan mutu hubungan dewan pengurus dan manajemen senior perusahaan. Manfaat Corporate Governance menurut </w:t>
      </w:r>
      <w:r>
        <w:rPr>
          <w:rFonts w:ascii="Times New Roman" w:eastAsia="SimSun" w:hAnsi="Times New Roman" w:cs="Times New Roman"/>
          <w:i/>
          <w:iCs/>
          <w:sz w:val="22"/>
          <w:szCs w:val="22"/>
        </w:rPr>
        <w:t>Indonesian Institute for Corporate Governance (IIGC</w:t>
      </w:r>
      <w:r>
        <w:rPr>
          <w:rFonts w:ascii="Times New Roman" w:eastAsia="SimSun" w:hAnsi="Times New Roman" w:cs="Times New Roman"/>
          <w:sz w:val="22"/>
          <w:szCs w:val="22"/>
        </w:rPr>
        <w:t xml:space="preserve">) yang tertuang pada </w:t>
      </w:r>
      <w:r>
        <w:rPr>
          <w:rFonts w:ascii="Times New Roman" w:eastAsia="SimSun" w:hAnsi="Times New Roman" w:cs="Times New Roman"/>
          <w:i/>
          <w:iCs/>
          <w:sz w:val="22"/>
          <w:szCs w:val="22"/>
        </w:rPr>
        <w:t>Corporate Governan</w:t>
      </w:r>
      <w:r>
        <w:rPr>
          <w:rFonts w:ascii="Times New Roman" w:eastAsia="SimSun" w:hAnsi="Times New Roman" w:cs="Times New Roman"/>
          <w:i/>
          <w:iCs/>
          <w:sz w:val="22"/>
          <w:szCs w:val="22"/>
        </w:rPr>
        <w:t>ce Perception Index</w:t>
      </w:r>
      <w:r>
        <w:rPr>
          <w:rFonts w:ascii="Times New Roman" w:eastAsia="SimSun" w:hAnsi="Times New Roman" w:cs="Times New Roman"/>
          <w:sz w:val="22"/>
          <w:szCs w:val="22"/>
        </w:rPr>
        <w:t xml:space="preserve"> (2008) yaitu: meminimalkan</w:t>
      </w:r>
      <w:r>
        <w:rPr>
          <w:rFonts w:ascii="Times New Roman" w:eastAsia="SimSun" w:hAnsi="Times New Roman" w:cs="Times New Roman"/>
          <w:i/>
          <w:iCs/>
          <w:sz w:val="22"/>
          <w:szCs w:val="22"/>
        </w:rPr>
        <w:t xml:space="preserve"> agency cost</w:t>
      </w:r>
      <w:r>
        <w:rPr>
          <w:rFonts w:ascii="Times New Roman" w:eastAsia="SimSun" w:hAnsi="Times New Roman" w:cs="Times New Roman"/>
          <w:sz w:val="22"/>
          <w:szCs w:val="22"/>
        </w:rPr>
        <w:t xml:space="preserve">; meminimalkan </w:t>
      </w:r>
      <w:r>
        <w:rPr>
          <w:rFonts w:ascii="Times New Roman" w:eastAsia="SimSun" w:hAnsi="Times New Roman" w:cs="Times New Roman"/>
          <w:i/>
          <w:iCs/>
          <w:sz w:val="22"/>
          <w:szCs w:val="22"/>
        </w:rPr>
        <w:t>cost of capital</w:t>
      </w:r>
      <w:r>
        <w:rPr>
          <w:rFonts w:ascii="Times New Roman" w:eastAsia="SimSun" w:hAnsi="Times New Roman" w:cs="Times New Roman"/>
          <w:sz w:val="22"/>
          <w:szCs w:val="22"/>
        </w:rPr>
        <w:t>; meningkatkan nilai saham perusahaan; dan meningkatkan citra perusahaan.</w:t>
      </w:r>
    </w:p>
    <w:p w:rsidR="00C47BA2" w:rsidRDefault="00C47BA2">
      <w:pPr>
        <w:jc w:val="both"/>
        <w:rPr>
          <w:rFonts w:ascii="Times New Roman" w:eastAsia="SimSun" w:hAnsi="Times New Roman" w:cs="Times New Roman"/>
          <w:sz w:val="22"/>
          <w:szCs w:val="22"/>
        </w:rPr>
      </w:pPr>
    </w:p>
    <w:p w:rsidR="00C47BA2" w:rsidRDefault="00C47BA2">
      <w:pPr>
        <w:jc w:val="both"/>
        <w:rPr>
          <w:rFonts w:ascii="Times New Roman" w:eastAsia="SimSun" w:hAnsi="Times New Roman" w:cs="Times New Roman"/>
          <w:b/>
          <w:bCs/>
          <w:sz w:val="22"/>
          <w:szCs w:val="22"/>
        </w:rPr>
      </w:pPr>
    </w:p>
    <w:p w:rsidR="00C47BA2" w:rsidRDefault="004B5E7F">
      <w:pPr>
        <w:jc w:val="both"/>
        <w:rPr>
          <w:rFonts w:ascii="Times New Roman" w:eastAsia="SimSun" w:hAnsi="Times New Roman" w:cs="Times New Roman"/>
          <w:b/>
          <w:bCs/>
          <w:sz w:val="22"/>
          <w:szCs w:val="22"/>
        </w:rPr>
      </w:pPr>
      <w:r>
        <w:rPr>
          <w:rFonts w:ascii="Times New Roman" w:eastAsia="SimSun" w:hAnsi="Times New Roman" w:cs="Times New Roman"/>
          <w:b/>
          <w:bCs/>
          <w:sz w:val="22"/>
          <w:szCs w:val="22"/>
        </w:rPr>
        <w:lastRenderedPageBreak/>
        <w:t>Konservatisme Akuntansi</w:t>
      </w:r>
    </w:p>
    <w:p w:rsidR="00C47BA2" w:rsidRDefault="004B5E7F">
      <w:pPr>
        <w:pStyle w:val="ListParagraph"/>
        <w:ind w:left="0" w:firstLine="720"/>
        <w:jc w:val="both"/>
        <w:rPr>
          <w:rFonts w:ascii="Times New Roman" w:hAnsi="Times New Roman" w:cs="Times New Roman"/>
          <w:sz w:val="22"/>
          <w:szCs w:val="22"/>
        </w:rPr>
      </w:pPr>
      <w:r>
        <w:rPr>
          <w:rFonts w:ascii="Times New Roman" w:hAnsi="Times New Roman" w:cs="Times New Roman"/>
          <w:sz w:val="22"/>
          <w:szCs w:val="22"/>
          <w:lang w:val="en-GB"/>
        </w:rPr>
        <w:t>Konservatisme akuntansi merupakan pandangan yang pesimistik dalam</w:t>
      </w:r>
      <w:r>
        <w:rPr>
          <w:rFonts w:ascii="Times New Roman" w:hAnsi="Times New Roman" w:cs="Times New Roman"/>
          <w:sz w:val="22"/>
          <w:szCs w:val="22"/>
        </w:rPr>
        <w:t xml:space="preserve"> </w:t>
      </w:r>
      <w:r>
        <w:rPr>
          <w:rFonts w:ascii="Times New Roman" w:hAnsi="Times New Roman" w:cs="Times New Roman"/>
          <w:sz w:val="22"/>
          <w:szCs w:val="22"/>
          <w:lang w:val="en-GB"/>
        </w:rPr>
        <w:t>akuntansi. Akuntansi yang konservatif berarti bahwa akuntan bersikap pesimis dalam menghadapi ketidakpastian laba atau rugi dengan menggunakain prinsip memperlambat pengakuan pendapatan, mempercepat pengakuan biaya, merendahkan penilaian aset dan meninggik</w:t>
      </w:r>
      <w:r>
        <w:rPr>
          <w:rFonts w:ascii="Times New Roman" w:hAnsi="Times New Roman" w:cs="Times New Roman"/>
          <w:sz w:val="22"/>
          <w:szCs w:val="22"/>
          <w:lang w:val="en-GB"/>
        </w:rPr>
        <w:t>an penilaian utang (Widayati, 2011)</w:t>
      </w:r>
      <w:r>
        <w:rPr>
          <w:rFonts w:ascii="Times New Roman" w:hAnsi="Times New Roman" w:cs="Times New Roman"/>
          <w:sz w:val="22"/>
          <w:szCs w:val="22"/>
        </w:rPr>
        <w:t xml:space="preserve">. </w:t>
      </w:r>
      <w:r>
        <w:rPr>
          <w:rFonts w:ascii="Times New Roman" w:hAnsi="Times New Roman" w:cs="Times New Roman"/>
          <w:sz w:val="22"/>
          <w:szCs w:val="22"/>
          <w:lang w:val="en-GB"/>
        </w:rPr>
        <w:t>Konservatisme akuntansi merupakan prinsip lama dalam pelaporan keuangan yang dimaksudkan untuk mengawasi dan menjaga pengguna informasi keuangan dari pendapatan yang melonjak dan untuk membuktikan bahwa semua potensi ke</w:t>
      </w:r>
      <w:r>
        <w:rPr>
          <w:rFonts w:ascii="Times New Roman" w:hAnsi="Times New Roman" w:cs="Times New Roman"/>
          <w:sz w:val="22"/>
          <w:szCs w:val="22"/>
          <w:lang w:val="en-GB"/>
        </w:rPr>
        <w:t>wajiban direkam segera sesudah direalisasikan. Konservatisme akuntansi didasarkan pada pedoman pelaporan keuangan yang menetapkan akuntan untuk mengadakan konfirmasi tingkat tinggi dan memanfaatkan solusi yang ditujukan angka paling agresif ketika dihadapk</w:t>
      </w:r>
      <w:r>
        <w:rPr>
          <w:rFonts w:ascii="Times New Roman" w:hAnsi="Times New Roman" w:cs="Times New Roman"/>
          <w:sz w:val="22"/>
          <w:szCs w:val="22"/>
          <w:lang w:val="en-GB"/>
        </w:rPr>
        <w:t xml:space="preserve">an pada ketidakpastian. </w:t>
      </w:r>
      <w:r>
        <w:rPr>
          <w:rFonts w:ascii="Times New Roman" w:hAnsi="Times New Roman" w:cs="Times New Roman"/>
          <w:sz w:val="22"/>
          <w:szCs w:val="22"/>
        </w:rPr>
        <w:t xml:space="preserve"> </w:t>
      </w:r>
    </w:p>
    <w:p w:rsidR="00C47BA2" w:rsidRDefault="004B5E7F">
      <w:pPr>
        <w:pStyle w:val="ListParagraph"/>
        <w:ind w:left="0" w:firstLine="720"/>
        <w:jc w:val="both"/>
        <w:rPr>
          <w:rFonts w:ascii="Times New Roman" w:eastAsia="SimSun" w:hAnsi="Times New Roman" w:cs="Times New Roman"/>
          <w:sz w:val="22"/>
          <w:szCs w:val="22"/>
        </w:rPr>
      </w:pPr>
      <w:r>
        <w:rPr>
          <w:rFonts w:ascii="Times New Roman" w:hAnsi="Times New Roman" w:cs="Times New Roman"/>
          <w:sz w:val="22"/>
          <w:szCs w:val="22"/>
        </w:rPr>
        <w:t>Konservatisme akuntansi memberikan manfaat yang relevan bagi pemakai informasi keuangan. Pemakaian akuntansi yang konservatif dalam kontrak di antara kelompok yang beragam pada perusahaan dapat menurunkan masalah asimetri informas</w:t>
      </w:r>
      <w:r>
        <w:rPr>
          <w:rFonts w:ascii="Times New Roman" w:hAnsi="Times New Roman" w:cs="Times New Roman"/>
          <w:sz w:val="22"/>
          <w:szCs w:val="22"/>
        </w:rPr>
        <w:t xml:space="preserve">i dan </w:t>
      </w:r>
      <w:r>
        <w:rPr>
          <w:rFonts w:ascii="Times New Roman" w:hAnsi="Times New Roman" w:cs="Times New Roman"/>
          <w:i/>
          <w:sz w:val="22"/>
          <w:szCs w:val="22"/>
        </w:rPr>
        <w:t>moral hazard</w:t>
      </w:r>
      <w:r>
        <w:rPr>
          <w:rFonts w:ascii="Times New Roman" w:hAnsi="Times New Roman" w:cs="Times New Roman"/>
          <w:sz w:val="22"/>
          <w:szCs w:val="22"/>
        </w:rPr>
        <w:t xml:space="preserve"> yang berdasar dari konflik agen. Kontrak yang ditulis dengan hati-hati akan mengurangi kemungkinan ekspropriasi manajer terhadap sumber daya perusa</w:t>
      </w:r>
      <w:r>
        <w:rPr>
          <w:rFonts w:ascii="Times New Roman" w:hAnsi="Times New Roman" w:cs="Times New Roman"/>
          <w:sz w:val="22"/>
          <w:szCs w:val="22"/>
        </w:rPr>
        <w:t>haan atau distribusi yang berlebihan pada sumber daya tersebut (Watts, 2003).</w:t>
      </w:r>
      <w:r>
        <w:rPr>
          <w:rFonts w:ascii="Times New Roman" w:hAnsi="Times New Roman" w:cs="Times New Roman"/>
          <w:sz w:val="22"/>
          <w:szCs w:val="22"/>
        </w:rPr>
        <w:t xml:space="preserve"> K</w:t>
      </w:r>
      <w:r>
        <w:rPr>
          <w:rFonts w:ascii="Times New Roman" w:eastAsia="SimSun" w:hAnsi="Times New Roman" w:cs="Times New Roman"/>
          <w:sz w:val="22"/>
          <w:szCs w:val="22"/>
        </w:rPr>
        <w:t>onservatism</w:t>
      </w:r>
      <w:r>
        <w:rPr>
          <w:rFonts w:ascii="Times New Roman" w:eastAsia="SimSun" w:hAnsi="Times New Roman" w:cs="Times New Roman"/>
          <w:sz w:val="22"/>
          <w:szCs w:val="22"/>
        </w:rPr>
        <w:t>e akan menyebabkan pelaporan keuangan yang pesimistik, hal tersebut akan mengurangi optimisme dari pengguna laporan (Ardina &amp; Januarti 2012). Tujuan dari penggunaan konsep konservatisme adalah untuk menetralisir optimisme para usahawan yang terlalu berlebi</w:t>
      </w:r>
      <w:r>
        <w:rPr>
          <w:rFonts w:ascii="Times New Roman" w:eastAsia="SimSun" w:hAnsi="Times New Roman" w:cs="Times New Roman"/>
          <w:sz w:val="22"/>
          <w:szCs w:val="22"/>
        </w:rPr>
        <w:t>han dalam melaporkan hasil usahanya. Penerapan konsep konservatisme akan menghasilkan laba yang berfluktuatif, dimana laba yang berfluktuatif akan mengurangi daya prediksi laba untuk memprediksi aliran kas pada masa depan (Sari &amp; Adhariani 2009).</w:t>
      </w:r>
      <w:r>
        <w:rPr>
          <w:rFonts w:ascii="Times New Roman" w:eastAsia="SimSun" w:hAnsi="Times New Roman" w:cs="Times New Roman"/>
          <w:sz w:val="22"/>
          <w:szCs w:val="22"/>
        </w:rPr>
        <w:t xml:space="preserve"> </w:t>
      </w:r>
    </w:p>
    <w:p w:rsidR="00C47BA2" w:rsidRDefault="00C47BA2">
      <w:pPr>
        <w:pStyle w:val="ListParagraph"/>
        <w:spacing w:line="360" w:lineRule="auto"/>
        <w:ind w:left="0" w:firstLine="720"/>
        <w:jc w:val="both"/>
        <w:rPr>
          <w:rFonts w:ascii="Times New Roman" w:eastAsia="SimSun" w:hAnsi="Times New Roman" w:cs="Times New Roman"/>
          <w:sz w:val="22"/>
          <w:szCs w:val="22"/>
        </w:rPr>
      </w:pPr>
    </w:p>
    <w:p w:rsidR="00C47BA2" w:rsidRDefault="004B5E7F">
      <w:pPr>
        <w:pStyle w:val="ListParagraph"/>
        <w:spacing w:line="360" w:lineRule="auto"/>
        <w:ind w:left="0"/>
        <w:jc w:val="both"/>
        <w:rPr>
          <w:rFonts w:ascii="Times New Roman" w:eastAsia="SimSun" w:hAnsi="Times New Roman" w:cs="Times New Roman"/>
          <w:b/>
          <w:bCs/>
          <w:sz w:val="22"/>
          <w:szCs w:val="22"/>
        </w:rPr>
      </w:pPr>
      <w:r>
        <w:rPr>
          <w:rFonts w:ascii="Times New Roman" w:eastAsia="SimSun" w:hAnsi="Times New Roman" w:cs="Times New Roman"/>
          <w:b/>
          <w:bCs/>
          <w:sz w:val="22"/>
          <w:szCs w:val="22"/>
        </w:rPr>
        <w:t>Pengaru</w:t>
      </w:r>
      <w:r>
        <w:rPr>
          <w:rFonts w:ascii="Times New Roman" w:eastAsia="SimSun" w:hAnsi="Times New Roman" w:cs="Times New Roman"/>
          <w:b/>
          <w:bCs/>
          <w:sz w:val="22"/>
          <w:szCs w:val="22"/>
        </w:rPr>
        <w:t>h Dewan Komisaris Terhadap Konservatisme Akuntansi</w:t>
      </w:r>
    </w:p>
    <w:p w:rsidR="00C47BA2" w:rsidRDefault="004B5E7F">
      <w:pPr>
        <w:pStyle w:val="ListParagraph"/>
        <w:ind w:left="0" w:firstLine="720"/>
        <w:jc w:val="both"/>
        <w:rPr>
          <w:rFonts w:ascii="Times New Roman" w:hAnsi="Times New Roman" w:cs="Times New Roman"/>
          <w:sz w:val="22"/>
          <w:szCs w:val="22"/>
        </w:rPr>
      </w:pPr>
      <w:r>
        <w:rPr>
          <w:rFonts w:ascii="Times New Roman" w:hAnsi="Times New Roman" w:cs="Times New Roman"/>
          <w:sz w:val="22"/>
          <w:szCs w:val="22"/>
        </w:rPr>
        <w:t xml:space="preserve">Peran dewan komisaris dalam melaksanakan praktek </w:t>
      </w:r>
      <w:r>
        <w:rPr>
          <w:rFonts w:ascii="Times New Roman" w:hAnsi="Times New Roman" w:cs="Times New Roman"/>
          <w:i/>
          <w:sz w:val="22"/>
          <w:szCs w:val="22"/>
        </w:rPr>
        <w:t>corporate governance</w:t>
      </w:r>
      <w:r>
        <w:rPr>
          <w:rFonts w:ascii="Times New Roman" w:hAnsi="Times New Roman" w:cs="Times New Roman"/>
          <w:sz w:val="22"/>
          <w:szCs w:val="22"/>
        </w:rPr>
        <w:t xml:space="preserve"> sangat berpengaruh terhadap kinerja perusahaan. Dewan komisaris memiliki tugas dan tanggung jawab secara bersama-sama untuk melakukan p</w:t>
      </w:r>
      <w:r>
        <w:rPr>
          <w:rFonts w:ascii="Times New Roman" w:hAnsi="Times New Roman" w:cs="Times New Roman"/>
          <w:sz w:val="22"/>
          <w:szCs w:val="22"/>
        </w:rPr>
        <w:t xml:space="preserve">emeriksaan dan memberikan nasihat kepada direksi serta memastikan perusahaan melaksanakan </w:t>
      </w:r>
      <w:r>
        <w:rPr>
          <w:rFonts w:ascii="Times New Roman" w:hAnsi="Times New Roman" w:cs="Times New Roman"/>
          <w:i/>
          <w:sz w:val="22"/>
          <w:szCs w:val="22"/>
        </w:rPr>
        <w:t>good corporate governance</w:t>
      </w:r>
      <w:r>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sz w:val="22"/>
          <w:szCs w:val="22"/>
        </w:rPr>
        <w:t>Menurut teori stewardship, dewan komisaris yang memiliki anggota yang banyak akan meningkatkan keefektifan dalam proses pengawasan, mendoro</w:t>
      </w:r>
      <w:r>
        <w:rPr>
          <w:rFonts w:ascii="Times New Roman" w:hAnsi="Times New Roman" w:cs="Times New Roman"/>
          <w:sz w:val="22"/>
          <w:szCs w:val="22"/>
        </w:rPr>
        <w:t>ng timbulnya akuntansi konservatif karena keragaman dewan dalam hal keahlian, khususnya pelaporan keuangan. Kompetensi yang dibuat oleh dewan komisaris akan menciptakan laporan keuangan perusahaan yang menggunakan metode konservatisme akuntansi menjadi leb</w:t>
      </w:r>
      <w:r>
        <w:rPr>
          <w:rFonts w:ascii="Times New Roman" w:hAnsi="Times New Roman" w:cs="Times New Roman"/>
          <w:sz w:val="22"/>
          <w:szCs w:val="22"/>
        </w:rPr>
        <w:t xml:space="preserve">ih tinggi. Sehingga </w:t>
      </w:r>
      <w:r>
        <w:rPr>
          <w:rFonts w:ascii="Times New Roman" w:hAnsi="Times New Roman" w:cs="Times New Roman"/>
          <w:i/>
          <w:sz w:val="22"/>
          <w:szCs w:val="22"/>
        </w:rPr>
        <w:t>value</w:t>
      </w:r>
      <w:r>
        <w:rPr>
          <w:rFonts w:ascii="Times New Roman" w:hAnsi="Times New Roman" w:cs="Times New Roman"/>
          <w:sz w:val="22"/>
          <w:szCs w:val="22"/>
        </w:rPr>
        <w:t xml:space="preserve"> yang dimiliki oleh pihak pemegang saham juga ikut naik.</w:t>
      </w:r>
      <w:r>
        <w:rPr>
          <w:rFonts w:ascii="Times New Roman" w:hAnsi="Times New Roman" w:cs="Times New Roman"/>
          <w:sz w:val="22"/>
          <w:szCs w:val="22"/>
        </w:rPr>
        <w:t xml:space="preserve"> Dari penjelasan tersebut maka hipotesis yang dapat diajukan adalah:</w:t>
      </w:r>
    </w:p>
    <w:p w:rsidR="00C47BA2" w:rsidRDefault="004B5E7F">
      <w:pPr>
        <w:pStyle w:val="ListParagraph"/>
        <w:ind w:left="0" w:firstLine="720"/>
        <w:jc w:val="both"/>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vertAlign w:val="subscript"/>
        </w:rPr>
        <w:t>1</w:t>
      </w:r>
      <w:r>
        <w:rPr>
          <w:rFonts w:ascii="Times New Roman" w:hAnsi="Times New Roman" w:cs="Times New Roman"/>
          <w:sz w:val="22"/>
          <w:szCs w:val="22"/>
        </w:rPr>
        <w:t>: Dewan Komisaris berpengaruh positif terhadap konservatisme akuntansi</w:t>
      </w:r>
    </w:p>
    <w:p w:rsidR="00C47BA2" w:rsidRDefault="00C47BA2">
      <w:pPr>
        <w:pStyle w:val="ListParagraph"/>
        <w:ind w:left="0" w:firstLine="720"/>
        <w:jc w:val="both"/>
        <w:rPr>
          <w:rFonts w:ascii="Times New Roman" w:hAnsi="Times New Roman" w:cs="Times New Roman"/>
          <w:sz w:val="22"/>
          <w:szCs w:val="22"/>
        </w:rPr>
      </w:pPr>
    </w:p>
    <w:p w:rsidR="00C47BA2" w:rsidRDefault="004B5E7F">
      <w:pPr>
        <w:pStyle w:val="ListParagraph"/>
        <w:ind w:left="0"/>
        <w:jc w:val="both"/>
        <w:rPr>
          <w:rFonts w:ascii="Times New Roman" w:hAnsi="Times New Roman" w:cs="Times New Roman"/>
          <w:b/>
          <w:bCs/>
          <w:sz w:val="22"/>
          <w:szCs w:val="22"/>
        </w:rPr>
      </w:pPr>
      <w:r>
        <w:rPr>
          <w:rFonts w:ascii="Times New Roman" w:hAnsi="Times New Roman" w:cs="Times New Roman"/>
          <w:b/>
          <w:bCs/>
          <w:sz w:val="22"/>
          <w:szCs w:val="22"/>
        </w:rPr>
        <w:t xml:space="preserve">Pengaruh Komite Audit Terhadap </w:t>
      </w:r>
      <w:r>
        <w:rPr>
          <w:rFonts w:ascii="Times New Roman" w:hAnsi="Times New Roman" w:cs="Times New Roman"/>
          <w:b/>
          <w:bCs/>
          <w:sz w:val="22"/>
          <w:szCs w:val="22"/>
        </w:rPr>
        <w:t>Konservatisme Akuntansi</w:t>
      </w:r>
    </w:p>
    <w:p w:rsidR="00C47BA2" w:rsidRDefault="004B5E7F">
      <w:pPr>
        <w:pStyle w:val="ListParagraph"/>
        <w:ind w:left="0" w:firstLine="720"/>
        <w:jc w:val="both"/>
        <w:rPr>
          <w:rFonts w:ascii="Times New Roman" w:hAnsi="Times New Roman" w:cs="Times New Roman"/>
          <w:sz w:val="22"/>
          <w:szCs w:val="22"/>
        </w:rPr>
      </w:pPr>
      <w:r>
        <w:rPr>
          <w:rFonts w:ascii="Times New Roman" w:hAnsi="Times New Roman" w:cs="Times New Roman"/>
          <w:sz w:val="22"/>
          <w:szCs w:val="22"/>
        </w:rPr>
        <w:t>Jumlah anggota komite audit yang tepat tergantung dari keahlian yang dimiliki suatu perusahaan. Kompetensi komite audit yang memiliki keahlian dalam bidangnya sangat diperlukan dalam mengawasi dan mengatasi masalah yang muncul.</w:t>
      </w:r>
      <w:r>
        <w:rPr>
          <w:rFonts w:ascii="Times New Roman" w:hAnsi="Times New Roman" w:cs="Times New Roman"/>
          <w:sz w:val="22"/>
          <w:szCs w:val="22"/>
        </w:rPr>
        <w:t xml:space="preserve"> K</w:t>
      </w:r>
      <w:r>
        <w:rPr>
          <w:rFonts w:ascii="Times New Roman" w:hAnsi="Times New Roman" w:cs="Times New Roman"/>
          <w:sz w:val="22"/>
          <w:szCs w:val="22"/>
        </w:rPr>
        <w:t>omi</w:t>
      </w:r>
      <w:r>
        <w:rPr>
          <w:rFonts w:ascii="Times New Roman" w:hAnsi="Times New Roman" w:cs="Times New Roman"/>
          <w:sz w:val="22"/>
          <w:szCs w:val="22"/>
        </w:rPr>
        <w:t xml:space="preserve">te audit harus mampu menjadi suatu badan yang bisa mengawasi kinerja kegiatan pelaporan keuangan dan pelaksanaan audit. </w:t>
      </w:r>
    </w:p>
    <w:p w:rsidR="00C47BA2" w:rsidRDefault="004B5E7F">
      <w:pPr>
        <w:pStyle w:val="ListParagraph"/>
        <w:ind w:left="0"/>
        <w:jc w:val="both"/>
        <w:rPr>
          <w:rFonts w:ascii="Times New Roman" w:hAnsi="Times New Roman" w:cs="Times New Roman"/>
          <w:sz w:val="22"/>
          <w:szCs w:val="22"/>
        </w:rPr>
      </w:pPr>
      <w:r>
        <w:rPr>
          <w:rFonts w:ascii="Times New Roman" w:hAnsi="Times New Roman" w:cs="Times New Roman"/>
          <w:sz w:val="22"/>
          <w:szCs w:val="22"/>
        </w:rPr>
        <w:t>Untuk melaksanakan tugas dan tanggung jawabnya maka komite audit harus memenuhi syarat dalam hal pengawasan dan evaluasi. Juga mendoron</w:t>
      </w:r>
      <w:r>
        <w:rPr>
          <w:rFonts w:ascii="Times New Roman" w:hAnsi="Times New Roman" w:cs="Times New Roman"/>
          <w:sz w:val="22"/>
          <w:szCs w:val="22"/>
        </w:rPr>
        <w:t>g kinerja manajemen perusahaan agar menjadi lebih baik sehingga mampu meningkatkan kualitas laporan keuangan perusahaan yang menggunakan metode konservatisme akuntansi juga tinggi</w:t>
      </w:r>
      <w:r>
        <w:rPr>
          <w:rFonts w:ascii="Times New Roman" w:hAnsi="Times New Roman" w:cs="Times New Roman"/>
          <w:sz w:val="22"/>
          <w:szCs w:val="22"/>
        </w:rPr>
        <w:t>. Berdasarkan penjelasan tersebut maka hipotesis yang dapat diajukan adalah:</w:t>
      </w:r>
    </w:p>
    <w:p w:rsidR="00C47BA2" w:rsidRDefault="004B5E7F">
      <w:pPr>
        <w:pStyle w:val="ListParagraph"/>
        <w:ind w:left="0"/>
        <w:jc w:val="both"/>
        <w:rPr>
          <w:rFonts w:ascii="Times New Roman" w:hAnsi="Times New Roman" w:cs="Times New Roman"/>
          <w:sz w:val="22"/>
          <w:szCs w:val="22"/>
        </w:rPr>
      </w:pPr>
      <w:r>
        <w:rPr>
          <w:rFonts w:ascii="Times New Roman" w:hAnsi="Times New Roman" w:cs="Times New Roman"/>
          <w:sz w:val="22"/>
          <w:szCs w:val="22"/>
        </w:rPr>
        <w:tab/>
        <w:t>H</w:t>
      </w:r>
      <w:r>
        <w:rPr>
          <w:rFonts w:ascii="Times New Roman" w:hAnsi="Times New Roman" w:cs="Times New Roman"/>
          <w:sz w:val="22"/>
          <w:szCs w:val="22"/>
          <w:vertAlign w:val="subscript"/>
        </w:rPr>
        <w:t>2</w:t>
      </w:r>
      <w:r>
        <w:rPr>
          <w:rFonts w:ascii="Times New Roman" w:hAnsi="Times New Roman" w:cs="Times New Roman"/>
          <w:sz w:val="22"/>
          <w:szCs w:val="22"/>
        </w:rPr>
        <w:t>: Komite Audit berpengaruh positif terhadap konservatisme akuntansi</w:t>
      </w:r>
    </w:p>
    <w:p w:rsidR="00C47BA2" w:rsidRDefault="00C47BA2">
      <w:pPr>
        <w:pStyle w:val="ListParagraph"/>
        <w:ind w:left="0"/>
        <w:jc w:val="both"/>
        <w:rPr>
          <w:rFonts w:ascii="Times New Roman" w:hAnsi="Times New Roman" w:cs="Times New Roman"/>
          <w:sz w:val="22"/>
          <w:szCs w:val="22"/>
        </w:rPr>
      </w:pPr>
    </w:p>
    <w:p w:rsidR="00C47BA2" w:rsidRDefault="00C47BA2">
      <w:pPr>
        <w:pStyle w:val="ListParagraph"/>
        <w:ind w:left="0"/>
        <w:jc w:val="both"/>
        <w:rPr>
          <w:rFonts w:ascii="Times New Roman" w:hAnsi="Times New Roman" w:cs="Times New Roman"/>
          <w:sz w:val="22"/>
          <w:szCs w:val="22"/>
        </w:rPr>
      </w:pPr>
    </w:p>
    <w:p w:rsidR="00C47BA2" w:rsidRDefault="00C47BA2">
      <w:pPr>
        <w:pStyle w:val="ListParagraph"/>
        <w:ind w:left="0"/>
        <w:jc w:val="both"/>
        <w:rPr>
          <w:rFonts w:ascii="Times New Roman" w:hAnsi="Times New Roman" w:cs="Times New Roman"/>
          <w:sz w:val="22"/>
          <w:szCs w:val="22"/>
        </w:rPr>
      </w:pPr>
    </w:p>
    <w:p w:rsidR="00C47BA2" w:rsidRDefault="004B5E7F">
      <w:pPr>
        <w:pStyle w:val="ListParagraph"/>
        <w:ind w:left="0"/>
        <w:jc w:val="both"/>
        <w:rPr>
          <w:rFonts w:ascii="Times New Roman" w:hAnsi="Times New Roman" w:cs="Times New Roman"/>
          <w:b/>
          <w:bCs/>
          <w:sz w:val="22"/>
          <w:szCs w:val="22"/>
        </w:rPr>
      </w:pPr>
      <w:r>
        <w:rPr>
          <w:rFonts w:ascii="Times New Roman" w:hAnsi="Times New Roman" w:cs="Times New Roman"/>
          <w:b/>
          <w:bCs/>
          <w:sz w:val="22"/>
          <w:szCs w:val="22"/>
        </w:rPr>
        <w:lastRenderedPageBreak/>
        <w:t>Pengaruh Frekuensi Pertemuan Komite Audit Terhadap Konservatisme Akuntansi</w:t>
      </w:r>
    </w:p>
    <w:p w:rsidR="00C47BA2" w:rsidRDefault="004B5E7F">
      <w:pPr>
        <w:pStyle w:val="ListParagraph"/>
        <w:ind w:left="0" w:firstLine="720"/>
        <w:jc w:val="both"/>
        <w:rPr>
          <w:rFonts w:ascii="Times New Roman" w:hAnsi="Times New Roman" w:cs="Times New Roman"/>
          <w:sz w:val="22"/>
          <w:szCs w:val="22"/>
        </w:rPr>
      </w:pPr>
      <w:r>
        <w:rPr>
          <w:rFonts w:ascii="Times New Roman" w:hAnsi="Times New Roman" w:cs="Times New Roman"/>
          <w:sz w:val="22"/>
          <w:szCs w:val="22"/>
        </w:rPr>
        <w:t xml:space="preserve">Untuk meyakinkan tugas yang ditanggung komite audit berjalan dengan baik maka komite audit mengadakan </w:t>
      </w:r>
      <w:r>
        <w:rPr>
          <w:rFonts w:ascii="Times New Roman" w:hAnsi="Times New Roman" w:cs="Times New Roman"/>
          <w:sz w:val="22"/>
          <w:szCs w:val="22"/>
        </w:rPr>
        <w:t xml:space="preserve">pertemuan rutin sebagai sarana evaluasi. Frekuensi pertemuan komite audit merupakan jumlah pertemuan yang dilaksanakan oleh komite audit dalam 1 tahun dan juga merupakan langkah yang digunakan untuk mewujudkan efektifitas komite audit. Frekuensi pertemuan </w:t>
      </w:r>
      <w:r>
        <w:rPr>
          <w:rFonts w:ascii="Times New Roman" w:hAnsi="Times New Roman" w:cs="Times New Roman"/>
          <w:sz w:val="22"/>
          <w:szCs w:val="22"/>
        </w:rPr>
        <w:t>komite audit mempunyai pengaruh yang signifikan dalam implementasi konservatisme akuntansi. Sebagai perwujudan dari teori keagenan dan untuk mewujudkan harapan para prinsipal, maka pertemuan rutin sebagai alat evaluasi akan membantu meningkatkan kualitas l</w:t>
      </w:r>
      <w:r>
        <w:rPr>
          <w:rFonts w:ascii="Times New Roman" w:hAnsi="Times New Roman" w:cs="Times New Roman"/>
          <w:sz w:val="22"/>
          <w:szCs w:val="22"/>
        </w:rPr>
        <w:t>aporan keuangan. Pada perusahaan yang menerapkan konservatisme akuntansi, dengan meningktanya kualitas laporan keuangan maka tingkat konservatisme akuntansi yang dimiliki perusahaan juga tinggi. Dari penjelasan tersebut maka hipotesis yang dapat diajukan a</w:t>
      </w:r>
      <w:r>
        <w:rPr>
          <w:rFonts w:ascii="Times New Roman" w:hAnsi="Times New Roman" w:cs="Times New Roman"/>
          <w:sz w:val="22"/>
          <w:szCs w:val="22"/>
        </w:rPr>
        <w:t>dalah sebagai berikut:</w:t>
      </w:r>
    </w:p>
    <w:p w:rsidR="00C47BA2" w:rsidRDefault="004B5E7F">
      <w:pPr>
        <w:pStyle w:val="ListParagraph"/>
        <w:ind w:left="0" w:firstLine="720"/>
        <w:jc w:val="both"/>
        <w:rPr>
          <w:rFonts w:ascii="Times New Roman" w:eastAsia="SimSu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vertAlign w:val="subscript"/>
        </w:rPr>
        <w:t>3</w:t>
      </w:r>
      <w:r>
        <w:rPr>
          <w:rFonts w:ascii="Times New Roman" w:hAnsi="Times New Roman" w:cs="Times New Roman"/>
          <w:sz w:val="22"/>
          <w:szCs w:val="22"/>
        </w:rPr>
        <w:t>: Frekuensi Pertemuan Komite Audit berpengaruh positif terhadap konservatisme akuntansi.</w:t>
      </w:r>
    </w:p>
    <w:p w:rsidR="00C47BA2" w:rsidRDefault="00C47BA2">
      <w:pPr>
        <w:pStyle w:val="ListParagraph"/>
        <w:ind w:left="0"/>
        <w:jc w:val="both"/>
        <w:rPr>
          <w:rFonts w:ascii="Times New Roman" w:hAnsi="Times New Roman" w:cs="Times New Roman"/>
          <w:sz w:val="22"/>
          <w:szCs w:val="22"/>
          <w:lang w:val="en-GB"/>
        </w:rPr>
      </w:pPr>
    </w:p>
    <w:p w:rsidR="00C47BA2" w:rsidRDefault="004B5E7F">
      <w:pPr>
        <w:pStyle w:val="ListParagraph"/>
        <w:spacing w:line="360" w:lineRule="auto"/>
        <w:ind w:left="0"/>
        <w:jc w:val="both"/>
        <w:rPr>
          <w:rFonts w:ascii="Times New Roman" w:hAnsi="Times New Roman" w:cs="Times New Roman"/>
          <w:b/>
          <w:bCs/>
          <w:sz w:val="22"/>
          <w:szCs w:val="22"/>
        </w:rPr>
      </w:pPr>
      <w:r>
        <w:rPr>
          <w:rFonts w:ascii="Times New Roman" w:hAnsi="Times New Roman" w:cs="Times New Roman"/>
          <w:b/>
          <w:bCs/>
          <w:sz w:val="22"/>
          <w:szCs w:val="22"/>
        </w:rPr>
        <w:t xml:space="preserve">METODE </w:t>
      </w:r>
    </w:p>
    <w:p w:rsidR="00C47BA2" w:rsidRDefault="004B5E7F">
      <w:pPr>
        <w:pStyle w:val="ListParagraph"/>
        <w:ind w:left="0"/>
        <w:jc w:val="both"/>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sz w:val="22"/>
          <w:szCs w:val="22"/>
        </w:rPr>
        <w:t xml:space="preserve">Subjek dalam penelitian ini adalah laporan keuangan tahunan yang digunakan untuk menilai praktik </w:t>
      </w:r>
      <w:r>
        <w:rPr>
          <w:rFonts w:ascii="Times New Roman" w:hAnsi="Times New Roman" w:cs="Times New Roman"/>
          <w:i/>
          <w:iCs/>
          <w:sz w:val="22"/>
          <w:szCs w:val="22"/>
        </w:rPr>
        <w:t xml:space="preserve">corporate governance </w:t>
      </w:r>
      <w:r>
        <w:rPr>
          <w:rFonts w:ascii="Times New Roman" w:hAnsi="Times New Roman" w:cs="Times New Roman"/>
          <w:sz w:val="22"/>
          <w:szCs w:val="22"/>
        </w:rPr>
        <w:t xml:space="preserve">dan konservatisme akuntansi pada perusahaan pertambangan yang terdaftar di Bursa Efek Indonesia (BEI) periode 2017-2019. pengambilan sampel dalam penelitian dilakukan secara </w:t>
      </w:r>
      <w:r>
        <w:rPr>
          <w:rFonts w:ascii="Times New Roman" w:hAnsi="Times New Roman" w:cs="Times New Roman"/>
          <w:i/>
          <w:iCs/>
          <w:sz w:val="22"/>
          <w:szCs w:val="22"/>
        </w:rPr>
        <w:t>purposive sampling</w:t>
      </w:r>
      <w:r>
        <w:rPr>
          <w:rFonts w:ascii="Times New Roman" w:hAnsi="Times New Roman" w:cs="Times New Roman"/>
          <w:sz w:val="22"/>
          <w:szCs w:val="22"/>
        </w:rPr>
        <w:t>, dengan kriteria sebagai berikut:</w:t>
      </w:r>
    </w:p>
    <w:p w:rsidR="00C47BA2" w:rsidRDefault="004B5E7F">
      <w:pPr>
        <w:pStyle w:val="ListParagraph"/>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Perusahaan pertambangan yang </w:t>
      </w:r>
      <w:r>
        <w:rPr>
          <w:rFonts w:ascii="Times New Roman" w:hAnsi="Times New Roman" w:cs="Times New Roman"/>
          <w:sz w:val="22"/>
          <w:szCs w:val="22"/>
        </w:rPr>
        <w:t>terdaftar di BEI periode 2017-2019.</w:t>
      </w:r>
    </w:p>
    <w:p w:rsidR="00C47BA2" w:rsidRDefault="004B5E7F">
      <w:pPr>
        <w:pStyle w:val="ListParagraph"/>
        <w:numPr>
          <w:ilvl w:val="0"/>
          <w:numId w:val="1"/>
        </w:numPr>
        <w:jc w:val="both"/>
        <w:rPr>
          <w:rFonts w:ascii="Times New Roman" w:hAnsi="Times New Roman" w:cs="Times New Roman"/>
          <w:sz w:val="22"/>
          <w:szCs w:val="22"/>
        </w:rPr>
      </w:pPr>
      <w:r>
        <w:rPr>
          <w:rFonts w:ascii="Times New Roman" w:hAnsi="Times New Roman" w:cs="Times New Roman"/>
          <w:sz w:val="22"/>
          <w:szCs w:val="22"/>
        </w:rPr>
        <w:t>Membuat dan mempublikasikan laporan keuangan tahunan (</w:t>
      </w:r>
      <w:r>
        <w:rPr>
          <w:rFonts w:ascii="Times New Roman" w:hAnsi="Times New Roman" w:cs="Times New Roman"/>
          <w:i/>
          <w:iCs/>
          <w:sz w:val="22"/>
          <w:szCs w:val="22"/>
        </w:rPr>
        <w:t>annual report</w:t>
      </w:r>
      <w:r>
        <w:rPr>
          <w:rFonts w:ascii="Times New Roman" w:hAnsi="Times New Roman" w:cs="Times New Roman"/>
          <w:sz w:val="22"/>
          <w:szCs w:val="22"/>
        </w:rPr>
        <w:t>) secara lengkap selama periode penelitian tahun 2017-2019.</w:t>
      </w:r>
    </w:p>
    <w:p w:rsidR="00C47BA2" w:rsidRDefault="004B5E7F">
      <w:pPr>
        <w:pStyle w:val="ListParagraph"/>
        <w:numPr>
          <w:ilvl w:val="0"/>
          <w:numId w:val="1"/>
        </w:numPr>
        <w:jc w:val="both"/>
        <w:rPr>
          <w:rFonts w:ascii="Times New Roman" w:hAnsi="Times New Roman" w:cs="Times New Roman"/>
          <w:sz w:val="22"/>
          <w:szCs w:val="22"/>
        </w:rPr>
      </w:pPr>
      <w:r>
        <w:rPr>
          <w:rFonts w:ascii="Times New Roman" w:hAnsi="Times New Roman" w:cs="Times New Roman"/>
          <w:sz w:val="22"/>
          <w:szCs w:val="22"/>
        </w:rPr>
        <w:t>Menyajikan data secara lengkap terkait variabel penelitian yang sesuai dengan kebutuhan penel</w:t>
      </w:r>
      <w:r>
        <w:rPr>
          <w:rFonts w:ascii="Times New Roman" w:hAnsi="Times New Roman" w:cs="Times New Roman"/>
          <w:sz w:val="22"/>
          <w:szCs w:val="22"/>
        </w:rPr>
        <w:t>itian.</w:t>
      </w:r>
    </w:p>
    <w:p w:rsidR="00C47BA2" w:rsidRDefault="004B5E7F">
      <w:pPr>
        <w:pStyle w:val="ListParagraph"/>
        <w:ind w:left="0"/>
        <w:jc w:val="both"/>
        <w:rPr>
          <w:rFonts w:ascii="Times New Roman" w:hAnsi="Times New Roman" w:cs="Times New Roman"/>
          <w:sz w:val="22"/>
          <w:szCs w:val="22"/>
        </w:rPr>
      </w:pPr>
      <w:r>
        <w:rPr>
          <w:rFonts w:ascii="Times New Roman" w:hAnsi="Times New Roman" w:cs="Times New Roman"/>
          <w:sz w:val="22"/>
          <w:szCs w:val="22"/>
        </w:rPr>
        <w:tab/>
        <w:t xml:space="preserve">Variabel independen dalam penelitian ini adalah </w:t>
      </w:r>
      <w:r>
        <w:rPr>
          <w:rFonts w:ascii="Times New Roman" w:hAnsi="Times New Roman" w:cs="Times New Roman"/>
          <w:i/>
          <w:iCs/>
          <w:sz w:val="22"/>
          <w:szCs w:val="22"/>
        </w:rPr>
        <w:t xml:space="preserve">corporate governance </w:t>
      </w:r>
      <w:r>
        <w:rPr>
          <w:rFonts w:ascii="Times New Roman" w:hAnsi="Times New Roman" w:cs="Times New Roman"/>
          <w:sz w:val="22"/>
          <w:szCs w:val="22"/>
        </w:rPr>
        <w:t>yang diproksikan dengan dewan komisaris, komite audit, dan frekuensi pertemuan komite audit. Sedangkan variabel dependen adalah konserrvatisme akuntansi yang diukur dengan menggun</w:t>
      </w:r>
      <w:r>
        <w:rPr>
          <w:rFonts w:ascii="Times New Roman" w:hAnsi="Times New Roman" w:cs="Times New Roman"/>
          <w:sz w:val="22"/>
          <w:szCs w:val="22"/>
        </w:rPr>
        <w:t>akan ukuran</w:t>
      </w:r>
      <w:r>
        <w:rPr>
          <w:rFonts w:ascii="Times New Roman" w:hAnsi="Times New Roman" w:cs="Times New Roman"/>
          <w:i/>
          <w:iCs/>
          <w:sz w:val="22"/>
          <w:szCs w:val="22"/>
        </w:rPr>
        <w:t xml:space="preserve"> market to book ratio.</w:t>
      </w:r>
    </w:p>
    <w:p w:rsidR="00C47BA2" w:rsidRDefault="00C47BA2">
      <w:pPr>
        <w:jc w:val="both"/>
        <w:rPr>
          <w:rFonts w:ascii="Times New Roman" w:eastAsia="SimSun" w:hAnsi="Times New Roman" w:cs="Times New Roman"/>
          <w:sz w:val="22"/>
          <w:szCs w:val="22"/>
        </w:rPr>
      </w:pPr>
    </w:p>
    <w:p w:rsidR="00C47BA2" w:rsidRDefault="004B5E7F">
      <w:pPr>
        <w:jc w:val="both"/>
        <w:rPr>
          <w:rFonts w:ascii="Times New Roman" w:eastAsia="SimSun" w:hAnsi="Times New Roman" w:cs="Times New Roman"/>
          <w:b/>
          <w:bCs/>
          <w:sz w:val="22"/>
          <w:szCs w:val="22"/>
        </w:rPr>
      </w:pPr>
      <w:r>
        <w:rPr>
          <w:rFonts w:ascii="Times New Roman" w:eastAsia="SimSun" w:hAnsi="Times New Roman" w:cs="Times New Roman"/>
          <w:b/>
          <w:bCs/>
          <w:sz w:val="22"/>
          <w:szCs w:val="22"/>
        </w:rPr>
        <w:t>HASIL DAN PEMBAHASAN</w:t>
      </w:r>
    </w:p>
    <w:p w:rsidR="00C47BA2" w:rsidRDefault="004B5E7F">
      <w:pPr>
        <w:shd w:val="clear" w:color="auto" w:fill="FFFFFF"/>
        <w:ind w:firstLine="720"/>
        <w:jc w:val="both"/>
        <w:rPr>
          <w:rFonts w:ascii="Times New Roman" w:eastAsia="sans-serif" w:hAnsi="Times New Roman" w:cs="Times New Roman"/>
          <w:sz w:val="22"/>
          <w:szCs w:val="22"/>
          <w:shd w:val="clear" w:color="auto" w:fill="FFFFFF"/>
          <w:lang w:bidi="ar"/>
        </w:rPr>
      </w:pPr>
      <w:r>
        <w:rPr>
          <w:rFonts w:ascii="Times New Roman" w:eastAsia="sans-serif" w:hAnsi="Times New Roman" w:cs="Times New Roman"/>
          <w:sz w:val="22"/>
          <w:szCs w:val="22"/>
          <w:shd w:val="clear" w:color="auto" w:fill="FFFFFF"/>
          <w:lang w:bidi="ar"/>
        </w:rPr>
        <w:t>Berdasarkan kriteria pemilihan sampel diperoleh 23 perusahaan pertambangan di Bursa Efek Indonesia yang menjadi sampel penelitian. Data yang digunakan dalam penelitian ini adalah laporan keuangan tahu</w:t>
      </w:r>
      <w:r>
        <w:rPr>
          <w:rFonts w:ascii="Times New Roman" w:eastAsia="sans-serif" w:hAnsi="Times New Roman" w:cs="Times New Roman"/>
          <w:sz w:val="22"/>
          <w:szCs w:val="22"/>
          <w:shd w:val="clear" w:color="auto" w:fill="FFFFFF"/>
          <w:lang w:bidi="ar"/>
        </w:rPr>
        <w:t xml:space="preserve">n 2017-2019 yang diperoleh dari Bursa Efek Indonesia. Berikut hasil uji statistik yang </w:t>
      </w:r>
      <w:proofErr w:type="gramStart"/>
      <w:r>
        <w:rPr>
          <w:rFonts w:ascii="Times New Roman" w:eastAsia="sans-serif" w:hAnsi="Times New Roman" w:cs="Times New Roman"/>
          <w:sz w:val="22"/>
          <w:szCs w:val="22"/>
          <w:shd w:val="clear" w:color="auto" w:fill="FFFFFF"/>
          <w:lang w:bidi="ar"/>
        </w:rPr>
        <w:t>dilakukan :</w:t>
      </w:r>
      <w:proofErr w:type="gramEnd"/>
    </w:p>
    <w:p w:rsidR="00C47BA2" w:rsidRDefault="004B5E7F">
      <w:pPr>
        <w:numPr>
          <w:ilvl w:val="0"/>
          <w:numId w:val="2"/>
        </w:numPr>
        <w:shd w:val="clear" w:color="auto" w:fill="FFFFFF"/>
        <w:ind w:firstLine="720"/>
        <w:jc w:val="both"/>
        <w:rPr>
          <w:rFonts w:ascii="Times New Roman" w:eastAsia="sans-serif" w:hAnsi="Times New Roman" w:cs="Times New Roman"/>
          <w:sz w:val="22"/>
          <w:szCs w:val="22"/>
          <w:shd w:val="clear" w:color="auto" w:fill="FFFFFF"/>
          <w:lang w:bidi="ar"/>
        </w:rPr>
      </w:pPr>
      <w:r>
        <w:rPr>
          <w:rFonts w:ascii="Times New Roman" w:eastAsia="sans-serif" w:hAnsi="Times New Roman" w:cs="Times New Roman"/>
          <w:sz w:val="22"/>
          <w:szCs w:val="22"/>
          <w:shd w:val="clear" w:color="auto" w:fill="FFFFFF"/>
          <w:lang w:bidi="ar"/>
        </w:rPr>
        <w:t>Hasil Uji Statistik Deskriptif</w:t>
      </w:r>
    </w:p>
    <w:p w:rsidR="00C47BA2" w:rsidRDefault="00C47BA2">
      <w:pPr>
        <w:shd w:val="clear" w:color="auto" w:fill="FFFFFF"/>
        <w:ind w:left="720"/>
        <w:jc w:val="both"/>
        <w:rPr>
          <w:rFonts w:ascii="Times New Roman" w:eastAsia="sans-serif" w:hAnsi="Times New Roman" w:cs="Times New Roman"/>
          <w:sz w:val="22"/>
          <w:szCs w:val="22"/>
          <w:shd w:val="clear" w:color="auto" w:fill="FFFFFF"/>
          <w:lang w:bidi="ar"/>
        </w:rPr>
      </w:pPr>
    </w:p>
    <w:p w:rsidR="00C47BA2" w:rsidRDefault="004B5E7F">
      <w:pPr>
        <w:shd w:val="clear" w:color="auto" w:fill="FFFFFF"/>
        <w:ind w:left="720"/>
        <w:jc w:val="center"/>
        <w:rPr>
          <w:rFonts w:ascii="Times New Roman" w:eastAsia="sans-serif" w:hAnsi="Times New Roman" w:cs="Times New Roman"/>
          <w:sz w:val="22"/>
          <w:szCs w:val="22"/>
          <w:shd w:val="clear" w:color="auto" w:fill="FFFFFF"/>
          <w:lang w:bidi="ar"/>
        </w:rPr>
      </w:pPr>
      <w:r>
        <w:rPr>
          <w:rFonts w:ascii="Times New Roman" w:eastAsia="sans-serif" w:hAnsi="Times New Roman" w:cs="Times New Roman"/>
          <w:sz w:val="22"/>
          <w:szCs w:val="22"/>
          <w:shd w:val="clear" w:color="auto" w:fill="FFFFFF"/>
          <w:lang w:bidi="ar"/>
        </w:rPr>
        <w:t>T</w:t>
      </w:r>
      <w:r>
        <w:rPr>
          <w:rFonts w:ascii="Times New Roman" w:eastAsia="sans-serif" w:hAnsi="Times New Roman" w:cs="Times New Roman"/>
          <w:sz w:val="22"/>
          <w:szCs w:val="22"/>
          <w:shd w:val="clear" w:color="auto" w:fill="FFFFFF"/>
          <w:lang w:bidi="ar"/>
        </w:rPr>
        <w:t>abel 1. Hasil Uji Statistik Deskriptif</w:t>
      </w:r>
    </w:p>
    <w:tbl>
      <w:tblPr>
        <w:tblW w:w="4609" w:type="dxa"/>
        <w:jc w:val="center"/>
        <w:shd w:val="clear" w:color="auto" w:fill="FFFFFF" w:themeFill="background1"/>
        <w:tblLayout w:type="fixed"/>
        <w:tblLook w:val="04A0" w:firstRow="1" w:lastRow="0" w:firstColumn="1" w:lastColumn="0" w:noHBand="0" w:noVBand="1"/>
      </w:tblPr>
      <w:tblGrid>
        <w:gridCol w:w="870"/>
        <w:gridCol w:w="410"/>
        <w:gridCol w:w="886"/>
        <w:gridCol w:w="900"/>
        <w:gridCol w:w="682"/>
        <w:gridCol w:w="861"/>
      </w:tblGrid>
      <w:tr w:rsidR="00C47BA2" w:rsidTr="004B5E7F">
        <w:trPr>
          <w:trHeight w:val="424"/>
          <w:jc w:val="center"/>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47BA2" w:rsidRDefault="00C47BA2">
            <w:pPr>
              <w:jc w:val="center"/>
              <w:rPr>
                <w:rFonts w:ascii="Times New Roman" w:eastAsia="Times New Roman" w:hAnsi="Times New Roman" w:cs="Times New Roman"/>
                <w:sz w:val="16"/>
                <w:szCs w:val="16"/>
              </w:rPr>
            </w:pPr>
          </w:p>
        </w:tc>
        <w:tc>
          <w:tcPr>
            <w:tcW w:w="410" w:type="dxa"/>
            <w:tcBorders>
              <w:top w:val="single" w:sz="4" w:space="0" w:color="auto"/>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886" w:type="dxa"/>
            <w:tcBorders>
              <w:top w:val="single" w:sz="4" w:space="0" w:color="auto"/>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Minimum</w:t>
            </w:r>
          </w:p>
        </w:tc>
        <w:tc>
          <w:tcPr>
            <w:tcW w:w="900" w:type="dxa"/>
            <w:tcBorders>
              <w:top w:val="single" w:sz="4" w:space="0" w:color="auto"/>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Maximum</w:t>
            </w:r>
          </w:p>
        </w:tc>
        <w:tc>
          <w:tcPr>
            <w:tcW w:w="682" w:type="dxa"/>
            <w:tcBorders>
              <w:top w:val="single" w:sz="4" w:space="0" w:color="auto"/>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Mean</w:t>
            </w:r>
          </w:p>
        </w:tc>
        <w:tc>
          <w:tcPr>
            <w:tcW w:w="861" w:type="dxa"/>
            <w:tcBorders>
              <w:top w:val="single" w:sz="4" w:space="0" w:color="auto"/>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Std. Deviation</w:t>
            </w:r>
          </w:p>
        </w:tc>
      </w:tr>
      <w:tr w:rsidR="00C47BA2" w:rsidTr="004B5E7F">
        <w:trPr>
          <w:trHeight w:val="257"/>
          <w:jc w:val="center"/>
        </w:trPr>
        <w:tc>
          <w:tcPr>
            <w:tcW w:w="870" w:type="dxa"/>
            <w:tcBorders>
              <w:top w:val="nil"/>
              <w:left w:val="single" w:sz="4" w:space="0" w:color="auto"/>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X1</w:t>
            </w:r>
          </w:p>
        </w:tc>
        <w:tc>
          <w:tcPr>
            <w:tcW w:w="410"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886"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900"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682"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5.14</w:t>
            </w:r>
          </w:p>
        </w:tc>
        <w:tc>
          <w:tcPr>
            <w:tcW w:w="861"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1.751</w:t>
            </w:r>
          </w:p>
        </w:tc>
      </w:tr>
      <w:tr w:rsidR="00C47BA2" w:rsidTr="004B5E7F">
        <w:trPr>
          <w:trHeight w:val="257"/>
          <w:jc w:val="center"/>
        </w:trPr>
        <w:tc>
          <w:tcPr>
            <w:tcW w:w="870" w:type="dxa"/>
            <w:tcBorders>
              <w:top w:val="nil"/>
              <w:left w:val="single" w:sz="4" w:space="0" w:color="auto"/>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X2</w:t>
            </w:r>
          </w:p>
        </w:tc>
        <w:tc>
          <w:tcPr>
            <w:tcW w:w="410"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886"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900"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682"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3.41</w:t>
            </w:r>
          </w:p>
        </w:tc>
        <w:tc>
          <w:tcPr>
            <w:tcW w:w="861"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0.773</w:t>
            </w:r>
          </w:p>
        </w:tc>
      </w:tr>
      <w:tr w:rsidR="00C47BA2" w:rsidTr="004B5E7F">
        <w:trPr>
          <w:trHeight w:val="257"/>
          <w:jc w:val="center"/>
        </w:trPr>
        <w:tc>
          <w:tcPr>
            <w:tcW w:w="870" w:type="dxa"/>
            <w:tcBorders>
              <w:top w:val="nil"/>
              <w:left w:val="single" w:sz="4" w:space="0" w:color="auto"/>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X3</w:t>
            </w:r>
          </w:p>
        </w:tc>
        <w:tc>
          <w:tcPr>
            <w:tcW w:w="410"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886"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0"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c>
          <w:tcPr>
            <w:tcW w:w="682"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10.17</w:t>
            </w:r>
          </w:p>
        </w:tc>
        <w:tc>
          <w:tcPr>
            <w:tcW w:w="861"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11.399</w:t>
            </w:r>
          </w:p>
        </w:tc>
      </w:tr>
      <w:tr w:rsidR="00C47BA2" w:rsidTr="004B5E7F">
        <w:trPr>
          <w:trHeight w:val="257"/>
          <w:jc w:val="center"/>
        </w:trPr>
        <w:tc>
          <w:tcPr>
            <w:tcW w:w="870" w:type="dxa"/>
            <w:tcBorders>
              <w:top w:val="nil"/>
              <w:left w:val="single" w:sz="4" w:space="0" w:color="auto"/>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Y</w:t>
            </w:r>
          </w:p>
        </w:tc>
        <w:tc>
          <w:tcPr>
            <w:tcW w:w="410"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886"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0.33</w:t>
            </w:r>
          </w:p>
        </w:tc>
        <w:tc>
          <w:tcPr>
            <w:tcW w:w="900"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12.83</w:t>
            </w:r>
          </w:p>
        </w:tc>
        <w:tc>
          <w:tcPr>
            <w:tcW w:w="682"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2.8372</w:t>
            </w:r>
          </w:p>
        </w:tc>
        <w:tc>
          <w:tcPr>
            <w:tcW w:w="861"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2.36768</w:t>
            </w:r>
          </w:p>
        </w:tc>
      </w:tr>
      <w:tr w:rsidR="00C47BA2" w:rsidTr="004B5E7F">
        <w:trPr>
          <w:trHeight w:val="420"/>
          <w:jc w:val="center"/>
        </w:trPr>
        <w:tc>
          <w:tcPr>
            <w:tcW w:w="870" w:type="dxa"/>
            <w:tcBorders>
              <w:top w:val="nil"/>
              <w:left w:val="single" w:sz="4" w:space="0" w:color="auto"/>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Valid</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N (listwise)</w:t>
            </w:r>
          </w:p>
        </w:tc>
        <w:tc>
          <w:tcPr>
            <w:tcW w:w="410"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886" w:type="dxa"/>
            <w:tcBorders>
              <w:top w:val="nil"/>
              <w:left w:val="nil"/>
              <w:bottom w:val="single" w:sz="4" w:space="0" w:color="auto"/>
              <w:right w:val="single" w:sz="4" w:space="0" w:color="auto"/>
            </w:tcBorders>
            <w:shd w:val="clear" w:color="auto" w:fill="FFFFFF" w:themeFill="background1"/>
          </w:tcPr>
          <w:p w:rsidR="00C47BA2" w:rsidRDefault="00C47BA2">
            <w:pPr>
              <w:jc w:val="center"/>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FFFFFF" w:themeFill="background1"/>
          </w:tcPr>
          <w:p w:rsidR="00C47BA2" w:rsidRDefault="00C47BA2">
            <w:pPr>
              <w:jc w:val="center"/>
              <w:rPr>
                <w:rFonts w:ascii="Times New Roman" w:eastAsia="Times New Roman" w:hAnsi="Times New Roman" w:cs="Times New Roman"/>
                <w:sz w:val="16"/>
                <w:szCs w:val="16"/>
              </w:rPr>
            </w:pPr>
          </w:p>
        </w:tc>
        <w:tc>
          <w:tcPr>
            <w:tcW w:w="682" w:type="dxa"/>
            <w:tcBorders>
              <w:top w:val="nil"/>
              <w:left w:val="nil"/>
              <w:bottom w:val="single" w:sz="4" w:space="0" w:color="auto"/>
              <w:right w:val="single" w:sz="4" w:space="0" w:color="auto"/>
            </w:tcBorders>
            <w:shd w:val="clear" w:color="auto" w:fill="FFFFFF" w:themeFill="background1"/>
          </w:tcPr>
          <w:p w:rsidR="00C47BA2" w:rsidRDefault="00C47BA2">
            <w:pPr>
              <w:jc w:val="center"/>
              <w:rPr>
                <w:rFonts w:ascii="Times New Roman" w:eastAsia="Times New Roman" w:hAnsi="Times New Roman" w:cs="Times New Roman"/>
                <w:sz w:val="16"/>
                <w:szCs w:val="16"/>
              </w:rPr>
            </w:pPr>
          </w:p>
        </w:tc>
        <w:tc>
          <w:tcPr>
            <w:tcW w:w="861" w:type="dxa"/>
            <w:tcBorders>
              <w:top w:val="nil"/>
              <w:left w:val="nil"/>
              <w:bottom w:val="single" w:sz="4" w:space="0" w:color="auto"/>
              <w:right w:val="single" w:sz="4" w:space="0" w:color="auto"/>
            </w:tcBorders>
            <w:shd w:val="clear" w:color="auto" w:fill="FFFFFF" w:themeFill="background1"/>
          </w:tcPr>
          <w:p w:rsidR="00C47BA2" w:rsidRDefault="00C47BA2">
            <w:pPr>
              <w:jc w:val="center"/>
              <w:rPr>
                <w:rFonts w:ascii="Times New Roman" w:eastAsia="Times New Roman" w:hAnsi="Times New Roman" w:cs="Times New Roman"/>
                <w:sz w:val="16"/>
                <w:szCs w:val="16"/>
              </w:rPr>
            </w:pPr>
          </w:p>
        </w:tc>
      </w:tr>
    </w:tbl>
    <w:p w:rsidR="00C47BA2" w:rsidRDefault="004B5E7F" w:rsidP="004B5E7F">
      <w:pPr>
        <w:shd w:val="clear" w:color="auto" w:fill="FFFFFF"/>
        <w:ind w:left="720"/>
        <w:rPr>
          <w:rFonts w:ascii="Times New Roman" w:eastAsia="sans-serif" w:hAnsi="Times New Roman" w:cs="Times New Roman"/>
          <w:sz w:val="22"/>
          <w:szCs w:val="22"/>
          <w:shd w:val="clear" w:color="auto" w:fill="FFFFFF"/>
          <w:lang w:bidi="ar"/>
        </w:rPr>
      </w:pPr>
      <w:r>
        <w:rPr>
          <w:rFonts w:ascii="Times New Roman" w:eastAsia="sans-serif" w:hAnsi="Times New Roman" w:cs="Times New Roman"/>
          <w:sz w:val="22"/>
          <w:szCs w:val="22"/>
          <w:shd w:val="clear" w:color="auto" w:fill="FFFFFF"/>
          <w:lang w:bidi="ar"/>
        </w:rPr>
        <w:tab/>
      </w:r>
      <w:r>
        <w:rPr>
          <w:rFonts w:ascii="Times New Roman" w:eastAsia="sans-serif" w:hAnsi="Times New Roman" w:cs="Times New Roman"/>
          <w:sz w:val="22"/>
          <w:szCs w:val="22"/>
          <w:shd w:val="clear" w:color="auto" w:fill="FFFFFF"/>
          <w:lang w:bidi="ar"/>
        </w:rPr>
        <w:tab/>
      </w:r>
      <w:r>
        <w:rPr>
          <w:rFonts w:ascii="Times New Roman" w:eastAsia="sans-serif" w:hAnsi="Times New Roman" w:cs="Times New Roman"/>
          <w:sz w:val="22"/>
          <w:szCs w:val="22"/>
          <w:shd w:val="clear" w:color="auto" w:fill="FFFFFF"/>
          <w:lang w:bidi="ar"/>
        </w:rPr>
        <w:t>Sumber: data diolah, 2022</w:t>
      </w:r>
    </w:p>
    <w:p w:rsidR="00C47BA2" w:rsidRDefault="004B5E7F">
      <w:pPr>
        <w:shd w:val="clear" w:color="auto" w:fill="FFFFFF"/>
        <w:ind w:left="720" w:firstLine="720"/>
        <w:jc w:val="both"/>
        <w:rPr>
          <w:rFonts w:ascii="Times New Roman" w:eastAsia="sans-serif" w:hAnsi="Times New Roman" w:cs="Times New Roman"/>
          <w:sz w:val="22"/>
          <w:szCs w:val="22"/>
          <w:shd w:val="clear" w:color="auto" w:fill="FFFFFF"/>
          <w:lang w:bidi="ar"/>
        </w:rPr>
      </w:pPr>
      <w:r>
        <w:rPr>
          <w:rFonts w:ascii="Times New Roman" w:eastAsia="sans-serif" w:hAnsi="Times New Roman" w:cs="Times New Roman"/>
          <w:sz w:val="22"/>
          <w:szCs w:val="22"/>
          <w:shd w:val="clear" w:color="auto" w:fill="FFFFFF"/>
          <w:lang w:bidi="ar"/>
        </w:rPr>
        <w:t>B</w:t>
      </w:r>
      <w:r>
        <w:rPr>
          <w:rFonts w:ascii="Times New Roman" w:eastAsia="sans-serif" w:hAnsi="Times New Roman" w:cs="Times New Roman"/>
          <w:sz w:val="22"/>
          <w:szCs w:val="22"/>
          <w:shd w:val="clear" w:color="auto" w:fill="FFFFFF"/>
          <w:lang w:bidi="ar"/>
        </w:rPr>
        <w:t xml:space="preserve">erdasarkan tabel 1 diketahui dewan komisaris memiliki nilai minimun sebesar 3, nilai maksimum sebesar 10, nilai rata-rata sebesar 5,14, dan </w:t>
      </w:r>
      <w:r>
        <w:rPr>
          <w:rFonts w:ascii="Times New Roman" w:eastAsia="sans-serif" w:hAnsi="Times New Roman" w:cs="Times New Roman"/>
          <w:sz w:val="22"/>
          <w:szCs w:val="22"/>
          <w:shd w:val="clear" w:color="auto" w:fill="FFFFFF"/>
          <w:lang w:bidi="ar"/>
        </w:rPr>
        <w:t>standar deviasi sebesar 1,751. Komite audit memiliki nilai minimum sebesar 2, nilai maksimum sebesar 6, nilai rata-rata sebesar 3,41, dan standar deviasi sebesar 0,773. Frekuensi pertemuan komite audit memiliki nilai minimum sebesar 1, nilai maksimum sebes</w:t>
      </w:r>
      <w:r>
        <w:rPr>
          <w:rFonts w:ascii="Times New Roman" w:eastAsia="sans-serif" w:hAnsi="Times New Roman" w:cs="Times New Roman"/>
          <w:sz w:val="22"/>
          <w:szCs w:val="22"/>
          <w:shd w:val="clear" w:color="auto" w:fill="FFFFFF"/>
          <w:lang w:bidi="ar"/>
        </w:rPr>
        <w:t xml:space="preserve">ar 77, nilai rata-rata sebesar 10,17, dan standar deviasi sebesar 11,399. Dan </w:t>
      </w:r>
      <w:r>
        <w:rPr>
          <w:rFonts w:ascii="Times New Roman" w:eastAsia="sans-serif" w:hAnsi="Times New Roman" w:cs="Times New Roman"/>
          <w:sz w:val="22"/>
          <w:szCs w:val="22"/>
          <w:shd w:val="clear" w:color="auto" w:fill="FFFFFF"/>
          <w:lang w:bidi="ar"/>
        </w:rPr>
        <w:lastRenderedPageBreak/>
        <w:t>konservatisme akuntansi memiliki nilai minimum sebesar 0,33, nilai maksimum sebesar 12,83, nilai rata-rata sebesar 2,8372, dan standar deviasi sebesar 2,36768.</w:t>
      </w:r>
    </w:p>
    <w:p w:rsidR="00C47BA2" w:rsidRDefault="00C47BA2">
      <w:pPr>
        <w:shd w:val="clear" w:color="auto" w:fill="FFFFFF"/>
        <w:ind w:firstLine="720"/>
        <w:jc w:val="both"/>
        <w:rPr>
          <w:rFonts w:ascii="Times New Roman" w:eastAsia="sans-serif" w:hAnsi="Times New Roman" w:cs="Times New Roman"/>
          <w:sz w:val="22"/>
          <w:szCs w:val="22"/>
          <w:shd w:val="clear" w:color="auto" w:fill="FFFFFF"/>
          <w:lang w:bidi="ar"/>
        </w:rPr>
      </w:pPr>
    </w:p>
    <w:p w:rsidR="00C47BA2" w:rsidRDefault="004B5E7F">
      <w:pPr>
        <w:numPr>
          <w:ilvl w:val="0"/>
          <w:numId w:val="2"/>
        </w:numPr>
        <w:shd w:val="clear" w:color="auto" w:fill="FFFFFF"/>
        <w:ind w:firstLine="720"/>
        <w:jc w:val="both"/>
        <w:rPr>
          <w:rFonts w:ascii="Times New Roman" w:eastAsia="sans-serif" w:hAnsi="Times New Roman" w:cs="Times New Roman"/>
          <w:sz w:val="22"/>
          <w:szCs w:val="22"/>
          <w:shd w:val="clear" w:color="auto" w:fill="FFFFFF"/>
          <w:lang w:bidi="ar"/>
        </w:rPr>
      </w:pPr>
      <w:r>
        <w:rPr>
          <w:rFonts w:ascii="Times New Roman" w:eastAsia="sans-serif" w:hAnsi="Times New Roman" w:cs="Times New Roman"/>
          <w:sz w:val="22"/>
          <w:szCs w:val="22"/>
          <w:shd w:val="clear" w:color="auto" w:fill="FFFFFF"/>
          <w:lang w:bidi="ar"/>
        </w:rPr>
        <w:t>U</w:t>
      </w:r>
      <w:r>
        <w:rPr>
          <w:rFonts w:ascii="Times New Roman" w:eastAsia="sans-serif" w:hAnsi="Times New Roman" w:cs="Times New Roman"/>
          <w:sz w:val="22"/>
          <w:szCs w:val="22"/>
          <w:shd w:val="clear" w:color="auto" w:fill="FFFFFF"/>
          <w:lang w:bidi="ar"/>
        </w:rPr>
        <w:t>ji Normalitas</w:t>
      </w:r>
    </w:p>
    <w:p w:rsidR="00C47BA2" w:rsidRDefault="004B5E7F">
      <w:pPr>
        <w:shd w:val="clear" w:color="auto" w:fill="FFFFFF"/>
        <w:ind w:firstLine="720"/>
        <w:jc w:val="center"/>
        <w:rPr>
          <w:rFonts w:ascii="Times New Roman" w:eastAsia="sans-serif" w:hAnsi="Times New Roman" w:cs="Times New Roman"/>
          <w:sz w:val="22"/>
          <w:szCs w:val="22"/>
          <w:shd w:val="clear" w:color="auto" w:fill="FFFFFF"/>
          <w:lang w:bidi="ar"/>
        </w:rPr>
      </w:pPr>
      <w:r>
        <w:rPr>
          <w:rFonts w:ascii="Times New Roman" w:eastAsia="sans-serif" w:hAnsi="Times New Roman" w:cs="Times New Roman"/>
          <w:sz w:val="22"/>
          <w:szCs w:val="22"/>
          <w:shd w:val="clear" w:color="auto" w:fill="FFFFFF"/>
          <w:lang w:bidi="ar"/>
        </w:rPr>
        <w:t>T</w:t>
      </w:r>
      <w:r>
        <w:rPr>
          <w:rFonts w:ascii="Times New Roman" w:eastAsia="sans-serif" w:hAnsi="Times New Roman" w:cs="Times New Roman"/>
          <w:sz w:val="22"/>
          <w:szCs w:val="22"/>
          <w:shd w:val="clear" w:color="auto" w:fill="FFFFFF"/>
          <w:lang w:bidi="ar"/>
        </w:rPr>
        <w:t>abel 2. Uji Normalitas</w:t>
      </w:r>
    </w:p>
    <w:tbl>
      <w:tblPr>
        <w:tblW w:w="3555" w:type="dxa"/>
        <w:jc w:val="center"/>
        <w:shd w:val="clear" w:color="auto" w:fill="FFFFFF" w:themeFill="background1"/>
        <w:tblLayout w:type="fixed"/>
        <w:tblLook w:val="04A0" w:firstRow="1" w:lastRow="0" w:firstColumn="1" w:lastColumn="0" w:noHBand="0" w:noVBand="1"/>
      </w:tblPr>
      <w:tblGrid>
        <w:gridCol w:w="977"/>
        <w:gridCol w:w="1281"/>
        <w:gridCol w:w="1297"/>
      </w:tblGrid>
      <w:tr w:rsidR="00C47BA2" w:rsidTr="004B5E7F">
        <w:trPr>
          <w:trHeight w:val="313"/>
          <w:jc w:val="center"/>
        </w:trPr>
        <w:tc>
          <w:tcPr>
            <w:tcW w:w="35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BA2" w:rsidRDefault="004B5E7F">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One-Sample Kolmogorov-Smirnov Test</w:t>
            </w:r>
          </w:p>
        </w:tc>
      </w:tr>
      <w:tr w:rsidR="00C47BA2" w:rsidTr="004B5E7F">
        <w:trPr>
          <w:trHeight w:val="263"/>
          <w:jc w:val="center"/>
        </w:trPr>
        <w:tc>
          <w:tcPr>
            <w:tcW w:w="225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47BA2" w:rsidRDefault="00C47BA2">
            <w:pPr>
              <w:jc w:val="center"/>
              <w:rPr>
                <w:rFonts w:ascii="Times New Roman" w:eastAsia="Times New Roman" w:hAnsi="Times New Roman" w:cs="Times New Roman"/>
                <w:sz w:val="16"/>
                <w:szCs w:val="16"/>
              </w:rPr>
            </w:pPr>
          </w:p>
        </w:tc>
        <w:tc>
          <w:tcPr>
            <w:tcW w:w="1297" w:type="dxa"/>
            <w:tcBorders>
              <w:top w:val="nil"/>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Unstandardized Residual</w:t>
            </w:r>
          </w:p>
        </w:tc>
      </w:tr>
      <w:tr w:rsidR="00C47BA2" w:rsidTr="004B5E7F">
        <w:trPr>
          <w:trHeight w:val="204"/>
          <w:jc w:val="center"/>
        </w:trPr>
        <w:tc>
          <w:tcPr>
            <w:tcW w:w="22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297"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r>
      <w:tr w:rsidR="00C47BA2" w:rsidTr="004B5E7F">
        <w:trPr>
          <w:trHeight w:val="313"/>
          <w:jc w:val="center"/>
        </w:trPr>
        <w:tc>
          <w:tcPr>
            <w:tcW w:w="977" w:type="dxa"/>
            <w:vMerge w:val="restart"/>
            <w:tcBorders>
              <w:top w:val="nil"/>
              <w:left w:val="single" w:sz="4" w:space="0" w:color="auto"/>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Normal Parameters</w:t>
            </w:r>
            <w:r>
              <w:rPr>
                <w:rFonts w:ascii="Times New Roman" w:eastAsia="Times New Roman" w:hAnsi="Times New Roman" w:cs="Times New Roman"/>
                <w:sz w:val="16"/>
                <w:szCs w:val="16"/>
                <w:vertAlign w:val="superscript"/>
              </w:rPr>
              <w:t>a,b</w:t>
            </w:r>
          </w:p>
        </w:tc>
        <w:tc>
          <w:tcPr>
            <w:tcW w:w="1281" w:type="dxa"/>
            <w:tcBorders>
              <w:top w:val="nil"/>
              <w:left w:val="nil"/>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Mean</w:t>
            </w:r>
          </w:p>
        </w:tc>
        <w:tc>
          <w:tcPr>
            <w:tcW w:w="1297"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0.0000000</w:t>
            </w:r>
          </w:p>
        </w:tc>
      </w:tr>
      <w:tr w:rsidR="00C47BA2" w:rsidTr="004B5E7F">
        <w:trPr>
          <w:trHeight w:val="269"/>
          <w:jc w:val="center"/>
        </w:trPr>
        <w:tc>
          <w:tcPr>
            <w:tcW w:w="977" w:type="dxa"/>
            <w:vMerge/>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jc w:val="center"/>
              <w:rPr>
                <w:rFonts w:ascii="Times New Roman" w:eastAsia="Times New Roman" w:hAnsi="Times New Roman" w:cs="Times New Roman"/>
                <w:sz w:val="16"/>
                <w:szCs w:val="16"/>
              </w:rPr>
            </w:pPr>
          </w:p>
        </w:tc>
        <w:tc>
          <w:tcPr>
            <w:tcW w:w="1281" w:type="dxa"/>
            <w:tcBorders>
              <w:top w:val="nil"/>
              <w:left w:val="nil"/>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Std. Deviation</w:t>
            </w:r>
          </w:p>
        </w:tc>
        <w:tc>
          <w:tcPr>
            <w:tcW w:w="1297"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0.60786216</w:t>
            </w:r>
          </w:p>
        </w:tc>
      </w:tr>
      <w:tr w:rsidR="00C47BA2" w:rsidTr="004B5E7F">
        <w:trPr>
          <w:trHeight w:val="313"/>
          <w:jc w:val="center"/>
        </w:trPr>
        <w:tc>
          <w:tcPr>
            <w:tcW w:w="977" w:type="dxa"/>
            <w:vMerge w:val="restart"/>
            <w:tcBorders>
              <w:top w:val="nil"/>
              <w:left w:val="single" w:sz="4" w:space="0" w:color="auto"/>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Most Extreme Differences</w:t>
            </w:r>
          </w:p>
        </w:tc>
        <w:tc>
          <w:tcPr>
            <w:tcW w:w="1281" w:type="dxa"/>
            <w:tcBorders>
              <w:top w:val="nil"/>
              <w:left w:val="nil"/>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Absolute</w:t>
            </w:r>
          </w:p>
        </w:tc>
        <w:tc>
          <w:tcPr>
            <w:tcW w:w="1297"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0.133</w:t>
            </w:r>
          </w:p>
        </w:tc>
      </w:tr>
      <w:tr w:rsidR="00C47BA2" w:rsidTr="004B5E7F">
        <w:trPr>
          <w:trHeight w:val="313"/>
          <w:jc w:val="center"/>
        </w:trPr>
        <w:tc>
          <w:tcPr>
            <w:tcW w:w="977" w:type="dxa"/>
            <w:vMerge/>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jc w:val="center"/>
              <w:rPr>
                <w:rFonts w:ascii="Times New Roman" w:eastAsia="Times New Roman" w:hAnsi="Times New Roman" w:cs="Times New Roman"/>
                <w:sz w:val="16"/>
                <w:szCs w:val="16"/>
              </w:rPr>
            </w:pPr>
          </w:p>
        </w:tc>
        <w:tc>
          <w:tcPr>
            <w:tcW w:w="1281" w:type="dxa"/>
            <w:tcBorders>
              <w:top w:val="nil"/>
              <w:left w:val="nil"/>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Positive</w:t>
            </w:r>
          </w:p>
        </w:tc>
        <w:tc>
          <w:tcPr>
            <w:tcW w:w="1297"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0.114</w:t>
            </w:r>
          </w:p>
        </w:tc>
      </w:tr>
      <w:tr w:rsidR="00C47BA2" w:rsidTr="004B5E7F">
        <w:trPr>
          <w:trHeight w:val="313"/>
          <w:jc w:val="center"/>
        </w:trPr>
        <w:tc>
          <w:tcPr>
            <w:tcW w:w="977" w:type="dxa"/>
            <w:vMerge/>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jc w:val="center"/>
              <w:rPr>
                <w:rFonts w:ascii="Times New Roman" w:eastAsia="Times New Roman" w:hAnsi="Times New Roman" w:cs="Times New Roman"/>
                <w:sz w:val="16"/>
                <w:szCs w:val="16"/>
              </w:rPr>
            </w:pPr>
          </w:p>
        </w:tc>
        <w:tc>
          <w:tcPr>
            <w:tcW w:w="1281" w:type="dxa"/>
            <w:tcBorders>
              <w:top w:val="nil"/>
              <w:left w:val="nil"/>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97"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-0.133</w:t>
            </w:r>
          </w:p>
        </w:tc>
      </w:tr>
      <w:tr w:rsidR="00C47BA2" w:rsidTr="004B5E7F">
        <w:trPr>
          <w:trHeight w:val="231"/>
          <w:jc w:val="center"/>
        </w:trPr>
        <w:tc>
          <w:tcPr>
            <w:tcW w:w="22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Test Statistic</w:t>
            </w:r>
          </w:p>
        </w:tc>
        <w:tc>
          <w:tcPr>
            <w:tcW w:w="1297"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0.133</w:t>
            </w:r>
          </w:p>
        </w:tc>
      </w:tr>
      <w:tr w:rsidR="00C47BA2" w:rsidTr="004B5E7F">
        <w:trPr>
          <w:trHeight w:val="241"/>
          <w:jc w:val="center"/>
        </w:trPr>
        <w:tc>
          <w:tcPr>
            <w:tcW w:w="22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Asymp. Sig. (2-tailed)</w:t>
            </w:r>
          </w:p>
        </w:tc>
        <w:tc>
          <w:tcPr>
            <w:tcW w:w="1297"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.004</w:t>
            </w:r>
            <w:r>
              <w:rPr>
                <w:rFonts w:ascii="Times New Roman" w:eastAsia="Times New Roman" w:hAnsi="Times New Roman" w:cs="Times New Roman"/>
                <w:sz w:val="16"/>
                <w:szCs w:val="16"/>
                <w:vertAlign w:val="superscript"/>
              </w:rPr>
              <w:t>c</w:t>
            </w:r>
          </w:p>
        </w:tc>
      </w:tr>
    </w:tbl>
    <w:p w:rsidR="00C47BA2" w:rsidRDefault="004B5E7F">
      <w:pPr>
        <w:shd w:val="clear" w:color="auto" w:fill="FFFFFF"/>
        <w:jc w:val="center"/>
        <w:rPr>
          <w:rFonts w:ascii="Times New Roman" w:eastAsia="sans-serif" w:hAnsi="Times New Roman" w:cs="Times New Roman"/>
          <w:sz w:val="22"/>
          <w:szCs w:val="22"/>
          <w:shd w:val="clear" w:color="auto" w:fill="FFFFFF"/>
          <w:lang w:bidi="ar"/>
        </w:rPr>
      </w:pPr>
      <w:r>
        <w:rPr>
          <w:rFonts w:ascii="Times New Roman" w:eastAsia="sans-serif" w:hAnsi="Times New Roman" w:cs="Times New Roman"/>
          <w:sz w:val="22"/>
          <w:szCs w:val="22"/>
          <w:shd w:val="clear" w:color="auto" w:fill="FFFFFF"/>
          <w:lang w:bidi="ar"/>
        </w:rPr>
        <w:t>S</w:t>
      </w:r>
      <w:r>
        <w:rPr>
          <w:rFonts w:ascii="Times New Roman" w:eastAsia="sans-serif" w:hAnsi="Times New Roman" w:cs="Times New Roman"/>
          <w:sz w:val="22"/>
          <w:szCs w:val="22"/>
          <w:shd w:val="clear" w:color="auto" w:fill="FFFFFF"/>
          <w:lang w:bidi="ar"/>
        </w:rPr>
        <w:t>umber: data diolah, 2021</w:t>
      </w:r>
    </w:p>
    <w:p w:rsidR="00C47BA2" w:rsidRDefault="004B5E7F">
      <w:pPr>
        <w:pStyle w:val="ListParagraph"/>
        <w:ind w:left="1080" w:firstLine="716"/>
        <w:jc w:val="both"/>
        <w:rPr>
          <w:rFonts w:ascii="Times New Roman" w:hAnsi="Times New Roman" w:cs="Times New Roman"/>
          <w:color w:val="000000" w:themeColor="text1"/>
          <w:sz w:val="22"/>
          <w:szCs w:val="22"/>
        </w:rPr>
      </w:pPr>
      <w:r>
        <w:rPr>
          <w:rFonts w:ascii="Times New Roman" w:hAnsi="Times New Roman" w:cs="Times New Roman"/>
          <w:sz w:val="22"/>
          <w:szCs w:val="22"/>
          <w:lang w:val="en-GB"/>
        </w:rPr>
        <w:t xml:space="preserve">Berdasarkan tabel </w:t>
      </w:r>
      <w:r>
        <w:rPr>
          <w:rFonts w:ascii="Times New Roman" w:hAnsi="Times New Roman" w:cs="Times New Roman"/>
          <w:sz w:val="22"/>
          <w:szCs w:val="22"/>
        </w:rPr>
        <w:t>2</w:t>
      </w:r>
      <w:r>
        <w:rPr>
          <w:rFonts w:ascii="Times New Roman" w:hAnsi="Times New Roman" w:cs="Times New Roman"/>
          <w:sz w:val="22"/>
          <w:szCs w:val="22"/>
          <w:lang w:val="en-GB"/>
        </w:rPr>
        <w:t xml:space="preserve"> </w:t>
      </w:r>
      <w:r>
        <w:rPr>
          <w:rFonts w:ascii="Times New Roman" w:hAnsi="Times New Roman" w:cs="Times New Roman"/>
          <w:sz w:val="22"/>
          <w:szCs w:val="22"/>
        </w:rPr>
        <w:t xml:space="preserve">uji normalitas </w:t>
      </w:r>
      <w:r>
        <w:rPr>
          <w:rFonts w:ascii="Times New Roman" w:hAnsi="Times New Roman" w:cs="Times New Roman"/>
          <w:sz w:val="22"/>
          <w:szCs w:val="22"/>
          <w:lang w:val="en-GB"/>
        </w:rPr>
        <w:t xml:space="preserve">menunjukkan bahwa </w:t>
      </w:r>
      <w:r>
        <w:rPr>
          <w:rFonts w:ascii="Times New Roman" w:hAnsi="Times New Roman" w:cs="Times New Roman"/>
          <w:color w:val="000000" w:themeColor="text1"/>
          <w:sz w:val="22"/>
          <w:szCs w:val="22"/>
        </w:rPr>
        <w:t xml:space="preserve">nilai </w:t>
      </w:r>
      <w:r>
        <w:rPr>
          <w:rFonts w:ascii="Times New Roman" w:hAnsi="Times New Roman" w:cs="Times New Roman"/>
          <w:i/>
          <w:color w:val="000000" w:themeColor="text1"/>
          <w:sz w:val="22"/>
          <w:szCs w:val="22"/>
        </w:rPr>
        <w:t xml:space="preserve">asymp sign (2-tailed) </w:t>
      </w:r>
      <w:r>
        <w:rPr>
          <w:rFonts w:ascii="Times New Roman" w:hAnsi="Times New Roman" w:cs="Times New Roman"/>
          <w:color w:val="000000" w:themeColor="text1"/>
          <w:sz w:val="22"/>
          <w:szCs w:val="22"/>
        </w:rPr>
        <w:t xml:space="preserve">atau tingkat signifikan menunjukkan angka dibawah 0,05 atau 0,004 &lt; 0,05. Sehingga dapat ditarik kesimpulan bahwa data </w:t>
      </w:r>
      <w:r>
        <w:rPr>
          <w:rFonts w:ascii="Times New Roman" w:hAnsi="Times New Roman" w:cs="Times New Roman"/>
          <w:color w:val="000000" w:themeColor="text1"/>
          <w:sz w:val="22"/>
          <w:szCs w:val="22"/>
        </w:rPr>
        <w:t>tidak terdistribusi normal. Maka dari itu peneliti menggunakan transformasi data untuk mengatasi masalah data yang tidak terdistribusi secara normal. Berikut ini adalah hasil uji normalitas setelah dilakukan transforsmasi data:</w:t>
      </w:r>
    </w:p>
    <w:p w:rsidR="00C47BA2" w:rsidRDefault="004B5E7F">
      <w:pPr>
        <w:pStyle w:val="ListParagraph"/>
        <w:ind w:left="1080" w:firstLine="2148"/>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Tabel 3. Uji Normalitas</w:t>
      </w:r>
    </w:p>
    <w:tbl>
      <w:tblPr>
        <w:tblW w:w="3551" w:type="dxa"/>
        <w:jc w:val="center"/>
        <w:shd w:val="clear" w:color="auto" w:fill="FFFFFF" w:themeFill="background1"/>
        <w:tblLayout w:type="fixed"/>
        <w:tblLook w:val="04A0" w:firstRow="1" w:lastRow="0" w:firstColumn="1" w:lastColumn="0" w:noHBand="0" w:noVBand="1"/>
      </w:tblPr>
      <w:tblGrid>
        <w:gridCol w:w="1061"/>
        <w:gridCol w:w="1186"/>
        <w:gridCol w:w="1304"/>
      </w:tblGrid>
      <w:tr w:rsidR="00C47BA2" w:rsidTr="004B5E7F">
        <w:trPr>
          <w:trHeight w:val="300"/>
          <w:jc w:val="center"/>
        </w:trPr>
        <w:tc>
          <w:tcPr>
            <w:tcW w:w="35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BA2" w:rsidRDefault="004B5E7F">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One-Sample Kolmogorov-Smirnov Test</w:t>
            </w:r>
          </w:p>
        </w:tc>
      </w:tr>
      <w:tr w:rsidR="00C47BA2" w:rsidTr="004B5E7F">
        <w:trPr>
          <w:trHeight w:val="408"/>
          <w:jc w:val="center"/>
        </w:trPr>
        <w:tc>
          <w:tcPr>
            <w:tcW w:w="22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47BA2" w:rsidRDefault="00C47BA2">
            <w:pPr>
              <w:jc w:val="center"/>
              <w:rPr>
                <w:rFonts w:ascii="Times New Roman" w:eastAsia="Times New Roman" w:hAnsi="Times New Roman" w:cs="Times New Roman"/>
                <w:sz w:val="16"/>
                <w:szCs w:val="16"/>
              </w:rPr>
            </w:pPr>
          </w:p>
        </w:tc>
        <w:tc>
          <w:tcPr>
            <w:tcW w:w="1304" w:type="dxa"/>
            <w:tcBorders>
              <w:top w:val="nil"/>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Unstandardized Residual</w:t>
            </w:r>
          </w:p>
        </w:tc>
      </w:tr>
      <w:tr w:rsidR="00C47BA2" w:rsidTr="004B5E7F">
        <w:trPr>
          <w:trHeight w:val="300"/>
          <w:jc w:val="center"/>
        </w:trPr>
        <w:tc>
          <w:tcPr>
            <w:tcW w:w="22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304"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r>
      <w:tr w:rsidR="00C47BA2" w:rsidTr="004B5E7F">
        <w:trPr>
          <w:trHeight w:val="300"/>
          <w:jc w:val="center"/>
        </w:trPr>
        <w:tc>
          <w:tcPr>
            <w:tcW w:w="1061" w:type="dxa"/>
            <w:vMerge w:val="restart"/>
            <w:tcBorders>
              <w:top w:val="nil"/>
              <w:left w:val="single" w:sz="4" w:space="0" w:color="auto"/>
              <w:bottom w:val="single" w:sz="4" w:space="0" w:color="auto"/>
              <w:right w:val="single" w:sz="4" w:space="0" w:color="auto"/>
            </w:tcBorders>
            <w:shd w:val="clear" w:color="auto" w:fill="FFFFFF" w:themeFill="background1"/>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Normal Parameters</w:t>
            </w:r>
            <w:r>
              <w:rPr>
                <w:rFonts w:ascii="Times New Roman" w:eastAsia="Times New Roman" w:hAnsi="Times New Roman" w:cs="Times New Roman"/>
                <w:sz w:val="16"/>
                <w:szCs w:val="16"/>
                <w:vertAlign w:val="superscript"/>
              </w:rPr>
              <w:t>a,b</w:t>
            </w:r>
          </w:p>
        </w:tc>
        <w:tc>
          <w:tcPr>
            <w:tcW w:w="1186" w:type="dxa"/>
            <w:tcBorders>
              <w:top w:val="nil"/>
              <w:left w:val="nil"/>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Mean</w:t>
            </w:r>
          </w:p>
        </w:tc>
        <w:tc>
          <w:tcPr>
            <w:tcW w:w="1304"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0.0105999</w:t>
            </w:r>
          </w:p>
        </w:tc>
      </w:tr>
      <w:tr w:rsidR="00C47BA2" w:rsidTr="004B5E7F">
        <w:trPr>
          <w:trHeight w:val="248"/>
          <w:jc w:val="center"/>
        </w:trPr>
        <w:tc>
          <w:tcPr>
            <w:tcW w:w="1061" w:type="dxa"/>
            <w:vMerge/>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jc w:val="center"/>
              <w:rPr>
                <w:rFonts w:ascii="Times New Roman" w:eastAsia="Times New Roman" w:hAnsi="Times New Roman" w:cs="Times New Roman"/>
                <w:sz w:val="16"/>
                <w:szCs w:val="16"/>
              </w:rPr>
            </w:pPr>
          </w:p>
        </w:tc>
        <w:tc>
          <w:tcPr>
            <w:tcW w:w="1186" w:type="dxa"/>
            <w:tcBorders>
              <w:top w:val="nil"/>
              <w:left w:val="nil"/>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Std. Deviation</w:t>
            </w:r>
          </w:p>
        </w:tc>
        <w:tc>
          <w:tcPr>
            <w:tcW w:w="1304"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0.45029441</w:t>
            </w:r>
          </w:p>
        </w:tc>
      </w:tr>
      <w:tr w:rsidR="00C47BA2" w:rsidTr="004B5E7F">
        <w:trPr>
          <w:trHeight w:val="300"/>
          <w:jc w:val="center"/>
        </w:trPr>
        <w:tc>
          <w:tcPr>
            <w:tcW w:w="1061" w:type="dxa"/>
            <w:vMerge w:val="restart"/>
            <w:tcBorders>
              <w:top w:val="nil"/>
              <w:left w:val="single" w:sz="4" w:space="0" w:color="auto"/>
              <w:bottom w:val="single" w:sz="4" w:space="0" w:color="auto"/>
              <w:right w:val="single" w:sz="4" w:space="0" w:color="auto"/>
            </w:tcBorders>
            <w:shd w:val="clear" w:color="auto" w:fill="FFFFFF" w:themeFill="background1"/>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Most Extreme Differences</w:t>
            </w:r>
          </w:p>
        </w:tc>
        <w:tc>
          <w:tcPr>
            <w:tcW w:w="1186" w:type="dxa"/>
            <w:tcBorders>
              <w:top w:val="nil"/>
              <w:left w:val="nil"/>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Absolute</w:t>
            </w:r>
          </w:p>
        </w:tc>
        <w:tc>
          <w:tcPr>
            <w:tcW w:w="1304"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0.097</w:t>
            </w:r>
          </w:p>
        </w:tc>
      </w:tr>
      <w:tr w:rsidR="00C47BA2" w:rsidTr="004B5E7F">
        <w:trPr>
          <w:trHeight w:val="300"/>
          <w:jc w:val="center"/>
        </w:trPr>
        <w:tc>
          <w:tcPr>
            <w:tcW w:w="1061" w:type="dxa"/>
            <w:vMerge/>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jc w:val="center"/>
              <w:rPr>
                <w:rFonts w:ascii="Times New Roman" w:eastAsia="Times New Roman" w:hAnsi="Times New Roman" w:cs="Times New Roman"/>
                <w:sz w:val="16"/>
                <w:szCs w:val="16"/>
              </w:rPr>
            </w:pPr>
          </w:p>
        </w:tc>
        <w:tc>
          <w:tcPr>
            <w:tcW w:w="1186" w:type="dxa"/>
            <w:tcBorders>
              <w:top w:val="nil"/>
              <w:left w:val="nil"/>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Positive</w:t>
            </w:r>
          </w:p>
        </w:tc>
        <w:tc>
          <w:tcPr>
            <w:tcW w:w="1304"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0.097</w:t>
            </w:r>
          </w:p>
        </w:tc>
      </w:tr>
      <w:tr w:rsidR="00C47BA2" w:rsidTr="004B5E7F">
        <w:trPr>
          <w:trHeight w:val="259"/>
          <w:jc w:val="center"/>
        </w:trPr>
        <w:tc>
          <w:tcPr>
            <w:tcW w:w="1061" w:type="dxa"/>
            <w:vMerge/>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jc w:val="center"/>
              <w:rPr>
                <w:rFonts w:ascii="Times New Roman" w:eastAsia="Times New Roman" w:hAnsi="Times New Roman" w:cs="Times New Roman"/>
                <w:sz w:val="16"/>
                <w:szCs w:val="16"/>
              </w:rPr>
            </w:pPr>
          </w:p>
        </w:tc>
        <w:tc>
          <w:tcPr>
            <w:tcW w:w="1186" w:type="dxa"/>
            <w:tcBorders>
              <w:top w:val="nil"/>
              <w:left w:val="nil"/>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304"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-0.071</w:t>
            </w:r>
          </w:p>
        </w:tc>
      </w:tr>
      <w:tr w:rsidR="00C47BA2" w:rsidTr="004B5E7F">
        <w:trPr>
          <w:trHeight w:val="245"/>
          <w:jc w:val="center"/>
        </w:trPr>
        <w:tc>
          <w:tcPr>
            <w:tcW w:w="22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Test Statistic</w:t>
            </w:r>
          </w:p>
        </w:tc>
        <w:tc>
          <w:tcPr>
            <w:tcW w:w="1304"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0.097</w:t>
            </w:r>
          </w:p>
        </w:tc>
      </w:tr>
      <w:tr w:rsidR="00C47BA2" w:rsidTr="004B5E7F">
        <w:trPr>
          <w:trHeight w:val="265"/>
          <w:jc w:val="center"/>
        </w:trPr>
        <w:tc>
          <w:tcPr>
            <w:tcW w:w="22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Asymp. Sig. (2-tailed)</w:t>
            </w:r>
          </w:p>
        </w:tc>
        <w:tc>
          <w:tcPr>
            <w:tcW w:w="1304" w:type="dxa"/>
            <w:tcBorders>
              <w:top w:val="nil"/>
              <w:left w:val="nil"/>
              <w:bottom w:val="single" w:sz="4" w:space="0" w:color="auto"/>
              <w:right w:val="single" w:sz="4" w:space="0" w:color="auto"/>
            </w:tcBorders>
            <w:shd w:val="clear" w:color="auto" w:fill="FFFFFF" w:themeFill="background1"/>
            <w:noWrap/>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.193</w:t>
            </w:r>
            <w:r>
              <w:rPr>
                <w:rFonts w:ascii="Times New Roman" w:eastAsia="Times New Roman" w:hAnsi="Times New Roman" w:cs="Times New Roman"/>
                <w:sz w:val="16"/>
                <w:szCs w:val="16"/>
                <w:vertAlign w:val="superscript"/>
              </w:rPr>
              <w:t>c</w:t>
            </w:r>
          </w:p>
        </w:tc>
      </w:tr>
    </w:tbl>
    <w:p w:rsidR="00C47BA2" w:rsidRDefault="004B5E7F" w:rsidP="004B5E7F">
      <w:pPr>
        <w:pStyle w:val="ListParagraph"/>
        <w:ind w:left="2164" w:firstLine="176"/>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Sumber: data diolah, 2021</w:t>
      </w:r>
    </w:p>
    <w:p w:rsidR="00C47BA2" w:rsidRDefault="004B5E7F" w:rsidP="004B5E7F">
      <w:pPr>
        <w:shd w:val="clear" w:color="auto" w:fill="FFFFFF"/>
        <w:ind w:left="720" w:firstLine="720"/>
        <w:jc w:val="both"/>
        <w:rPr>
          <w:rFonts w:ascii="Times New Roman" w:hAnsi="Times New Roman" w:cs="Times New Roman"/>
          <w:sz w:val="22"/>
          <w:szCs w:val="22"/>
          <w:lang w:val="en-GB"/>
        </w:rPr>
      </w:pPr>
      <w:r>
        <w:rPr>
          <w:rFonts w:ascii="Times New Roman" w:hAnsi="Times New Roman" w:cs="Times New Roman"/>
          <w:sz w:val="22"/>
          <w:szCs w:val="22"/>
          <w:lang w:val="en-GB"/>
        </w:rPr>
        <w:t>Berdasarkan tabel 4.4 diatas setelah dilakukan transformasi data, dapat diketahui bahwa nilai Asymp. Sig menunjukkan angka diatas 0,05 atau 0,193 &gt; 0,05.</w:t>
      </w:r>
    </w:p>
    <w:p w:rsidR="00C47BA2" w:rsidRDefault="00C47BA2">
      <w:pPr>
        <w:shd w:val="clear" w:color="auto" w:fill="FFFFFF"/>
        <w:ind w:left="720"/>
        <w:jc w:val="both"/>
        <w:rPr>
          <w:rFonts w:ascii="Times New Roman" w:hAnsi="Times New Roman" w:cs="Times New Roman"/>
          <w:sz w:val="22"/>
          <w:szCs w:val="22"/>
        </w:rPr>
      </w:pPr>
    </w:p>
    <w:p w:rsidR="00C47BA2" w:rsidRDefault="004B5E7F">
      <w:pPr>
        <w:numPr>
          <w:ilvl w:val="0"/>
          <w:numId w:val="2"/>
        </w:numPr>
        <w:shd w:val="clear" w:color="auto" w:fill="FFFFFF"/>
        <w:ind w:firstLine="720"/>
        <w:jc w:val="both"/>
        <w:rPr>
          <w:rFonts w:ascii="Times New Roman" w:hAnsi="Times New Roman" w:cs="Times New Roman"/>
          <w:sz w:val="22"/>
          <w:szCs w:val="22"/>
        </w:rPr>
      </w:pPr>
      <w:r>
        <w:rPr>
          <w:rFonts w:ascii="Times New Roman" w:hAnsi="Times New Roman" w:cs="Times New Roman"/>
          <w:sz w:val="22"/>
          <w:szCs w:val="22"/>
        </w:rPr>
        <w:t>Uji Multikolinearitas</w:t>
      </w:r>
    </w:p>
    <w:p w:rsidR="00C47BA2" w:rsidRDefault="004B5E7F">
      <w:pPr>
        <w:shd w:val="clear" w:color="auto" w:fill="FFFFFF"/>
        <w:ind w:left="720"/>
        <w:jc w:val="center"/>
        <w:rPr>
          <w:rFonts w:ascii="Times New Roman" w:hAnsi="Times New Roman" w:cs="Times New Roman"/>
          <w:sz w:val="22"/>
          <w:szCs w:val="22"/>
        </w:rPr>
      </w:pPr>
      <w:r>
        <w:rPr>
          <w:rFonts w:ascii="Times New Roman" w:hAnsi="Times New Roman" w:cs="Times New Roman"/>
          <w:sz w:val="22"/>
          <w:szCs w:val="22"/>
        </w:rPr>
        <w:t>Tabel 4. Uji Multikolinearitas</w:t>
      </w:r>
    </w:p>
    <w:tbl>
      <w:tblPr>
        <w:tblW w:w="2673" w:type="dxa"/>
        <w:jc w:val="center"/>
        <w:shd w:val="clear" w:color="auto" w:fill="FFFFFF" w:themeFill="background1"/>
        <w:tblLayout w:type="fixed"/>
        <w:tblLook w:val="04A0" w:firstRow="1" w:lastRow="0" w:firstColumn="1" w:lastColumn="0" w:noHBand="0" w:noVBand="1"/>
      </w:tblPr>
      <w:tblGrid>
        <w:gridCol w:w="390"/>
        <w:gridCol w:w="428"/>
        <w:gridCol w:w="914"/>
        <w:gridCol w:w="941"/>
      </w:tblGrid>
      <w:tr w:rsidR="00C47BA2" w:rsidTr="004B5E7F">
        <w:trPr>
          <w:trHeight w:val="300"/>
          <w:jc w:val="center"/>
        </w:trPr>
        <w:tc>
          <w:tcPr>
            <w:tcW w:w="267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BA2" w:rsidRDefault="004B5E7F">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Coefficients</w:t>
            </w:r>
            <w:r>
              <w:rPr>
                <w:rFonts w:ascii="Times New Roman" w:eastAsia="Times New Roman" w:hAnsi="Times New Roman" w:cs="Times New Roman"/>
                <w:b/>
                <w:bCs/>
                <w:sz w:val="16"/>
                <w:szCs w:val="16"/>
                <w:vertAlign w:val="superscript"/>
              </w:rPr>
              <w:t>a</w:t>
            </w:r>
          </w:p>
        </w:tc>
      </w:tr>
      <w:tr w:rsidR="00C47BA2" w:rsidTr="004B5E7F">
        <w:trPr>
          <w:trHeight w:val="300"/>
          <w:jc w:val="center"/>
        </w:trPr>
        <w:tc>
          <w:tcPr>
            <w:tcW w:w="81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Model</w:t>
            </w:r>
          </w:p>
        </w:tc>
        <w:tc>
          <w:tcPr>
            <w:tcW w:w="1855"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Collinearity Statistics</w:t>
            </w:r>
          </w:p>
        </w:tc>
      </w:tr>
      <w:tr w:rsidR="00C47BA2" w:rsidTr="004B5E7F">
        <w:trPr>
          <w:trHeight w:val="300"/>
          <w:jc w:val="center"/>
        </w:trPr>
        <w:tc>
          <w:tcPr>
            <w:tcW w:w="81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sz w:val="16"/>
                <w:szCs w:val="16"/>
              </w:rPr>
            </w:pPr>
          </w:p>
        </w:tc>
        <w:tc>
          <w:tcPr>
            <w:tcW w:w="914" w:type="dxa"/>
            <w:tcBorders>
              <w:top w:val="nil"/>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Tolerance</w:t>
            </w:r>
          </w:p>
        </w:tc>
        <w:tc>
          <w:tcPr>
            <w:tcW w:w="941" w:type="dxa"/>
            <w:tcBorders>
              <w:top w:val="nil"/>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VIF</w:t>
            </w:r>
          </w:p>
        </w:tc>
      </w:tr>
      <w:tr w:rsidR="00C47BA2" w:rsidTr="004B5E7F">
        <w:trPr>
          <w:trHeight w:val="300"/>
          <w:jc w:val="center"/>
        </w:trPr>
        <w:tc>
          <w:tcPr>
            <w:tcW w:w="390" w:type="dxa"/>
            <w:vMerge w:val="restart"/>
            <w:tcBorders>
              <w:top w:val="nil"/>
              <w:left w:val="single" w:sz="4" w:space="0" w:color="auto"/>
              <w:bottom w:val="single" w:sz="4" w:space="0" w:color="auto"/>
              <w:right w:val="single" w:sz="4" w:space="0" w:color="auto"/>
            </w:tcBorders>
            <w:shd w:val="clear" w:color="auto" w:fill="FFFFFF" w:themeFill="background1"/>
            <w:noWrap/>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8" w:type="dxa"/>
            <w:tcBorders>
              <w:top w:val="nil"/>
              <w:left w:val="nil"/>
              <w:bottom w:val="single" w:sz="4" w:space="0" w:color="auto"/>
              <w:right w:val="single" w:sz="4" w:space="0" w:color="auto"/>
            </w:tcBorders>
            <w:shd w:val="clear" w:color="auto" w:fill="FFFFFF" w:themeFill="background1"/>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X1</w:t>
            </w:r>
          </w:p>
        </w:tc>
        <w:tc>
          <w:tcPr>
            <w:tcW w:w="914"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0.922</w:t>
            </w:r>
          </w:p>
        </w:tc>
        <w:tc>
          <w:tcPr>
            <w:tcW w:w="941"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1.084</w:t>
            </w:r>
          </w:p>
        </w:tc>
      </w:tr>
      <w:tr w:rsidR="00C47BA2" w:rsidTr="004B5E7F">
        <w:trPr>
          <w:trHeight w:val="300"/>
          <w:jc w:val="center"/>
        </w:trPr>
        <w:tc>
          <w:tcPr>
            <w:tcW w:w="390" w:type="dxa"/>
            <w:vMerge/>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sz w:val="16"/>
                <w:szCs w:val="16"/>
              </w:rPr>
            </w:pPr>
          </w:p>
        </w:tc>
        <w:tc>
          <w:tcPr>
            <w:tcW w:w="428" w:type="dxa"/>
            <w:tcBorders>
              <w:top w:val="nil"/>
              <w:left w:val="nil"/>
              <w:bottom w:val="single" w:sz="4" w:space="0" w:color="auto"/>
              <w:right w:val="single" w:sz="4" w:space="0" w:color="auto"/>
            </w:tcBorders>
            <w:shd w:val="clear" w:color="auto" w:fill="FFFFFF" w:themeFill="background1"/>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X2</w:t>
            </w:r>
          </w:p>
        </w:tc>
        <w:tc>
          <w:tcPr>
            <w:tcW w:w="914"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0.868</w:t>
            </w:r>
          </w:p>
        </w:tc>
        <w:tc>
          <w:tcPr>
            <w:tcW w:w="941"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1.152</w:t>
            </w:r>
          </w:p>
        </w:tc>
      </w:tr>
      <w:tr w:rsidR="00C47BA2" w:rsidTr="004B5E7F">
        <w:trPr>
          <w:trHeight w:val="300"/>
          <w:jc w:val="center"/>
        </w:trPr>
        <w:tc>
          <w:tcPr>
            <w:tcW w:w="390" w:type="dxa"/>
            <w:vMerge/>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sz w:val="16"/>
                <w:szCs w:val="16"/>
              </w:rPr>
            </w:pPr>
          </w:p>
        </w:tc>
        <w:tc>
          <w:tcPr>
            <w:tcW w:w="428" w:type="dxa"/>
            <w:tcBorders>
              <w:top w:val="nil"/>
              <w:left w:val="nil"/>
              <w:bottom w:val="single" w:sz="4" w:space="0" w:color="auto"/>
              <w:right w:val="single" w:sz="4" w:space="0" w:color="auto"/>
            </w:tcBorders>
            <w:shd w:val="clear" w:color="auto" w:fill="FFFFFF" w:themeFill="background1"/>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X3</w:t>
            </w:r>
          </w:p>
        </w:tc>
        <w:tc>
          <w:tcPr>
            <w:tcW w:w="914"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0.843</w:t>
            </w:r>
          </w:p>
        </w:tc>
        <w:tc>
          <w:tcPr>
            <w:tcW w:w="941"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1.186</w:t>
            </w:r>
          </w:p>
        </w:tc>
      </w:tr>
    </w:tbl>
    <w:p w:rsidR="00C47BA2" w:rsidRDefault="004B5E7F">
      <w:pPr>
        <w:shd w:val="clear" w:color="auto" w:fill="FFFFFF"/>
        <w:ind w:lef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Sumber: data diolah, 2021</w:t>
      </w:r>
    </w:p>
    <w:p w:rsidR="00C47BA2" w:rsidRDefault="004B5E7F">
      <w:pPr>
        <w:shd w:val="clear" w:color="auto" w:fill="FFFFFF"/>
        <w:ind w:lef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 xml:space="preserve">  Berdasarkan tabel 4 menunjukkan nilai </w:t>
      </w:r>
      <w:r>
        <w:rPr>
          <w:rFonts w:ascii="Times New Roman" w:hAnsi="Times New Roman" w:cs="Times New Roman"/>
          <w:i/>
          <w:sz w:val="22"/>
          <w:szCs w:val="22"/>
        </w:rPr>
        <w:t>tolerance</w:t>
      </w:r>
      <w:r>
        <w:rPr>
          <w:rFonts w:ascii="Times New Roman" w:hAnsi="Times New Roman" w:cs="Times New Roman"/>
          <w:sz w:val="22"/>
          <w:szCs w:val="22"/>
        </w:rPr>
        <w:t xml:space="preserve"> pada ketiga variabel lebih besar dari 0,10.</w:t>
      </w:r>
      <w:r>
        <w:rPr>
          <w:rFonts w:ascii="Times New Roman" w:hAnsi="Times New Roman" w:cs="Times New Roman"/>
          <w:sz w:val="22"/>
          <w:szCs w:val="22"/>
        </w:rPr>
        <w:t xml:space="preserve"> B</w:t>
      </w:r>
      <w:r>
        <w:rPr>
          <w:rFonts w:ascii="Times New Roman" w:hAnsi="Times New Roman" w:cs="Times New Roman"/>
          <w:sz w:val="22"/>
          <w:szCs w:val="22"/>
        </w:rPr>
        <w:t>egitu pula dengan nilai VIF (</w:t>
      </w:r>
      <w:r>
        <w:rPr>
          <w:rFonts w:ascii="Times New Roman" w:hAnsi="Times New Roman" w:cs="Times New Roman"/>
          <w:i/>
          <w:iCs/>
          <w:sz w:val="22"/>
          <w:szCs w:val="22"/>
        </w:rPr>
        <w:t>Variance Inflation Factor</w:t>
      </w:r>
      <w:r>
        <w:rPr>
          <w:rFonts w:ascii="Times New Roman" w:hAnsi="Times New Roman" w:cs="Times New Roman"/>
          <w:sz w:val="22"/>
          <w:szCs w:val="22"/>
        </w:rPr>
        <w:t>) lebih kecil dari 10</w:t>
      </w:r>
      <w:r>
        <w:rPr>
          <w:rFonts w:ascii="Times New Roman" w:hAnsi="Times New Roman" w:cs="Times New Roman"/>
          <w:sz w:val="22"/>
          <w:szCs w:val="22"/>
        </w:rPr>
        <w:t>.</w:t>
      </w:r>
    </w:p>
    <w:p w:rsidR="00C47BA2" w:rsidRDefault="00C47BA2">
      <w:pPr>
        <w:shd w:val="clear" w:color="auto" w:fill="FFFFFF"/>
        <w:ind w:left="720"/>
        <w:rPr>
          <w:rFonts w:ascii="Times New Roman" w:hAnsi="Times New Roman" w:cs="Times New Roman"/>
          <w:sz w:val="22"/>
          <w:szCs w:val="22"/>
        </w:rPr>
      </w:pPr>
    </w:p>
    <w:p w:rsidR="00C47BA2" w:rsidRDefault="004B5E7F">
      <w:pPr>
        <w:numPr>
          <w:ilvl w:val="0"/>
          <w:numId w:val="2"/>
        </w:numPr>
        <w:shd w:val="clear" w:color="auto" w:fill="FFFFFF"/>
        <w:ind w:firstLine="720"/>
        <w:rPr>
          <w:rFonts w:ascii="Times New Roman" w:hAnsi="Times New Roman" w:cs="Times New Roman"/>
          <w:sz w:val="22"/>
          <w:szCs w:val="22"/>
        </w:rPr>
      </w:pPr>
      <w:r>
        <w:rPr>
          <w:rFonts w:ascii="Times New Roman" w:hAnsi="Times New Roman" w:cs="Times New Roman"/>
          <w:sz w:val="22"/>
          <w:szCs w:val="22"/>
        </w:rPr>
        <w:t>Uji Heteroskedastisitas</w:t>
      </w:r>
    </w:p>
    <w:p w:rsidR="00C47BA2" w:rsidRDefault="004B5E7F">
      <w:pPr>
        <w:shd w:val="clear" w:color="auto" w:fill="FFFFFF"/>
        <w:ind w:left="720"/>
        <w:jc w:val="center"/>
        <w:rPr>
          <w:rFonts w:ascii="Times New Roman" w:hAnsi="Times New Roman" w:cs="Times New Roman"/>
          <w:sz w:val="24"/>
          <w:szCs w:val="24"/>
        </w:rPr>
      </w:pPr>
      <w:r>
        <w:rPr>
          <w:rFonts w:ascii="Times New Roman" w:hAnsi="Times New Roman" w:cs="Times New Roman"/>
          <w:sz w:val="22"/>
          <w:szCs w:val="22"/>
        </w:rPr>
        <w:t>Tabel 5. Uji Heteroskedastisitas</w:t>
      </w:r>
    </w:p>
    <w:tbl>
      <w:tblPr>
        <w:tblW w:w="6636" w:type="dxa"/>
        <w:jc w:val="center"/>
        <w:shd w:val="clear" w:color="auto" w:fill="FFFFFF" w:themeFill="background1"/>
        <w:tblLayout w:type="fixed"/>
        <w:tblLook w:val="04A0" w:firstRow="1" w:lastRow="0" w:firstColumn="1" w:lastColumn="0" w:noHBand="0" w:noVBand="1"/>
      </w:tblPr>
      <w:tblGrid>
        <w:gridCol w:w="259"/>
        <w:gridCol w:w="929"/>
        <w:gridCol w:w="678"/>
        <w:gridCol w:w="720"/>
        <w:gridCol w:w="1173"/>
        <w:gridCol w:w="717"/>
        <w:gridCol w:w="630"/>
        <w:gridCol w:w="900"/>
        <w:gridCol w:w="630"/>
      </w:tblGrid>
      <w:tr w:rsidR="00C47BA2" w:rsidTr="004B5E7F">
        <w:trPr>
          <w:trHeight w:val="300"/>
          <w:jc w:val="center"/>
        </w:trPr>
        <w:tc>
          <w:tcPr>
            <w:tcW w:w="6636"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BA2" w:rsidRDefault="004B5E7F">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Coefficients</w:t>
            </w:r>
            <w:r>
              <w:rPr>
                <w:rFonts w:ascii="Times New Roman" w:eastAsia="Times New Roman" w:hAnsi="Times New Roman" w:cs="Times New Roman"/>
                <w:b/>
                <w:bCs/>
                <w:sz w:val="16"/>
                <w:szCs w:val="16"/>
                <w:vertAlign w:val="superscript"/>
              </w:rPr>
              <w:t>a</w:t>
            </w:r>
          </w:p>
        </w:tc>
      </w:tr>
      <w:tr w:rsidR="00C47BA2" w:rsidTr="004B5E7F">
        <w:trPr>
          <w:trHeight w:val="471"/>
          <w:jc w:val="center"/>
        </w:trPr>
        <w:tc>
          <w:tcPr>
            <w:tcW w:w="118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Model</w:t>
            </w:r>
          </w:p>
        </w:tc>
        <w:tc>
          <w:tcPr>
            <w:tcW w:w="1398"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Unstandardized Coefficients</w:t>
            </w:r>
          </w:p>
        </w:tc>
        <w:tc>
          <w:tcPr>
            <w:tcW w:w="1173" w:type="dxa"/>
            <w:tcBorders>
              <w:top w:val="nil"/>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Standardized Coefficients</w:t>
            </w:r>
          </w:p>
        </w:tc>
        <w:tc>
          <w:tcPr>
            <w:tcW w:w="717" w:type="dxa"/>
            <w:vMerge w:val="restart"/>
            <w:tcBorders>
              <w:top w:val="nil"/>
              <w:left w:val="single" w:sz="4" w:space="0" w:color="auto"/>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w:t>
            </w:r>
          </w:p>
        </w:tc>
        <w:tc>
          <w:tcPr>
            <w:tcW w:w="630" w:type="dxa"/>
            <w:vMerge w:val="restart"/>
            <w:tcBorders>
              <w:top w:val="nil"/>
              <w:left w:val="single" w:sz="4" w:space="0" w:color="auto"/>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Sig.</w:t>
            </w:r>
          </w:p>
        </w:tc>
        <w:tc>
          <w:tcPr>
            <w:tcW w:w="1530"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Collinearity Statistics</w:t>
            </w:r>
          </w:p>
        </w:tc>
      </w:tr>
      <w:tr w:rsidR="00C47BA2" w:rsidTr="004B5E7F">
        <w:trPr>
          <w:trHeight w:val="300"/>
          <w:jc w:val="center"/>
        </w:trPr>
        <w:tc>
          <w:tcPr>
            <w:tcW w:w="11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sz w:val="16"/>
                <w:szCs w:val="16"/>
              </w:rPr>
            </w:pPr>
          </w:p>
        </w:tc>
        <w:tc>
          <w:tcPr>
            <w:tcW w:w="678" w:type="dxa"/>
            <w:tcBorders>
              <w:top w:val="nil"/>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w:t>
            </w:r>
          </w:p>
        </w:tc>
        <w:tc>
          <w:tcPr>
            <w:tcW w:w="720" w:type="dxa"/>
            <w:tcBorders>
              <w:top w:val="nil"/>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Std. Error</w:t>
            </w:r>
          </w:p>
        </w:tc>
        <w:tc>
          <w:tcPr>
            <w:tcW w:w="1173" w:type="dxa"/>
            <w:tcBorders>
              <w:top w:val="nil"/>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Beta</w:t>
            </w:r>
          </w:p>
        </w:tc>
        <w:tc>
          <w:tcPr>
            <w:tcW w:w="717" w:type="dxa"/>
            <w:vMerge/>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sz w:val="16"/>
                <w:szCs w:val="16"/>
              </w:rPr>
            </w:pPr>
          </w:p>
        </w:tc>
        <w:tc>
          <w:tcPr>
            <w:tcW w:w="630" w:type="dxa"/>
            <w:vMerge/>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Tolerance</w:t>
            </w:r>
          </w:p>
        </w:tc>
        <w:tc>
          <w:tcPr>
            <w:tcW w:w="630" w:type="dxa"/>
            <w:tcBorders>
              <w:top w:val="nil"/>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VIF</w:t>
            </w:r>
          </w:p>
        </w:tc>
      </w:tr>
      <w:tr w:rsidR="00C47BA2" w:rsidTr="004B5E7F">
        <w:trPr>
          <w:trHeight w:val="299"/>
          <w:jc w:val="center"/>
        </w:trPr>
        <w:tc>
          <w:tcPr>
            <w:tcW w:w="259" w:type="dxa"/>
            <w:vMerge w:val="restart"/>
            <w:tcBorders>
              <w:top w:val="nil"/>
              <w:left w:val="single" w:sz="4" w:space="0" w:color="auto"/>
              <w:bottom w:val="single" w:sz="4" w:space="0" w:color="auto"/>
              <w:right w:val="single" w:sz="4" w:space="0" w:color="auto"/>
            </w:tcBorders>
            <w:shd w:val="clear" w:color="auto" w:fill="FFFFFF" w:themeFill="background1"/>
            <w:noWrap/>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29" w:type="dxa"/>
            <w:tcBorders>
              <w:top w:val="nil"/>
              <w:left w:val="nil"/>
              <w:bottom w:val="single" w:sz="4" w:space="0" w:color="auto"/>
              <w:right w:val="single" w:sz="4" w:space="0" w:color="auto"/>
            </w:tcBorders>
            <w:shd w:val="clear" w:color="auto" w:fill="FFFFFF" w:themeFill="background1"/>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(Constant)</w:t>
            </w:r>
          </w:p>
        </w:tc>
        <w:tc>
          <w:tcPr>
            <w:tcW w:w="678"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0.359</w:t>
            </w:r>
          </w:p>
        </w:tc>
        <w:tc>
          <w:tcPr>
            <w:tcW w:w="720"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0.157</w:t>
            </w:r>
          </w:p>
        </w:tc>
        <w:tc>
          <w:tcPr>
            <w:tcW w:w="1173" w:type="dxa"/>
            <w:tcBorders>
              <w:top w:val="nil"/>
              <w:left w:val="nil"/>
              <w:bottom w:val="single" w:sz="4" w:space="0" w:color="auto"/>
              <w:right w:val="single" w:sz="4" w:space="0" w:color="auto"/>
            </w:tcBorders>
            <w:shd w:val="clear" w:color="auto" w:fill="FFFFFF" w:themeFill="background1"/>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717"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2.280</w:t>
            </w:r>
          </w:p>
        </w:tc>
        <w:tc>
          <w:tcPr>
            <w:tcW w:w="630"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0.026</w:t>
            </w:r>
          </w:p>
        </w:tc>
        <w:tc>
          <w:tcPr>
            <w:tcW w:w="900" w:type="dxa"/>
            <w:tcBorders>
              <w:top w:val="nil"/>
              <w:left w:val="nil"/>
              <w:bottom w:val="single" w:sz="4" w:space="0" w:color="auto"/>
              <w:right w:val="single" w:sz="4" w:space="0" w:color="auto"/>
            </w:tcBorders>
            <w:shd w:val="clear" w:color="auto" w:fill="FFFFFF" w:themeFill="background1"/>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630" w:type="dxa"/>
            <w:tcBorders>
              <w:top w:val="nil"/>
              <w:left w:val="nil"/>
              <w:bottom w:val="single" w:sz="4" w:space="0" w:color="auto"/>
              <w:right w:val="single" w:sz="4" w:space="0" w:color="auto"/>
            </w:tcBorders>
            <w:shd w:val="clear" w:color="auto" w:fill="FFFFFF" w:themeFill="background1"/>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C47BA2" w:rsidTr="004B5E7F">
        <w:trPr>
          <w:trHeight w:val="300"/>
          <w:jc w:val="center"/>
        </w:trPr>
        <w:tc>
          <w:tcPr>
            <w:tcW w:w="259" w:type="dxa"/>
            <w:vMerge/>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sz w:val="16"/>
                <w:szCs w:val="16"/>
              </w:rPr>
            </w:pPr>
          </w:p>
        </w:tc>
        <w:tc>
          <w:tcPr>
            <w:tcW w:w="929" w:type="dxa"/>
            <w:tcBorders>
              <w:top w:val="nil"/>
              <w:left w:val="nil"/>
              <w:bottom w:val="single" w:sz="4" w:space="0" w:color="auto"/>
              <w:right w:val="single" w:sz="4" w:space="0" w:color="auto"/>
            </w:tcBorders>
            <w:shd w:val="clear" w:color="auto" w:fill="FFFFFF" w:themeFill="background1"/>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X1</w:t>
            </w:r>
          </w:p>
        </w:tc>
        <w:tc>
          <w:tcPr>
            <w:tcW w:w="678"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0.003</w:t>
            </w:r>
          </w:p>
        </w:tc>
        <w:tc>
          <w:tcPr>
            <w:tcW w:w="720"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0.017</w:t>
            </w:r>
          </w:p>
        </w:tc>
        <w:tc>
          <w:tcPr>
            <w:tcW w:w="1173"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0.022</w:t>
            </w:r>
          </w:p>
        </w:tc>
        <w:tc>
          <w:tcPr>
            <w:tcW w:w="717"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0.171</w:t>
            </w:r>
          </w:p>
        </w:tc>
        <w:tc>
          <w:tcPr>
            <w:tcW w:w="630"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0.865</w:t>
            </w:r>
          </w:p>
        </w:tc>
        <w:tc>
          <w:tcPr>
            <w:tcW w:w="900"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0.922</w:t>
            </w:r>
          </w:p>
        </w:tc>
        <w:tc>
          <w:tcPr>
            <w:tcW w:w="630"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1.084</w:t>
            </w:r>
          </w:p>
        </w:tc>
      </w:tr>
      <w:tr w:rsidR="00C47BA2" w:rsidTr="004B5E7F">
        <w:trPr>
          <w:trHeight w:val="300"/>
          <w:jc w:val="center"/>
        </w:trPr>
        <w:tc>
          <w:tcPr>
            <w:tcW w:w="259" w:type="dxa"/>
            <w:vMerge/>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sz w:val="16"/>
                <w:szCs w:val="16"/>
              </w:rPr>
            </w:pPr>
          </w:p>
        </w:tc>
        <w:tc>
          <w:tcPr>
            <w:tcW w:w="929" w:type="dxa"/>
            <w:tcBorders>
              <w:top w:val="nil"/>
              <w:left w:val="nil"/>
              <w:bottom w:val="single" w:sz="4" w:space="0" w:color="auto"/>
              <w:right w:val="single" w:sz="4" w:space="0" w:color="auto"/>
            </w:tcBorders>
            <w:shd w:val="clear" w:color="auto" w:fill="FFFFFF" w:themeFill="background1"/>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X2</w:t>
            </w:r>
          </w:p>
        </w:tc>
        <w:tc>
          <w:tcPr>
            <w:tcW w:w="678"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-0.067</w:t>
            </w:r>
          </w:p>
        </w:tc>
        <w:tc>
          <w:tcPr>
            <w:tcW w:w="720"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0.044</w:t>
            </w:r>
          </w:p>
        </w:tc>
        <w:tc>
          <w:tcPr>
            <w:tcW w:w="1173"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-0.199</w:t>
            </w:r>
          </w:p>
        </w:tc>
        <w:tc>
          <w:tcPr>
            <w:tcW w:w="717"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-1.517</w:t>
            </w:r>
          </w:p>
        </w:tc>
        <w:tc>
          <w:tcPr>
            <w:tcW w:w="630"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0.134</w:t>
            </w:r>
          </w:p>
        </w:tc>
        <w:tc>
          <w:tcPr>
            <w:tcW w:w="900"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0.868</w:t>
            </w:r>
          </w:p>
        </w:tc>
        <w:tc>
          <w:tcPr>
            <w:tcW w:w="630"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1.152</w:t>
            </w:r>
          </w:p>
        </w:tc>
      </w:tr>
      <w:tr w:rsidR="00C47BA2" w:rsidTr="004B5E7F">
        <w:trPr>
          <w:trHeight w:val="300"/>
          <w:jc w:val="center"/>
        </w:trPr>
        <w:tc>
          <w:tcPr>
            <w:tcW w:w="259" w:type="dxa"/>
            <w:vMerge/>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sz w:val="16"/>
                <w:szCs w:val="16"/>
              </w:rPr>
            </w:pPr>
          </w:p>
        </w:tc>
        <w:tc>
          <w:tcPr>
            <w:tcW w:w="929" w:type="dxa"/>
            <w:tcBorders>
              <w:top w:val="nil"/>
              <w:left w:val="nil"/>
              <w:bottom w:val="single" w:sz="4" w:space="0" w:color="auto"/>
              <w:right w:val="single" w:sz="4" w:space="0" w:color="auto"/>
            </w:tcBorders>
            <w:shd w:val="clear" w:color="auto" w:fill="FFFFFF" w:themeFill="background1"/>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X3</w:t>
            </w:r>
          </w:p>
        </w:tc>
        <w:tc>
          <w:tcPr>
            <w:tcW w:w="678"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0.007</w:t>
            </w:r>
          </w:p>
        </w:tc>
        <w:tc>
          <w:tcPr>
            <w:tcW w:w="720"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0.004</w:t>
            </w:r>
          </w:p>
        </w:tc>
        <w:tc>
          <w:tcPr>
            <w:tcW w:w="1173"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0.219</w:t>
            </w:r>
          </w:p>
        </w:tc>
        <w:tc>
          <w:tcPr>
            <w:tcW w:w="717"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1.647</w:t>
            </w:r>
          </w:p>
        </w:tc>
        <w:tc>
          <w:tcPr>
            <w:tcW w:w="630"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0.104</w:t>
            </w:r>
          </w:p>
        </w:tc>
        <w:tc>
          <w:tcPr>
            <w:tcW w:w="900"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0.843</w:t>
            </w:r>
          </w:p>
        </w:tc>
        <w:tc>
          <w:tcPr>
            <w:tcW w:w="630"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1.186</w:t>
            </w:r>
          </w:p>
        </w:tc>
      </w:tr>
    </w:tbl>
    <w:p w:rsidR="00C47BA2" w:rsidRDefault="004B5E7F">
      <w:pPr>
        <w:shd w:val="clear" w:color="auto" w:fill="FFFFFF"/>
        <w:ind w:left="720"/>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umber: data diolah, 2021</w:t>
      </w:r>
    </w:p>
    <w:p w:rsidR="00C47BA2" w:rsidRDefault="004B5E7F">
      <w:pPr>
        <w:ind w:left="720" w:firstLine="72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Berdasarkan tabel </w:t>
      </w:r>
      <w:r>
        <w:rPr>
          <w:rFonts w:ascii="Times New Roman" w:hAnsi="Times New Roman" w:cs="Times New Roman"/>
          <w:sz w:val="22"/>
          <w:szCs w:val="22"/>
        </w:rPr>
        <w:t>5</w:t>
      </w:r>
      <w:r>
        <w:rPr>
          <w:rFonts w:ascii="Times New Roman" w:hAnsi="Times New Roman" w:cs="Times New Roman"/>
          <w:sz w:val="22"/>
          <w:szCs w:val="22"/>
          <w:lang w:val="en-GB"/>
        </w:rPr>
        <w:t xml:space="preserve"> pada kolom Sig. hasil regresi residual menunjukkan bahwa signifikan variabel lebih dari 0,05 yaitu dewan komisaris sebesar 0,865, kompetensi komite audit sebesar 0,134, dan frekuensi pertemuan komite audit sebesar 0,834.</w:t>
      </w:r>
    </w:p>
    <w:p w:rsidR="00C47BA2" w:rsidRDefault="00C47BA2">
      <w:pPr>
        <w:shd w:val="clear" w:color="auto" w:fill="FFFFFF"/>
        <w:rPr>
          <w:rFonts w:ascii="Times New Roman" w:hAnsi="Times New Roman" w:cs="Times New Roman"/>
          <w:sz w:val="22"/>
          <w:szCs w:val="22"/>
        </w:rPr>
      </w:pPr>
    </w:p>
    <w:p w:rsidR="00C47BA2" w:rsidRDefault="004B5E7F">
      <w:pPr>
        <w:numPr>
          <w:ilvl w:val="0"/>
          <w:numId w:val="2"/>
        </w:numPr>
        <w:shd w:val="clear" w:color="auto" w:fill="FFFFFF"/>
        <w:ind w:firstLine="720"/>
        <w:rPr>
          <w:rFonts w:ascii="Times New Roman" w:hAnsi="Times New Roman" w:cs="Times New Roman"/>
          <w:sz w:val="22"/>
          <w:szCs w:val="22"/>
        </w:rPr>
      </w:pPr>
      <w:r>
        <w:rPr>
          <w:rFonts w:ascii="Times New Roman" w:hAnsi="Times New Roman" w:cs="Times New Roman"/>
          <w:sz w:val="22"/>
          <w:szCs w:val="22"/>
        </w:rPr>
        <w:t>Uji Autokorelasi</w:t>
      </w:r>
    </w:p>
    <w:p w:rsidR="00C47BA2" w:rsidRDefault="004B5E7F">
      <w:pPr>
        <w:shd w:val="clear" w:color="auto" w:fill="FFFFFF"/>
        <w:ind w:left="720"/>
        <w:jc w:val="center"/>
        <w:rPr>
          <w:rFonts w:ascii="Times New Roman" w:hAnsi="Times New Roman" w:cs="Times New Roman"/>
          <w:sz w:val="22"/>
          <w:szCs w:val="22"/>
        </w:rPr>
      </w:pPr>
      <w:r>
        <w:rPr>
          <w:rFonts w:ascii="Times New Roman" w:hAnsi="Times New Roman" w:cs="Times New Roman"/>
          <w:sz w:val="22"/>
          <w:szCs w:val="22"/>
        </w:rPr>
        <w:t>Tabel 6. Uji Aut</w:t>
      </w:r>
      <w:r>
        <w:rPr>
          <w:rFonts w:ascii="Times New Roman" w:hAnsi="Times New Roman" w:cs="Times New Roman"/>
          <w:sz w:val="22"/>
          <w:szCs w:val="22"/>
        </w:rPr>
        <w:t>okorelasi</w:t>
      </w:r>
    </w:p>
    <w:tbl>
      <w:tblPr>
        <w:tblW w:w="4772" w:type="dxa"/>
        <w:tblInd w:w="1820" w:type="dxa"/>
        <w:shd w:val="clear" w:color="auto" w:fill="FFFFFF" w:themeFill="background1"/>
        <w:tblLayout w:type="fixed"/>
        <w:tblLook w:val="04A0" w:firstRow="1" w:lastRow="0" w:firstColumn="1" w:lastColumn="0" w:noHBand="0" w:noVBand="1"/>
      </w:tblPr>
      <w:tblGrid>
        <w:gridCol w:w="682"/>
        <w:gridCol w:w="559"/>
        <w:gridCol w:w="818"/>
        <w:gridCol w:w="845"/>
        <w:gridCol w:w="1023"/>
        <w:gridCol w:w="845"/>
      </w:tblGrid>
      <w:tr w:rsidR="00C47BA2" w:rsidTr="004B5E7F">
        <w:trPr>
          <w:trHeight w:val="275"/>
        </w:trPr>
        <w:tc>
          <w:tcPr>
            <w:tcW w:w="477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BA2" w:rsidRDefault="004B5E7F">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Model Summary</w:t>
            </w:r>
            <w:r>
              <w:rPr>
                <w:rFonts w:ascii="Times New Roman" w:eastAsia="Times New Roman" w:hAnsi="Times New Roman" w:cs="Times New Roman"/>
                <w:b/>
                <w:bCs/>
                <w:sz w:val="16"/>
                <w:szCs w:val="16"/>
                <w:vertAlign w:val="superscript"/>
              </w:rPr>
              <w:t>b</w:t>
            </w:r>
          </w:p>
        </w:tc>
      </w:tr>
      <w:tr w:rsidR="00C47BA2" w:rsidTr="004B5E7F">
        <w:trPr>
          <w:trHeight w:val="523"/>
        </w:trPr>
        <w:tc>
          <w:tcPr>
            <w:tcW w:w="682" w:type="dxa"/>
            <w:tcBorders>
              <w:top w:val="nil"/>
              <w:left w:val="single" w:sz="4" w:space="0" w:color="auto"/>
              <w:bottom w:val="single" w:sz="4" w:space="0" w:color="auto"/>
              <w:right w:val="single" w:sz="4" w:space="0" w:color="auto"/>
            </w:tcBorders>
            <w:shd w:val="clear" w:color="auto" w:fill="FFFFFF" w:themeFill="background1"/>
            <w:vAlign w:val="bottom"/>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Model</w:t>
            </w:r>
          </w:p>
        </w:tc>
        <w:tc>
          <w:tcPr>
            <w:tcW w:w="559" w:type="dxa"/>
            <w:tcBorders>
              <w:top w:val="nil"/>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w:t>
            </w:r>
          </w:p>
        </w:tc>
        <w:tc>
          <w:tcPr>
            <w:tcW w:w="818" w:type="dxa"/>
            <w:tcBorders>
              <w:top w:val="nil"/>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 Square</w:t>
            </w:r>
          </w:p>
        </w:tc>
        <w:tc>
          <w:tcPr>
            <w:tcW w:w="845" w:type="dxa"/>
            <w:tcBorders>
              <w:top w:val="nil"/>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Adjusted R Square</w:t>
            </w:r>
          </w:p>
        </w:tc>
        <w:tc>
          <w:tcPr>
            <w:tcW w:w="1023" w:type="dxa"/>
            <w:tcBorders>
              <w:top w:val="nil"/>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Std. Error of the Estimate</w:t>
            </w:r>
          </w:p>
        </w:tc>
        <w:tc>
          <w:tcPr>
            <w:tcW w:w="845" w:type="dxa"/>
            <w:tcBorders>
              <w:top w:val="nil"/>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Durbin-Watson</w:t>
            </w:r>
          </w:p>
        </w:tc>
      </w:tr>
      <w:tr w:rsidR="00C47BA2" w:rsidTr="004B5E7F">
        <w:trPr>
          <w:trHeight w:val="275"/>
        </w:trPr>
        <w:tc>
          <w:tcPr>
            <w:tcW w:w="682" w:type="dxa"/>
            <w:tcBorders>
              <w:top w:val="nil"/>
              <w:left w:val="single" w:sz="4" w:space="0" w:color="auto"/>
              <w:bottom w:val="single" w:sz="4" w:space="0" w:color="auto"/>
              <w:right w:val="single" w:sz="4" w:space="0" w:color="auto"/>
            </w:tcBorders>
            <w:shd w:val="clear" w:color="auto" w:fill="FFFFFF" w:themeFill="background1"/>
            <w:noWrap/>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559"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.986</w:t>
            </w:r>
            <w:r>
              <w:rPr>
                <w:rFonts w:ascii="Times New Roman" w:eastAsia="Times New Roman" w:hAnsi="Times New Roman" w:cs="Times New Roman"/>
                <w:sz w:val="16"/>
                <w:szCs w:val="16"/>
                <w:vertAlign w:val="superscript"/>
              </w:rPr>
              <w:t>a</w:t>
            </w:r>
          </w:p>
        </w:tc>
        <w:tc>
          <w:tcPr>
            <w:tcW w:w="818"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0.973</w:t>
            </w:r>
          </w:p>
        </w:tc>
        <w:tc>
          <w:tcPr>
            <w:tcW w:w="845"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0.971</w:t>
            </w:r>
          </w:p>
        </w:tc>
        <w:tc>
          <w:tcPr>
            <w:tcW w:w="1023"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0.32627</w:t>
            </w:r>
          </w:p>
        </w:tc>
        <w:tc>
          <w:tcPr>
            <w:tcW w:w="845"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1.673</w:t>
            </w:r>
          </w:p>
        </w:tc>
      </w:tr>
    </w:tbl>
    <w:p w:rsidR="00C47BA2" w:rsidRDefault="004B5E7F">
      <w:pPr>
        <w:shd w:val="clear" w:color="auto" w:fill="FFFFFF"/>
        <w:ind w:lef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Sumber: data diolah, 2021</w:t>
      </w:r>
    </w:p>
    <w:p w:rsidR="00C47BA2" w:rsidRDefault="004B5E7F">
      <w:pPr>
        <w:shd w:val="clear" w:color="auto" w:fill="FFFFFF"/>
        <w:ind w:left="720" w:firstLine="720"/>
        <w:jc w:val="both"/>
        <w:rPr>
          <w:rFonts w:ascii="Times New Roman" w:hAnsi="Times New Roman" w:cs="Times New Roman"/>
          <w:sz w:val="22"/>
          <w:szCs w:val="22"/>
        </w:rPr>
      </w:pPr>
      <w:r>
        <w:rPr>
          <w:rFonts w:ascii="Times New Roman" w:hAnsi="Times New Roman" w:cs="Times New Roman"/>
          <w:sz w:val="22"/>
          <w:szCs w:val="22"/>
          <w:lang w:val="en-GB"/>
        </w:rPr>
        <w:t xml:space="preserve">Berdasarkan tabel </w:t>
      </w:r>
      <w:r>
        <w:rPr>
          <w:rFonts w:ascii="Times New Roman" w:hAnsi="Times New Roman" w:cs="Times New Roman"/>
          <w:sz w:val="22"/>
          <w:szCs w:val="22"/>
        </w:rPr>
        <w:t>6</w:t>
      </w:r>
      <w:r>
        <w:rPr>
          <w:rFonts w:ascii="Times New Roman" w:hAnsi="Times New Roman" w:cs="Times New Roman"/>
          <w:sz w:val="22"/>
          <w:szCs w:val="22"/>
          <w:lang w:val="en-GB"/>
        </w:rPr>
        <w:t xml:space="preserve"> </w:t>
      </w:r>
      <w:r>
        <w:rPr>
          <w:rFonts w:ascii="Times New Roman" w:hAnsi="Times New Roman" w:cs="Times New Roman"/>
          <w:sz w:val="22"/>
          <w:szCs w:val="22"/>
        </w:rPr>
        <w:t>menunjukkan bahwa</w:t>
      </w:r>
      <w:r>
        <w:rPr>
          <w:rFonts w:ascii="Times New Roman" w:hAnsi="Times New Roman" w:cs="Times New Roman"/>
          <w:sz w:val="22"/>
          <w:szCs w:val="22"/>
          <w:lang w:val="en-GB"/>
        </w:rPr>
        <w:t xml:space="preserve"> nilai </w:t>
      </w:r>
      <w:r>
        <w:rPr>
          <w:rFonts w:ascii="Times New Roman" w:hAnsi="Times New Roman" w:cs="Times New Roman"/>
          <w:i/>
          <w:sz w:val="22"/>
          <w:szCs w:val="22"/>
          <w:lang w:val="en-GB"/>
        </w:rPr>
        <w:t>Durbin Watson</w:t>
      </w:r>
      <w:r>
        <w:rPr>
          <w:rFonts w:ascii="Times New Roman" w:hAnsi="Times New Roman" w:cs="Times New Roman"/>
          <w:sz w:val="22"/>
          <w:szCs w:val="22"/>
          <w:lang w:val="en-GB"/>
        </w:rPr>
        <w:t xml:space="preserve"> sebesar 1,673. Nilai </w:t>
      </w:r>
      <w:r>
        <w:rPr>
          <w:rFonts w:ascii="Times New Roman" w:hAnsi="Times New Roman" w:cs="Times New Roman"/>
          <w:i/>
          <w:sz w:val="22"/>
          <w:szCs w:val="22"/>
          <w:lang w:val="en-GB"/>
        </w:rPr>
        <w:t xml:space="preserve">Durbin </w:t>
      </w:r>
      <w:r>
        <w:rPr>
          <w:rFonts w:ascii="Times New Roman" w:hAnsi="Times New Roman" w:cs="Times New Roman"/>
          <w:i/>
          <w:sz w:val="22"/>
          <w:szCs w:val="22"/>
          <w:lang w:val="en-GB"/>
        </w:rPr>
        <w:t>Watson</w:t>
      </w:r>
      <w:r>
        <w:rPr>
          <w:rFonts w:ascii="Times New Roman" w:hAnsi="Times New Roman" w:cs="Times New Roman"/>
          <w:sz w:val="22"/>
          <w:szCs w:val="22"/>
          <w:lang w:val="en-GB"/>
        </w:rPr>
        <w:t xml:space="preserve"> tersebut memiliki nilai lebih besar dari du dan lebih kecil dari 4-du, yaitu 1,66970 &lt; 1,6732 &lt; 2,3303</w:t>
      </w:r>
      <w:r>
        <w:rPr>
          <w:rFonts w:ascii="Times New Roman" w:hAnsi="Times New Roman" w:cs="Times New Roman"/>
          <w:sz w:val="22"/>
          <w:szCs w:val="22"/>
        </w:rPr>
        <w:t>.</w:t>
      </w:r>
    </w:p>
    <w:p w:rsidR="00C47BA2" w:rsidRDefault="00C47BA2">
      <w:pPr>
        <w:shd w:val="clear" w:color="auto" w:fill="FFFFFF"/>
        <w:ind w:left="720" w:firstLine="720"/>
        <w:jc w:val="both"/>
        <w:rPr>
          <w:rFonts w:ascii="Times New Roman" w:hAnsi="Times New Roman" w:cs="Times New Roman"/>
          <w:sz w:val="22"/>
          <w:szCs w:val="22"/>
        </w:rPr>
      </w:pPr>
    </w:p>
    <w:p w:rsidR="00C47BA2" w:rsidRDefault="004B5E7F">
      <w:pPr>
        <w:numPr>
          <w:ilvl w:val="0"/>
          <w:numId w:val="2"/>
        </w:numPr>
        <w:shd w:val="clear" w:color="auto" w:fill="FFFFFF"/>
        <w:ind w:firstLine="720"/>
        <w:jc w:val="both"/>
        <w:rPr>
          <w:rFonts w:ascii="Times New Roman" w:hAnsi="Times New Roman" w:cs="Times New Roman"/>
          <w:sz w:val="22"/>
          <w:szCs w:val="22"/>
        </w:rPr>
      </w:pPr>
      <w:r>
        <w:rPr>
          <w:rFonts w:ascii="Times New Roman" w:hAnsi="Times New Roman" w:cs="Times New Roman"/>
          <w:sz w:val="22"/>
          <w:szCs w:val="22"/>
        </w:rPr>
        <w:t>Uji Regresi Linear Berganda</w:t>
      </w:r>
    </w:p>
    <w:p w:rsidR="00C47BA2" w:rsidRDefault="004B5E7F">
      <w:pPr>
        <w:shd w:val="clear" w:color="auto" w:fill="FFFFFF"/>
        <w:ind w:left="720"/>
        <w:jc w:val="center"/>
        <w:rPr>
          <w:rFonts w:ascii="Times New Roman" w:hAnsi="Times New Roman" w:cs="Times New Roman"/>
          <w:sz w:val="22"/>
          <w:szCs w:val="22"/>
        </w:rPr>
      </w:pPr>
      <w:r>
        <w:rPr>
          <w:rFonts w:ascii="Times New Roman" w:hAnsi="Times New Roman" w:cs="Times New Roman"/>
          <w:sz w:val="22"/>
          <w:szCs w:val="22"/>
        </w:rPr>
        <w:t>Tabel 7. Uji Regresi Linear Berganda</w:t>
      </w:r>
    </w:p>
    <w:tbl>
      <w:tblPr>
        <w:tblW w:w="5706" w:type="dxa"/>
        <w:jc w:val="center"/>
        <w:shd w:val="clear" w:color="auto" w:fill="FFFFFF" w:themeFill="background1"/>
        <w:tblLayout w:type="fixed"/>
        <w:tblLook w:val="04A0" w:firstRow="1" w:lastRow="0" w:firstColumn="1" w:lastColumn="0" w:noHBand="0" w:noVBand="1"/>
      </w:tblPr>
      <w:tblGrid>
        <w:gridCol w:w="406"/>
        <w:gridCol w:w="950"/>
        <w:gridCol w:w="722"/>
        <w:gridCol w:w="887"/>
        <w:gridCol w:w="1159"/>
        <w:gridCol w:w="777"/>
        <w:gridCol w:w="805"/>
      </w:tblGrid>
      <w:tr w:rsidR="00C47BA2" w:rsidTr="004B5E7F">
        <w:trPr>
          <w:cantSplit/>
          <w:trHeight w:val="363"/>
          <w:jc w:val="center"/>
        </w:trPr>
        <w:tc>
          <w:tcPr>
            <w:tcW w:w="57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BA2" w:rsidRDefault="004B5E7F">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Coefficients</w:t>
            </w:r>
            <w:r>
              <w:rPr>
                <w:rFonts w:ascii="Times New Roman" w:eastAsia="Times New Roman" w:hAnsi="Times New Roman" w:cs="Times New Roman"/>
                <w:b/>
                <w:bCs/>
                <w:color w:val="000000"/>
                <w:sz w:val="16"/>
                <w:szCs w:val="16"/>
                <w:vertAlign w:val="superscript"/>
              </w:rPr>
              <w:t>a</w:t>
            </w:r>
          </w:p>
        </w:tc>
      </w:tr>
      <w:tr w:rsidR="00C47BA2" w:rsidTr="004B5E7F">
        <w:trPr>
          <w:cantSplit/>
          <w:trHeight w:val="493"/>
          <w:jc w:val="center"/>
        </w:trPr>
        <w:tc>
          <w:tcPr>
            <w:tcW w:w="135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BA2" w:rsidRDefault="004B5E7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Model</w:t>
            </w:r>
          </w:p>
        </w:tc>
        <w:tc>
          <w:tcPr>
            <w:tcW w:w="160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C47BA2" w:rsidRDefault="004B5E7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Unstandardized Coefficients</w:t>
            </w:r>
          </w:p>
        </w:tc>
        <w:tc>
          <w:tcPr>
            <w:tcW w:w="1159"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Standardized Coefficients</w:t>
            </w:r>
          </w:p>
        </w:tc>
        <w:tc>
          <w:tcPr>
            <w:tcW w:w="777" w:type="dxa"/>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4B5E7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w:t>
            </w:r>
          </w:p>
        </w:tc>
        <w:tc>
          <w:tcPr>
            <w:tcW w:w="805" w:type="dxa"/>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4B5E7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Sig.</w:t>
            </w:r>
          </w:p>
        </w:tc>
      </w:tr>
      <w:tr w:rsidR="00C47BA2" w:rsidTr="004B5E7F">
        <w:trPr>
          <w:trHeight w:val="315"/>
          <w:jc w:val="center"/>
        </w:trPr>
        <w:tc>
          <w:tcPr>
            <w:tcW w:w="135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color w:val="000000"/>
                <w:sz w:val="16"/>
                <w:szCs w:val="16"/>
              </w:rPr>
            </w:pPr>
          </w:p>
        </w:tc>
        <w:tc>
          <w:tcPr>
            <w:tcW w:w="722"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w:t>
            </w:r>
          </w:p>
        </w:tc>
        <w:tc>
          <w:tcPr>
            <w:tcW w:w="887"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Std. Error</w:t>
            </w:r>
          </w:p>
        </w:tc>
        <w:tc>
          <w:tcPr>
            <w:tcW w:w="1159"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Beta</w:t>
            </w:r>
          </w:p>
        </w:tc>
        <w:tc>
          <w:tcPr>
            <w:tcW w:w="777" w:type="dxa"/>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color w:val="000000"/>
                <w:sz w:val="16"/>
                <w:szCs w:val="16"/>
              </w:rPr>
            </w:pPr>
          </w:p>
        </w:tc>
        <w:tc>
          <w:tcPr>
            <w:tcW w:w="805" w:type="dxa"/>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color w:val="000000"/>
                <w:sz w:val="16"/>
                <w:szCs w:val="16"/>
              </w:rPr>
            </w:pPr>
          </w:p>
        </w:tc>
      </w:tr>
      <w:tr w:rsidR="00C47BA2" w:rsidTr="004B5E7F">
        <w:trPr>
          <w:cantSplit/>
          <w:trHeight w:val="331"/>
          <w:jc w:val="center"/>
        </w:trPr>
        <w:tc>
          <w:tcPr>
            <w:tcW w:w="406"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950" w:type="dxa"/>
            <w:tcBorders>
              <w:top w:val="nil"/>
              <w:left w:val="nil"/>
              <w:bottom w:val="single" w:sz="4" w:space="0" w:color="auto"/>
              <w:right w:val="single" w:sz="4" w:space="0" w:color="auto"/>
            </w:tcBorders>
            <w:shd w:val="clear" w:color="auto" w:fill="FFFFFF" w:themeFill="background1"/>
            <w:vAlign w:val="center"/>
          </w:tcPr>
          <w:p w:rsidR="00C47BA2" w:rsidRDefault="004B5E7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(Constant)</w:t>
            </w:r>
          </w:p>
        </w:tc>
        <w:tc>
          <w:tcPr>
            <w:tcW w:w="722"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2.976</w:t>
            </w:r>
          </w:p>
        </w:tc>
        <w:tc>
          <w:tcPr>
            <w:tcW w:w="887"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1159" w:type="dxa"/>
            <w:tcBorders>
              <w:top w:val="nil"/>
              <w:left w:val="nil"/>
              <w:bottom w:val="single" w:sz="4" w:space="0" w:color="auto"/>
              <w:right w:val="single" w:sz="4" w:space="0" w:color="auto"/>
            </w:tcBorders>
            <w:shd w:val="clear" w:color="auto" w:fill="FFFFFF" w:themeFill="background1"/>
            <w:vAlign w:val="center"/>
          </w:tcPr>
          <w:p w:rsidR="00C47BA2" w:rsidRDefault="004B5E7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777"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7.442</w:t>
            </w:r>
          </w:p>
        </w:tc>
        <w:tc>
          <w:tcPr>
            <w:tcW w:w="805"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C47BA2" w:rsidTr="004B5E7F">
        <w:trPr>
          <w:trHeight w:val="315"/>
          <w:jc w:val="center"/>
        </w:trPr>
        <w:tc>
          <w:tcPr>
            <w:tcW w:w="406" w:type="dxa"/>
            <w:vMerge/>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color w:val="000000"/>
                <w:sz w:val="16"/>
                <w:szCs w:val="16"/>
              </w:rPr>
            </w:pPr>
          </w:p>
        </w:tc>
        <w:tc>
          <w:tcPr>
            <w:tcW w:w="950" w:type="dxa"/>
            <w:tcBorders>
              <w:top w:val="nil"/>
              <w:left w:val="nil"/>
              <w:bottom w:val="single" w:sz="4" w:space="0" w:color="auto"/>
              <w:right w:val="single" w:sz="4" w:space="0" w:color="auto"/>
            </w:tcBorders>
            <w:shd w:val="clear" w:color="auto" w:fill="FFFFFF" w:themeFill="background1"/>
            <w:vAlign w:val="center"/>
          </w:tcPr>
          <w:p w:rsidR="00C47BA2" w:rsidRDefault="004B5E7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X1</w:t>
            </w:r>
          </w:p>
        </w:tc>
        <w:tc>
          <w:tcPr>
            <w:tcW w:w="722"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887"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1159"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0.029</w:t>
            </w:r>
          </w:p>
        </w:tc>
        <w:tc>
          <w:tcPr>
            <w:tcW w:w="777"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0.899</w:t>
            </w:r>
          </w:p>
        </w:tc>
        <w:tc>
          <w:tcPr>
            <w:tcW w:w="805"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0.372</w:t>
            </w:r>
          </w:p>
        </w:tc>
      </w:tr>
      <w:tr w:rsidR="00C47BA2" w:rsidTr="004B5E7F">
        <w:trPr>
          <w:trHeight w:val="315"/>
          <w:jc w:val="center"/>
        </w:trPr>
        <w:tc>
          <w:tcPr>
            <w:tcW w:w="406" w:type="dxa"/>
            <w:vMerge/>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color w:val="000000"/>
                <w:sz w:val="16"/>
                <w:szCs w:val="16"/>
              </w:rPr>
            </w:pPr>
          </w:p>
        </w:tc>
        <w:tc>
          <w:tcPr>
            <w:tcW w:w="950" w:type="dxa"/>
            <w:tcBorders>
              <w:top w:val="nil"/>
              <w:left w:val="nil"/>
              <w:bottom w:val="single" w:sz="4" w:space="0" w:color="auto"/>
              <w:right w:val="single" w:sz="4" w:space="0" w:color="auto"/>
            </w:tcBorders>
            <w:shd w:val="clear" w:color="auto" w:fill="FFFFFF" w:themeFill="background1"/>
            <w:vAlign w:val="center"/>
          </w:tcPr>
          <w:p w:rsidR="00C47BA2" w:rsidRDefault="004B5E7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X2</w:t>
            </w:r>
          </w:p>
        </w:tc>
        <w:tc>
          <w:tcPr>
            <w:tcW w:w="722"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-0.759</w:t>
            </w:r>
          </w:p>
        </w:tc>
        <w:tc>
          <w:tcPr>
            <w:tcW w:w="887"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1159"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-0.248</w:t>
            </w:r>
          </w:p>
        </w:tc>
        <w:tc>
          <w:tcPr>
            <w:tcW w:w="777"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-6.715</w:t>
            </w:r>
          </w:p>
        </w:tc>
        <w:tc>
          <w:tcPr>
            <w:tcW w:w="805"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C47BA2" w:rsidTr="004B5E7F">
        <w:trPr>
          <w:trHeight w:val="315"/>
          <w:jc w:val="center"/>
        </w:trPr>
        <w:tc>
          <w:tcPr>
            <w:tcW w:w="406" w:type="dxa"/>
            <w:vMerge/>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color w:val="000000"/>
                <w:sz w:val="16"/>
                <w:szCs w:val="16"/>
              </w:rPr>
            </w:pPr>
          </w:p>
        </w:tc>
        <w:tc>
          <w:tcPr>
            <w:tcW w:w="950" w:type="dxa"/>
            <w:tcBorders>
              <w:top w:val="nil"/>
              <w:left w:val="nil"/>
              <w:bottom w:val="single" w:sz="4" w:space="0" w:color="auto"/>
              <w:right w:val="single" w:sz="4" w:space="0" w:color="auto"/>
            </w:tcBorders>
            <w:shd w:val="clear" w:color="auto" w:fill="FFFFFF" w:themeFill="background1"/>
            <w:vAlign w:val="center"/>
          </w:tcPr>
          <w:p w:rsidR="00C47BA2" w:rsidRDefault="004B5E7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X3</w:t>
            </w:r>
          </w:p>
        </w:tc>
        <w:tc>
          <w:tcPr>
            <w:tcW w:w="722"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887"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1159"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1.061</w:t>
            </w:r>
          </w:p>
        </w:tc>
        <w:tc>
          <w:tcPr>
            <w:tcW w:w="777"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28.804</w:t>
            </w:r>
          </w:p>
        </w:tc>
        <w:tc>
          <w:tcPr>
            <w:tcW w:w="805" w:type="dxa"/>
            <w:tcBorders>
              <w:top w:val="nil"/>
              <w:left w:val="nil"/>
              <w:bottom w:val="single" w:sz="4" w:space="0" w:color="auto"/>
              <w:right w:val="single" w:sz="4" w:space="0" w:color="auto"/>
            </w:tcBorders>
            <w:shd w:val="clear" w:color="auto" w:fill="FFFFFF" w:themeFill="background1"/>
            <w:vAlign w:val="center"/>
          </w:tcPr>
          <w:p w:rsidR="00C47BA2" w:rsidRDefault="004B5E7F">
            <w:pPr>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bl>
    <w:p w:rsidR="00C47BA2" w:rsidRDefault="004B5E7F">
      <w:pPr>
        <w:shd w:val="clear" w:color="auto" w:fill="FFFFFF"/>
        <w:ind w:left="720"/>
        <w:rPr>
          <w:rFonts w:ascii="Times New Roman" w:hAnsi="Times New Roman" w:cs="Times New Roman"/>
          <w:sz w:val="22"/>
          <w:szCs w:val="22"/>
        </w:rPr>
      </w:pPr>
      <w:r>
        <w:rPr>
          <w:rFonts w:ascii="Times New Roman" w:hAnsi="Times New Roman" w:cs="Times New Roman"/>
          <w:sz w:val="22"/>
          <w:szCs w:val="22"/>
        </w:rPr>
        <w:tab/>
        <w:t>Sumber: data diolah, 2021</w:t>
      </w:r>
    </w:p>
    <w:p w:rsidR="00C47BA2" w:rsidRDefault="004B5E7F">
      <w:pPr>
        <w:shd w:val="clear" w:color="auto" w:fill="FFFFFF"/>
        <w:spacing w:line="360" w:lineRule="auto"/>
        <w:ind w:left="720"/>
        <w:rPr>
          <w:rFonts w:ascii="Times New Roman" w:hAnsi="Times New Roman" w:cs="Times New Roman"/>
          <w:sz w:val="22"/>
          <w:szCs w:val="22"/>
        </w:rPr>
      </w:pPr>
      <w:r>
        <w:rPr>
          <w:rFonts w:ascii="Times New Roman" w:hAnsi="Times New Roman" w:cs="Times New Roman"/>
          <w:sz w:val="22"/>
          <w:szCs w:val="22"/>
        </w:rPr>
        <w:tab/>
        <w:t xml:space="preserve">Berdasarkan tabel 7 terbentuk persamaan regresi berikut: </w:t>
      </w:r>
    </w:p>
    <w:p w:rsidR="00C47BA2" w:rsidRDefault="004B5E7F">
      <w:pPr>
        <w:pStyle w:val="ListParagraph"/>
        <w:spacing w:line="360" w:lineRule="auto"/>
        <w:ind w:left="0" w:firstLine="720"/>
        <w:jc w:val="center"/>
        <w:rPr>
          <w:rFonts w:ascii="Times New Roman" w:hAnsi="Times New Roman" w:cs="Times New Roman"/>
          <w:b/>
          <w:sz w:val="22"/>
          <w:szCs w:val="22"/>
        </w:rPr>
      </w:pPr>
      <w:r>
        <w:rPr>
          <w:rFonts w:ascii="Times New Roman" w:hAnsi="Times New Roman" w:cs="Times New Roman"/>
          <w:b/>
          <w:sz w:val="22"/>
          <w:szCs w:val="22"/>
          <w:lang w:val="en-GB"/>
        </w:rPr>
        <w:t xml:space="preserve">Con Acc </w:t>
      </w:r>
      <w:r>
        <w:rPr>
          <w:rFonts w:ascii="Times New Roman" w:hAnsi="Times New Roman" w:cs="Times New Roman"/>
          <w:b/>
          <w:sz w:val="22"/>
          <w:szCs w:val="22"/>
          <w:lang w:val="en-GB"/>
        </w:rPr>
        <w:t>= 2,976 + 0,039BC - 0,759AC + 0,22ACM + e</w:t>
      </w:r>
      <w:r>
        <w:rPr>
          <w:rFonts w:ascii="Times New Roman" w:hAnsi="Times New Roman" w:cs="Times New Roman"/>
          <w:b/>
          <w:sz w:val="22"/>
          <w:szCs w:val="22"/>
        </w:rPr>
        <w:t xml:space="preserve"> </w:t>
      </w:r>
    </w:p>
    <w:p w:rsidR="00C47BA2" w:rsidRDefault="004B5E7F">
      <w:pPr>
        <w:pStyle w:val="ListParagraph"/>
        <w:ind w:left="0" w:firstLine="720"/>
        <w:rPr>
          <w:rFonts w:ascii="Times New Roman" w:hAnsi="Times New Roman" w:cs="Times New Roman"/>
          <w:bCs/>
          <w:sz w:val="22"/>
          <w:szCs w:val="22"/>
        </w:rPr>
      </w:pPr>
      <w:r>
        <w:rPr>
          <w:rFonts w:ascii="Times New Roman" w:hAnsi="Times New Roman" w:cs="Times New Roman"/>
          <w:b/>
          <w:sz w:val="24"/>
          <w:szCs w:val="24"/>
        </w:rPr>
        <w:tab/>
      </w:r>
      <w:r>
        <w:rPr>
          <w:rFonts w:ascii="Times New Roman" w:hAnsi="Times New Roman" w:cs="Times New Roman"/>
          <w:bCs/>
          <w:sz w:val="22"/>
          <w:szCs w:val="22"/>
        </w:rPr>
        <w:t>Persamaan regresi tersebut dapat diuraikan sebagai berikut:</w:t>
      </w:r>
    </w:p>
    <w:p w:rsidR="00C47BA2" w:rsidRDefault="004B5E7F">
      <w:pPr>
        <w:pStyle w:val="ListParagraph"/>
        <w:numPr>
          <w:ilvl w:val="0"/>
          <w:numId w:val="3"/>
        </w:numPr>
        <w:jc w:val="both"/>
        <w:rPr>
          <w:rFonts w:ascii="Times New Roman" w:hAnsi="Times New Roman" w:cs="Times New Roman"/>
          <w:sz w:val="22"/>
          <w:szCs w:val="22"/>
          <w:lang w:val="en-GB"/>
        </w:rPr>
      </w:pPr>
      <w:r>
        <w:rPr>
          <w:rFonts w:ascii="Times New Roman" w:hAnsi="Times New Roman" w:cs="Times New Roman"/>
          <w:sz w:val="22"/>
          <w:szCs w:val="22"/>
          <w:lang w:val="en-GB"/>
        </w:rPr>
        <w:t>Pada persamaan tersebut dihasilkan nilai konstanta (β) sebesar 2,976</w:t>
      </w:r>
      <w:r>
        <w:rPr>
          <w:rFonts w:ascii="Times New Roman" w:hAnsi="Times New Roman" w:cs="Times New Roman"/>
          <w:sz w:val="22"/>
          <w:szCs w:val="22"/>
        </w:rPr>
        <w:t>.</w:t>
      </w:r>
    </w:p>
    <w:p w:rsidR="00C47BA2" w:rsidRDefault="004B5E7F">
      <w:pPr>
        <w:pStyle w:val="ListParagraph"/>
        <w:numPr>
          <w:ilvl w:val="0"/>
          <w:numId w:val="3"/>
        </w:numPr>
        <w:jc w:val="both"/>
        <w:rPr>
          <w:rFonts w:ascii="Times New Roman" w:hAnsi="Times New Roman" w:cs="Times New Roman"/>
          <w:sz w:val="22"/>
          <w:szCs w:val="22"/>
          <w:lang w:val="en-GB"/>
        </w:rPr>
      </w:pPr>
      <w:r>
        <w:rPr>
          <w:rFonts w:ascii="Times New Roman" w:hAnsi="Times New Roman" w:cs="Times New Roman"/>
          <w:sz w:val="22"/>
          <w:szCs w:val="22"/>
          <w:lang w:val="en-GB"/>
        </w:rPr>
        <w:t>Koefisien regresi dewan komisaris positif sebesar 0,039</w:t>
      </w:r>
      <w:r>
        <w:rPr>
          <w:rFonts w:ascii="Times New Roman" w:hAnsi="Times New Roman" w:cs="Times New Roman"/>
          <w:sz w:val="22"/>
          <w:szCs w:val="22"/>
        </w:rPr>
        <w:t>.</w:t>
      </w:r>
    </w:p>
    <w:p w:rsidR="00C47BA2" w:rsidRDefault="004B5E7F">
      <w:pPr>
        <w:pStyle w:val="ListParagraph"/>
        <w:numPr>
          <w:ilvl w:val="0"/>
          <w:numId w:val="3"/>
        </w:num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Koefisien regresi komite </w:t>
      </w:r>
      <w:r>
        <w:rPr>
          <w:rFonts w:ascii="Times New Roman" w:hAnsi="Times New Roman" w:cs="Times New Roman"/>
          <w:sz w:val="22"/>
          <w:szCs w:val="22"/>
          <w:lang w:val="en-GB"/>
        </w:rPr>
        <w:t>audit negatif sebesar -</w:t>
      </w:r>
      <w:r>
        <w:rPr>
          <w:rFonts w:ascii="Times New Roman" w:eastAsia="Times New Roman" w:hAnsi="Times New Roman" w:cs="Times New Roman"/>
          <w:color w:val="000000"/>
          <w:sz w:val="22"/>
          <w:szCs w:val="22"/>
        </w:rPr>
        <w:t>0.759</w:t>
      </w:r>
      <w:r>
        <w:rPr>
          <w:rFonts w:ascii="Times New Roman" w:hAnsi="Times New Roman" w:cs="Times New Roman"/>
          <w:sz w:val="22"/>
          <w:szCs w:val="22"/>
          <w:lang w:val="en-GB"/>
        </w:rPr>
        <w:t>.</w:t>
      </w:r>
    </w:p>
    <w:p w:rsidR="00C47BA2" w:rsidRDefault="004B5E7F">
      <w:pPr>
        <w:pStyle w:val="ListParagraph"/>
        <w:numPr>
          <w:ilvl w:val="0"/>
          <w:numId w:val="3"/>
        </w:num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Koefisien regresi frekuensi pertemuan komite audit positif sebesar 0,22 </w:t>
      </w:r>
    </w:p>
    <w:p w:rsidR="004B5E7F" w:rsidRDefault="004B5E7F" w:rsidP="004B5E7F">
      <w:pPr>
        <w:jc w:val="both"/>
        <w:rPr>
          <w:rFonts w:ascii="Times New Roman" w:hAnsi="Times New Roman" w:cs="Times New Roman"/>
          <w:sz w:val="22"/>
          <w:szCs w:val="22"/>
          <w:lang w:val="en-GB"/>
        </w:rPr>
      </w:pPr>
    </w:p>
    <w:p w:rsidR="004B5E7F" w:rsidRDefault="004B5E7F" w:rsidP="004B5E7F">
      <w:pPr>
        <w:jc w:val="both"/>
        <w:rPr>
          <w:rFonts w:ascii="Times New Roman" w:hAnsi="Times New Roman" w:cs="Times New Roman"/>
          <w:sz w:val="22"/>
          <w:szCs w:val="22"/>
          <w:lang w:val="en-GB"/>
        </w:rPr>
      </w:pPr>
    </w:p>
    <w:p w:rsidR="004B5E7F" w:rsidRDefault="004B5E7F" w:rsidP="004B5E7F">
      <w:pPr>
        <w:jc w:val="both"/>
        <w:rPr>
          <w:rFonts w:ascii="Times New Roman" w:hAnsi="Times New Roman" w:cs="Times New Roman"/>
          <w:sz w:val="22"/>
          <w:szCs w:val="22"/>
          <w:lang w:val="en-GB"/>
        </w:rPr>
      </w:pPr>
    </w:p>
    <w:p w:rsidR="004B5E7F" w:rsidRPr="004B5E7F" w:rsidRDefault="004B5E7F" w:rsidP="004B5E7F">
      <w:pPr>
        <w:jc w:val="both"/>
        <w:rPr>
          <w:rFonts w:ascii="Times New Roman" w:hAnsi="Times New Roman" w:cs="Times New Roman"/>
          <w:sz w:val="22"/>
          <w:szCs w:val="22"/>
          <w:lang w:val="en-GB"/>
        </w:rPr>
      </w:pPr>
    </w:p>
    <w:p w:rsidR="00C47BA2" w:rsidRDefault="004B5E7F">
      <w:pPr>
        <w:numPr>
          <w:ilvl w:val="0"/>
          <w:numId w:val="2"/>
        </w:numPr>
        <w:shd w:val="clear" w:color="auto" w:fill="FFFFFF"/>
        <w:ind w:firstLine="720"/>
        <w:jc w:val="both"/>
        <w:rPr>
          <w:rFonts w:ascii="Times New Roman" w:hAnsi="Times New Roman" w:cs="Times New Roman"/>
          <w:sz w:val="22"/>
          <w:szCs w:val="22"/>
        </w:rPr>
      </w:pPr>
      <w:r>
        <w:rPr>
          <w:rFonts w:ascii="Times New Roman" w:hAnsi="Times New Roman" w:cs="Times New Roman"/>
          <w:sz w:val="22"/>
          <w:szCs w:val="22"/>
        </w:rPr>
        <w:lastRenderedPageBreak/>
        <w:t>U</w:t>
      </w:r>
      <w:r>
        <w:rPr>
          <w:rFonts w:ascii="Times New Roman" w:hAnsi="Times New Roman" w:cs="Times New Roman"/>
          <w:sz w:val="22"/>
          <w:szCs w:val="22"/>
        </w:rPr>
        <w:t>ji Parsial (t test)</w:t>
      </w:r>
    </w:p>
    <w:p w:rsidR="00C47BA2" w:rsidRDefault="004B5E7F">
      <w:pPr>
        <w:shd w:val="clear" w:color="auto" w:fill="FFFFFF"/>
        <w:ind w:left="720"/>
        <w:jc w:val="center"/>
        <w:rPr>
          <w:rFonts w:ascii="Times New Roman" w:hAnsi="Times New Roman" w:cs="Times New Roman"/>
          <w:sz w:val="22"/>
          <w:szCs w:val="22"/>
        </w:rPr>
      </w:pPr>
      <w:r>
        <w:rPr>
          <w:rFonts w:ascii="Times New Roman" w:hAnsi="Times New Roman" w:cs="Times New Roman"/>
          <w:sz w:val="22"/>
          <w:szCs w:val="22"/>
        </w:rPr>
        <w:t>Tabel 8. Uji Parsial</w:t>
      </w:r>
    </w:p>
    <w:tbl>
      <w:tblPr>
        <w:tblW w:w="5725" w:type="dxa"/>
        <w:jc w:val="center"/>
        <w:shd w:val="clear" w:color="auto" w:fill="FFFFFF" w:themeFill="background1"/>
        <w:tblLayout w:type="fixed"/>
        <w:tblLook w:val="04A0" w:firstRow="1" w:lastRow="0" w:firstColumn="1" w:lastColumn="0" w:noHBand="0" w:noVBand="1"/>
      </w:tblPr>
      <w:tblGrid>
        <w:gridCol w:w="630"/>
        <w:gridCol w:w="895"/>
        <w:gridCol w:w="763"/>
        <w:gridCol w:w="791"/>
        <w:gridCol w:w="1227"/>
        <w:gridCol w:w="725"/>
        <w:gridCol w:w="694"/>
      </w:tblGrid>
      <w:tr w:rsidR="00C47BA2" w:rsidTr="004B5E7F">
        <w:trPr>
          <w:trHeight w:val="300"/>
          <w:jc w:val="center"/>
        </w:trPr>
        <w:tc>
          <w:tcPr>
            <w:tcW w:w="572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Coefficients</w:t>
            </w:r>
            <w:r>
              <w:rPr>
                <w:rFonts w:ascii="Times New Roman" w:eastAsia="Times New Roman" w:hAnsi="Times New Roman" w:cs="Times New Roman"/>
                <w:sz w:val="16"/>
                <w:szCs w:val="16"/>
                <w:vertAlign w:val="superscript"/>
              </w:rPr>
              <w:t>a</w:t>
            </w:r>
          </w:p>
        </w:tc>
      </w:tr>
      <w:tr w:rsidR="00C47BA2" w:rsidTr="004B5E7F">
        <w:trPr>
          <w:trHeight w:val="510"/>
          <w:jc w:val="center"/>
        </w:trPr>
        <w:tc>
          <w:tcPr>
            <w:tcW w:w="152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Model</w:t>
            </w:r>
          </w:p>
        </w:tc>
        <w:tc>
          <w:tcPr>
            <w:tcW w:w="1554"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Unstandardized Coefficients</w:t>
            </w:r>
          </w:p>
        </w:tc>
        <w:tc>
          <w:tcPr>
            <w:tcW w:w="1227" w:type="dxa"/>
            <w:tcBorders>
              <w:top w:val="nil"/>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Standardized Coefficients</w:t>
            </w:r>
          </w:p>
        </w:tc>
        <w:tc>
          <w:tcPr>
            <w:tcW w:w="725" w:type="dxa"/>
            <w:tcBorders>
              <w:top w:val="nil"/>
              <w:left w:val="single" w:sz="4" w:space="0" w:color="auto"/>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w:t>
            </w:r>
          </w:p>
        </w:tc>
        <w:tc>
          <w:tcPr>
            <w:tcW w:w="694" w:type="dxa"/>
            <w:tcBorders>
              <w:top w:val="nil"/>
              <w:left w:val="single" w:sz="4" w:space="0" w:color="auto"/>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Sig.</w:t>
            </w:r>
          </w:p>
        </w:tc>
      </w:tr>
      <w:tr w:rsidR="00C47BA2" w:rsidTr="004B5E7F">
        <w:trPr>
          <w:trHeight w:val="336"/>
          <w:jc w:val="center"/>
        </w:trPr>
        <w:tc>
          <w:tcPr>
            <w:tcW w:w="152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sz w:val="16"/>
                <w:szCs w:val="16"/>
              </w:rPr>
            </w:pPr>
          </w:p>
        </w:tc>
        <w:tc>
          <w:tcPr>
            <w:tcW w:w="763" w:type="dxa"/>
            <w:tcBorders>
              <w:top w:val="single" w:sz="4" w:space="0" w:color="auto"/>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w:t>
            </w:r>
          </w:p>
        </w:tc>
        <w:tc>
          <w:tcPr>
            <w:tcW w:w="791" w:type="dxa"/>
            <w:tcBorders>
              <w:top w:val="single" w:sz="4" w:space="0" w:color="auto"/>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Std. Error</w:t>
            </w:r>
          </w:p>
        </w:tc>
        <w:tc>
          <w:tcPr>
            <w:tcW w:w="1227" w:type="dxa"/>
            <w:tcBorders>
              <w:top w:val="single" w:sz="4" w:space="0" w:color="auto"/>
              <w:left w:val="nil"/>
              <w:bottom w:val="single" w:sz="4" w:space="0" w:color="auto"/>
              <w:right w:val="single" w:sz="4" w:space="0" w:color="auto"/>
            </w:tcBorders>
            <w:shd w:val="clear" w:color="auto" w:fill="FFFFFF" w:themeFill="background1"/>
            <w:vAlign w:val="bottom"/>
          </w:tcPr>
          <w:p w:rsidR="00C47BA2" w:rsidRDefault="004B5E7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Beta</w:t>
            </w:r>
          </w:p>
        </w:tc>
        <w:tc>
          <w:tcPr>
            <w:tcW w:w="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sz w:val="16"/>
                <w:szCs w:val="16"/>
              </w:rPr>
            </w:pPr>
          </w:p>
        </w:tc>
      </w:tr>
      <w:tr w:rsidR="00C47BA2" w:rsidTr="004B5E7F">
        <w:trPr>
          <w:trHeight w:val="262"/>
          <w:jc w:val="center"/>
        </w:trPr>
        <w:tc>
          <w:tcPr>
            <w:tcW w:w="630" w:type="dxa"/>
            <w:vMerge w:val="restart"/>
            <w:tcBorders>
              <w:top w:val="nil"/>
              <w:left w:val="single" w:sz="4" w:space="0" w:color="auto"/>
              <w:bottom w:val="single" w:sz="4" w:space="0" w:color="auto"/>
              <w:right w:val="single" w:sz="4" w:space="0" w:color="auto"/>
            </w:tcBorders>
            <w:shd w:val="clear" w:color="auto" w:fill="FFFFFF" w:themeFill="background1"/>
            <w:noWrap/>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95" w:type="dxa"/>
            <w:tcBorders>
              <w:top w:val="nil"/>
              <w:left w:val="nil"/>
              <w:bottom w:val="single" w:sz="4" w:space="0" w:color="auto"/>
              <w:right w:val="single" w:sz="4" w:space="0" w:color="auto"/>
            </w:tcBorders>
            <w:shd w:val="clear" w:color="auto" w:fill="FFFFFF" w:themeFill="background1"/>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(Constant)</w:t>
            </w:r>
          </w:p>
        </w:tc>
        <w:tc>
          <w:tcPr>
            <w:tcW w:w="763"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2.510</w:t>
            </w:r>
          </w:p>
        </w:tc>
        <w:tc>
          <w:tcPr>
            <w:tcW w:w="791"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0.214</w:t>
            </w:r>
          </w:p>
        </w:tc>
        <w:tc>
          <w:tcPr>
            <w:tcW w:w="1227" w:type="dxa"/>
            <w:tcBorders>
              <w:top w:val="nil"/>
              <w:left w:val="nil"/>
              <w:bottom w:val="single" w:sz="4" w:space="0" w:color="auto"/>
              <w:right w:val="single" w:sz="4" w:space="0" w:color="auto"/>
            </w:tcBorders>
            <w:shd w:val="clear" w:color="auto" w:fill="FFFFFF" w:themeFill="background1"/>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725"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11.713</w:t>
            </w:r>
          </w:p>
        </w:tc>
        <w:tc>
          <w:tcPr>
            <w:tcW w:w="694"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w:t>
            </w:r>
          </w:p>
        </w:tc>
      </w:tr>
      <w:tr w:rsidR="00C47BA2" w:rsidTr="004B5E7F">
        <w:trPr>
          <w:trHeight w:val="300"/>
          <w:jc w:val="center"/>
        </w:trPr>
        <w:tc>
          <w:tcPr>
            <w:tcW w:w="630" w:type="dxa"/>
            <w:vMerge/>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sz w:val="16"/>
                <w:szCs w:val="16"/>
              </w:rPr>
            </w:pPr>
          </w:p>
        </w:tc>
        <w:tc>
          <w:tcPr>
            <w:tcW w:w="895" w:type="dxa"/>
            <w:tcBorders>
              <w:top w:val="nil"/>
              <w:left w:val="nil"/>
              <w:bottom w:val="single" w:sz="4" w:space="0" w:color="auto"/>
              <w:right w:val="single" w:sz="4" w:space="0" w:color="auto"/>
            </w:tcBorders>
            <w:shd w:val="clear" w:color="auto" w:fill="FFFFFF" w:themeFill="background1"/>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X1</w:t>
            </w:r>
          </w:p>
        </w:tc>
        <w:tc>
          <w:tcPr>
            <w:tcW w:w="763"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-0.012</w:t>
            </w:r>
          </w:p>
        </w:tc>
        <w:tc>
          <w:tcPr>
            <w:tcW w:w="791"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0.024</w:t>
            </w:r>
          </w:p>
        </w:tc>
        <w:tc>
          <w:tcPr>
            <w:tcW w:w="1227"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-0.011</w:t>
            </w:r>
          </w:p>
        </w:tc>
        <w:tc>
          <w:tcPr>
            <w:tcW w:w="725"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-0.512</w:t>
            </w:r>
          </w:p>
        </w:tc>
        <w:tc>
          <w:tcPr>
            <w:tcW w:w="694"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0.611</w:t>
            </w:r>
          </w:p>
        </w:tc>
      </w:tr>
      <w:tr w:rsidR="00C47BA2" w:rsidTr="004B5E7F">
        <w:trPr>
          <w:trHeight w:val="300"/>
          <w:jc w:val="center"/>
        </w:trPr>
        <w:tc>
          <w:tcPr>
            <w:tcW w:w="630" w:type="dxa"/>
            <w:vMerge/>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sz w:val="16"/>
                <w:szCs w:val="16"/>
              </w:rPr>
            </w:pPr>
          </w:p>
        </w:tc>
        <w:tc>
          <w:tcPr>
            <w:tcW w:w="895" w:type="dxa"/>
            <w:tcBorders>
              <w:top w:val="nil"/>
              <w:left w:val="nil"/>
              <w:bottom w:val="single" w:sz="4" w:space="0" w:color="auto"/>
              <w:right w:val="single" w:sz="4" w:space="0" w:color="auto"/>
            </w:tcBorders>
            <w:shd w:val="clear" w:color="auto" w:fill="FFFFFF" w:themeFill="background1"/>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X2</w:t>
            </w:r>
          </w:p>
        </w:tc>
        <w:tc>
          <w:tcPr>
            <w:tcW w:w="763"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-0.637</w:t>
            </w:r>
          </w:p>
        </w:tc>
        <w:tc>
          <w:tcPr>
            <w:tcW w:w="791"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0.061</w:t>
            </w:r>
          </w:p>
        </w:tc>
        <w:tc>
          <w:tcPr>
            <w:tcW w:w="1227"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-0.237</w:t>
            </w:r>
          </w:p>
        </w:tc>
        <w:tc>
          <w:tcPr>
            <w:tcW w:w="725"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-10.513</w:t>
            </w:r>
          </w:p>
        </w:tc>
        <w:tc>
          <w:tcPr>
            <w:tcW w:w="694"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w:t>
            </w:r>
          </w:p>
        </w:tc>
      </w:tr>
      <w:tr w:rsidR="00C47BA2" w:rsidTr="004B5E7F">
        <w:trPr>
          <w:trHeight w:val="300"/>
          <w:jc w:val="center"/>
        </w:trPr>
        <w:tc>
          <w:tcPr>
            <w:tcW w:w="630" w:type="dxa"/>
            <w:vMerge/>
            <w:tcBorders>
              <w:top w:val="nil"/>
              <w:left w:val="single" w:sz="4" w:space="0" w:color="auto"/>
              <w:bottom w:val="single" w:sz="4" w:space="0" w:color="auto"/>
              <w:right w:val="single" w:sz="4" w:space="0" w:color="auto"/>
            </w:tcBorders>
            <w:shd w:val="clear" w:color="auto" w:fill="FFFFFF" w:themeFill="background1"/>
            <w:vAlign w:val="center"/>
          </w:tcPr>
          <w:p w:rsidR="00C47BA2" w:rsidRDefault="00C47BA2">
            <w:pPr>
              <w:rPr>
                <w:rFonts w:ascii="Times New Roman" w:eastAsia="Times New Roman" w:hAnsi="Times New Roman" w:cs="Times New Roman"/>
                <w:sz w:val="16"/>
                <w:szCs w:val="16"/>
              </w:rPr>
            </w:pPr>
          </w:p>
        </w:tc>
        <w:tc>
          <w:tcPr>
            <w:tcW w:w="895" w:type="dxa"/>
            <w:tcBorders>
              <w:top w:val="nil"/>
              <w:left w:val="nil"/>
              <w:bottom w:val="single" w:sz="4" w:space="0" w:color="auto"/>
              <w:right w:val="single" w:sz="4" w:space="0" w:color="auto"/>
            </w:tcBorders>
            <w:shd w:val="clear" w:color="auto" w:fill="FFFFFF" w:themeFill="background1"/>
          </w:tcPr>
          <w:p w:rsidR="00C47BA2" w:rsidRDefault="004B5E7F">
            <w:pPr>
              <w:rPr>
                <w:rFonts w:ascii="Times New Roman" w:eastAsia="Times New Roman" w:hAnsi="Times New Roman" w:cs="Times New Roman"/>
                <w:sz w:val="16"/>
                <w:szCs w:val="16"/>
              </w:rPr>
            </w:pPr>
            <w:r>
              <w:rPr>
                <w:rFonts w:ascii="Times New Roman" w:eastAsia="Times New Roman" w:hAnsi="Times New Roman" w:cs="Times New Roman"/>
                <w:sz w:val="16"/>
                <w:szCs w:val="16"/>
              </w:rPr>
              <w:t>X3</w:t>
            </w:r>
          </w:p>
        </w:tc>
        <w:tc>
          <w:tcPr>
            <w:tcW w:w="763"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0.257</w:t>
            </w:r>
          </w:p>
        </w:tc>
        <w:tc>
          <w:tcPr>
            <w:tcW w:w="791"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0.006</w:t>
            </w:r>
          </w:p>
        </w:tc>
        <w:tc>
          <w:tcPr>
            <w:tcW w:w="1227"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1.045</w:t>
            </w:r>
          </w:p>
        </w:tc>
        <w:tc>
          <w:tcPr>
            <w:tcW w:w="725"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45.751</w:t>
            </w:r>
          </w:p>
        </w:tc>
        <w:tc>
          <w:tcPr>
            <w:tcW w:w="694" w:type="dxa"/>
            <w:tcBorders>
              <w:top w:val="nil"/>
              <w:left w:val="nil"/>
              <w:bottom w:val="single" w:sz="4" w:space="0" w:color="auto"/>
              <w:right w:val="single" w:sz="4" w:space="0" w:color="auto"/>
            </w:tcBorders>
            <w:shd w:val="clear" w:color="auto" w:fill="FFFFFF" w:themeFill="background1"/>
            <w:noWrap/>
          </w:tcPr>
          <w:p w:rsidR="00C47BA2" w:rsidRDefault="004B5E7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w:t>
            </w:r>
          </w:p>
        </w:tc>
      </w:tr>
    </w:tbl>
    <w:p w:rsidR="00C47BA2" w:rsidRDefault="004B5E7F">
      <w:pPr>
        <w:shd w:val="clear" w:color="auto" w:fill="FFFFFF"/>
        <w:ind w:left="720"/>
        <w:rPr>
          <w:rFonts w:ascii="Times New Roman" w:hAnsi="Times New Roman" w:cs="Times New Roman"/>
          <w:sz w:val="22"/>
          <w:szCs w:val="22"/>
        </w:rPr>
      </w:pPr>
      <w:r>
        <w:rPr>
          <w:rFonts w:ascii="Times New Roman" w:hAnsi="Times New Roman" w:cs="Times New Roman"/>
          <w:sz w:val="22"/>
          <w:szCs w:val="22"/>
        </w:rPr>
        <w:tab/>
        <w:t>Sumber: data diolah, 2021</w:t>
      </w:r>
    </w:p>
    <w:p w:rsidR="00C47BA2" w:rsidRDefault="004B5E7F">
      <w:pPr>
        <w:shd w:val="clear" w:color="auto" w:fill="FFFFFF"/>
        <w:ind w:lef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Dari tabel 8 dapat disimpulkan:</w:t>
      </w:r>
    </w:p>
    <w:p w:rsidR="00C47BA2" w:rsidRDefault="004B5E7F">
      <w:pPr>
        <w:pStyle w:val="ListParagraph"/>
        <w:numPr>
          <w:ilvl w:val="0"/>
          <w:numId w:val="4"/>
        </w:numPr>
        <w:jc w:val="both"/>
        <w:rPr>
          <w:rFonts w:ascii="Times New Roman" w:hAnsi="Times New Roman" w:cs="Times New Roman"/>
          <w:sz w:val="22"/>
          <w:szCs w:val="22"/>
        </w:rPr>
      </w:pPr>
      <w:r>
        <w:rPr>
          <w:rFonts w:ascii="Times New Roman" w:hAnsi="Times New Roman" w:cs="Times New Roman"/>
          <w:sz w:val="22"/>
          <w:szCs w:val="22"/>
          <w:lang w:val="en-GB"/>
        </w:rPr>
        <w:t xml:space="preserve">Dewan komisaris </w:t>
      </w:r>
      <w:r>
        <w:rPr>
          <w:rFonts w:ascii="Times New Roman" w:hAnsi="Times New Roman" w:cs="Times New Roman"/>
          <w:sz w:val="22"/>
          <w:szCs w:val="22"/>
        </w:rPr>
        <w:t xml:space="preserve">memiliki </w:t>
      </w:r>
      <w:r>
        <w:rPr>
          <w:rFonts w:ascii="Times New Roman" w:hAnsi="Times New Roman" w:cs="Times New Roman"/>
          <w:sz w:val="22"/>
          <w:szCs w:val="22"/>
          <w:lang w:val="en-GB"/>
        </w:rPr>
        <w:t>Nilai sig. 0,611 &gt;</w:t>
      </w:r>
      <w:r>
        <w:rPr>
          <w:rFonts w:ascii="Times New Roman" w:hAnsi="Times New Roman" w:cs="Times New Roman"/>
          <w:sz w:val="22"/>
          <w:szCs w:val="22"/>
          <w:lang w:val="en-GB"/>
        </w:rPr>
        <w:t xml:space="preserve"> 0,05.</w:t>
      </w:r>
    </w:p>
    <w:p w:rsidR="00C47BA2" w:rsidRDefault="004B5E7F">
      <w:pPr>
        <w:pStyle w:val="ListParagraph"/>
        <w:numPr>
          <w:ilvl w:val="0"/>
          <w:numId w:val="4"/>
        </w:numPr>
        <w:jc w:val="both"/>
        <w:rPr>
          <w:rFonts w:ascii="Times New Roman" w:hAnsi="Times New Roman" w:cs="Times New Roman"/>
          <w:sz w:val="22"/>
          <w:szCs w:val="22"/>
        </w:rPr>
      </w:pPr>
      <w:r>
        <w:rPr>
          <w:rFonts w:ascii="Times New Roman" w:hAnsi="Times New Roman" w:cs="Times New Roman"/>
          <w:sz w:val="22"/>
          <w:szCs w:val="22"/>
          <w:lang w:val="en-GB"/>
        </w:rPr>
        <w:t>Komite audit</w:t>
      </w:r>
      <w:r>
        <w:rPr>
          <w:rFonts w:ascii="Times New Roman" w:hAnsi="Times New Roman" w:cs="Times New Roman"/>
          <w:sz w:val="22"/>
          <w:szCs w:val="22"/>
        </w:rPr>
        <w:t xml:space="preserve"> memiliki nilai sig.</w:t>
      </w:r>
      <w:r>
        <w:rPr>
          <w:rFonts w:ascii="Times New Roman" w:hAnsi="Times New Roman" w:cs="Times New Roman"/>
          <w:sz w:val="22"/>
          <w:szCs w:val="22"/>
          <w:lang w:val="en-GB"/>
        </w:rPr>
        <w:t xml:space="preserve"> sebesar 0,000 &lt; 0,05. </w:t>
      </w:r>
    </w:p>
    <w:p w:rsidR="00C47BA2" w:rsidRDefault="004B5E7F">
      <w:pPr>
        <w:pStyle w:val="ListParagraph"/>
        <w:numPr>
          <w:ilvl w:val="0"/>
          <w:numId w:val="4"/>
        </w:numPr>
        <w:jc w:val="both"/>
        <w:rPr>
          <w:rFonts w:ascii="Times New Roman" w:hAnsi="Times New Roman" w:cs="Times New Roman"/>
          <w:sz w:val="22"/>
          <w:szCs w:val="22"/>
        </w:rPr>
      </w:pPr>
      <w:r>
        <w:rPr>
          <w:rFonts w:ascii="Times New Roman" w:hAnsi="Times New Roman" w:cs="Times New Roman"/>
          <w:sz w:val="22"/>
          <w:szCs w:val="22"/>
        </w:rPr>
        <w:t xml:space="preserve">Frekuensi pertemuan komite audit </w:t>
      </w:r>
      <w:r>
        <w:rPr>
          <w:rFonts w:ascii="Times New Roman" w:hAnsi="Times New Roman" w:cs="Times New Roman"/>
          <w:sz w:val="22"/>
          <w:szCs w:val="22"/>
        </w:rPr>
        <w:t xml:space="preserve">memiliki nilai sig. </w:t>
      </w:r>
      <w:r>
        <w:rPr>
          <w:rFonts w:ascii="Times New Roman" w:hAnsi="Times New Roman" w:cs="Times New Roman"/>
          <w:sz w:val="22"/>
          <w:szCs w:val="22"/>
          <w:lang w:val="en-GB"/>
        </w:rPr>
        <w:t>sebesar 0,000 &lt; 0,05.</w:t>
      </w:r>
    </w:p>
    <w:p w:rsidR="00C47BA2" w:rsidRDefault="00C47BA2">
      <w:pPr>
        <w:pStyle w:val="ListParagraph"/>
        <w:ind w:left="0"/>
        <w:jc w:val="both"/>
        <w:rPr>
          <w:rFonts w:ascii="Times New Roman" w:hAnsi="Times New Roman" w:cs="Times New Roman"/>
          <w:sz w:val="22"/>
          <w:szCs w:val="22"/>
          <w:lang w:val="en-GB"/>
        </w:rPr>
      </w:pPr>
    </w:p>
    <w:p w:rsidR="00C47BA2" w:rsidRDefault="004B5E7F">
      <w:pPr>
        <w:pStyle w:val="ListParagraph"/>
        <w:ind w:left="0"/>
        <w:jc w:val="both"/>
        <w:rPr>
          <w:rFonts w:ascii="Times New Roman" w:hAnsi="Times New Roman" w:cs="Times New Roman"/>
          <w:b/>
          <w:bCs/>
          <w:sz w:val="22"/>
          <w:szCs w:val="22"/>
        </w:rPr>
      </w:pPr>
      <w:r>
        <w:rPr>
          <w:rFonts w:ascii="Times New Roman" w:hAnsi="Times New Roman" w:cs="Times New Roman"/>
          <w:b/>
          <w:bCs/>
          <w:sz w:val="22"/>
          <w:szCs w:val="22"/>
        </w:rPr>
        <w:t>PEMBAHASAN</w:t>
      </w:r>
    </w:p>
    <w:p w:rsidR="00C47BA2" w:rsidRDefault="00C47BA2">
      <w:pPr>
        <w:pStyle w:val="ListParagraph"/>
        <w:ind w:left="0"/>
        <w:jc w:val="both"/>
        <w:rPr>
          <w:rFonts w:ascii="Times New Roman" w:hAnsi="Times New Roman" w:cs="Times New Roman"/>
          <w:b/>
          <w:bCs/>
          <w:sz w:val="22"/>
          <w:szCs w:val="22"/>
        </w:rPr>
      </w:pPr>
    </w:p>
    <w:p w:rsidR="00C47BA2" w:rsidRDefault="004B5E7F">
      <w:pPr>
        <w:pStyle w:val="ListParagraph"/>
        <w:ind w:left="0"/>
        <w:jc w:val="both"/>
        <w:rPr>
          <w:rFonts w:ascii="Times New Roman" w:hAnsi="Times New Roman" w:cs="Times New Roman"/>
          <w:b/>
          <w:bCs/>
          <w:sz w:val="22"/>
          <w:szCs w:val="22"/>
        </w:rPr>
      </w:pPr>
      <w:r>
        <w:rPr>
          <w:rFonts w:ascii="Times New Roman" w:hAnsi="Times New Roman" w:cs="Times New Roman"/>
          <w:b/>
          <w:bCs/>
          <w:sz w:val="22"/>
          <w:szCs w:val="22"/>
        </w:rPr>
        <w:t>Hasil Pengujian H</w:t>
      </w:r>
      <w:r>
        <w:rPr>
          <w:rFonts w:ascii="Times New Roman" w:hAnsi="Times New Roman" w:cs="Times New Roman"/>
          <w:b/>
          <w:bCs/>
          <w:sz w:val="22"/>
          <w:szCs w:val="22"/>
          <w:vertAlign w:val="subscript"/>
        </w:rPr>
        <w:t>1</w:t>
      </w:r>
      <w:r>
        <w:rPr>
          <w:rFonts w:ascii="Times New Roman" w:hAnsi="Times New Roman" w:cs="Times New Roman"/>
          <w:b/>
          <w:bCs/>
          <w:sz w:val="22"/>
          <w:szCs w:val="22"/>
        </w:rPr>
        <w:t>: dewan komisaris berpengaruh positif terhadap konservatisme akuntansi</w:t>
      </w:r>
    </w:p>
    <w:p w:rsidR="00C47BA2" w:rsidRDefault="004B5E7F">
      <w:pPr>
        <w:pStyle w:val="ListParagraph"/>
        <w:ind w:left="0" w:firstLine="720"/>
        <w:jc w:val="both"/>
        <w:rPr>
          <w:rFonts w:ascii="Times New Roman" w:hAnsi="Times New Roman" w:cs="Times New Roman"/>
          <w:sz w:val="22"/>
          <w:szCs w:val="22"/>
          <w:lang w:val="en-GB"/>
        </w:rPr>
      </w:pPr>
      <w:r>
        <w:rPr>
          <w:rFonts w:ascii="Times New Roman" w:hAnsi="Times New Roman" w:cs="Times New Roman"/>
          <w:sz w:val="22"/>
          <w:szCs w:val="22"/>
        </w:rPr>
        <w:t>N</w:t>
      </w:r>
      <w:r>
        <w:rPr>
          <w:rFonts w:ascii="Times New Roman" w:hAnsi="Times New Roman" w:cs="Times New Roman"/>
          <w:sz w:val="22"/>
          <w:szCs w:val="22"/>
          <w:lang w:val="en-GB"/>
        </w:rPr>
        <w:t xml:space="preserve">ilai sig. </w:t>
      </w:r>
      <w:r>
        <w:rPr>
          <w:rFonts w:ascii="Times New Roman" w:hAnsi="Times New Roman" w:cs="Times New Roman"/>
          <w:sz w:val="22"/>
          <w:szCs w:val="22"/>
          <w:lang w:val="en-GB"/>
        </w:rPr>
        <w:t>untuk pengaruh variabel dewan komisaris terhadap konservatisme akuntansi adalah sebesar 0,611. Nilai sig. 0,611 &gt; 0,05. Artinya bahwa dewan komisaris tidak berpengaruh secara signifikan terhadap konservatisme akuntansi. Dengan demikian dapat disimpulkan ba</w:t>
      </w:r>
      <w:r>
        <w:rPr>
          <w:rFonts w:ascii="Times New Roman" w:hAnsi="Times New Roman" w:cs="Times New Roman"/>
          <w:sz w:val="22"/>
          <w:szCs w:val="22"/>
          <w:lang w:val="en-GB"/>
        </w:rPr>
        <w:t>hwa H</w:t>
      </w:r>
      <w:r>
        <w:rPr>
          <w:rFonts w:ascii="Times New Roman" w:hAnsi="Times New Roman" w:cs="Times New Roman"/>
          <w:sz w:val="22"/>
          <w:szCs w:val="22"/>
          <w:vertAlign w:val="subscript"/>
          <w:lang w:val="en-GB"/>
        </w:rPr>
        <w:t>1</w:t>
      </w:r>
      <w:r>
        <w:rPr>
          <w:rFonts w:ascii="Times New Roman" w:hAnsi="Times New Roman" w:cs="Times New Roman"/>
          <w:sz w:val="22"/>
          <w:szCs w:val="22"/>
          <w:lang w:val="en-GB"/>
        </w:rPr>
        <w:t xml:space="preserve"> “</w:t>
      </w:r>
      <w:r>
        <w:rPr>
          <w:rFonts w:ascii="Times New Roman" w:hAnsi="Times New Roman" w:cs="Times New Roman"/>
          <w:sz w:val="22"/>
          <w:szCs w:val="22"/>
        </w:rPr>
        <w:t xml:space="preserve">Secara parsial dewan komisaris berpengaruh positif terhadap konservatisme akuntansi” </w:t>
      </w:r>
      <w:r>
        <w:rPr>
          <w:rFonts w:ascii="Times New Roman" w:hAnsi="Times New Roman" w:cs="Times New Roman"/>
          <w:b/>
          <w:bCs/>
          <w:sz w:val="22"/>
          <w:szCs w:val="22"/>
          <w:lang w:val="en-GB"/>
        </w:rPr>
        <w:t>ditolak</w:t>
      </w:r>
      <w:r>
        <w:rPr>
          <w:rFonts w:ascii="Times New Roman" w:hAnsi="Times New Roman" w:cs="Times New Roman"/>
          <w:sz w:val="22"/>
          <w:szCs w:val="22"/>
          <w:lang w:val="en-GB"/>
        </w:rPr>
        <w:t>.</w:t>
      </w:r>
    </w:p>
    <w:p w:rsidR="00C47BA2" w:rsidRDefault="00C47BA2">
      <w:pPr>
        <w:pStyle w:val="ListParagraph"/>
        <w:ind w:left="0"/>
        <w:jc w:val="both"/>
        <w:rPr>
          <w:rFonts w:ascii="Times New Roman" w:hAnsi="Times New Roman" w:cs="Times New Roman"/>
          <w:b/>
          <w:bCs/>
          <w:sz w:val="22"/>
          <w:szCs w:val="22"/>
        </w:rPr>
      </w:pPr>
    </w:p>
    <w:p w:rsidR="00C47BA2" w:rsidRDefault="004B5E7F">
      <w:pPr>
        <w:pStyle w:val="ListParagraph"/>
        <w:ind w:left="0"/>
        <w:jc w:val="both"/>
        <w:rPr>
          <w:rFonts w:ascii="Times New Roman" w:hAnsi="Times New Roman" w:cs="Times New Roman"/>
          <w:b/>
          <w:bCs/>
          <w:sz w:val="22"/>
          <w:szCs w:val="22"/>
        </w:rPr>
      </w:pPr>
      <w:r>
        <w:rPr>
          <w:rFonts w:ascii="Times New Roman" w:hAnsi="Times New Roman" w:cs="Times New Roman"/>
          <w:b/>
          <w:bCs/>
          <w:sz w:val="22"/>
          <w:szCs w:val="22"/>
        </w:rPr>
        <w:t>Hasil Pengujian H</w:t>
      </w:r>
      <w:r>
        <w:rPr>
          <w:rFonts w:ascii="Times New Roman" w:hAnsi="Times New Roman" w:cs="Times New Roman"/>
          <w:b/>
          <w:bCs/>
          <w:sz w:val="22"/>
          <w:szCs w:val="22"/>
          <w:vertAlign w:val="subscript"/>
        </w:rPr>
        <w:t>2</w:t>
      </w:r>
      <w:r>
        <w:rPr>
          <w:rFonts w:ascii="Times New Roman" w:hAnsi="Times New Roman" w:cs="Times New Roman"/>
          <w:b/>
          <w:bCs/>
          <w:sz w:val="22"/>
          <w:szCs w:val="22"/>
        </w:rPr>
        <w:t>: komite audit berpengaruh posotif terhadap konservatisme akuntansi</w:t>
      </w:r>
    </w:p>
    <w:p w:rsidR="00C47BA2" w:rsidRDefault="004B5E7F">
      <w:pPr>
        <w:pStyle w:val="ListParagraph"/>
        <w:ind w:left="0"/>
        <w:jc w:val="both"/>
        <w:rPr>
          <w:rFonts w:ascii="Times New Roman" w:hAnsi="Times New Roman" w:cs="Times New Roman"/>
          <w:sz w:val="22"/>
          <w:szCs w:val="22"/>
          <w:lang w:val="en-GB"/>
        </w:rPr>
      </w:pPr>
      <w:r>
        <w:rPr>
          <w:rFonts w:ascii="Times New Roman" w:hAnsi="Times New Roman" w:cs="Times New Roman"/>
          <w:b/>
          <w:bCs/>
          <w:sz w:val="22"/>
          <w:szCs w:val="22"/>
        </w:rPr>
        <w:tab/>
        <w:t>N</w:t>
      </w:r>
      <w:r>
        <w:rPr>
          <w:rFonts w:ascii="Times New Roman" w:hAnsi="Times New Roman" w:cs="Times New Roman"/>
          <w:sz w:val="22"/>
          <w:szCs w:val="22"/>
          <w:lang w:val="en-GB"/>
        </w:rPr>
        <w:t xml:space="preserve">ilai sig. untuk pengaruh variabel komite audit terhadap </w:t>
      </w:r>
      <w:r>
        <w:rPr>
          <w:rFonts w:ascii="Times New Roman" w:hAnsi="Times New Roman" w:cs="Times New Roman"/>
          <w:sz w:val="22"/>
          <w:szCs w:val="22"/>
          <w:lang w:val="en-GB"/>
        </w:rPr>
        <w:t>konservatisme akuntansi adalah sebesar 0,000 &lt; 0,05.  Artinya variabel kompetensi komite audit berpengaruh terhadap konservatisme akuntansi. Dengan demikian dapat disimpulkan bahwa H</w:t>
      </w:r>
      <w:r>
        <w:rPr>
          <w:rFonts w:ascii="Times New Roman" w:hAnsi="Times New Roman" w:cs="Times New Roman"/>
          <w:sz w:val="22"/>
          <w:szCs w:val="22"/>
          <w:vertAlign w:val="subscript"/>
          <w:lang w:val="en-GB"/>
        </w:rPr>
        <w:t>2</w:t>
      </w:r>
      <w:r>
        <w:rPr>
          <w:rFonts w:ascii="Times New Roman" w:hAnsi="Times New Roman" w:cs="Times New Roman"/>
          <w:sz w:val="22"/>
          <w:szCs w:val="22"/>
          <w:lang w:val="en-GB"/>
        </w:rPr>
        <w:t xml:space="preserve"> “</w:t>
      </w:r>
      <w:r>
        <w:rPr>
          <w:rFonts w:ascii="Times New Roman" w:hAnsi="Times New Roman" w:cs="Times New Roman"/>
          <w:sz w:val="22"/>
          <w:szCs w:val="22"/>
        </w:rPr>
        <w:t>: Secara parsial kompetensi komite audit berpengaruh positif terhadap k</w:t>
      </w:r>
      <w:r>
        <w:rPr>
          <w:rFonts w:ascii="Times New Roman" w:hAnsi="Times New Roman" w:cs="Times New Roman"/>
          <w:sz w:val="22"/>
          <w:szCs w:val="22"/>
        </w:rPr>
        <w:t xml:space="preserve">onservatisme akuntansi” </w:t>
      </w:r>
      <w:r>
        <w:rPr>
          <w:rFonts w:ascii="Times New Roman" w:hAnsi="Times New Roman" w:cs="Times New Roman"/>
          <w:b/>
          <w:bCs/>
          <w:sz w:val="22"/>
          <w:szCs w:val="22"/>
          <w:lang w:val="en-GB"/>
        </w:rPr>
        <w:t>diterima</w:t>
      </w:r>
      <w:r>
        <w:rPr>
          <w:rFonts w:ascii="Times New Roman" w:hAnsi="Times New Roman" w:cs="Times New Roman"/>
          <w:sz w:val="22"/>
          <w:szCs w:val="22"/>
          <w:lang w:val="en-GB"/>
        </w:rPr>
        <w:t>.</w:t>
      </w:r>
    </w:p>
    <w:p w:rsidR="00C47BA2" w:rsidRDefault="00C47BA2">
      <w:pPr>
        <w:pStyle w:val="ListParagraph"/>
        <w:ind w:left="0"/>
        <w:jc w:val="both"/>
        <w:rPr>
          <w:rFonts w:ascii="Times New Roman" w:hAnsi="Times New Roman" w:cs="Times New Roman"/>
          <w:b/>
          <w:bCs/>
          <w:sz w:val="22"/>
          <w:szCs w:val="22"/>
        </w:rPr>
      </w:pPr>
    </w:p>
    <w:p w:rsidR="00C47BA2" w:rsidRDefault="004B5E7F">
      <w:pPr>
        <w:pStyle w:val="ListParagraph"/>
        <w:ind w:left="0"/>
        <w:jc w:val="both"/>
        <w:rPr>
          <w:rFonts w:ascii="Times New Roman" w:hAnsi="Times New Roman" w:cs="Times New Roman"/>
          <w:b/>
          <w:bCs/>
          <w:sz w:val="22"/>
          <w:szCs w:val="22"/>
        </w:rPr>
      </w:pPr>
      <w:r>
        <w:rPr>
          <w:rFonts w:ascii="Times New Roman" w:hAnsi="Times New Roman" w:cs="Times New Roman"/>
          <w:b/>
          <w:bCs/>
          <w:sz w:val="22"/>
          <w:szCs w:val="22"/>
        </w:rPr>
        <w:t>Hasil Pengujian H</w:t>
      </w:r>
      <w:r>
        <w:rPr>
          <w:rFonts w:ascii="Times New Roman" w:hAnsi="Times New Roman" w:cs="Times New Roman"/>
          <w:b/>
          <w:bCs/>
          <w:sz w:val="22"/>
          <w:szCs w:val="22"/>
          <w:vertAlign w:val="subscript"/>
        </w:rPr>
        <w:t>3</w:t>
      </w:r>
      <w:r>
        <w:rPr>
          <w:rFonts w:ascii="Times New Roman" w:hAnsi="Times New Roman" w:cs="Times New Roman"/>
          <w:b/>
          <w:bCs/>
          <w:sz w:val="22"/>
          <w:szCs w:val="22"/>
        </w:rPr>
        <w:t>: frekuensi pertemuan komite audit berpengaruh positif terhadap konservatisme akuntansi</w:t>
      </w:r>
    </w:p>
    <w:p w:rsidR="00C47BA2" w:rsidRDefault="004B5E7F">
      <w:pPr>
        <w:pStyle w:val="ListParagraph"/>
        <w:ind w:left="0"/>
        <w:jc w:val="both"/>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sz w:val="22"/>
          <w:szCs w:val="22"/>
        </w:rPr>
        <w:t>N</w:t>
      </w:r>
      <w:r>
        <w:rPr>
          <w:rFonts w:ascii="Times New Roman" w:hAnsi="Times New Roman" w:cs="Times New Roman"/>
          <w:sz w:val="22"/>
          <w:szCs w:val="22"/>
          <w:lang w:val="en-GB"/>
        </w:rPr>
        <w:t>ilai sig. untuk pengaruh variabel frekuensi pertemuan komite audit terhadap konservatisme akuntansi adalah sebes</w:t>
      </w:r>
      <w:r>
        <w:rPr>
          <w:rFonts w:ascii="Times New Roman" w:hAnsi="Times New Roman" w:cs="Times New Roman"/>
          <w:sz w:val="22"/>
          <w:szCs w:val="22"/>
          <w:lang w:val="en-GB"/>
        </w:rPr>
        <w:t>ar 0,000 &lt; 0,05. Artinya variabel frekuensi pertemuan komite audit berpengaruh terhadap konservatisme akuntansi. Dengan demikian dapat disimpulkan bahwa H</w:t>
      </w:r>
      <w:r>
        <w:rPr>
          <w:rFonts w:ascii="Times New Roman" w:hAnsi="Times New Roman" w:cs="Times New Roman"/>
          <w:sz w:val="22"/>
          <w:szCs w:val="22"/>
          <w:vertAlign w:val="subscript"/>
          <w:lang w:val="en-GB"/>
        </w:rPr>
        <w:t>3</w:t>
      </w:r>
      <w:r>
        <w:rPr>
          <w:rFonts w:ascii="Times New Roman" w:hAnsi="Times New Roman" w:cs="Times New Roman"/>
          <w:sz w:val="22"/>
          <w:szCs w:val="22"/>
          <w:lang w:val="en-GB"/>
        </w:rPr>
        <w:t xml:space="preserve"> “</w:t>
      </w:r>
      <w:r>
        <w:rPr>
          <w:rFonts w:ascii="Times New Roman" w:hAnsi="Times New Roman" w:cs="Times New Roman"/>
          <w:sz w:val="22"/>
          <w:szCs w:val="22"/>
        </w:rPr>
        <w:t>: Secara parsial frekuensi pertemuan komite audit berpengaruh positif terhadap konservatisme akunta</w:t>
      </w:r>
      <w:r>
        <w:rPr>
          <w:rFonts w:ascii="Times New Roman" w:hAnsi="Times New Roman" w:cs="Times New Roman"/>
          <w:sz w:val="22"/>
          <w:szCs w:val="22"/>
        </w:rPr>
        <w:t xml:space="preserve">nsi” </w:t>
      </w:r>
      <w:r>
        <w:rPr>
          <w:rFonts w:ascii="Times New Roman" w:hAnsi="Times New Roman" w:cs="Times New Roman"/>
          <w:b/>
          <w:bCs/>
          <w:sz w:val="22"/>
          <w:szCs w:val="22"/>
          <w:lang w:val="en-GB"/>
        </w:rPr>
        <w:t>diterima</w:t>
      </w:r>
      <w:r>
        <w:rPr>
          <w:rFonts w:ascii="Times New Roman" w:hAnsi="Times New Roman" w:cs="Times New Roman"/>
          <w:b/>
          <w:bCs/>
          <w:sz w:val="22"/>
          <w:szCs w:val="22"/>
        </w:rPr>
        <w:t>.</w:t>
      </w:r>
    </w:p>
    <w:p w:rsidR="00C47BA2" w:rsidRDefault="00C47BA2">
      <w:pPr>
        <w:pStyle w:val="ListParagraph"/>
        <w:ind w:left="0"/>
        <w:jc w:val="both"/>
        <w:rPr>
          <w:rFonts w:ascii="Times New Roman" w:hAnsi="Times New Roman" w:cs="Times New Roman"/>
          <w:b/>
          <w:bCs/>
          <w:sz w:val="22"/>
          <w:szCs w:val="22"/>
        </w:rPr>
      </w:pPr>
    </w:p>
    <w:p w:rsidR="00C47BA2" w:rsidRDefault="00C47BA2">
      <w:pPr>
        <w:pStyle w:val="ListParagraph"/>
        <w:ind w:left="0"/>
        <w:jc w:val="both"/>
        <w:rPr>
          <w:rFonts w:ascii="Times New Roman" w:hAnsi="Times New Roman" w:cs="Times New Roman"/>
          <w:sz w:val="22"/>
          <w:szCs w:val="22"/>
          <w:lang w:val="en-GB"/>
        </w:rPr>
      </w:pPr>
    </w:p>
    <w:p w:rsidR="00C47BA2" w:rsidRDefault="004B5E7F">
      <w:pPr>
        <w:pStyle w:val="ListParagraph"/>
        <w:ind w:left="0"/>
        <w:jc w:val="both"/>
        <w:rPr>
          <w:rFonts w:ascii="Times New Roman" w:hAnsi="Times New Roman" w:cs="Times New Roman"/>
          <w:b/>
          <w:bCs/>
          <w:sz w:val="22"/>
          <w:szCs w:val="22"/>
        </w:rPr>
      </w:pPr>
      <w:r>
        <w:rPr>
          <w:rFonts w:ascii="Times New Roman" w:hAnsi="Times New Roman" w:cs="Times New Roman"/>
          <w:b/>
          <w:bCs/>
          <w:sz w:val="22"/>
          <w:szCs w:val="22"/>
        </w:rPr>
        <w:t>KESIMPULAN</w:t>
      </w:r>
    </w:p>
    <w:p w:rsidR="00C47BA2" w:rsidRDefault="004B5E7F">
      <w:pPr>
        <w:pStyle w:val="ListParagraph"/>
        <w:ind w:left="0"/>
        <w:jc w:val="both"/>
        <w:rPr>
          <w:rFonts w:ascii="Times New Roman" w:hAnsi="Times New Roman" w:cs="Times New Roman"/>
          <w:sz w:val="22"/>
          <w:szCs w:val="22"/>
        </w:rPr>
      </w:pPr>
      <w:r>
        <w:rPr>
          <w:rFonts w:ascii="Times New Roman" w:hAnsi="Times New Roman" w:cs="Times New Roman"/>
          <w:sz w:val="22"/>
          <w:szCs w:val="22"/>
        </w:rPr>
        <w:tab/>
        <w:t>Dari hasil penelitian diperoleh kesimpulan bahwa dewan komisaris tidak berpengaruh terhadap konservatisme akuntansi. Tetapi komite audit dan frekuensi pertemuan komite audit berpengaruh positif terhadap konservatisme akuntansi.</w:t>
      </w:r>
    </w:p>
    <w:p w:rsidR="00C47BA2" w:rsidRDefault="004B5E7F">
      <w:pPr>
        <w:pStyle w:val="ListParagraph"/>
        <w:ind w:left="0"/>
        <w:jc w:val="both"/>
        <w:rPr>
          <w:rFonts w:ascii="Times New Roman" w:hAnsi="Times New Roman" w:cs="Times New Roman"/>
          <w:sz w:val="22"/>
          <w:szCs w:val="22"/>
        </w:rPr>
      </w:pPr>
      <w:r>
        <w:rPr>
          <w:rFonts w:ascii="Times New Roman" w:hAnsi="Times New Roman" w:cs="Times New Roman"/>
          <w:sz w:val="22"/>
          <w:szCs w:val="22"/>
        </w:rPr>
        <w:tab/>
        <w:t xml:space="preserve">Penelitian selanjutnya disarankan untuk menambahkan </w:t>
      </w:r>
      <w:r>
        <w:rPr>
          <w:rFonts w:ascii="Times New Roman" w:hAnsi="Times New Roman" w:cs="Times New Roman"/>
          <w:sz w:val="22"/>
          <w:szCs w:val="22"/>
          <w:lang w:val="en-GB"/>
        </w:rPr>
        <w:t xml:space="preserve">pengukuran untuk </w:t>
      </w:r>
      <w:r>
        <w:rPr>
          <w:rFonts w:ascii="Times New Roman" w:hAnsi="Times New Roman" w:cs="Times New Roman"/>
          <w:i/>
          <w:sz w:val="22"/>
          <w:szCs w:val="22"/>
          <w:lang w:val="en-GB"/>
        </w:rPr>
        <w:t xml:space="preserve">corporate governance </w:t>
      </w:r>
      <w:r>
        <w:rPr>
          <w:rFonts w:ascii="Times New Roman" w:hAnsi="Times New Roman" w:cs="Times New Roman"/>
          <w:sz w:val="22"/>
          <w:szCs w:val="22"/>
          <w:lang w:val="en-GB"/>
        </w:rPr>
        <w:t>yang lebih spesifik dalam implementasinya terhadap konservatisme akuntansi</w:t>
      </w:r>
      <w:r>
        <w:rPr>
          <w:rFonts w:ascii="Times New Roman" w:hAnsi="Times New Roman" w:cs="Times New Roman"/>
          <w:sz w:val="22"/>
          <w:szCs w:val="22"/>
        </w:rPr>
        <w:t xml:space="preserve">, menambahkan </w:t>
      </w:r>
      <w:r>
        <w:rPr>
          <w:rFonts w:ascii="Times New Roman" w:hAnsi="Times New Roman" w:cs="Times New Roman"/>
          <w:sz w:val="22"/>
          <w:szCs w:val="22"/>
          <w:lang w:val="en-GB"/>
        </w:rPr>
        <w:t>jumlah observasi agar hasil yang diperoleh lebih akura</w:t>
      </w:r>
      <w:r>
        <w:rPr>
          <w:rFonts w:ascii="Times New Roman" w:hAnsi="Times New Roman" w:cs="Times New Roman"/>
          <w:sz w:val="22"/>
          <w:szCs w:val="22"/>
        </w:rPr>
        <w:t xml:space="preserve">t, menambah </w:t>
      </w:r>
      <w:r>
        <w:rPr>
          <w:rFonts w:ascii="Times New Roman" w:hAnsi="Times New Roman" w:cs="Times New Roman"/>
          <w:sz w:val="22"/>
          <w:szCs w:val="22"/>
          <w:lang w:val="en-GB"/>
        </w:rPr>
        <w:t>rentang wa</w:t>
      </w:r>
      <w:r>
        <w:rPr>
          <w:rFonts w:ascii="Times New Roman" w:hAnsi="Times New Roman" w:cs="Times New Roman"/>
          <w:sz w:val="22"/>
          <w:szCs w:val="22"/>
          <w:lang w:val="en-GB"/>
        </w:rPr>
        <w:t>ktu penelitian dengan mengambil periode waktu yang lebih panjang</w:t>
      </w:r>
      <w:r>
        <w:rPr>
          <w:rFonts w:ascii="Times New Roman" w:hAnsi="Times New Roman" w:cs="Times New Roman"/>
          <w:sz w:val="22"/>
          <w:szCs w:val="22"/>
        </w:rPr>
        <w:t>, dan menggunakan</w:t>
      </w:r>
      <w:r>
        <w:rPr>
          <w:rFonts w:ascii="Times New Roman" w:hAnsi="Times New Roman" w:cs="Times New Roman"/>
          <w:sz w:val="22"/>
          <w:szCs w:val="22"/>
          <w:lang w:val="en-GB"/>
        </w:rPr>
        <w:t xml:space="preserve"> ukuran lain dari konservatisme akuntansi agar mendapatkan hasil yang lebih komprehensi</w:t>
      </w:r>
      <w:r>
        <w:rPr>
          <w:rFonts w:ascii="Times New Roman" w:hAnsi="Times New Roman" w:cs="Times New Roman"/>
          <w:sz w:val="22"/>
          <w:szCs w:val="22"/>
        </w:rPr>
        <w:t>f</w:t>
      </w:r>
    </w:p>
    <w:p w:rsidR="00C47BA2" w:rsidRDefault="00C47BA2">
      <w:pPr>
        <w:pStyle w:val="ListParagraph"/>
        <w:ind w:left="0"/>
        <w:jc w:val="both"/>
        <w:rPr>
          <w:rFonts w:ascii="Times New Roman" w:hAnsi="Times New Roman" w:cs="Times New Roman"/>
          <w:sz w:val="22"/>
          <w:szCs w:val="22"/>
        </w:rPr>
      </w:pPr>
    </w:p>
    <w:p w:rsidR="00C47BA2" w:rsidRDefault="004B5E7F">
      <w:pPr>
        <w:pStyle w:val="ListParagraph"/>
        <w:ind w:left="0"/>
        <w:jc w:val="both"/>
        <w:rPr>
          <w:rFonts w:ascii="Times New Roman" w:hAnsi="Times New Roman" w:cs="Times New Roman"/>
          <w:b/>
          <w:bCs/>
          <w:sz w:val="22"/>
          <w:szCs w:val="22"/>
        </w:rPr>
      </w:pPr>
      <w:r>
        <w:rPr>
          <w:rFonts w:ascii="Times New Roman" w:hAnsi="Times New Roman" w:cs="Times New Roman"/>
          <w:b/>
          <w:bCs/>
          <w:sz w:val="22"/>
          <w:szCs w:val="22"/>
        </w:rPr>
        <w:t>DAFTAR PUSTAKA</w:t>
      </w:r>
    </w:p>
    <w:p w:rsidR="00C47BA2" w:rsidRDefault="004B5E7F">
      <w:pPr>
        <w:pStyle w:val="Bibliography1"/>
        <w:ind w:left="720" w:hanging="720"/>
        <w:jc w:val="both"/>
        <w:rPr>
          <w:rFonts w:ascii="Times New Roman" w:hAnsi="Times New Roman" w:cs="Times New Roman"/>
          <w:sz w:val="22"/>
          <w:szCs w:val="22"/>
        </w:rPr>
      </w:pPr>
      <w:r>
        <w:rPr>
          <w:rFonts w:ascii="Times New Roman" w:hAnsi="Times New Roman" w:cs="Times New Roman"/>
          <w:sz w:val="22"/>
          <w:szCs w:val="22"/>
        </w:rPr>
        <w:lastRenderedPageBreak/>
        <w:fldChar w:fldCharType="begin"/>
      </w:r>
      <w:r>
        <w:rPr>
          <w:rFonts w:ascii="Times New Roman" w:hAnsi="Times New Roman" w:cs="Times New Roman"/>
          <w:sz w:val="22"/>
          <w:szCs w:val="22"/>
        </w:rPr>
        <w:instrText xml:space="preserve"> BIBLIOGRAPHY </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 xml:space="preserve">Apriani, M. (2015). Faktor-Faktor yang Mempengaruhi Konservatisme Akuntansi. </w:t>
      </w:r>
      <w:r>
        <w:rPr>
          <w:rFonts w:ascii="Times New Roman" w:hAnsi="Times New Roman" w:cs="Times New Roman"/>
          <w:i/>
          <w:iCs/>
          <w:sz w:val="22"/>
          <w:szCs w:val="22"/>
          <w:lang w:val="zh-CN"/>
        </w:rPr>
        <w:t>Jurnal Online Mahasiswa Fekon</w:t>
      </w:r>
      <w:r>
        <w:rPr>
          <w:rFonts w:ascii="Times New Roman" w:hAnsi="Times New Roman" w:cs="Times New Roman"/>
          <w:sz w:val="22"/>
          <w:szCs w:val="22"/>
          <w:lang w:val="zh-CN"/>
        </w:rPr>
        <w:t>, 1-15.</w:t>
      </w:r>
      <w:r>
        <w:rPr>
          <w:rFonts w:ascii="Times New Roman" w:hAnsi="Times New Roman" w:cs="Times New Roman"/>
          <w:sz w:val="22"/>
          <w:szCs w:val="22"/>
        </w:rPr>
        <w:t xml:space="preserve"> </w:t>
      </w:r>
    </w:p>
    <w:p w:rsidR="00C47BA2" w:rsidRDefault="004B5E7F">
      <w:pPr>
        <w:pStyle w:val="Bibliography1"/>
        <w:ind w:left="720" w:hanging="720"/>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Bahaudin, A. A., &amp; Wijayanti, P. (2011). Mekanisme Corporate Governance Terhadap Konservatisme Akuntansi di Indonesia. </w:t>
      </w:r>
      <w:r>
        <w:rPr>
          <w:rFonts w:ascii="Times New Roman" w:hAnsi="Times New Roman" w:cs="Times New Roman"/>
          <w:i/>
          <w:iCs/>
          <w:sz w:val="22"/>
          <w:szCs w:val="22"/>
          <w:lang w:val="zh-CN"/>
        </w:rPr>
        <w:t xml:space="preserve">Dinamika Sosial </w:t>
      </w:r>
      <w:r>
        <w:rPr>
          <w:rFonts w:ascii="Times New Roman" w:hAnsi="Times New Roman" w:cs="Times New Roman"/>
          <w:i/>
          <w:iCs/>
          <w:sz w:val="22"/>
          <w:szCs w:val="22"/>
          <w:lang w:val="zh-CN"/>
        </w:rPr>
        <w:t>Ekonomi</w:t>
      </w:r>
      <w:r>
        <w:rPr>
          <w:rFonts w:ascii="Times New Roman" w:hAnsi="Times New Roman" w:cs="Times New Roman"/>
          <w:sz w:val="22"/>
          <w:szCs w:val="22"/>
          <w:lang w:val="zh-CN"/>
        </w:rPr>
        <w:t>, 86-101.</w:t>
      </w:r>
    </w:p>
    <w:p w:rsidR="00C47BA2" w:rsidRDefault="004B5E7F">
      <w:pPr>
        <w:pStyle w:val="Bibliography1"/>
        <w:ind w:left="720" w:hanging="720"/>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Brilianti, D. P. (2019). Faktor-Faktor Yang Mempengaruhi Penerapan Konservatisme Akuntansi Perusahaan. </w:t>
      </w:r>
      <w:r>
        <w:rPr>
          <w:rFonts w:ascii="Times New Roman" w:hAnsi="Times New Roman" w:cs="Times New Roman"/>
          <w:i/>
          <w:iCs/>
          <w:sz w:val="22"/>
          <w:szCs w:val="22"/>
          <w:lang w:val="zh-CN"/>
        </w:rPr>
        <w:t>Accounting Analysis Journal</w:t>
      </w:r>
      <w:r>
        <w:rPr>
          <w:rFonts w:ascii="Times New Roman" w:hAnsi="Times New Roman" w:cs="Times New Roman"/>
          <w:sz w:val="22"/>
          <w:szCs w:val="22"/>
          <w:lang w:val="zh-CN"/>
        </w:rPr>
        <w:t>, 268-275.</w:t>
      </w:r>
    </w:p>
    <w:p w:rsidR="00C47BA2" w:rsidRDefault="004B5E7F">
      <w:pPr>
        <w:pStyle w:val="Bibliography1"/>
        <w:ind w:left="720" w:hanging="720"/>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Komite Nasional Kebijakan Governance. (2006). </w:t>
      </w:r>
      <w:r>
        <w:rPr>
          <w:rFonts w:ascii="Times New Roman" w:hAnsi="Times New Roman" w:cs="Times New Roman"/>
          <w:i/>
          <w:iCs/>
          <w:sz w:val="22"/>
          <w:szCs w:val="22"/>
          <w:lang w:val="zh-CN"/>
        </w:rPr>
        <w:t>Pedoman Umum Good Corporate Governance Indonesia.</w:t>
      </w:r>
      <w:r>
        <w:rPr>
          <w:rFonts w:ascii="Times New Roman" w:hAnsi="Times New Roman" w:cs="Times New Roman"/>
          <w:sz w:val="22"/>
          <w:szCs w:val="22"/>
          <w:lang w:val="zh-CN"/>
        </w:rPr>
        <w:t xml:space="preserve"> Ja</w:t>
      </w:r>
      <w:r>
        <w:rPr>
          <w:rFonts w:ascii="Times New Roman" w:hAnsi="Times New Roman" w:cs="Times New Roman"/>
          <w:sz w:val="22"/>
          <w:szCs w:val="22"/>
          <w:lang w:val="zh-CN"/>
        </w:rPr>
        <w:t>karta.</w:t>
      </w:r>
    </w:p>
    <w:p w:rsidR="00C47BA2" w:rsidRDefault="004B5E7F">
      <w:pPr>
        <w:pStyle w:val="Bibliography1"/>
        <w:ind w:left="720" w:hanging="720"/>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Kusmayadi, D., Rudiana, D., &amp; Badruzaman, J. (2015). </w:t>
      </w:r>
      <w:r>
        <w:rPr>
          <w:rFonts w:ascii="Times New Roman" w:hAnsi="Times New Roman" w:cs="Times New Roman"/>
          <w:i/>
          <w:iCs/>
          <w:sz w:val="22"/>
          <w:szCs w:val="22"/>
          <w:lang w:val="zh-CN"/>
        </w:rPr>
        <w:t>Good Corporate Governance (GCG).</w:t>
      </w:r>
      <w:r>
        <w:rPr>
          <w:rFonts w:ascii="Times New Roman" w:hAnsi="Times New Roman" w:cs="Times New Roman"/>
          <w:sz w:val="22"/>
          <w:szCs w:val="22"/>
          <w:lang w:val="zh-CN"/>
        </w:rPr>
        <w:t xml:space="preserve"> Tasikmalaya: LPPM Universitas Siliwangi.</w:t>
      </w:r>
    </w:p>
    <w:p w:rsidR="00C47BA2" w:rsidRDefault="004B5E7F">
      <w:pPr>
        <w:pStyle w:val="Bibliography1"/>
        <w:ind w:left="720" w:hanging="720"/>
        <w:jc w:val="both"/>
        <w:rPr>
          <w:rFonts w:ascii="Times New Roman" w:hAnsi="Times New Roman" w:cs="Times New Roman"/>
          <w:sz w:val="22"/>
          <w:szCs w:val="22"/>
          <w:lang w:val="zh-CN"/>
        </w:rPr>
      </w:pPr>
      <w:r>
        <w:rPr>
          <w:rFonts w:ascii="Times New Roman" w:hAnsi="Times New Roman" w:cs="Times New Roman"/>
          <w:sz w:val="22"/>
          <w:szCs w:val="22"/>
          <w:lang w:val="zh-CN"/>
        </w:rPr>
        <w:t>Liyanto, L. W., &amp; Anam, H. (2019). Proporsi Komisaris Independen, Dewan Komisaris, Kompetensi Komite Audit Frekuensi Rapat</w:t>
      </w:r>
      <w:r>
        <w:rPr>
          <w:rFonts w:ascii="Times New Roman" w:hAnsi="Times New Roman" w:cs="Times New Roman"/>
          <w:sz w:val="22"/>
          <w:szCs w:val="22"/>
          <w:lang w:val="zh-CN"/>
        </w:rPr>
        <w:t xml:space="preserve"> Komite Audit Terhadap Konservatisme Akuntansi. </w:t>
      </w:r>
      <w:r>
        <w:rPr>
          <w:rFonts w:ascii="Times New Roman" w:hAnsi="Times New Roman" w:cs="Times New Roman"/>
          <w:i/>
          <w:iCs/>
          <w:sz w:val="22"/>
          <w:szCs w:val="22"/>
          <w:lang w:val="zh-CN"/>
        </w:rPr>
        <w:t>Jurnal Geo Ekonomi</w:t>
      </w:r>
      <w:r>
        <w:rPr>
          <w:rFonts w:ascii="Times New Roman" w:hAnsi="Times New Roman" w:cs="Times New Roman"/>
          <w:sz w:val="22"/>
          <w:szCs w:val="22"/>
          <w:lang w:val="zh-CN"/>
        </w:rPr>
        <w:t>, 130-149.</w:t>
      </w:r>
    </w:p>
    <w:p w:rsidR="00C47BA2" w:rsidRDefault="004B5E7F">
      <w:pPr>
        <w:pStyle w:val="Bibliography1"/>
        <w:ind w:left="720" w:hanging="720"/>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Oktomegah, C. (2012). Faktor-Faktor yang Mempengaruhi Penerapan Konservatisme Pada Perusahaan Manufaktur di BEI. </w:t>
      </w:r>
      <w:r>
        <w:rPr>
          <w:rFonts w:ascii="Times New Roman" w:hAnsi="Times New Roman" w:cs="Times New Roman"/>
          <w:i/>
          <w:iCs/>
          <w:sz w:val="22"/>
          <w:szCs w:val="22"/>
          <w:lang w:val="zh-CN"/>
        </w:rPr>
        <w:t>Jurnal Ilmiah Mahasiswa Akuntansi</w:t>
      </w:r>
      <w:r>
        <w:rPr>
          <w:rFonts w:ascii="Times New Roman" w:hAnsi="Times New Roman" w:cs="Times New Roman"/>
          <w:sz w:val="22"/>
          <w:szCs w:val="22"/>
          <w:lang w:val="zh-CN"/>
        </w:rPr>
        <w:t>, 36-42.</w:t>
      </w:r>
    </w:p>
    <w:p w:rsidR="00C47BA2" w:rsidRDefault="004B5E7F">
      <w:pPr>
        <w:pStyle w:val="Bibliography1"/>
        <w:ind w:left="720" w:hanging="720"/>
        <w:jc w:val="both"/>
        <w:rPr>
          <w:rFonts w:ascii="Times New Roman" w:hAnsi="Times New Roman" w:cs="Times New Roman"/>
          <w:sz w:val="22"/>
          <w:szCs w:val="22"/>
          <w:lang w:val="zh-CN"/>
        </w:rPr>
      </w:pPr>
      <w:r>
        <w:rPr>
          <w:rFonts w:ascii="Times New Roman" w:hAnsi="Times New Roman" w:cs="Times New Roman"/>
          <w:sz w:val="22"/>
          <w:szCs w:val="22"/>
          <w:lang w:val="zh-CN"/>
        </w:rPr>
        <w:t>Padmawati, I. R., &amp; Fach</w:t>
      </w:r>
      <w:r>
        <w:rPr>
          <w:rFonts w:ascii="Times New Roman" w:hAnsi="Times New Roman" w:cs="Times New Roman"/>
          <w:sz w:val="22"/>
          <w:szCs w:val="22"/>
          <w:lang w:val="zh-CN"/>
        </w:rPr>
        <w:t xml:space="preserve">rurrozie. (2015). Pengaruh Mekanisme Good Corporate Governance dan Kualitas Audit Terhadap Tingkat Konservatisme Akuntansi. </w:t>
      </w:r>
      <w:r>
        <w:rPr>
          <w:rFonts w:ascii="Times New Roman" w:hAnsi="Times New Roman" w:cs="Times New Roman"/>
          <w:i/>
          <w:iCs/>
          <w:sz w:val="22"/>
          <w:szCs w:val="22"/>
          <w:lang w:val="zh-CN"/>
        </w:rPr>
        <w:t>Accounting Analysis Journal</w:t>
      </w:r>
      <w:r>
        <w:rPr>
          <w:rFonts w:ascii="Times New Roman" w:hAnsi="Times New Roman" w:cs="Times New Roman"/>
          <w:sz w:val="22"/>
          <w:szCs w:val="22"/>
          <w:lang w:val="zh-CN"/>
        </w:rPr>
        <w:t>, 1-11.</w:t>
      </w:r>
    </w:p>
    <w:p w:rsidR="00C47BA2" w:rsidRDefault="004B5E7F">
      <w:pPr>
        <w:pStyle w:val="Bibliography1"/>
        <w:ind w:left="720" w:hanging="720"/>
        <w:jc w:val="both"/>
        <w:rPr>
          <w:rFonts w:ascii="Times New Roman" w:hAnsi="Times New Roman" w:cs="Times New Roman"/>
          <w:sz w:val="22"/>
          <w:szCs w:val="22"/>
          <w:lang w:val="zh-CN"/>
        </w:rPr>
      </w:pPr>
      <w:r>
        <w:rPr>
          <w:rFonts w:ascii="Times New Roman" w:hAnsi="Times New Roman" w:cs="Times New Roman"/>
          <w:sz w:val="22"/>
          <w:szCs w:val="22"/>
          <w:lang w:val="zh-CN"/>
        </w:rPr>
        <w:t>Putra, W., Widanaputra, A., &amp; Wisadha, G. S. (2015). Tingkat Konservatisme Akuntansi: Kajian Dewa</w:t>
      </w:r>
      <w:r>
        <w:rPr>
          <w:rFonts w:ascii="Times New Roman" w:hAnsi="Times New Roman" w:cs="Times New Roman"/>
          <w:sz w:val="22"/>
          <w:szCs w:val="22"/>
          <w:lang w:val="zh-CN"/>
        </w:rPr>
        <w:t xml:space="preserve">n Komisaris, Modal Manajerial, Dan Komite Audit Dalam Mekanisme Good Corporate Governance. </w:t>
      </w:r>
      <w:r>
        <w:rPr>
          <w:rFonts w:ascii="Times New Roman" w:hAnsi="Times New Roman" w:cs="Times New Roman"/>
          <w:i/>
          <w:iCs/>
          <w:sz w:val="22"/>
          <w:szCs w:val="22"/>
          <w:lang w:val="zh-CN"/>
        </w:rPr>
        <w:t>E-jurnal Akuntansi Universitas Udayana</w:t>
      </w:r>
      <w:r>
        <w:rPr>
          <w:rFonts w:ascii="Times New Roman" w:hAnsi="Times New Roman" w:cs="Times New Roman"/>
          <w:sz w:val="22"/>
          <w:szCs w:val="22"/>
          <w:lang w:val="zh-CN"/>
        </w:rPr>
        <w:t>, 93-110.</w:t>
      </w:r>
    </w:p>
    <w:p w:rsidR="00C47BA2" w:rsidRDefault="004B5E7F">
      <w:pPr>
        <w:pStyle w:val="Bibliography1"/>
        <w:ind w:left="720" w:hanging="720"/>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Rajagukguk, F. D., &amp; Rohman, A. (2020). Pengaruh Mekanisme Corporate Governance Terhadap Konservatisme Akuntansi. </w:t>
      </w:r>
      <w:r>
        <w:rPr>
          <w:rFonts w:ascii="Times New Roman" w:hAnsi="Times New Roman" w:cs="Times New Roman"/>
          <w:i/>
          <w:iCs/>
          <w:sz w:val="22"/>
          <w:szCs w:val="22"/>
          <w:lang w:val="zh-CN"/>
        </w:rPr>
        <w:t>Dip</w:t>
      </w:r>
      <w:r>
        <w:rPr>
          <w:rFonts w:ascii="Times New Roman" w:hAnsi="Times New Roman" w:cs="Times New Roman"/>
          <w:i/>
          <w:iCs/>
          <w:sz w:val="22"/>
          <w:szCs w:val="22"/>
          <w:lang w:val="zh-CN"/>
        </w:rPr>
        <w:t>onegoro Journal of Accounting</w:t>
      </w:r>
      <w:r>
        <w:rPr>
          <w:rFonts w:ascii="Times New Roman" w:hAnsi="Times New Roman" w:cs="Times New Roman"/>
          <w:sz w:val="22"/>
          <w:szCs w:val="22"/>
          <w:lang w:val="zh-CN"/>
        </w:rPr>
        <w:t>, 1-9.</w:t>
      </w:r>
    </w:p>
    <w:p w:rsidR="00C47BA2" w:rsidRDefault="004B5E7F">
      <w:pPr>
        <w:pStyle w:val="Bibliography1"/>
        <w:ind w:left="720" w:hanging="720"/>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Savitri, E. (2016). </w:t>
      </w:r>
      <w:r>
        <w:rPr>
          <w:rFonts w:ascii="Times New Roman" w:hAnsi="Times New Roman" w:cs="Times New Roman"/>
          <w:i/>
          <w:iCs/>
          <w:sz w:val="22"/>
          <w:szCs w:val="22"/>
          <w:lang w:val="zh-CN"/>
        </w:rPr>
        <w:t>Konservatisme Akuntansi: Cara Pengukuran, Tinjauan Empiris, dan Faktor-Faktro yang Mempengaruhinya.</w:t>
      </w:r>
      <w:r>
        <w:rPr>
          <w:rFonts w:ascii="Times New Roman" w:hAnsi="Times New Roman" w:cs="Times New Roman"/>
          <w:sz w:val="22"/>
          <w:szCs w:val="22"/>
          <w:lang w:val="zh-CN"/>
        </w:rPr>
        <w:t xml:space="preserve"> Yogyakarta: Pustaka Sahila Yogyakarta.</w:t>
      </w:r>
    </w:p>
    <w:p w:rsidR="00C47BA2" w:rsidRDefault="004B5E7F">
      <w:pPr>
        <w:pStyle w:val="Bibliography1"/>
        <w:ind w:left="720" w:hanging="720"/>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Sugiyono. (2017). </w:t>
      </w:r>
      <w:r>
        <w:rPr>
          <w:rFonts w:ascii="Times New Roman" w:hAnsi="Times New Roman" w:cs="Times New Roman"/>
          <w:i/>
          <w:iCs/>
          <w:sz w:val="22"/>
          <w:szCs w:val="22"/>
          <w:lang w:val="zh-CN"/>
        </w:rPr>
        <w:t xml:space="preserve">Metode Penelitian Kuantitatif, Kualitatif, </w:t>
      </w:r>
      <w:r>
        <w:rPr>
          <w:rFonts w:ascii="Times New Roman" w:hAnsi="Times New Roman" w:cs="Times New Roman"/>
          <w:i/>
          <w:iCs/>
          <w:sz w:val="22"/>
          <w:szCs w:val="22"/>
          <w:lang w:val="zh-CN"/>
        </w:rPr>
        <w:t>dan R&amp;D.</w:t>
      </w:r>
      <w:r>
        <w:rPr>
          <w:rFonts w:ascii="Times New Roman" w:hAnsi="Times New Roman" w:cs="Times New Roman"/>
          <w:sz w:val="22"/>
          <w:szCs w:val="22"/>
          <w:lang w:val="zh-CN"/>
        </w:rPr>
        <w:t xml:space="preserve"> Bandung: Alfabeta.</w:t>
      </w:r>
    </w:p>
    <w:p w:rsidR="00C47BA2" w:rsidRDefault="004B5E7F">
      <w:pPr>
        <w:pStyle w:val="Bibliography1"/>
        <w:ind w:left="720" w:hanging="720"/>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Susanto, B., &amp; Ramadhani, T. (2016). Faktor-Faktor yang Mempengaruhi Konservatisme Pada Perusahaan Manufaktur yang Terdapat di BEI. </w:t>
      </w:r>
      <w:r>
        <w:rPr>
          <w:rFonts w:ascii="Times New Roman" w:hAnsi="Times New Roman" w:cs="Times New Roman"/>
          <w:i/>
          <w:iCs/>
          <w:sz w:val="22"/>
          <w:szCs w:val="22"/>
          <w:lang w:val="zh-CN"/>
        </w:rPr>
        <w:t>Jurnal Bisnis dan Ekonomi</w:t>
      </w:r>
      <w:r>
        <w:rPr>
          <w:rFonts w:ascii="Times New Roman" w:hAnsi="Times New Roman" w:cs="Times New Roman"/>
          <w:sz w:val="22"/>
          <w:szCs w:val="22"/>
          <w:lang w:val="zh-CN"/>
        </w:rPr>
        <w:t>, 142-151.</w:t>
      </w:r>
    </w:p>
    <w:p w:rsidR="00C47BA2" w:rsidRDefault="004B5E7F">
      <w:pPr>
        <w:pStyle w:val="Bibliography1"/>
        <w:ind w:left="720" w:hanging="720"/>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Sutedi, A. (2011). </w:t>
      </w:r>
      <w:r>
        <w:rPr>
          <w:rFonts w:ascii="Times New Roman" w:hAnsi="Times New Roman" w:cs="Times New Roman"/>
          <w:i/>
          <w:iCs/>
          <w:sz w:val="22"/>
          <w:szCs w:val="22"/>
          <w:lang w:val="zh-CN"/>
        </w:rPr>
        <w:t>Good Corporate Governance.</w:t>
      </w:r>
      <w:r>
        <w:rPr>
          <w:rFonts w:ascii="Times New Roman" w:hAnsi="Times New Roman" w:cs="Times New Roman"/>
          <w:sz w:val="22"/>
          <w:szCs w:val="22"/>
          <w:lang w:val="zh-CN"/>
        </w:rPr>
        <w:t xml:space="preserve"> Jakarta: Sinar</w:t>
      </w:r>
      <w:r>
        <w:rPr>
          <w:rFonts w:ascii="Times New Roman" w:hAnsi="Times New Roman" w:cs="Times New Roman"/>
          <w:sz w:val="22"/>
          <w:szCs w:val="22"/>
          <w:lang w:val="zh-CN"/>
        </w:rPr>
        <w:t xml:space="preserve"> Grafika.</w:t>
      </w:r>
    </w:p>
    <w:p w:rsidR="00C47BA2" w:rsidRDefault="004B5E7F">
      <w:pPr>
        <w:pStyle w:val="Bibliography1"/>
        <w:ind w:left="720" w:hanging="720"/>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Wulandini, D., &amp; Zulaikha. (2012). Pengaruh Karakterisktik Dewan Komisaris Dan Komite Audit Terhadap Tingkat Konservatisme Akuntansi. </w:t>
      </w:r>
      <w:r>
        <w:rPr>
          <w:rFonts w:ascii="Times New Roman" w:hAnsi="Times New Roman" w:cs="Times New Roman"/>
          <w:i/>
          <w:iCs/>
          <w:sz w:val="22"/>
          <w:szCs w:val="22"/>
          <w:lang w:val="zh-CN"/>
        </w:rPr>
        <w:t>Diponegoro Journal of Accounting</w:t>
      </w:r>
      <w:r>
        <w:rPr>
          <w:rFonts w:ascii="Times New Roman" w:hAnsi="Times New Roman" w:cs="Times New Roman"/>
          <w:sz w:val="22"/>
          <w:szCs w:val="22"/>
          <w:lang w:val="zh-CN"/>
        </w:rPr>
        <w:t>, 1-14.</w:t>
      </w:r>
    </w:p>
    <w:p w:rsidR="00C47BA2" w:rsidRDefault="004B5E7F">
      <w:pPr>
        <w:jc w:val="both"/>
        <w:rPr>
          <w:rFonts w:ascii="Times New Roman" w:hAnsi="Times New Roman" w:cs="Times New Roman"/>
          <w:sz w:val="22"/>
          <w:szCs w:val="22"/>
        </w:rPr>
      </w:pPr>
      <w:r>
        <w:rPr>
          <w:rFonts w:ascii="Times New Roman" w:hAnsi="Times New Roman" w:cs="Times New Roman"/>
          <w:b/>
          <w:bCs/>
          <w:sz w:val="22"/>
          <w:szCs w:val="22"/>
        </w:rPr>
        <w:fldChar w:fldCharType="end"/>
      </w:r>
      <w:bookmarkStart w:id="0" w:name="_GoBack"/>
      <w:bookmarkEnd w:id="0"/>
    </w:p>
    <w:sdt>
      <w:sdtPr>
        <w:rPr>
          <w:rFonts w:ascii="Times New Roman" w:hAnsi="Times New Roman" w:cs="Times New Roman"/>
          <w:sz w:val="22"/>
          <w:szCs w:val="22"/>
        </w:rPr>
        <w:id w:val="-1455781230"/>
      </w:sdtPr>
      <w:sdtEndPr/>
      <w:sdtContent>
        <w:p w:rsidR="00C47BA2" w:rsidRDefault="00C47BA2">
          <w:pPr>
            <w:jc w:val="both"/>
            <w:rPr>
              <w:rFonts w:ascii="Times New Roman" w:hAnsi="Times New Roman" w:cs="Times New Roman"/>
              <w:sz w:val="22"/>
              <w:szCs w:val="22"/>
            </w:rPr>
          </w:pPr>
        </w:p>
        <w:sdt>
          <w:sdtPr>
            <w:rPr>
              <w:rFonts w:ascii="Times New Roman" w:hAnsi="Times New Roman" w:cs="Times New Roman"/>
              <w:sz w:val="22"/>
              <w:szCs w:val="22"/>
            </w:rPr>
            <w:id w:val="1235586303"/>
          </w:sdtPr>
          <w:sdtEndPr/>
          <w:sdtContent>
            <w:p w:rsidR="00C47BA2" w:rsidRDefault="004B5E7F">
              <w:pPr>
                <w:pStyle w:val="Bibliography1"/>
                <w:ind w:left="720" w:hanging="720"/>
                <w:jc w:val="both"/>
                <w:rPr>
                  <w:rFonts w:ascii="Times New Roman" w:hAnsi="Times New Roman" w:cs="Times New Roman"/>
                  <w:sz w:val="22"/>
                  <w:szCs w:val="22"/>
                  <w:lang w:val="zh-CN"/>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BIBLIOGRAPHY </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 xml:space="preserve">Utama, M. (2004). Komite Audit, Good Corporate Govenance, dan Pengungkapan Informasi. </w:t>
              </w:r>
              <w:r>
                <w:rPr>
                  <w:rFonts w:ascii="Times New Roman" w:hAnsi="Times New Roman" w:cs="Times New Roman"/>
                  <w:i/>
                  <w:iCs/>
                  <w:sz w:val="22"/>
                  <w:szCs w:val="22"/>
                  <w:lang w:val="zh-CN"/>
                </w:rPr>
                <w:t>Jurnal Akuntansi dan Keuangan Indonesia</w:t>
              </w:r>
              <w:r>
                <w:rPr>
                  <w:rFonts w:ascii="Times New Roman" w:hAnsi="Times New Roman" w:cs="Times New Roman"/>
                  <w:sz w:val="22"/>
                  <w:szCs w:val="22"/>
                  <w:lang w:val="zh-CN"/>
                </w:rPr>
                <w:t>, 61-79.</w:t>
              </w:r>
            </w:p>
            <w:p w:rsidR="00C47BA2" w:rsidRDefault="004B5E7F">
              <w:pPr>
                <w:pStyle w:val="Bibliography1"/>
                <w:ind w:left="720" w:hanging="720"/>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Wulandari, E. R. (2013). </w:t>
              </w:r>
              <w:r>
                <w:rPr>
                  <w:rFonts w:ascii="Times New Roman" w:hAnsi="Times New Roman" w:cs="Times New Roman"/>
                  <w:i/>
                  <w:iCs/>
                  <w:sz w:val="22"/>
                  <w:szCs w:val="22"/>
                  <w:lang w:val="zh-CN"/>
                </w:rPr>
                <w:t>Good Corporate Governance Konsep, Prinsip, dan Praktik.</w:t>
              </w:r>
              <w:r>
                <w:rPr>
                  <w:rFonts w:ascii="Times New Roman" w:hAnsi="Times New Roman" w:cs="Times New Roman"/>
                  <w:sz w:val="22"/>
                  <w:szCs w:val="22"/>
                  <w:lang w:val="zh-CN"/>
                </w:rPr>
                <w:t xml:space="preserve"> Jakarta: Lembaga Komisaris Direksi Indone</w:t>
              </w:r>
              <w:r>
                <w:rPr>
                  <w:rFonts w:ascii="Times New Roman" w:hAnsi="Times New Roman" w:cs="Times New Roman"/>
                  <w:sz w:val="22"/>
                  <w:szCs w:val="22"/>
                  <w:lang w:val="zh-CN"/>
                </w:rPr>
                <w:t>sia.</w:t>
              </w:r>
            </w:p>
            <w:p w:rsidR="00C47BA2" w:rsidRDefault="004B5E7F">
              <w:pPr>
                <w:jc w:val="both"/>
                <w:rPr>
                  <w:rFonts w:ascii="Times New Roman" w:hAnsi="Times New Roman" w:cs="Times New Roman"/>
                  <w:sz w:val="22"/>
                  <w:szCs w:val="22"/>
                </w:rPr>
              </w:pPr>
              <w:r>
                <w:rPr>
                  <w:rFonts w:ascii="Times New Roman" w:hAnsi="Times New Roman" w:cs="Times New Roman"/>
                  <w:b/>
                  <w:bCs/>
                  <w:sz w:val="22"/>
                  <w:szCs w:val="22"/>
                </w:rPr>
                <w:fldChar w:fldCharType="end"/>
              </w:r>
            </w:p>
          </w:sdtContent>
        </w:sdt>
      </w:sdtContent>
    </w:sdt>
    <w:p w:rsidR="00C47BA2" w:rsidRDefault="004B5E7F">
      <w:pPr>
        <w:jc w:val="both"/>
        <w:rPr>
          <w:rFonts w:ascii="Times New Roman" w:hAnsi="Times New Roman" w:cs="Times New Roman"/>
          <w:sz w:val="22"/>
          <w:szCs w:val="22"/>
        </w:rPr>
      </w:pPr>
      <w:hyperlink r:id="rId6" w:history="1">
        <w:r>
          <w:rPr>
            <w:rStyle w:val="Hyperlink"/>
            <w:rFonts w:ascii="Times New Roman" w:hAnsi="Times New Roman" w:cs="Times New Roman"/>
            <w:color w:val="auto"/>
            <w:sz w:val="22"/>
            <w:szCs w:val="22"/>
          </w:rPr>
          <w:t>https://blogsaham.com/daftar-perusahaan-pertambangan-yang-terdaftar-di-bei/</w:t>
        </w:r>
      </w:hyperlink>
    </w:p>
    <w:p w:rsidR="00C47BA2" w:rsidRDefault="004B5E7F">
      <w:pPr>
        <w:jc w:val="both"/>
        <w:rPr>
          <w:rFonts w:ascii="Times New Roman" w:hAnsi="Times New Roman" w:cs="Times New Roman"/>
          <w:sz w:val="24"/>
          <w:szCs w:val="24"/>
        </w:rPr>
      </w:pPr>
      <w:hyperlink r:id="rId7" w:history="1">
        <w:r>
          <w:rPr>
            <w:rStyle w:val="Hyperlink"/>
            <w:rFonts w:ascii="Times New Roman" w:hAnsi="Times New Roman" w:cs="Times New Roman"/>
            <w:color w:val="auto"/>
            <w:sz w:val="22"/>
            <w:szCs w:val="22"/>
          </w:rPr>
          <w:t>http</w:t>
        </w:r>
        <w:r>
          <w:rPr>
            <w:rStyle w:val="Hyperlink"/>
            <w:rFonts w:ascii="Times New Roman" w:hAnsi="Times New Roman" w:cs="Times New Roman"/>
            <w:color w:val="auto"/>
            <w:sz w:val="22"/>
            <w:szCs w:val="22"/>
          </w:rPr>
          <w:t>s://www.invesnesia.com/perusahaan-pertambangan-di-bei</w:t>
        </w:r>
      </w:hyperlink>
    </w:p>
    <w:p w:rsidR="00C47BA2" w:rsidRDefault="00C47BA2">
      <w:pPr>
        <w:pStyle w:val="ListParagraph"/>
        <w:ind w:left="0"/>
        <w:jc w:val="both"/>
        <w:rPr>
          <w:rFonts w:ascii="Times New Roman" w:hAnsi="Times New Roman" w:cs="Times New Roman"/>
          <w:sz w:val="22"/>
          <w:szCs w:val="22"/>
          <w:shd w:val="clear" w:color="FFFFFF" w:fill="D9D9D9"/>
        </w:rPr>
      </w:pPr>
    </w:p>
    <w:sectPr w:rsidR="00C47BA2">
      <w:pgSz w:w="11906" w:h="16838"/>
      <w:pgMar w:top="1440" w:right="1800" w:bottom="1440" w:left="1800" w:header="720" w:footer="72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default"/>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3C49"/>
    <w:multiLevelType w:val="singleLevel"/>
    <w:tmpl w:val="04E63C49"/>
    <w:lvl w:ilvl="0">
      <w:start w:val="1"/>
      <w:numFmt w:val="lowerLetter"/>
      <w:suff w:val="space"/>
      <w:lvlText w:val="%1."/>
      <w:lvlJc w:val="left"/>
    </w:lvl>
  </w:abstractNum>
  <w:abstractNum w:abstractNumId="1" w15:restartNumberingAfterBreak="0">
    <w:nsid w:val="08CF0E32"/>
    <w:multiLevelType w:val="multilevel"/>
    <w:tmpl w:val="08CF0E32"/>
    <w:lvl w:ilvl="0">
      <w:start w:val="1"/>
      <w:numFmt w:val="lowerLetter"/>
      <w:lvlText w:val="%1."/>
      <w:lvlJc w:val="left"/>
      <w:pPr>
        <w:ind w:left="1440" w:hanging="360"/>
      </w:pPr>
      <w:rPr>
        <w:rFonts w:ascii="Times New Roman" w:eastAsiaTheme="minorHAns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F357398"/>
    <w:multiLevelType w:val="multilevel"/>
    <w:tmpl w:val="1F35739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DEC8942"/>
    <w:multiLevelType w:val="singleLevel"/>
    <w:tmpl w:val="2DEC8942"/>
    <w:lvl w:ilvl="0">
      <w:start w:val="1"/>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16F4D"/>
    <w:rsid w:val="004B5E7F"/>
    <w:rsid w:val="00C47BA2"/>
    <w:rsid w:val="2E816F4D"/>
    <w:rsid w:val="6E186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AB63D"/>
  <w15:docId w15:val="{0D3A5432-9B1B-4EA3-96C5-82F37A05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uiPriority w:val="34"/>
    <w:qFormat/>
    <w:pPr>
      <w:ind w:left="720"/>
      <w:contextualSpacing/>
    </w:pPr>
  </w:style>
  <w:style w:type="paragraph" w:customStyle="1" w:styleId="Bibliography1">
    <w:name w:val="Bibliography1"/>
    <w:basedOn w:val="Normal"/>
    <w:next w:val="Normal"/>
    <w:uiPriority w:val="37"/>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vesnesia.com/perusahaan-pertambangan-di-b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aham.com/daftar-perusahaan-pertambangan-yang-terdaftar-di-bei/" TargetMode="External"/><Relationship Id="rId5" Type="http://schemas.openxmlformats.org/officeDocument/2006/relationships/hyperlink" Target="mailto:patriciasinaga48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3481</Words>
  <Characters>19844</Characters>
  <Application>Microsoft Office Word</Application>
  <DocSecurity>0</DocSecurity>
  <Lines>165</Lines>
  <Paragraphs>46</Paragraphs>
  <ScaleCrop>false</ScaleCrop>
  <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Bene Sinaga</cp:lastModifiedBy>
  <cp:revision>2</cp:revision>
  <dcterms:created xsi:type="dcterms:W3CDTF">2022-07-30T09:25:00Z</dcterms:created>
  <dcterms:modified xsi:type="dcterms:W3CDTF">2022-09-27T07:31:00Z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02D1EFF2D2944EB9950D8FD860272441</vt:lpwstr>
  </property>
</Properties>
</file>