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2F47" w14:textId="09547A2D" w:rsidR="00031C49" w:rsidRPr="00B756C9" w:rsidRDefault="000E12DA" w:rsidP="00833E5C">
      <w:pPr>
        <w:spacing w:line="240" w:lineRule="auto"/>
        <w:jc w:val="center"/>
        <w:rPr>
          <w:rFonts w:ascii="Arial" w:hAnsi="Arial" w:cs="Arial"/>
          <w:b/>
          <w:sz w:val="24"/>
          <w:szCs w:val="24"/>
        </w:rPr>
      </w:pPr>
      <w:r>
        <w:rPr>
          <w:rFonts w:ascii="Arial" w:hAnsi="Arial" w:cs="Arial"/>
          <w:b/>
          <w:sz w:val="24"/>
          <w:szCs w:val="24"/>
        </w:rPr>
        <w:t>DETERMINA</w:t>
      </w:r>
      <w:r w:rsidR="00031C49" w:rsidRPr="00B756C9">
        <w:rPr>
          <w:rFonts w:ascii="Arial" w:hAnsi="Arial" w:cs="Arial"/>
          <w:b/>
          <w:sz w:val="24"/>
          <w:szCs w:val="24"/>
        </w:rPr>
        <w:t>TION OF AUDIT DELAY</w:t>
      </w:r>
      <w:r w:rsidR="00031C49" w:rsidRPr="00B756C9">
        <w:rPr>
          <w:rFonts w:ascii="Arial" w:hAnsi="Arial" w:cs="Arial"/>
          <w:b/>
          <w:i/>
          <w:sz w:val="24"/>
          <w:szCs w:val="24"/>
        </w:rPr>
        <w:t xml:space="preserve"> </w:t>
      </w:r>
      <w:r w:rsidR="00760D0B">
        <w:rPr>
          <w:rFonts w:ascii="Arial" w:hAnsi="Arial" w:cs="Arial"/>
          <w:b/>
          <w:sz w:val="24"/>
          <w:szCs w:val="24"/>
        </w:rPr>
        <w:t>FROM THE PER</w:t>
      </w:r>
      <w:r w:rsidR="00031C49" w:rsidRPr="00B756C9">
        <w:rPr>
          <w:rFonts w:ascii="Arial" w:hAnsi="Arial" w:cs="Arial"/>
          <w:b/>
          <w:sz w:val="24"/>
          <w:szCs w:val="24"/>
        </w:rPr>
        <w:t>SPECTI</w:t>
      </w:r>
      <w:r w:rsidR="000B674F" w:rsidRPr="00B756C9">
        <w:rPr>
          <w:rFonts w:ascii="Arial" w:hAnsi="Arial" w:cs="Arial"/>
          <w:b/>
          <w:sz w:val="24"/>
          <w:szCs w:val="24"/>
        </w:rPr>
        <w:t>VE OF FINANCIAL STATEMENT RATIO</w:t>
      </w:r>
      <w:r w:rsidR="00031C49" w:rsidRPr="00B756C9">
        <w:rPr>
          <w:rFonts w:ascii="Arial" w:hAnsi="Arial" w:cs="Arial"/>
          <w:b/>
          <w:sz w:val="24"/>
          <w:szCs w:val="24"/>
        </w:rPr>
        <w:t xml:space="preserve"> IN COMPANIES IN INDONESIA FOR THE PERIOD 2020-2021</w:t>
      </w:r>
    </w:p>
    <w:p w14:paraId="7E8E7F65" w14:textId="77777777" w:rsidR="00031C49" w:rsidRPr="00B756C9" w:rsidRDefault="00031C49" w:rsidP="00833E5C">
      <w:pPr>
        <w:pStyle w:val="NoSpacing"/>
        <w:jc w:val="center"/>
        <w:rPr>
          <w:rFonts w:ascii="Arial" w:hAnsi="Arial" w:cs="Arial"/>
          <w:sz w:val="24"/>
          <w:szCs w:val="24"/>
        </w:rPr>
      </w:pPr>
      <w:r w:rsidRPr="00B756C9">
        <w:rPr>
          <w:rFonts w:ascii="Arial" w:hAnsi="Arial" w:cs="Arial"/>
          <w:sz w:val="24"/>
          <w:szCs w:val="24"/>
        </w:rPr>
        <w:t>Ariyana Sulistyorini</w:t>
      </w:r>
      <w:r w:rsidRPr="00B756C9">
        <w:rPr>
          <w:rFonts w:ascii="Arial" w:hAnsi="Arial" w:cs="Arial"/>
          <w:sz w:val="24"/>
          <w:szCs w:val="24"/>
          <w:vertAlign w:val="superscript"/>
        </w:rPr>
        <w:t>1</w:t>
      </w:r>
      <w:r w:rsidRPr="00B756C9">
        <w:rPr>
          <w:rFonts w:ascii="Arial" w:hAnsi="Arial" w:cs="Arial"/>
          <w:sz w:val="24"/>
          <w:szCs w:val="24"/>
        </w:rPr>
        <w:t>, Rochmad Bayu Utomo</w:t>
      </w:r>
      <w:r w:rsidRPr="00B756C9">
        <w:rPr>
          <w:rFonts w:ascii="Arial" w:hAnsi="Arial" w:cs="Arial"/>
          <w:sz w:val="24"/>
          <w:szCs w:val="24"/>
          <w:vertAlign w:val="superscript"/>
        </w:rPr>
        <w:t>2</w:t>
      </w:r>
    </w:p>
    <w:p w14:paraId="3BBA4645" w14:textId="77777777" w:rsidR="00031C49" w:rsidRPr="00B756C9" w:rsidRDefault="00031C49" w:rsidP="00833E5C">
      <w:pPr>
        <w:pStyle w:val="NoSpacing"/>
        <w:jc w:val="center"/>
        <w:rPr>
          <w:rFonts w:ascii="Arial" w:hAnsi="Arial" w:cs="Arial"/>
          <w:sz w:val="24"/>
          <w:szCs w:val="24"/>
        </w:rPr>
      </w:pPr>
      <w:r w:rsidRPr="00B756C9">
        <w:rPr>
          <w:rFonts w:ascii="Arial" w:hAnsi="Arial" w:cs="Arial"/>
          <w:sz w:val="24"/>
          <w:szCs w:val="24"/>
          <w:vertAlign w:val="superscript"/>
        </w:rPr>
        <w:t>1,2</w:t>
      </w:r>
      <w:r w:rsidRPr="00B756C9">
        <w:rPr>
          <w:rFonts w:ascii="Arial" w:hAnsi="Arial" w:cs="Arial"/>
          <w:sz w:val="24"/>
          <w:szCs w:val="24"/>
        </w:rPr>
        <w:t xml:space="preserve"> Fakultas Ekonomi Universitas Mercu Buana Yogyakarta</w:t>
      </w:r>
    </w:p>
    <w:p w14:paraId="74269337" w14:textId="77777777" w:rsidR="00031C49" w:rsidRPr="00B756C9" w:rsidRDefault="00031C49" w:rsidP="00833E5C">
      <w:pPr>
        <w:pStyle w:val="NoSpacing"/>
        <w:jc w:val="center"/>
        <w:rPr>
          <w:rFonts w:ascii="Arial" w:hAnsi="Arial" w:cs="Arial"/>
          <w:sz w:val="24"/>
          <w:szCs w:val="24"/>
        </w:rPr>
      </w:pPr>
      <w:r w:rsidRPr="00B756C9">
        <w:rPr>
          <w:rFonts w:ascii="Arial" w:hAnsi="Arial" w:cs="Arial"/>
          <w:sz w:val="24"/>
          <w:szCs w:val="24"/>
        </w:rPr>
        <w:t xml:space="preserve">E-mail : </w:t>
      </w:r>
      <w:r w:rsidRPr="00B756C9">
        <w:rPr>
          <w:rFonts w:ascii="Arial" w:hAnsi="Arial" w:cs="Arial"/>
          <w:sz w:val="24"/>
          <w:szCs w:val="24"/>
          <w:vertAlign w:val="superscript"/>
        </w:rPr>
        <w:t>1</w:t>
      </w:r>
      <w:hyperlink r:id="rId7" w:history="1">
        <w:r w:rsidRPr="00B756C9">
          <w:rPr>
            <w:rStyle w:val="Hyperlink"/>
            <w:rFonts w:ascii="Arial" w:hAnsi="Arial" w:cs="Arial"/>
            <w:sz w:val="24"/>
            <w:szCs w:val="24"/>
          </w:rPr>
          <w:t>riniariyana28@gmail.com</w:t>
        </w:r>
      </w:hyperlink>
      <w:r w:rsidRPr="00B756C9">
        <w:rPr>
          <w:rFonts w:ascii="Arial" w:hAnsi="Arial" w:cs="Arial"/>
          <w:sz w:val="24"/>
          <w:szCs w:val="24"/>
        </w:rPr>
        <w:t xml:space="preserve"> </w:t>
      </w:r>
      <w:r w:rsidRPr="00B756C9">
        <w:rPr>
          <w:rFonts w:ascii="Arial" w:hAnsi="Arial" w:cs="Arial"/>
          <w:sz w:val="24"/>
          <w:szCs w:val="24"/>
          <w:vertAlign w:val="superscript"/>
        </w:rPr>
        <w:t>2</w:t>
      </w:r>
      <w:hyperlink r:id="rId8" w:history="1">
        <w:r w:rsidRPr="00B756C9">
          <w:rPr>
            <w:rStyle w:val="Hyperlink"/>
            <w:rFonts w:ascii="Arial" w:hAnsi="Arial" w:cs="Arial"/>
            <w:sz w:val="24"/>
            <w:szCs w:val="24"/>
          </w:rPr>
          <w:t>bayu@mercubuana-yogya.ac.id</w:t>
        </w:r>
      </w:hyperlink>
    </w:p>
    <w:p w14:paraId="06EA9022" w14:textId="77777777" w:rsidR="00031C49" w:rsidRPr="00B756C9" w:rsidRDefault="00031C49" w:rsidP="00833E5C">
      <w:pPr>
        <w:spacing w:line="240" w:lineRule="auto"/>
        <w:jc w:val="center"/>
        <w:rPr>
          <w:rFonts w:ascii="Arial" w:hAnsi="Arial" w:cs="Arial"/>
          <w:b/>
          <w:sz w:val="24"/>
          <w:szCs w:val="24"/>
        </w:rPr>
      </w:pPr>
    </w:p>
    <w:p w14:paraId="6FA8123C" w14:textId="77777777" w:rsidR="00031C49" w:rsidRPr="00B756C9" w:rsidRDefault="00031C49" w:rsidP="00833E5C">
      <w:pPr>
        <w:spacing w:line="240" w:lineRule="auto"/>
        <w:jc w:val="center"/>
        <w:rPr>
          <w:rFonts w:ascii="Arial" w:hAnsi="Arial" w:cs="Arial"/>
          <w:b/>
          <w:sz w:val="24"/>
          <w:szCs w:val="24"/>
        </w:rPr>
      </w:pPr>
      <w:r w:rsidRPr="00B756C9">
        <w:rPr>
          <w:rFonts w:ascii="Arial" w:hAnsi="Arial" w:cs="Arial"/>
          <w:b/>
          <w:sz w:val="24"/>
          <w:szCs w:val="24"/>
        </w:rPr>
        <w:t>ABSTRACT</w:t>
      </w:r>
    </w:p>
    <w:p w14:paraId="1DD0763E" w14:textId="2E2EA930" w:rsidR="00031C49" w:rsidRPr="00DD555A" w:rsidRDefault="00031C49" w:rsidP="00833E5C">
      <w:pPr>
        <w:spacing w:line="240" w:lineRule="auto"/>
        <w:jc w:val="both"/>
        <w:rPr>
          <w:rFonts w:ascii="Arial" w:hAnsi="Arial" w:cs="Arial"/>
          <w:sz w:val="24"/>
          <w:szCs w:val="24"/>
        </w:rPr>
      </w:pPr>
      <w:r w:rsidRPr="00B756C9">
        <w:rPr>
          <w:rFonts w:ascii="Arial" w:hAnsi="Arial" w:cs="Arial"/>
          <w:sz w:val="24"/>
          <w:szCs w:val="24"/>
        </w:rPr>
        <w:t>Companies that experience delays in submitting audited financial reports in Indonesia have increased, until 9 May 2022 there were 91 issuers who received written warning I for not submitting financial reports.</w:t>
      </w:r>
      <w:r w:rsidR="008550C6">
        <w:rPr>
          <w:rFonts w:ascii="Arial" w:hAnsi="Arial" w:cs="Arial"/>
          <w:sz w:val="24"/>
          <w:szCs w:val="24"/>
        </w:rPr>
        <w:t xml:space="preserve"> Finding out how profitability, solvency, and liquidity affected audit delays was the aim of this study</w:t>
      </w:r>
      <w:r w:rsidRPr="00E6129B">
        <w:rPr>
          <w:rFonts w:ascii="Arial" w:hAnsi="Arial" w:cs="Arial"/>
          <w:sz w:val="24"/>
          <w:szCs w:val="24"/>
        </w:rPr>
        <w:t>.</w:t>
      </w:r>
      <w:r w:rsidRPr="00B756C9">
        <w:rPr>
          <w:rFonts w:ascii="Arial" w:hAnsi="Arial" w:cs="Arial"/>
          <w:sz w:val="24"/>
          <w:szCs w:val="24"/>
        </w:rPr>
        <w:t xml:space="preserve"> The theory used in this study uses agency theory.</w:t>
      </w:r>
      <w:r w:rsidR="00E904C2">
        <w:rPr>
          <w:rFonts w:ascii="Arial" w:hAnsi="Arial" w:cs="Arial"/>
          <w:sz w:val="24"/>
          <w:szCs w:val="24"/>
          <w:lang w:val="en-US"/>
        </w:rPr>
        <w:t xml:space="preserve"> </w:t>
      </w:r>
      <w:r w:rsidR="007014BB">
        <w:rPr>
          <w:rFonts w:ascii="Arial" w:hAnsi="Arial" w:cs="Arial"/>
          <w:sz w:val="24"/>
          <w:szCs w:val="24"/>
          <w:lang w:val="en-US"/>
        </w:rPr>
        <w:t xml:space="preserve">The selection of the samples was deliberate, </w:t>
      </w:r>
      <w:r w:rsidR="007014BB" w:rsidRPr="00B161CE">
        <w:rPr>
          <w:rFonts w:ascii="Arial" w:hAnsi="Arial" w:cs="Arial"/>
          <w:sz w:val="24"/>
          <w:szCs w:val="24"/>
          <w:lang w:val="en-US"/>
        </w:rPr>
        <w:t>invo</w:t>
      </w:r>
      <w:r w:rsidR="00B161CE" w:rsidRPr="00B161CE">
        <w:rPr>
          <w:rFonts w:ascii="Arial" w:hAnsi="Arial" w:cs="Arial"/>
          <w:sz w:val="24"/>
          <w:szCs w:val="24"/>
        </w:rPr>
        <w:t>l</w:t>
      </w:r>
      <w:r w:rsidR="007014BB" w:rsidRPr="00B161CE">
        <w:rPr>
          <w:rFonts w:ascii="Arial" w:hAnsi="Arial" w:cs="Arial"/>
          <w:sz w:val="24"/>
          <w:szCs w:val="24"/>
          <w:lang w:val="en-US"/>
        </w:rPr>
        <w:t>ving</w:t>
      </w:r>
      <w:r w:rsidR="007014BB">
        <w:rPr>
          <w:rFonts w:ascii="Arial" w:hAnsi="Arial" w:cs="Arial"/>
          <w:sz w:val="24"/>
          <w:szCs w:val="24"/>
          <w:lang w:val="en-US"/>
        </w:rPr>
        <w:t xml:space="preserve"> 36 companies from various sectors such as </w:t>
      </w:r>
      <w:r w:rsidR="004B5DDF" w:rsidRPr="007014BB">
        <w:rPr>
          <w:rFonts w:ascii="Arial" w:hAnsi="Arial" w:cs="Arial"/>
          <w:sz w:val="24"/>
          <w:szCs w:val="24"/>
        </w:rPr>
        <w:t>consumer cyclicals</w:t>
      </w:r>
      <w:r w:rsidR="008679FF">
        <w:rPr>
          <w:rFonts w:ascii="Arial" w:hAnsi="Arial" w:cs="Arial"/>
          <w:sz w:val="24"/>
          <w:szCs w:val="24"/>
        </w:rPr>
        <w:t xml:space="preserve">, property </w:t>
      </w:r>
      <w:r w:rsidR="007014BB" w:rsidRPr="007014BB">
        <w:rPr>
          <w:rFonts w:ascii="Arial" w:hAnsi="Arial" w:cs="Arial"/>
          <w:sz w:val="24"/>
          <w:szCs w:val="24"/>
        </w:rPr>
        <w:t xml:space="preserve">&amp; real estate, energy, consumer non-cyclicals, and industrial sectors </w:t>
      </w:r>
      <w:r w:rsidR="004B5DDF" w:rsidRPr="007014BB">
        <w:rPr>
          <w:rFonts w:ascii="Arial" w:hAnsi="Arial" w:cs="Arial"/>
          <w:sz w:val="24"/>
          <w:szCs w:val="24"/>
        </w:rPr>
        <w:t>listed on Indonesia's Stock Exchange between 2020 and 2021</w:t>
      </w:r>
      <w:r w:rsidR="004B5DDF" w:rsidRPr="00DD555A">
        <w:rPr>
          <w:rFonts w:ascii="Arial" w:hAnsi="Arial" w:cs="Arial"/>
          <w:sz w:val="24"/>
          <w:szCs w:val="24"/>
        </w:rPr>
        <w:t>.</w:t>
      </w:r>
      <w:r w:rsidR="00B224FB" w:rsidRPr="00DD555A">
        <w:rPr>
          <w:rFonts w:ascii="Arial" w:hAnsi="Arial" w:cs="Arial"/>
          <w:sz w:val="24"/>
          <w:szCs w:val="24"/>
          <w:lang w:val="en-US"/>
        </w:rPr>
        <w:t xml:space="preserve"> </w:t>
      </w:r>
      <w:r w:rsidR="00CA460D">
        <w:rPr>
          <w:rFonts w:ascii="Arial" w:hAnsi="Arial" w:cs="Arial"/>
          <w:sz w:val="24"/>
          <w:szCs w:val="24"/>
        </w:rPr>
        <w:t xml:space="preserve">The study utilized several data analytic techniques, namely </w:t>
      </w:r>
      <w:r w:rsidR="00CA460D" w:rsidRPr="00CA460D">
        <w:rPr>
          <w:rFonts w:ascii="Arial" w:hAnsi="Arial" w:cs="Arial"/>
          <w:sz w:val="24"/>
          <w:szCs w:val="24"/>
        </w:rPr>
        <w:t>m</w:t>
      </w:r>
      <w:r w:rsidR="008550C6" w:rsidRPr="00CA460D">
        <w:rPr>
          <w:rFonts w:ascii="Arial" w:hAnsi="Arial" w:cs="Arial"/>
          <w:sz w:val="24"/>
          <w:szCs w:val="24"/>
        </w:rPr>
        <w:t>ultiple linear regression analy</w:t>
      </w:r>
      <w:r w:rsidR="00CA460D" w:rsidRPr="00CA460D">
        <w:rPr>
          <w:rFonts w:ascii="Arial" w:hAnsi="Arial" w:cs="Arial"/>
          <w:sz w:val="24"/>
          <w:szCs w:val="24"/>
        </w:rPr>
        <w:t xml:space="preserve">sis, the F test, and the t test. </w:t>
      </w:r>
      <w:r w:rsidRPr="00CA460D">
        <w:rPr>
          <w:rFonts w:ascii="Arial" w:hAnsi="Arial" w:cs="Arial"/>
          <w:sz w:val="24"/>
          <w:szCs w:val="24"/>
        </w:rPr>
        <w:t>Audit delay</w:t>
      </w:r>
      <w:r w:rsidR="000B674F" w:rsidRPr="00CA460D">
        <w:rPr>
          <w:rFonts w:ascii="Arial" w:hAnsi="Arial" w:cs="Arial"/>
          <w:sz w:val="24"/>
          <w:szCs w:val="24"/>
        </w:rPr>
        <w:t xml:space="preserve"> was </w:t>
      </w:r>
      <w:r w:rsidRPr="00CA460D">
        <w:rPr>
          <w:rFonts w:ascii="Arial" w:hAnsi="Arial" w:cs="Arial"/>
          <w:sz w:val="24"/>
          <w:szCs w:val="24"/>
        </w:rPr>
        <w:t xml:space="preserve">used as the dependent variable while the independent variables consist of </w:t>
      </w:r>
      <w:r w:rsidRPr="000770CB">
        <w:rPr>
          <w:rFonts w:ascii="Arial" w:hAnsi="Arial" w:cs="Arial"/>
          <w:sz w:val="24"/>
          <w:szCs w:val="24"/>
        </w:rPr>
        <w:t xml:space="preserve">profitability, solvency and liquidity. </w:t>
      </w:r>
      <w:r w:rsidR="00105E8A">
        <w:rPr>
          <w:rFonts w:ascii="Arial" w:hAnsi="Arial" w:cs="Arial"/>
          <w:sz w:val="24"/>
          <w:szCs w:val="24"/>
        </w:rPr>
        <w:t xml:space="preserve">Solvency positively impacted audit delay, and profitability, liquidity, and solvency simultaneously impacted it. </w:t>
      </w:r>
      <w:r w:rsidRPr="00B756C9">
        <w:rPr>
          <w:rFonts w:ascii="Arial" w:hAnsi="Arial" w:cs="Arial"/>
          <w:sz w:val="24"/>
          <w:szCs w:val="24"/>
        </w:rPr>
        <w:t>Companies must pay attention to the timeliness of submitting audited financial reports to avoid asymmetric information and reduce the relevance of information in financial reports.</w:t>
      </w:r>
    </w:p>
    <w:p w14:paraId="6154F878" w14:textId="77777777" w:rsidR="00031C49" w:rsidRPr="00B756C9" w:rsidRDefault="00031C49" w:rsidP="00833E5C">
      <w:pPr>
        <w:spacing w:line="240" w:lineRule="auto"/>
        <w:jc w:val="both"/>
        <w:rPr>
          <w:rFonts w:ascii="Arial" w:hAnsi="Arial" w:cs="Arial"/>
          <w:sz w:val="24"/>
          <w:szCs w:val="24"/>
        </w:rPr>
      </w:pPr>
      <w:r w:rsidRPr="00B756C9">
        <w:rPr>
          <w:rFonts w:ascii="Arial" w:hAnsi="Arial" w:cs="Arial"/>
          <w:b/>
          <w:sz w:val="24"/>
          <w:szCs w:val="24"/>
        </w:rPr>
        <w:t>Keywords</w:t>
      </w:r>
      <w:r w:rsidRPr="00B756C9">
        <w:rPr>
          <w:rFonts w:ascii="Arial" w:hAnsi="Arial" w:cs="Arial"/>
          <w:sz w:val="24"/>
          <w:szCs w:val="24"/>
        </w:rPr>
        <w:t>: Audit delay, Profitability, Solvency, Liquidity</w:t>
      </w:r>
    </w:p>
    <w:p w14:paraId="13CD0C88"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46F69">
        <w:rPr>
          <w:rFonts w:ascii="Arial" w:hAnsi="Arial" w:cs="Arial"/>
          <w:b/>
          <w:bCs/>
          <w:color w:val="000000"/>
          <w:sz w:val="24"/>
          <w:szCs w:val="24"/>
        </w:rPr>
        <w:t xml:space="preserve">INTRODUCTION </w:t>
      </w:r>
    </w:p>
    <w:p w14:paraId="3C667754" w14:textId="2BCE7E09" w:rsidR="00EA5810" w:rsidRPr="00B756C9" w:rsidRDefault="00B46F69" w:rsidP="00833E5C">
      <w:pPr>
        <w:pStyle w:val="NoSpacing"/>
        <w:jc w:val="both"/>
        <w:rPr>
          <w:rFonts w:ascii="Arial" w:hAnsi="Arial" w:cs="Arial"/>
          <w:sz w:val="24"/>
          <w:szCs w:val="24"/>
        </w:rPr>
      </w:pPr>
      <w:r w:rsidRPr="00B756C9">
        <w:rPr>
          <w:rFonts w:ascii="Arial" w:hAnsi="Arial" w:cs="Arial"/>
          <w:sz w:val="24"/>
          <w:szCs w:val="24"/>
        </w:rPr>
        <w:tab/>
      </w:r>
      <w:r w:rsidR="00CA460D">
        <w:rPr>
          <w:rFonts w:ascii="Arial" w:hAnsi="Arial" w:cs="Arial"/>
          <w:sz w:val="24"/>
          <w:szCs w:val="24"/>
        </w:rPr>
        <w:t xml:space="preserve">After the conclusion of the fiscal year, it is imperative that all entities listed in the Indonesia Stock Exchange (IDX) furnish audited financial statements within a period of no more than ninety days. </w:t>
      </w:r>
      <w:r w:rsidRPr="00B756C9">
        <w:rPr>
          <w:rFonts w:ascii="Arial" w:hAnsi="Arial" w:cs="Arial"/>
          <w:sz w:val="24"/>
          <w:szCs w:val="24"/>
        </w:rPr>
        <w:t>The IDX announced that as of May 9, 2022, 91 issuers had received written warning I for not submitting audited financial reports as of Decemb</w:t>
      </w:r>
      <w:r w:rsidR="00B161CE">
        <w:rPr>
          <w:rFonts w:ascii="Arial" w:hAnsi="Arial" w:cs="Arial"/>
          <w:sz w:val="24"/>
          <w:szCs w:val="24"/>
        </w:rPr>
        <w:t xml:space="preserve">er 31, 2021. Based on Figure 2, </w:t>
      </w:r>
      <w:r w:rsidRPr="00B756C9">
        <w:rPr>
          <w:rFonts w:ascii="Arial" w:hAnsi="Arial" w:cs="Arial"/>
          <w:sz w:val="24"/>
          <w:szCs w:val="24"/>
        </w:rPr>
        <w:t xml:space="preserve">it can be seen that the average sector </w:t>
      </w:r>
      <w:r w:rsidRPr="00B161CE">
        <w:rPr>
          <w:rFonts w:ascii="Arial" w:hAnsi="Arial" w:cs="Arial"/>
          <w:sz w:val="24"/>
          <w:szCs w:val="24"/>
        </w:rPr>
        <w:t>with</w:t>
      </w:r>
      <w:r w:rsidRPr="00B756C9">
        <w:rPr>
          <w:rFonts w:ascii="Arial" w:hAnsi="Arial" w:cs="Arial"/>
          <w:sz w:val="24"/>
          <w:szCs w:val="24"/>
        </w:rPr>
        <w:t xml:space="preserve"> the most delays over the past five years is the consumer cyclicals sector, property and real estate, the energy sector, th</w:t>
      </w:r>
      <w:r w:rsidR="00B161CE">
        <w:rPr>
          <w:rFonts w:ascii="Arial" w:hAnsi="Arial" w:cs="Arial"/>
          <w:sz w:val="24"/>
          <w:szCs w:val="24"/>
        </w:rPr>
        <w:t xml:space="preserve">e consumer non-cyclicals sector, </w:t>
      </w:r>
      <w:r w:rsidRPr="00B756C9">
        <w:rPr>
          <w:rFonts w:ascii="Arial" w:hAnsi="Arial" w:cs="Arial"/>
          <w:sz w:val="24"/>
          <w:szCs w:val="24"/>
        </w:rPr>
        <w:t>and the industrial sector. Delay in submitting financial reports due to the period of completion of the audit exceeding the deadline set by the Financial Services Authority is called audit delay.</w:t>
      </w:r>
    </w:p>
    <w:p w14:paraId="41FC94A7" w14:textId="77777777" w:rsidR="00EA5810" w:rsidRPr="00B756C9" w:rsidRDefault="00EA5810" w:rsidP="00833E5C">
      <w:pPr>
        <w:pStyle w:val="NoSpacing"/>
        <w:jc w:val="both"/>
        <w:rPr>
          <w:rFonts w:ascii="Arial" w:hAnsi="Arial" w:cs="Arial"/>
          <w:sz w:val="24"/>
          <w:szCs w:val="24"/>
        </w:rPr>
      </w:pPr>
      <w:r w:rsidRPr="00B756C9">
        <w:rPr>
          <w:rFonts w:ascii="Arial" w:hAnsi="Arial" w:cs="Arial"/>
          <w:noProof/>
          <w:sz w:val="24"/>
          <w:szCs w:val="24"/>
          <w:lang w:eastAsia="id-ID"/>
        </w:rPr>
        <w:drawing>
          <wp:inline distT="0" distB="0" distL="0" distR="0" wp14:anchorId="00FF67C0" wp14:editId="613BF1DC">
            <wp:extent cx="5711825" cy="1571625"/>
            <wp:effectExtent l="0" t="0" r="317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F9AEB" w14:textId="77777777" w:rsidR="00EA5810" w:rsidRPr="00B756C9" w:rsidRDefault="00EA5810" w:rsidP="00833E5C">
      <w:pPr>
        <w:pStyle w:val="Default"/>
        <w:jc w:val="center"/>
      </w:pPr>
      <w:r w:rsidRPr="00B756C9">
        <w:t>Figure 1. Chart of Delay in Submitting Financial Statements</w:t>
      </w:r>
    </w:p>
    <w:p w14:paraId="4A46F174" w14:textId="77777777" w:rsidR="00EA5810" w:rsidRPr="00B756C9" w:rsidRDefault="00EA5810" w:rsidP="00833E5C">
      <w:pPr>
        <w:pStyle w:val="NoSpacing"/>
        <w:jc w:val="center"/>
        <w:rPr>
          <w:rFonts w:ascii="Arial" w:hAnsi="Arial" w:cs="Arial"/>
          <w:sz w:val="24"/>
          <w:szCs w:val="24"/>
        </w:rPr>
      </w:pPr>
      <w:r w:rsidRPr="00B756C9">
        <w:rPr>
          <w:rFonts w:ascii="Arial" w:hAnsi="Arial" w:cs="Arial"/>
          <w:sz w:val="24"/>
          <w:szCs w:val="24"/>
        </w:rPr>
        <w:t xml:space="preserve">Source : </w:t>
      </w:r>
      <w:hyperlink r:id="rId10" w:history="1">
        <w:r w:rsidRPr="00B756C9">
          <w:rPr>
            <w:rStyle w:val="Hyperlink"/>
            <w:rFonts w:ascii="Arial" w:hAnsi="Arial" w:cs="Arial"/>
            <w:sz w:val="24"/>
            <w:szCs w:val="24"/>
          </w:rPr>
          <w:t>www.idx.co.id</w:t>
        </w:r>
      </w:hyperlink>
      <w:r w:rsidRPr="00B756C9">
        <w:rPr>
          <w:rFonts w:ascii="Arial" w:hAnsi="Arial" w:cs="Arial"/>
          <w:sz w:val="24"/>
          <w:szCs w:val="24"/>
        </w:rPr>
        <w:t xml:space="preserve"> data processed (2022)</w:t>
      </w:r>
    </w:p>
    <w:p w14:paraId="1EA9BEF1" w14:textId="77777777" w:rsidR="00EA5810" w:rsidRPr="00B756C9" w:rsidRDefault="00EA5810" w:rsidP="00833E5C">
      <w:pPr>
        <w:pStyle w:val="NoSpacing"/>
        <w:jc w:val="center"/>
        <w:rPr>
          <w:rFonts w:ascii="Arial" w:hAnsi="Arial" w:cs="Arial"/>
          <w:sz w:val="24"/>
          <w:szCs w:val="24"/>
        </w:rPr>
      </w:pPr>
      <w:r w:rsidRPr="00B756C9">
        <w:rPr>
          <w:rFonts w:ascii="Arial" w:hAnsi="Arial" w:cs="Arial"/>
          <w:noProof/>
          <w:sz w:val="24"/>
          <w:szCs w:val="24"/>
          <w:lang w:eastAsia="id-ID"/>
        </w:rPr>
        <w:lastRenderedPageBreak/>
        <w:drawing>
          <wp:inline distT="0" distB="0" distL="0" distR="0" wp14:anchorId="53BA7F35" wp14:editId="1E3C081D">
            <wp:extent cx="5610225" cy="2381250"/>
            <wp:effectExtent l="0" t="0" r="9525" b="0"/>
            <wp:docPr id="2" name="Chart 2" title="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EE82F" w14:textId="77777777" w:rsidR="00EA5810" w:rsidRPr="00B756C9" w:rsidRDefault="00EA5810" w:rsidP="00833E5C">
      <w:pPr>
        <w:pStyle w:val="NoSpacing"/>
        <w:jc w:val="both"/>
        <w:rPr>
          <w:rFonts w:ascii="Arial" w:hAnsi="Arial" w:cs="Arial"/>
          <w:sz w:val="24"/>
          <w:szCs w:val="24"/>
        </w:rPr>
      </w:pPr>
    </w:p>
    <w:p w14:paraId="63EE3B99" w14:textId="77777777" w:rsidR="001D5BFB" w:rsidRPr="00B756C9" w:rsidRDefault="001D5BFB" w:rsidP="00833E5C">
      <w:pPr>
        <w:pStyle w:val="Default"/>
        <w:jc w:val="center"/>
      </w:pPr>
      <w:r w:rsidRPr="00B756C9">
        <w:t xml:space="preserve">Figure 2. </w:t>
      </w:r>
      <w:r w:rsidRPr="004D31FB">
        <w:rPr>
          <w:iCs/>
        </w:rPr>
        <w:t>Audit Delay</w:t>
      </w:r>
      <w:r w:rsidRPr="00B756C9">
        <w:rPr>
          <w:i/>
          <w:iCs/>
        </w:rPr>
        <w:t xml:space="preserve"> </w:t>
      </w:r>
      <w:r w:rsidRPr="00B756C9">
        <w:t>Chart Based on Company Sector</w:t>
      </w:r>
    </w:p>
    <w:p w14:paraId="45714568" w14:textId="77777777" w:rsidR="001D5BFB" w:rsidRPr="00B756C9" w:rsidRDefault="001D5BFB" w:rsidP="00833E5C">
      <w:pPr>
        <w:pStyle w:val="NoSpacing"/>
        <w:jc w:val="center"/>
        <w:rPr>
          <w:rFonts w:ascii="Arial" w:hAnsi="Arial" w:cs="Arial"/>
          <w:sz w:val="24"/>
          <w:szCs w:val="24"/>
        </w:rPr>
      </w:pPr>
      <w:r w:rsidRPr="00B756C9">
        <w:rPr>
          <w:rFonts w:ascii="Arial" w:hAnsi="Arial" w:cs="Arial"/>
          <w:sz w:val="24"/>
          <w:szCs w:val="24"/>
        </w:rPr>
        <w:t xml:space="preserve">Source : </w:t>
      </w:r>
      <w:hyperlink r:id="rId12" w:history="1">
        <w:r w:rsidRPr="00B756C9">
          <w:rPr>
            <w:rStyle w:val="Hyperlink"/>
            <w:rFonts w:ascii="Arial" w:hAnsi="Arial" w:cs="Arial"/>
            <w:sz w:val="24"/>
            <w:szCs w:val="24"/>
          </w:rPr>
          <w:t>www.idx.co.id</w:t>
        </w:r>
      </w:hyperlink>
      <w:r w:rsidRPr="00B756C9">
        <w:rPr>
          <w:rFonts w:ascii="Arial" w:hAnsi="Arial" w:cs="Arial"/>
          <w:sz w:val="24"/>
          <w:szCs w:val="24"/>
        </w:rPr>
        <w:t xml:space="preserve"> data processed (2022)</w:t>
      </w:r>
    </w:p>
    <w:p w14:paraId="4278BEBE" w14:textId="5AEF0C9C" w:rsidR="00146348" w:rsidRDefault="00B46F69" w:rsidP="00833E5C">
      <w:pPr>
        <w:pStyle w:val="NoSpacing"/>
        <w:jc w:val="both"/>
        <w:rPr>
          <w:rFonts w:ascii="Arial" w:hAnsi="Arial" w:cs="Arial"/>
          <w:sz w:val="24"/>
          <w:szCs w:val="24"/>
        </w:rPr>
      </w:pPr>
      <w:r w:rsidRPr="00B756C9">
        <w:rPr>
          <w:rFonts w:ascii="Arial" w:hAnsi="Arial" w:cs="Arial"/>
          <w:sz w:val="24"/>
          <w:szCs w:val="24"/>
        </w:rPr>
        <w:tab/>
      </w:r>
      <w:r w:rsidR="00A3240D" w:rsidRPr="00A3240D">
        <w:rPr>
          <w:rFonts w:ascii="Arial" w:hAnsi="Arial" w:cs="Arial"/>
          <w:sz w:val="24"/>
          <w:szCs w:val="24"/>
        </w:rPr>
        <w:t>The causes of audit delays can be seen in terms of financial ratios that are profitability, solvency and liquidity</w:t>
      </w:r>
      <w:r w:rsidR="00B40C42">
        <w:rPr>
          <w:rFonts w:ascii="Arial" w:hAnsi="Arial" w:cs="Arial"/>
          <w:sz w:val="24"/>
          <w:szCs w:val="24"/>
          <w:lang w:val="en-US"/>
        </w:rPr>
        <w:t xml:space="preserve">. </w:t>
      </w:r>
      <w:r w:rsidR="00B40C42" w:rsidRPr="00B40C42">
        <w:rPr>
          <w:rFonts w:ascii="Arial" w:hAnsi="Arial" w:cs="Arial"/>
          <w:sz w:val="24"/>
          <w:szCs w:val="24"/>
        </w:rPr>
        <w:t>Profitability assesses the company’s capacity to earn income.</w:t>
      </w:r>
      <w:r w:rsidR="00B40C42">
        <w:rPr>
          <w:rFonts w:ascii="Arial" w:hAnsi="Arial" w:cs="Arial"/>
          <w:sz w:val="24"/>
          <w:szCs w:val="24"/>
        </w:rPr>
        <w:t xml:space="preserve"> </w:t>
      </w:r>
      <w:r w:rsidRPr="00B756C9">
        <w:rPr>
          <w:rFonts w:ascii="Arial" w:hAnsi="Arial" w:cs="Arial"/>
          <w:sz w:val="24"/>
          <w:szCs w:val="24"/>
        </w:rPr>
        <w:t>Profitability affects audit delay in a positive direction, longer audit delays tend to occur in companies that have high profitability (Kristanti &amp; Mulya, 2021). Different results according to (Putri et al., 2022)</w:t>
      </w:r>
      <w:r w:rsidR="00146348">
        <w:rPr>
          <w:rFonts w:ascii="Arial" w:hAnsi="Arial" w:cs="Arial"/>
          <w:sz w:val="24"/>
          <w:szCs w:val="24"/>
          <w:lang w:val="en-US"/>
        </w:rPr>
        <w:t xml:space="preserve"> </w:t>
      </w:r>
      <w:r w:rsidR="00146348" w:rsidRPr="004E7A28">
        <w:rPr>
          <w:rFonts w:ascii="Arial" w:hAnsi="Arial" w:cs="Arial"/>
          <w:sz w:val="24"/>
          <w:szCs w:val="24"/>
        </w:rPr>
        <w:t xml:space="preserve">that profitability has a negative effect on audit delay. However, research (Murtini et al., 2022) suggests that profitability has no effect on audit delay because all companies are required to file their audit reports on time. </w:t>
      </w:r>
      <w:r w:rsidR="00A614FB" w:rsidRPr="004E7A28">
        <w:rPr>
          <w:rFonts w:ascii="Arial" w:hAnsi="Arial" w:cs="Arial"/>
          <w:sz w:val="24"/>
          <w:szCs w:val="24"/>
        </w:rPr>
        <w:t>Management will strive to prevent delays as</w:t>
      </w:r>
      <w:r w:rsidR="00A614FB">
        <w:rPr>
          <w:rFonts w:ascii="Arial" w:hAnsi="Arial" w:cs="Arial"/>
          <w:sz w:val="24"/>
          <w:szCs w:val="24"/>
        </w:rPr>
        <w:t xml:space="preserve"> the company may face penalties or fines for tardiness.</w:t>
      </w:r>
    </w:p>
    <w:p w14:paraId="4E7CBDCE" w14:textId="222E74C0" w:rsidR="00B46F69" w:rsidRPr="00146348" w:rsidRDefault="00146348" w:rsidP="00833E5C">
      <w:pPr>
        <w:pStyle w:val="NoSpacing"/>
        <w:jc w:val="both"/>
        <w:rPr>
          <w:rFonts w:ascii="Arial" w:hAnsi="Arial" w:cs="Arial"/>
          <w:sz w:val="24"/>
          <w:szCs w:val="24"/>
        </w:rPr>
      </w:pPr>
      <w:r>
        <w:rPr>
          <w:rFonts w:ascii="Arial" w:hAnsi="Arial" w:cs="Arial"/>
          <w:sz w:val="24"/>
          <w:szCs w:val="24"/>
        </w:rPr>
        <w:tab/>
      </w:r>
      <w:r w:rsidR="00CA6BAE" w:rsidRPr="00CA6BAE">
        <w:rPr>
          <w:rFonts w:ascii="Arial" w:hAnsi="Arial" w:cs="Arial"/>
          <w:sz w:val="24"/>
          <w:szCs w:val="24"/>
        </w:rPr>
        <w:t xml:space="preserve">The ability of a </w:t>
      </w:r>
      <w:r w:rsidR="00CA6BAE" w:rsidRPr="00282C3D">
        <w:rPr>
          <w:rFonts w:ascii="Arial" w:hAnsi="Arial" w:cs="Arial"/>
          <w:sz w:val="24"/>
          <w:szCs w:val="24"/>
        </w:rPr>
        <w:t>bussines</w:t>
      </w:r>
      <w:r w:rsidR="00282C3D" w:rsidRPr="00282C3D">
        <w:rPr>
          <w:rFonts w:ascii="Arial" w:hAnsi="Arial" w:cs="Arial"/>
          <w:sz w:val="24"/>
          <w:szCs w:val="24"/>
        </w:rPr>
        <w:t>s</w:t>
      </w:r>
      <w:r w:rsidR="00CA6BAE" w:rsidRPr="00CA6BAE">
        <w:rPr>
          <w:rFonts w:ascii="Arial" w:hAnsi="Arial" w:cs="Arial"/>
          <w:sz w:val="24"/>
          <w:szCs w:val="24"/>
        </w:rPr>
        <w:t xml:space="preserve"> to settle all of its debts is known as its solvency. </w:t>
      </w:r>
      <w:r w:rsidR="00CA6BAE" w:rsidRPr="00CA6BAE">
        <w:rPr>
          <w:rFonts w:ascii="Arial" w:hAnsi="Arial" w:cs="Arial"/>
          <w:color w:val="000000"/>
          <w:sz w:val="24"/>
          <w:szCs w:val="24"/>
        </w:rPr>
        <w:t>Audit delay is significantly influenced by solvency</w:t>
      </w:r>
      <w:r w:rsidR="00B46F69" w:rsidRPr="00CA6BAE">
        <w:rPr>
          <w:rFonts w:ascii="Arial" w:hAnsi="Arial" w:cs="Arial"/>
          <w:color w:val="000000"/>
          <w:sz w:val="24"/>
          <w:szCs w:val="24"/>
        </w:rPr>
        <w:t>,</w:t>
      </w:r>
      <w:r w:rsidR="00B46F69" w:rsidRPr="00B46F69">
        <w:rPr>
          <w:rFonts w:ascii="Arial" w:hAnsi="Arial" w:cs="Arial"/>
          <w:color w:val="000000"/>
          <w:sz w:val="24"/>
          <w:szCs w:val="24"/>
        </w:rPr>
        <w:t xml:space="preserve"> higher solv</w:t>
      </w:r>
      <w:r w:rsidR="00282C3D">
        <w:rPr>
          <w:rFonts w:ascii="Arial" w:hAnsi="Arial" w:cs="Arial"/>
          <w:color w:val="000000"/>
          <w:sz w:val="24"/>
          <w:szCs w:val="24"/>
        </w:rPr>
        <w:t>ency causes a longer audit delay;</w:t>
      </w:r>
      <w:r w:rsidR="00B46F69" w:rsidRPr="00B46F69">
        <w:rPr>
          <w:rFonts w:ascii="Arial" w:hAnsi="Arial" w:cs="Arial"/>
          <w:i/>
          <w:iCs/>
          <w:color w:val="000000"/>
          <w:sz w:val="24"/>
          <w:szCs w:val="24"/>
        </w:rPr>
        <w:t xml:space="preserve"> </w:t>
      </w:r>
      <w:r w:rsidR="00B46F69" w:rsidRPr="00B46F69">
        <w:rPr>
          <w:rFonts w:ascii="Arial" w:hAnsi="Arial" w:cs="Arial"/>
          <w:color w:val="000000"/>
          <w:sz w:val="24"/>
          <w:szCs w:val="24"/>
        </w:rPr>
        <w:t xml:space="preserve">on the other hand, </w:t>
      </w:r>
      <w:r w:rsidR="00B46F69" w:rsidRPr="004D31FB">
        <w:rPr>
          <w:rFonts w:ascii="Arial" w:hAnsi="Arial" w:cs="Arial"/>
          <w:iCs/>
          <w:color w:val="000000"/>
          <w:sz w:val="24"/>
          <w:szCs w:val="24"/>
        </w:rPr>
        <w:t>audit delay</w:t>
      </w:r>
      <w:r w:rsidR="00B46F69" w:rsidRPr="00282C3D">
        <w:rPr>
          <w:rFonts w:ascii="Arial" w:hAnsi="Arial" w:cs="Arial"/>
          <w:iCs/>
          <w:color w:val="000000"/>
          <w:sz w:val="24"/>
          <w:szCs w:val="24"/>
        </w:rPr>
        <w:t xml:space="preserve"> is</w:t>
      </w:r>
      <w:r w:rsidR="00B46F69" w:rsidRPr="00B46F69">
        <w:rPr>
          <w:rFonts w:ascii="Arial" w:hAnsi="Arial" w:cs="Arial"/>
          <w:i/>
          <w:iCs/>
          <w:color w:val="000000"/>
          <w:sz w:val="24"/>
          <w:szCs w:val="24"/>
        </w:rPr>
        <w:t xml:space="preserve"> </w:t>
      </w:r>
      <w:r w:rsidR="00B46F69" w:rsidRPr="00B46F69">
        <w:rPr>
          <w:rFonts w:ascii="Arial" w:hAnsi="Arial" w:cs="Arial"/>
          <w:color w:val="000000"/>
          <w:sz w:val="24"/>
          <w:szCs w:val="24"/>
        </w:rPr>
        <w:t xml:space="preserve">faster when solvency is lower (Rahman, 2021). However, research conducted by (Harianto &amp; Saputra, 2022) shows that there is no influence between solvency on </w:t>
      </w:r>
      <w:r w:rsidR="00B46F69" w:rsidRPr="004D31FB">
        <w:rPr>
          <w:rFonts w:ascii="Arial" w:hAnsi="Arial" w:cs="Arial"/>
          <w:iCs/>
          <w:color w:val="000000"/>
          <w:sz w:val="24"/>
          <w:szCs w:val="24"/>
        </w:rPr>
        <w:t>audit delay</w:t>
      </w:r>
      <w:r w:rsidR="00B46F69" w:rsidRPr="00B46F69">
        <w:rPr>
          <w:rFonts w:ascii="Arial" w:hAnsi="Arial" w:cs="Arial"/>
          <w:i/>
          <w:iCs/>
          <w:color w:val="000000"/>
          <w:sz w:val="24"/>
          <w:szCs w:val="24"/>
        </w:rPr>
        <w:t xml:space="preserve"> </w:t>
      </w:r>
      <w:r w:rsidR="00B46F69" w:rsidRPr="00B46F69">
        <w:rPr>
          <w:rFonts w:ascii="Arial" w:hAnsi="Arial" w:cs="Arial"/>
          <w:color w:val="000000"/>
          <w:sz w:val="24"/>
          <w:szCs w:val="24"/>
        </w:rPr>
        <w:t xml:space="preserve">because even though companies with high debt are at high risk, during the assignment the auditor will show his professional attitude. </w:t>
      </w:r>
    </w:p>
    <w:p w14:paraId="228A5444"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756C9">
        <w:rPr>
          <w:rFonts w:ascii="Arial" w:hAnsi="Arial" w:cs="Arial"/>
          <w:color w:val="000000"/>
          <w:sz w:val="24"/>
          <w:szCs w:val="24"/>
        </w:rPr>
        <w:tab/>
      </w:r>
      <w:r w:rsidRPr="00B46F69">
        <w:rPr>
          <w:rFonts w:ascii="Arial" w:hAnsi="Arial" w:cs="Arial"/>
          <w:color w:val="000000"/>
          <w:sz w:val="24"/>
          <w:szCs w:val="24"/>
        </w:rPr>
        <w:t xml:space="preserve">Liquidity is a ratio to determine how capable the company is in paying short-term debt. According to (Chairani et al., 2019) liquidity affects </w:t>
      </w:r>
      <w:r w:rsidRPr="004D31FB">
        <w:rPr>
          <w:rFonts w:ascii="Arial" w:hAnsi="Arial" w:cs="Arial"/>
          <w:iCs/>
          <w:color w:val="000000"/>
          <w:sz w:val="24"/>
          <w:szCs w:val="24"/>
        </w:rPr>
        <w:t>audit delay</w:t>
      </w:r>
      <w:r w:rsidRPr="00B46F69">
        <w:rPr>
          <w:rFonts w:ascii="Arial" w:hAnsi="Arial" w:cs="Arial"/>
          <w:i/>
          <w:iCs/>
          <w:color w:val="000000"/>
          <w:sz w:val="24"/>
          <w:szCs w:val="24"/>
        </w:rPr>
        <w:t xml:space="preserve"> </w:t>
      </w:r>
      <w:r w:rsidRPr="00B46F69">
        <w:rPr>
          <w:rFonts w:ascii="Arial" w:hAnsi="Arial" w:cs="Arial"/>
          <w:color w:val="000000"/>
          <w:sz w:val="24"/>
          <w:szCs w:val="24"/>
        </w:rPr>
        <w:t xml:space="preserve">but is not significant with a positive relationship direction. In contrast to (Melosa &amp; Rohman, 2022) which states that there is no significant effect of liquidity on </w:t>
      </w:r>
      <w:r w:rsidRPr="004D31FB">
        <w:rPr>
          <w:rFonts w:ascii="Arial" w:hAnsi="Arial" w:cs="Arial"/>
          <w:iCs/>
          <w:color w:val="000000"/>
          <w:sz w:val="24"/>
          <w:szCs w:val="24"/>
        </w:rPr>
        <w:t>audit delay</w:t>
      </w:r>
      <w:r w:rsidRPr="00B46F69">
        <w:rPr>
          <w:rFonts w:ascii="Arial" w:hAnsi="Arial" w:cs="Arial"/>
          <w:i/>
          <w:iCs/>
          <w:color w:val="000000"/>
          <w:sz w:val="24"/>
          <w:szCs w:val="24"/>
        </w:rPr>
        <w:t xml:space="preserve"> </w:t>
      </w:r>
      <w:r w:rsidRPr="00B46F69">
        <w:rPr>
          <w:rFonts w:ascii="Arial" w:hAnsi="Arial" w:cs="Arial"/>
          <w:color w:val="000000"/>
          <w:sz w:val="24"/>
          <w:szCs w:val="24"/>
        </w:rPr>
        <w:t xml:space="preserve">because liquidity only describes the issuer's ability to pay short-term debt, but not the total debt so that it cannot determine the short length of audit time. </w:t>
      </w:r>
    </w:p>
    <w:p w14:paraId="2FCF72AC" w14:textId="29A0DD87" w:rsidR="00B46F69" w:rsidRPr="006568D9" w:rsidRDefault="00B46F69" w:rsidP="00833E5C">
      <w:pPr>
        <w:spacing w:line="240" w:lineRule="auto"/>
        <w:jc w:val="both"/>
        <w:rPr>
          <w:rFonts w:ascii="Arial" w:hAnsi="Arial" w:cs="Arial"/>
          <w:color w:val="000000"/>
          <w:sz w:val="24"/>
          <w:szCs w:val="24"/>
        </w:rPr>
      </w:pPr>
      <w:r w:rsidRPr="00B756C9">
        <w:rPr>
          <w:rFonts w:ascii="Arial" w:hAnsi="Arial" w:cs="Arial"/>
          <w:color w:val="000000"/>
          <w:sz w:val="24"/>
          <w:szCs w:val="24"/>
        </w:rPr>
        <w:tab/>
        <w:t xml:space="preserve">There have been many studies on the topic of </w:t>
      </w:r>
      <w:r w:rsidRPr="004D31FB">
        <w:rPr>
          <w:rFonts w:ascii="Arial" w:hAnsi="Arial" w:cs="Arial"/>
          <w:iCs/>
          <w:color w:val="000000"/>
          <w:sz w:val="24"/>
          <w:szCs w:val="24"/>
        </w:rPr>
        <w:t>audit delay</w:t>
      </w:r>
      <w:r w:rsidRPr="00B756C9">
        <w:rPr>
          <w:rFonts w:ascii="Arial" w:hAnsi="Arial" w:cs="Arial"/>
          <w:color w:val="000000"/>
          <w:sz w:val="24"/>
          <w:szCs w:val="24"/>
        </w:rPr>
        <w:t>, but</w:t>
      </w:r>
      <w:r w:rsidR="003B5330">
        <w:rPr>
          <w:rFonts w:ascii="Arial" w:hAnsi="Arial" w:cs="Arial"/>
          <w:color w:val="000000"/>
          <w:sz w:val="24"/>
          <w:szCs w:val="24"/>
        </w:rPr>
        <w:t xml:space="preserve"> it appears that the results of </w:t>
      </w:r>
      <w:r w:rsidRPr="00B756C9">
        <w:rPr>
          <w:rFonts w:ascii="Arial" w:hAnsi="Arial" w:cs="Arial"/>
          <w:color w:val="000000"/>
          <w:sz w:val="24"/>
          <w:szCs w:val="24"/>
        </w:rPr>
        <w:t xml:space="preserve">research between one another have not shown any consistency. Previous research combines many internal variables with external variables of the company, while this study focuses more on internal factors based on the point of view of financial ratios. Other research focuses on one company sector only, while this research was conducted on five company sectors that experienced the most </w:t>
      </w:r>
      <w:r w:rsidRPr="004D31FB">
        <w:rPr>
          <w:rFonts w:ascii="Arial" w:hAnsi="Arial" w:cs="Arial"/>
          <w:iCs/>
          <w:color w:val="000000"/>
          <w:sz w:val="24"/>
          <w:szCs w:val="24"/>
        </w:rPr>
        <w:t>audit delay</w:t>
      </w:r>
      <w:r w:rsidRPr="00B756C9">
        <w:rPr>
          <w:rFonts w:ascii="Arial" w:hAnsi="Arial" w:cs="Arial"/>
          <w:color w:val="000000"/>
          <w:sz w:val="24"/>
          <w:szCs w:val="24"/>
        </w:rPr>
        <w:t xml:space="preserve">. </w:t>
      </w:r>
      <w:r w:rsidR="006568D9" w:rsidRPr="006568D9">
        <w:rPr>
          <w:rFonts w:ascii="Arial" w:hAnsi="Arial" w:cs="Arial"/>
          <w:color w:val="000000"/>
          <w:sz w:val="24"/>
          <w:szCs w:val="24"/>
        </w:rPr>
        <w:t>In addition, this study took the period 2020-2021 because during that time the Covid-19 pandemic outbreak occurred.</w:t>
      </w:r>
      <w:r w:rsidR="006568D9">
        <w:rPr>
          <w:rFonts w:ascii="Arial" w:hAnsi="Arial" w:cs="Arial"/>
          <w:color w:val="000000"/>
          <w:sz w:val="24"/>
          <w:szCs w:val="24"/>
          <w:lang w:val="en-US"/>
        </w:rPr>
        <w:t xml:space="preserve"> </w:t>
      </w:r>
      <w:r w:rsidRPr="00B756C9">
        <w:rPr>
          <w:rFonts w:ascii="Arial" w:hAnsi="Arial" w:cs="Arial"/>
          <w:color w:val="000000"/>
          <w:sz w:val="24"/>
          <w:szCs w:val="24"/>
        </w:rPr>
        <w:t xml:space="preserve">The above reasons motivate the author to examine the "Determination of </w:t>
      </w:r>
      <w:r w:rsidRPr="004D31FB">
        <w:rPr>
          <w:rFonts w:ascii="Arial" w:hAnsi="Arial" w:cs="Arial"/>
          <w:iCs/>
          <w:color w:val="000000"/>
          <w:sz w:val="24"/>
          <w:szCs w:val="24"/>
        </w:rPr>
        <w:t>Audit Delay</w:t>
      </w:r>
      <w:r w:rsidRPr="00B756C9">
        <w:rPr>
          <w:rFonts w:ascii="Arial" w:hAnsi="Arial" w:cs="Arial"/>
          <w:i/>
          <w:iCs/>
          <w:color w:val="000000"/>
          <w:sz w:val="24"/>
          <w:szCs w:val="24"/>
        </w:rPr>
        <w:t xml:space="preserve"> </w:t>
      </w:r>
      <w:r w:rsidRPr="00B756C9">
        <w:rPr>
          <w:rFonts w:ascii="Arial" w:hAnsi="Arial" w:cs="Arial"/>
          <w:color w:val="000000"/>
          <w:sz w:val="24"/>
          <w:szCs w:val="24"/>
        </w:rPr>
        <w:t xml:space="preserve">from the Perspective of Financial Statement Ratios in Indonesia for the 2020-2021 Period" with the aim of knowing whether profitability, solvency and liquidity affect </w:t>
      </w:r>
      <w:r w:rsidRPr="004D31FB">
        <w:rPr>
          <w:rFonts w:ascii="Arial" w:hAnsi="Arial" w:cs="Arial"/>
          <w:iCs/>
          <w:color w:val="000000"/>
          <w:sz w:val="24"/>
          <w:szCs w:val="24"/>
        </w:rPr>
        <w:t>audit delay.</w:t>
      </w:r>
    </w:p>
    <w:p w14:paraId="446EEC47"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46F69">
        <w:rPr>
          <w:rFonts w:ascii="Arial" w:hAnsi="Arial" w:cs="Arial"/>
          <w:b/>
          <w:bCs/>
          <w:color w:val="000000"/>
          <w:sz w:val="24"/>
          <w:szCs w:val="24"/>
        </w:rPr>
        <w:lastRenderedPageBreak/>
        <w:t xml:space="preserve">THEORETICAL BASIS AND HYPOTHESIS DEVELOPMENT </w:t>
      </w:r>
    </w:p>
    <w:p w14:paraId="6E6B37AE"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46F69">
        <w:rPr>
          <w:rFonts w:ascii="Arial" w:hAnsi="Arial" w:cs="Arial"/>
          <w:b/>
          <w:bCs/>
          <w:color w:val="000000"/>
          <w:sz w:val="24"/>
          <w:szCs w:val="24"/>
        </w:rPr>
        <w:t xml:space="preserve">Agency Theory </w:t>
      </w:r>
    </w:p>
    <w:p w14:paraId="224410E3" w14:textId="02CF2E88"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756C9">
        <w:rPr>
          <w:rFonts w:ascii="Arial" w:hAnsi="Arial" w:cs="Arial"/>
          <w:color w:val="000000"/>
          <w:sz w:val="24"/>
          <w:szCs w:val="24"/>
        </w:rPr>
        <w:tab/>
      </w:r>
      <w:r w:rsidRPr="00B46F69">
        <w:rPr>
          <w:rFonts w:ascii="Arial" w:hAnsi="Arial" w:cs="Arial"/>
          <w:color w:val="000000"/>
          <w:sz w:val="24"/>
          <w:szCs w:val="24"/>
        </w:rPr>
        <w:t xml:space="preserve">Agency theory by (Jansen &amp; Meckling, 1976) explains the relationship between management as </w:t>
      </w:r>
      <w:r w:rsidRPr="00B46F69">
        <w:rPr>
          <w:rFonts w:ascii="Arial" w:hAnsi="Arial" w:cs="Arial"/>
          <w:i/>
          <w:iCs/>
          <w:color w:val="000000"/>
          <w:sz w:val="24"/>
          <w:szCs w:val="24"/>
        </w:rPr>
        <w:t xml:space="preserve">agents </w:t>
      </w:r>
      <w:r w:rsidRPr="00B46F69">
        <w:rPr>
          <w:rFonts w:ascii="Arial" w:hAnsi="Arial" w:cs="Arial"/>
          <w:color w:val="000000"/>
          <w:sz w:val="24"/>
          <w:szCs w:val="24"/>
        </w:rPr>
        <w:t xml:space="preserve">and owners as </w:t>
      </w:r>
      <w:r w:rsidRPr="00B46F69">
        <w:rPr>
          <w:rFonts w:ascii="Arial" w:hAnsi="Arial" w:cs="Arial"/>
          <w:i/>
          <w:iCs/>
          <w:color w:val="000000"/>
          <w:sz w:val="24"/>
          <w:szCs w:val="24"/>
        </w:rPr>
        <w:t>principals</w:t>
      </w:r>
      <w:r w:rsidRPr="00B46F69">
        <w:rPr>
          <w:rFonts w:ascii="Arial" w:hAnsi="Arial" w:cs="Arial"/>
          <w:color w:val="000000"/>
          <w:sz w:val="24"/>
          <w:szCs w:val="24"/>
        </w:rPr>
        <w:t xml:space="preserve">. </w:t>
      </w:r>
      <w:r w:rsidR="001D5C41" w:rsidRPr="00B46F69">
        <w:rPr>
          <w:rFonts w:ascii="Arial" w:hAnsi="Arial" w:cs="Arial"/>
          <w:i/>
          <w:iCs/>
          <w:color w:val="000000"/>
          <w:sz w:val="24"/>
          <w:szCs w:val="24"/>
        </w:rPr>
        <w:t xml:space="preserve">Principals </w:t>
      </w:r>
      <w:r w:rsidR="001D5C41" w:rsidRPr="00B46F69">
        <w:rPr>
          <w:rFonts w:ascii="Arial" w:hAnsi="Arial" w:cs="Arial"/>
          <w:color w:val="000000"/>
          <w:sz w:val="24"/>
          <w:szCs w:val="24"/>
        </w:rPr>
        <w:t>give authority to manage the company to management</w:t>
      </w:r>
      <w:r w:rsidR="001D5C41" w:rsidRPr="00B46F69">
        <w:rPr>
          <w:rFonts w:ascii="Arial" w:hAnsi="Arial" w:cs="Arial"/>
          <w:i/>
          <w:iCs/>
          <w:color w:val="000000"/>
          <w:sz w:val="24"/>
          <w:szCs w:val="24"/>
        </w:rPr>
        <w:t xml:space="preserve">. </w:t>
      </w:r>
      <w:r w:rsidR="001D5C41">
        <w:rPr>
          <w:rFonts w:ascii="Arial" w:hAnsi="Arial" w:cs="Arial"/>
          <w:color w:val="000000"/>
          <w:sz w:val="24"/>
          <w:szCs w:val="24"/>
        </w:rPr>
        <w:t xml:space="preserve">Management has the responsibility to </w:t>
      </w:r>
      <w:r w:rsidR="00FF39E1">
        <w:rPr>
          <w:rFonts w:ascii="Arial" w:hAnsi="Arial" w:cs="Arial"/>
          <w:color w:val="000000"/>
          <w:sz w:val="24"/>
          <w:szCs w:val="24"/>
        </w:rPr>
        <w:t>owners with information by means of dissemi</w:t>
      </w:r>
      <w:r w:rsidR="0039750F">
        <w:rPr>
          <w:rFonts w:ascii="Arial" w:hAnsi="Arial" w:cs="Arial"/>
          <w:color w:val="000000"/>
          <w:sz w:val="24"/>
          <w:szCs w:val="24"/>
        </w:rPr>
        <w:t xml:space="preserve">nation of financial statements. Financial reporting must be done on time in order to prevent conflicts brought on by incomplete or asymmetric information. </w:t>
      </w:r>
      <w:r w:rsidRPr="00B46F69">
        <w:rPr>
          <w:rFonts w:ascii="Arial" w:hAnsi="Arial" w:cs="Arial"/>
          <w:color w:val="000000"/>
          <w:sz w:val="24"/>
          <w:szCs w:val="24"/>
        </w:rPr>
        <w:t xml:space="preserve">This is because management has more detailed information about the internal company than the </w:t>
      </w:r>
      <w:r w:rsidRPr="00B46F69">
        <w:rPr>
          <w:rFonts w:ascii="Arial" w:hAnsi="Arial" w:cs="Arial"/>
          <w:i/>
          <w:iCs/>
          <w:color w:val="000000"/>
          <w:sz w:val="24"/>
          <w:szCs w:val="24"/>
        </w:rPr>
        <w:t xml:space="preserve">principals. </w:t>
      </w:r>
      <w:r w:rsidRPr="00B46F69">
        <w:rPr>
          <w:rFonts w:ascii="Arial" w:hAnsi="Arial" w:cs="Arial"/>
          <w:color w:val="000000"/>
          <w:sz w:val="24"/>
          <w:szCs w:val="24"/>
        </w:rPr>
        <w:t xml:space="preserve">As a result, manipulation or covering up information in the financial statements is very likely to be carried out by the </w:t>
      </w:r>
      <w:r w:rsidRPr="00B46F69">
        <w:rPr>
          <w:rFonts w:ascii="Arial" w:hAnsi="Arial" w:cs="Arial"/>
          <w:i/>
          <w:iCs/>
          <w:color w:val="000000"/>
          <w:sz w:val="24"/>
          <w:szCs w:val="24"/>
        </w:rPr>
        <w:t>agent</w:t>
      </w:r>
      <w:r w:rsidRPr="00B46F69">
        <w:rPr>
          <w:rFonts w:ascii="Arial" w:hAnsi="Arial" w:cs="Arial"/>
          <w:color w:val="000000"/>
          <w:sz w:val="24"/>
          <w:szCs w:val="24"/>
        </w:rPr>
        <w:t xml:space="preserve">. The audit committee uses this theory to mediate the conflict of interest so that the time span for completing the </w:t>
      </w:r>
      <w:r w:rsidRPr="00B46F69">
        <w:rPr>
          <w:rFonts w:ascii="Arial" w:hAnsi="Arial" w:cs="Arial"/>
          <w:i/>
          <w:iCs/>
          <w:color w:val="000000"/>
          <w:sz w:val="24"/>
          <w:szCs w:val="24"/>
        </w:rPr>
        <w:t xml:space="preserve">audit </w:t>
      </w:r>
      <w:r w:rsidRPr="00B46F69">
        <w:rPr>
          <w:rFonts w:ascii="Arial" w:hAnsi="Arial" w:cs="Arial"/>
          <w:color w:val="000000"/>
          <w:sz w:val="24"/>
          <w:szCs w:val="24"/>
        </w:rPr>
        <w:t>does not experience a delay (</w:t>
      </w:r>
      <w:r w:rsidRPr="004D31FB">
        <w:rPr>
          <w:rFonts w:ascii="Arial" w:hAnsi="Arial" w:cs="Arial"/>
          <w:iCs/>
          <w:color w:val="000000"/>
          <w:sz w:val="24"/>
          <w:szCs w:val="24"/>
        </w:rPr>
        <w:t>audit delay</w:t>
      </w:r>
      <w:r w:rsidRPr="004D31FB">
        <w:rPr>
          <w:rFonts w:ascii="Arial" w:hAnsi="Arial" w:cs="Arial"/>
          <w:color w:val="000000"/>
          <w:sz w:val="24"/>
          <w:szCs w:val="24"/>
        </w:rPr>
        <w:t>).</w:t>
      </w:r>
      <w:r w:rsidRPr="00B46F69">
        <w:rPr>
          <w:rFonts w:ascii="Arial" w:hAnsi="Arial" w:cs="Arial"/>
          <w:color w:val="000000"/>
          <w:sz w:val="24"/>
          <w:szCs w:val="24"/>
        </w:rPr>
        <w:t xml:space="preserve"> </w:t>
      </w:r>
    </w:p>
    <w:p w14:paraId="2848A5EA" w14:textId="77777777" w:rsidR="00B46F69" w:rsidRPr="00B756C9" w:rsidRDefault="00B46F69" w:rsidP="00833E5C">
      <w:pPr>
        <w:autoSpaceDE w:val="0"/>
        <w:autoSpaceDN w:val="0"/>
        <w:adjustRightInd w:val="0"/>
        <w:spacing w:after="0" w:line="240" w:lineRule="auto"/>
        <w:jc w:val="both"/>
        <w:rPr>
          <w:rFonts w:ascii="Arial" w:hAnsi="Arial" w:cs="Arial"/>
          <w:b/>
          <w:bCs/>
          <w:color w:val="000000"/>
          <w:sz w:val="24"/>
          <w:szCs w:val="24"/>
        </w:rPr>
      </w:pPr>
    </w:p>
    <w:p w14:paraId="0611C67F" w14:textId="2C4F1CED" w:rsidR="00B46F69" w:rsidRPr="00B46F69" w:rsidRDefault="003619F9" w:rsidP="00833E5C">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The </w:t>
      </w:r>
      <w:r w:rsidR="00B46F69" w:rsidRPr="00B46F69">
        <w:rPr>
          <w:rFonts w:ascii="Arial" w:hAnsi="Arial" w:cs="Arial"/>
          <w:b/>
          <w:bCs/>
          <w:color w:val="000000"/>
          <w:sz w:val="24"/>
          <w:szCs w:val="24"/>
        </w:rPr>
        <w:t xml:space="preserve">Effect of Profitability on </w:t>
      </w:r>
      <w:r w:rsidR="00B46F69" w:rsidRPr="004D31FB">
        <w:rPr>
          <w:rFonts w:ascii="Arial" w:hAnsi="Arial" w:cs="Arial"/>
          <w:b/>
          <w:bCs/>
          <w:iCs/>
          <w:color w:val="000000"/>
          <w:sz w:val="24"/>
          <w:szCs w:val="24"/>
        </w:rPr>
        <w:t xml:space="preserve">Audit Delay </w:t>
      </w:r>
    </w:p>
    <w:p w14:paraId="72F8AA5C"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756C9">
        <w:rPr>
          <w:rFonts w:ascii="Arial" w:hAnsi="Arial" w:cs="Arial"/>
          <w:i/>
          <w:iCs/>
          <w:color w:val="000000"/>
          <w:sz w:val="24"/>
          <w:szCs w:val="24"/>
        </w:rPr>
        <w:tab/>
      </w:r>
      <w:r w:rsidRPr="00B46F69">
        <w:rPr>
          <w:rFonts w:ascii="Arial" w:hAnsi="Arial" w:cs="Arial"/>
          <w:i/>
          <w:iCs/>
          <w:color w:val="000000"/>
          <w:sz w:val="24"/>
          <w:szCs w:val="24"/>
        </w:rPr>
        <w:t xml:space="preserve">Agents </w:t>
      </w:r>
      <w:r w:rsidRPr="00B46F69">
        <w:rPr>
          <w:rFonts w:ascii="Arial" w:hAnsi="Arial" w:cs="Arial"/>
          <w:color w:val="000000"/>
          <w:sz w:val="24"/>
          <w:szCs w:val="24"/>
        </w:rPr>
        <w:t xml:space="preserve">will try to submit financial reports immediately when there is information about high profits so that </w:t>
      </w:r>
      <w:r w:rsidRPr="00B46F69">
        <w:rPr>
          <w:rFonts w:ascii="Arial" w:hAnsi="Arial" w:cs="Arial"/>
          <w:i/>
          <w:iCs/>
          <w:color w:val="000000"/>
          <w:sz w:val="24"/>
          <w:szCs w:val="24"/>
        </w:rPr>
        <w:t xml:space="preserve">principals </w:t>
      </w:r>
      <w:r w:rsidRPr="00B46F69">
        <w:rPr>
          <w:rFonts w:ascii="Arial" w:hAnsi="Arial" w:cs="Arial"/>
          <w:color w:val="000000"/>
          <w:sz w:val="24"/>
          <w:szCs w:val="24"/>
        </w:rPr>
        <w:t xml:space="preserve">immediately announce the amount of bonuses to be given. A high level of profitability is good information in the form of high profits in the company, when this happens the company tends to be on time to disseminate the good news. Supported by (Dewi &amp; Wahyuni, 2021) that high profitability will minimize </w:t>
      </w:r>
      <w:r w:rsidRPr="00626BED">
        <w:rPr>
          <w:rFonts w:ascii="Arial" w:hAnsi="Arial" w:cs="Arial"/>
          <w:iCs/>
          <w:color w:val="000000"/>
          <w:sz w:val="24"/>
          <w:szCs w:val="24"/>
        </w:rPr>
        <w:t xml:space="preserve">audit delay </w:t>
      </w:r>
      <w:r w:rsidRPr="00B46F69">
        <w:rPr>
          <w:rFonts w:ascii="Arial" w:hAnsi="Arial" w:cs="Arial"/>
          <w:color w:val="000000"/>
          <w:sz w:val="24"/>
          <w:szCs w:val="24"/>
        </w:rPr>
        <w:t xml:space="preserve">because good news in the form of high profits will trigger auditors to speed up their audit work. Research (Gustini, 2020) also states that there is a significant effect on profitability with </w:t>
      </w:r>
      <w:r w:rsidRPr="00626BED">
        <w:rPr>
          <w:rFonts w:ascii="Arial" w:hAnsi="Arial" w:cs="Arial"/>
          <w:iCs/>
          <w:color w:val="000000"/>
          <w:sz w:val="24"/>
          <w:szCs w:val="24"/>
        </w:rPr>
        <w:t>audit delay</w:t>
      </w:r>
      <w:r w:rsidRPr="00B46F69">
        <w:rPr>
          <w:rFonts w:ascii="Arial" w:hAnsi="Arial" w:cs="Arial"/>
          <w:color w:val="000000"/>
          <w:sz w:val="24"/>
          <w:szCs w:val="24"/>
        </w:rPr>
        <w:t xml:space="preserve">. Companies that generate high profits will have a low </w:t>
      </w:r>
      <w:r w:rsidRPr="00626BED">
        <w:rPr>
          <w:rFonts w:ascii="Arial" w:hAnsi="Arial" w:cs="Arial"/>
          <w:iCs/>
          <w:color w:val="000000"/>
          <w:sz w:val="24"/>
          <w:szCs w:val="24"/>
        </w:rPr>
        <w:t>audit delay</w:t>
      </w:r>
      <w:r w:rsidRPr="00B46F69">
        <w:rPr>
          <w:rFonts w:ascii="Arial" w:hAnsi="Arial" w:cs="Arial"/>
          <w:color w:val="000000"/>
          <w:sz w:val="24"/>
          <w:szCs w:val="24"/>
        </w:rPr>
        <w:t xml:space="preserve">, on the other hand, loss-making companies tend to have a long </w:t>
      </w:r>
      <w:r w:rsidRPr="00626BED">
        <w:rPr>
          <w:rFonts w:ascii="Arial" w:hAnsi="Arial" w:cs="Arial"/>
          <w:iCs/>
          <w:color w:val="000000"/>
          <w:sz w:val="24"/>
          <w:szCs w:val="24"/>
        </w:rPr>
        <w:t>audit delay</w:t>
      </w:r>
      <w:r w:rsidRPr="00B46F69">
        <w:rPr>
          <w:rFonts w:ascii="Arial" w:hAnsi="Arial" w:cs="Arial"/>
          <w:i/>
          <w:iCs/>
          <w:color w:val="000000"/>
          <w:sz w:val="24"/>
          <w:szCs w:val="24"/>
        </w:rPr>
        <w:t xml:space="preserve">. </w:t>
      </w:r>
      <w:r w:rsidRPr="00B46F69">
        <w:rPr>
          <w:rFonts w:ascii="Arial" w:hAnsi="Arial" w:cs="Arial"/>
          <w:color w:val="000000"/>
          <w:sz w:val="24"/>
          <w:szCs w:val="24"/>
        </w:rPr>
        <w:t xml:space="preserve">(Hutauruk S, 2022). </w:t>
      </w:r>
    </w:p>
    <w:p w14:paraId="48AC7C6A"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46F69">
        <w:rPr>
          <w:rFonts w:ascii="Arial" w:hAnsi="Arial" w:cs="Arial"/>
          <w:color w:val="000000"/>
          <w:sz w:val="24"/>
          <w:szCs w:val="24"/>
        </w:rPr>
        <w:t xml:space="preserve">H1 : Profitability has a negative effect on </w:t>
      </w:r>
      <w:r w:rsidRPr="00626BED">
        <w:rPr>
          <w:rFonts w:ascii="Arial" w:hAnsi="Arial" w:cs="Arial"/>
          <w:iCs/>
          <w:color w:val="000000"/>
          <w:sz w:val="24"/>
          <w:szCs w:val="24"/>
        </w:rPr>
        <w:t>audit delay</w:t>
      </w:r>
      <w:r w:rsidRPr="00B46F69">
        <w:rPr>
          <w:rFonts w:ascii="Arial" w:hAnsi="Arial" w:cs="Arial"/>
          <w:i/>
          <w:iCs/>
          <w:color w:val="000000"/>
          <w:sz w:val="24"/>
          <w:szCs w:val="24"/>
        </w:rPr>
        <w:t xml:space="preserve"> </w:t>
      </w:r>
    </w:p>
    <w:p w14:paraId="1C2DC50D" w14:textId="77777777" w:rsidR="00B46F69" w:rsidRPr="00B756C9" w:rsidRDefault="00B46F69" w:rsidP="00833E5C">
      <w:pPr>
        <w:autoSpaceDE w:val="0"/>
        <w:autoSpaceDN w:val="0"/>
        <w:adjustRightInd w:val="0"/>
        <w:spacing w:after="0" w:line="240" w:lineRule="auto"/>
        <w:jc w:val="both"/>
        <w:rPr>
          <w:rFonts w:ascii="Arial" w:hAnsi="Arial" w:cs="Arial"/>
          <w:b/>
          <w:bCs/>
          <w:color w:val="000000"/>
          <w:sz w:val="24"/>
          <w:szCs w:val="24"/>
        </w:rPr>
      </w:pPr>
    </w:p>
    <w:p w14:paraId="22ED55B2" w14:textId="77777777" w:rsidR="00B46F69" w:rsidRPr="00B46F69" w:rsidRDefault="00B46F69" w:rsidP="00833E5C">
      <w:pPr>
        <w:autoSpaceDE w:val="0"/>
        <w:autoSpaceDN w:val="0"/>
        <w:adjustRightInd w:val="0"/>
        <w:spacing w:after="0" w:line="240" w:lineRule="auto"/>
        <w:jc w:val="both"/>
        <w:rPr>
          <w:rFonts w:ascii="Arial" w:hAnsi="Arial" w:cs="Arial"/>
          <w:color w:val="000000"/>
          <w:sz w:val="24"/>
          <w:szCs w:val="24"/>
        </w:rPr>
      </w:pPr>
      <w:r w:rsidRPr="00B46F69">
        <w:rPr>
          <w:rFonts w:ascii="Arial" w:hAnsi="Arial" w:cs="Arial"/>
          <w:b/>
          <w:bCs/>
          <w:color w:val="000000"/>
          <w:sz w:val="24"/>
          <w:szCs w:val="24"/>
        </w:rPr>
        <w:t xml:space="preserve">The Effect of Solvency on </w:t>
      </w:r>
      <w:r w:rsidRPr="00B46F69">
        <w:rPr>
          <w:rFonts w:ascii="Arial" w:hAnsi="Arial" w:cs="Arial"/>
          <w:b/>
          <w:bCs/>
          <w:i/>
          <w:iCs/>
          <w:color w:val="000000"/>
          <w:sz w:val="24"/>
          <w:szCs w:val="24"/>
        </w:rPr>
        <w:t xml:space="preserve">Audit Delay </w:t>
      </w:r>
    </w:p>
    <w:p w14:paraId="05FD5C91" w14:textId="08DFCD58" w:rsidR="00B46F69" w:rsidRPr="00D42DB1" w:rsidRDefault="00B46F69" w:rsidP="00833E5C">
      <w:pPr>
        <w:autoSpaceDE w:val="0"/>
        <w:autoSpaceDN w:val="0"/>
        <w:adjustRightInd w:val="0"/>
        <w:spacing w:after="0" w:line="240" w:lineRule="auto"/>
        <w:jc w:val="both"/>
        <w:rPr>
          <w:rFonts w:ascii="Arial" w:hAnsi="Arial" w:cs="Arial"/>
          <w:sz w:val="24"/>
          <w:szCs w:val="24"/>
          <w:lang w:val="en-US"/>
        </w:rPr>
      </w:pPr>
      <w:r w:rsidRPr="00B756C9">
        <w:rPr>
          <w:rFonts w:ascii="Arial" w:hAnsi="Arial" w:cs="Arial"/>
          <w:i/>
          <w:iCs/>
          <w:color w:val="000000"/>
          <w:sz w:val="24"/>
          <w:szCs w:val="24"/>
        </w:rPr>
        <w:tab/>
      </w:r>
      <w:r w:rsidRPr="00B46F69">
        <w:rPr>
          <w:rFonts w:ascii="Arial" w:hAnsi="Arial" w:cs="Arial"/>
          <w:i/>
          <w:iCs/>
          <w:color w:val="000000"/>
          <w:sz w:val="24"/>
          <w:szCs w:val="24"/>
        </w:rPr>
        <w:t xml:space="preserve">Agents </w:t>
      </w:r>
      <w:r w:rsidRPr="00B46F69">
        <w:rPr>
          <w:rFonts w:ascii="Arial" w:hAnsi="Arial" w:cs="Arial"/>
          <w:color w:val="000000"/>
          <w:sz w:val="24"/>
          <w:szCs w:val="24"/>
        </w:rPr>
        <w:t xml:space="preserve">with more detailed information are very likely to commit fraudulent acts by manipulating financial statements or covering important </w:t>
      </w:r>
      <w:r w:rsidRPr="00D42DB1">
        <w:rPr>
          <w:rFonts w:ascii="Arial" w:hAnsi="Arial" w:cs="Arial"/>
          <w:sz w:val="24"/>
          <w:szCs w:val="24"/>
        </w:rPr>
        <w:t>information</w:t>
      </w:r>
      <w:r w:rsidR="00D42DB1" w:rsidRPr="00D42DB1">
        <w:rPr>
          <w:rFonts w:ascii="Arial" w:hAnsi="Arial" w:cs="Arial"/>
          <w:sz w:val="24"/>
          <w:szCs w:val="24"/>
          <w:lang w:val="en-US"/>
        </w:rPr>
        <w:t>.</w:t>
      </w:r>
      <w:r w:rsidR="00D42DB1">
        <w:rPr>
          <w:rFonts w:ascii="Arial" w:hAnsi="Arial" w:cs="Arial"/>
          <w:sz w:val="24"/>
          <w:szCs w:val="24"/>
          <w:lang w:val="en-US"/>
        </w:rPr>
        <w:t xml:space="preserve"> </w:t>
      </w:r>
      <w:r w:rsidR="00FF39E1">
        <w:rPr>
          <w:rFonts w:ascii="Arial" w:hAnsi="Arial" w:cs="Arial"/>
          <w:sz w:val="24"/>
          <w:szCs w:val="24"/>
        </w:rPr>
        <w:t>The capacity to settle all financial obligations of the corporation characterizes so</w:t>
      </w:r>
      <w:r w:rsidR="000E12DA">
        <w:rPr>
          <w:rFonts w:ascii="Arial" w:hAnsi="Arial" w:cs="Arial"/>
          <w:sz w:val="24"/>
          <w:szCs w:val="24"/>
        </w:rPr>
        <w:t>l</w:t>
      </w:r>
      <w:r w:rsidR="00FF39E1">
        <w:rPr>
          <w:rFonts w:ascii="Arial" w:hAnsi="Arial" w:cs="Arial"/>
          <w:sz w:val="24"/>
          <w:szCs w:val="24"/>
        </w:rPr>
        <w:t xml:space="preserve">vency. </w:t>
      </w:r>
      <w:r w:rsidRPr="00B46F69">
        <w:rPr>
          <w:rFonts w:ascii="Arial" w:hAnsi="Arial" w:cs="Arial"/>
          <w:color w:val="000000"/>
          <w:sz w:val="24"/>
          <w:szCs w:val="24"/>
        </w:rPr>
        <w:t xml:space="preserve">High debt is bad news for the company because there is a high risk of default. The high total debt in the company is the cause of the longer audit process (Setyawan, 2020). (Setyawan, 2020). According to (Dewi &amp; Wahyuni, 2021) for companies the high level of DER is bad news so that management will delay the announcement of this bad news by trying to reduce DER as low as possible. This research is supported by (Rahman, 2021) high solvency is bad news in the company because the financial risk of difficulty paying large debts causes </w:t>
      </w:r>
      <w:r w:rsidRPr="00B46F69">
        <w:rPr>
          <w:rFonts w:ascii="Arial" w:hAnsi="Arial" w:cs="Arial"/>
          <w:i/>
          <w:iCs/>
          <w:color w:val="000000"/>
          <w:sz w:val="24"/>
          <w:szCs w:val="24"/>
        </w:rPr>
        <w:t xml:space="preserve">agents to </w:t>
      </w:r>
      <w:r w:rsidRPr="00B46F69">
        <w:rPr>
          <w:rFonts w:ascii="Arial" w:hAnsi="Arial" w:cs="Arial"/>
          <w:color w:val="000000"/>
          <w:sz w:val="24"/>
          <w:szCs w:val="24"/>
        </w:rPr>
        <w:t xml:space="preserve">tend to polish their financial statements. </w:t>
      </w:r>
    </w:p>
    <w:p w14:paraId="63D4E46A" w14:textId="77777777" w:rsidR="00B46F69" w:rsidRPr="00B756C9" w:rsidRDefault="00B46F69" w:rsidP="00833E5C">
      <w:pPr>
        <w:spacing w:line="240" w:lineRule="auto"/>
        <w:jc w:val="both"/>
        <w:rPr>
          <w:rFonts w:ascii="Arial" w:hAnsi="Arial" w:cs="Arial"/>
          <w:i/>
          <w:iCs/>
          <w:color w:val="000000"/>
          <w:sz w:val="24"/>
          <w:szCs w:val="24"/>
        </w:rPr>
      </w:pPr>
      <w:r w:rsidRPr="00B756C9">
        <w:rPr>
          <w:rFonts w:ascii="Arial" w:hAnsi="Arial" w:cs="Arial"/>
          <w:color w:val="000000"/>
          <w:sz w:val="24"/>
          <w:szCs w:val="24"/>
        </w:rPr>
        <w:t xml:space="preserve">H2 : Solvency has a positive effect on </w:t>
      </w:r>
      <w:r w:rsidRPr="00626BED">
        <w:rPr>
          <w:rFonts w:ascii="Arial" w:hAnsi="Arial" w:cs="Arial"/>
          <w:iCs/>
          <w:color w:val="000000"/>
          <w:sz w:val="24"/>
          <w:szCs w:val="24"/>
        </w:rPr>
        <w:t>audit delay</w:t>
      </w:r>
    </w:p>
    <w:p w14:paraId="794BAA1E" w14:textId="7215751B" w:rsidR="00B46F69" w:rsidRPr="00B756C9" w:rsidRDefault="003619F9" w:rsidP="00833E5C">
      <w:pPr>
        <w:pStyle w:val="Default"/>
        <w:rPr>
          <w:color w:val="auto"/>
        </w:rPr>
      </w:pPr>
      <w:r>
        <w:rPr>
          <w:b/>
          <w:bCs/>
          <w:color w:val="auto"/>
        </w:rPr>
        <w:t xml:space="preserve">The </w:t>
      </w:r>
      <w:r w:rsidR="00B46F69" w:rsidRPr="00B756C9">
        <w:rPr>
          <w:b/>
          <w:bCs/>
          <w:color w:val="auto"/>
        </w:rPr>
        <w:t xml:space="preserve">Effect of Liquidity on </w:t>
      </w:r>
      <w:r w:rsidR="00B46F69" w:rsidRPr="00626BED">
        <w:rPr>
          <w:b/>
          <w:bCs/>
          <w:iCs/>
          <w:color w:val="auto"/>
        </w:rPr>
        <w:t xml:space="preserve">Audit Delay </w:t>
      </w:r>
    </w:p>
    <w:p w14:paraId="6EAE6A9F" w14:textId="77777777" w:rsidR="005B4D37" w:rsidRDefault="00B46F69" w:rsidP="00833E5C">
      <w:pPr>
        <w:spacing w:line="240" w:lineRule="auto"/>
        <w:jc w:val="both"/>
        <w:rPr>
          <w:rFonts w:ascii="Arial" w:hAnsi="Arial" w:cs="Arial"/>
          <w:i/>
          <w:iCs/>
          <w:sz w:val="24"/>
          <w:szCs w:val="24"/>
        </w:rPr>
      </w:pPr>
      <w:r w:rsidRPr="00B756C9">
        <w:rPr>
          <w:rFonts w:ascii="Arial" w:hAnsi="Arial" w:cs="Arial"/>
          <w:i/>
          <w:iCs/>
          <w:sz w:val="24"/>
          <w:szCs w:val="24"/>
        </w:rPr>
        <w:tab/>
      </w:r>
      <w:r w:rsidRPr="00CA6BAE">
        <w:rPr>
          <w:rFonts w:ascii="Arial" w:hAnsi="Arial" w:cs="Arial"/>
          <w:iCs/>
          <w:sz w:val="24"/>
          <w:szCs w:val="24"/>
        </w:rPr>
        <w:t xml:space="preserve">Agents </w:t>
      </w:r>
      <w:r w:rsidRPr="00B756C9">
        <w:rPr>
          <w:rFonts w:ascii="Arial" w:hAnsi="Arial" w:cs="Arial"/>
          <w:sz w:val="24"/>
          <w:szCs w:val="24"/>
        </w:rPr>
        <w:t xml:space="preserve">have an obligation to do work in accordance with the interests of </w:t>
      </w:r>
      <w:r w:rsidR="00CA6BAE" w:rsidRPr="00CA6BAE">
        <w:rPr>
          <w:rFonts w:ascii="Arial" w:hAnsi="Arial" w:cs="Arial"/>
          <w:iCs/>
          <w:sz w:val="24"/>
          <w:szCs w:val="24"/>
        </w:rPr>
        <w:t>principals;</w:t>
      </w:r>
      <w:r w:rsidRPr="00B756C9">
        <w:rPr>
          <w:rFonts w:ascii="Arial" w:hAnsi="Arial" w:cs="Arial"/>
          <w:i/>
          <w:iCs/>
          <w:sz w:val="24"/>
          <w:szCs w:val="24"/>
        </w:rPr>
        <w:t xml:space="preserve"> </w:t>
      </w:r>
      <w:r w:rsidRPr="00B756C9">
        <w:rPr>
          <w:rFonts w:ascii="Arial" w:hAnsi="Arial" w:cs="Arial"/>
          <w:sz w:val="24"/>
          <w:szCs w:val="24"/>
        </w:rPr>
        <w:t xml:space="preserve">on the other </w:t>
      </w:r>
      <w:r w:rsidRPr="00CA6BAE">
        <w:rPr>
          <w:rFonts w:ascii="Arial" w:hAnsi="Arial" w:cs="Arial"/>
          <w:sz w:val="24"/>
          <w:szCs w:val="24"/>
        </w:rPr>
        <w:t>hand</w:t>
      </w:r>
      <w:r w:rsidR="00CA6BAE">
        <w:rPr>
          <w:rFonts w:ascii="Arial" w:hAnsi="Arial" w:cs="Arial"/>
          <w:sz w:val="24"/>
          <w:szCs w:val="24"/>
        </w:rPr>
        <w:t xml:space="preserve">, </w:t>
      </w:r>
      <w:r w:rsidRPr="00CA6BAE">
        <w:rPr>
          <w:rFonts w:ascii="Arial" w:hAnsi="Arial" w:cs="Arial"/>
          <w:iCs/>
          <w:sz w:val="24"/>
          <w:szCs w:val="24"/>
        </w:rPr>
        <w:t>principals</w:t>
      </w:r>
      <w:r w:rsidRPr="00B756C9">
        <w:rPr>
          <w:rFonts w:ascii="Arial" w:hAnsi="Arial" w:cs="Arial"/>
          <w:i/>
          <w:iCs/>
          <w:sz w:val="24"/>
          <w:szCs w:val="24"/>
        </w:rPr>
        <w:t xml:space="preserve"> </w:t>
      </w:r>
      <w:r w:rsidRPr="00B756C9">
        <w:rPr>
          <w:rFonts w:ascii="Arial" w:hAnsi="Arial" w:cs="Arial"/>
          <w:sz w:val="24"/>
          <w:szCs w:val="24"/>
        </w:rPr>
        <w:t xml:space="preserve">must also provide intensive in accordance with the rights that </w:t>
      </w:r>
      <w:r w:rsidRPr="00CA6BAE">
        <w:rPr>
          <w:rFonts w:ascii="Arial" w:hAnsi="Arial" w:cs="Arial"/>
          <w:iCs/>
          <w:sz w:val="24"/>
          <w:szCs w:val="24"/>
        </w:rPr>
        <w:t>agents</w:t>
      </w:r>
      <w:r w:rsidRPr="00B756C9">
        <w:rPr>
          <w:rFonts w:ascii="Arial" w:hAnsi="Arial" w:cs="Arial"/>
          <w:i/>
          <w:iCs/>
          <w:sz w:val="24"/>
          <w:szCs w:val="24"/>
        </w:rPr>
        <w:t xml:space="preserve"> </w:t>
      </w:r>
      <w:r w:rsidRPr="00B756C9">
        <w:rPr>
          <w:rFonts w:ascii="Arial" w:hAnsi="Arial" w:cs="Arial"/>
          <w:sz w:val="24"/>
          <w:szCs w:val="24"/>
        </w:rPr>
        <w:t>must receive</w:t>
      </w:r>
      <w:r w:rsidRPr="00B756C9">
        <w:rPr>
          <w:rFonts w:ascii="Arial" w:hAnsi="Arial" w:cs="Arial"/>
          <w:i/>
          <w:iCs/>
          <w:sz w:val="24"/>
          <w:szCs w:val="24"/>
        </w:rPr>
        <w:t xml:space="preserve">. </w:t>
      </w:r>
      <w:r w:rsidRPr="00B756C9">
        <w:rPr>
          <w:rFonts w:ascii="Arial" w:hAnsi="Arial" w:cs="Arial"/>
          <w:sz w:val="24"/>
          <w:szCs w:val="24"/>
        </w:rPr>
        <w:t>Liquidity means a ratio that measures how capable a company is of paying its short-term debt</w:t>
      </w:r>
      <w:r w:rsidR="0021759A">
        <w:rPr>
          <w:rFonts w:ascii="Arial" w:hAnsi="Arial" w:cs="Arial"/>
          <w:sz w:val="24"/>
          <w:szCs w:val="24"/>
          <w:lang w:val="en-US"/>
        </w:rPr>
        <w:t xml:space="preserve">. </w:t>
      </w:r>
      <w:r w:rsidRPr="00B756C9">
        <w:rPr>
          <w:rFonts w:ascii="Arial" w:hAnsi="Arial" w:cs="Arial"/>
          <w:i/>
          <w:iCs/>
          <w:sz w:val="24"/>
          <w:szCs w:val="24"/>
        </w:rPr>
        <w:t xml:space="preserve"> </w:t>
      </w:r>
      <w:r w:rsidR="0021759A" w:rsidRPr="0021759A">
        <w:rPr>
          <w:rFonts w:ascii="Arial" w:hAnsi="Arial" w:cs="Arial"/>
          <w:sz w:val="24"/>
          <w:szCs w:val="24"/>
        </w:rPr>
        <w:t>Higher levels of liquidity characterize good financial conditions, motivating management to quickly submit financial reports to fulfill their responsibilities to owners.</w:t>
      </w:r>
      <w:r w:rsidR="0021759A">
        <w:rPr>
          <w:rFonts w:ascii="Arial" w:hAnsi="Arial" w:cs="Arial"/>
          <w:i/>
          <w:iCs/>
          <w:sz w:val="24"/>
          <w:szCs w:val="24"/>
          <w:lang w:val="en-US"/>
        </w:rPr>
        <w:t xml:space="preserve"> </w:t>
      </w:r>
      <w:r w:rsidRPr="00B756C9">
        <w:rPr>
          <w:rFonts w:ascii="Arial" w:hAnsi="Arial" w:cs="Arial"/>
          <w:sz w:val="24"/>
          <w:szCs w:val="24"/>
        </w:rPr>
        <w:t xml:space="preserve">Therefore, the higher the level of liquidity, the faster the publication of audited reports which will minimize the occurrence of </w:t>
      </w:r>
      <w:r w:rsidRPr="00626BED">
        <w:rPr>
          <w:rFonts w:ascii="Arial" w:hAnsi="Arial" w:cs="Arial"/>
          <w:iCs/>
          <w:sz w:val="24"/>
          <w:szCs w:val="24"/>
        </w:rPr>
        <w:t>audit delay</w:t>
      </w:r>
      <w:r w:rsidRPr="00B756C9">
        <w:rPr>
          <w:rFonts w:ascii="Arial" w:hAnsi="Arial" w:cs="Arial"/>
          <w:sz w:val="24"/>
          <w:szCs w:val="24"/>
        </w:rPr>
        <w:t xml:space="preserve">. Supported by research (Mayndarto &amp; Rosmawati, 2019) which states that liquidity has a significant effect on </w:t>
      </w:r>
      <w:r w:rsidRPr="00626BED">
        <w:rPr>
          <w:rFonts w:ascii="Arial" w:hAnsi="Arial" w:cs="Arial"/>
          <w:iCs/>
          <w:sz w:val="24"/>
          <w:szCs w:val="24"/>
        </w:rPr>
        <w:t>audit delay</w:t>
      </w:r>
      <w:r w:rsidRPr="00B756C9">
        <w:rPr>
          <w:rFonts w:ascii="Arial" w:hAnsi="Arial" w:cs="Arial"/>
          <w:i/>
          <w:iCs/>
          <w:sz w:val="24"/>
          <w:szCs w:val="24"/>
        </w:rPr>
        <w:t>.</w:t>
      </w:r>
    </w:p>
    <w:p w14:paraId="66CA4B84" w14:textId="6456BD70" w:rsidR="00B46F69" w:rsidRPr="00626BED" w:rsidRDefault="00B46F69" w:rsidP="00833E5C">
      <w:pPr>
        <w:spacing w:line="240" w:lineRule="auto"/>
        <w:jc w:val="both"/>
        <w:rPr>
          <w:rFonts w:ascii="Arial" w:hAnsi="Arial" w:cs="Arial"/>
          <w:iCs/>
          <w:sz w:val="24"/>
          <w:szCs w:val="24"/>
        </w:rPr>
      </w:pPr>
      <w:r w:rsidRPr="00B756C9">
        <w:rPr>
          <w:rFonts w:ascii="Arial" w:hAnsi="Arial" w:cs="Arial"/>
          <w:i/>
          <w:iCs/>
          <w:sz w:val="24"/>
          <w:szCs w:val="24"/>
        </w:rPr>
        <w:lastRenderedPageBreak/>
        <w:t xml:space="preserve"> </w:t>
      </w:r>
      <w:r w:rsidRPr="00B756C9">
        <w:rPr>
          <w:rFonts w:ascii="Arial" w:hAnsi="Arial" w:cs="Arial"/>
          <w:sz w:val="24"/>
          <w:szCs w:val="24"/>
        </w:rPr>
        <w:t xml:space="preserve">H3 : Liquidity has a negative effect on </w:t>
      </w:r>
      <w:r w:rsidRPr="00626BED">
        <w:rPr>
          <w:rFonts w:ascii="Arial" w:hAnsi="Arial" w:cs="Arial"/>
          <w:iCs/>
          <w:sz w:val="24"/>
          <w:szCs w:val="24"/>
        </w:rPr>
        <w:t>audit delay.</w:t>
      </w:r>
    </w:p>
    <w:p w14:paraId="79BFE24A" w14:textId="3C3A71D0" w:rsidR="00B46F69" w:rsidRPr="00626BED" w:rsidRDefault="003619F9" w:rsidP="00833E5C">
      <w:pPr>
        <w:pStyle w:val="Default"/>
        <w:jc w:val="both"/>
        <w:rPr>
          <w:color w:val="auto"/>
        </w:rPr>
      </w:pPr>
      <w:r>
        <w:rPr>
          <w:b/>
          <w:bCs/>
          <w:color w:val="auto"/>
        </w:rPr>
        <w:t xml:space="preserve">The </w:t>
      </w:r>
      <w:r w:rsidR="00B46F69" w:rsidRPr="00B756C9">
        <w:rPr>
          <w:b/>
          <w:bCs/>
          <w:color w:val="auto"/>
        </w:rPr>
        <w:t xml:space="preserve">Effect of Profitability, Solvency, Liquidity on </w:t>
      </w:r>
      <w:r w:rsidR="00B46F69" w:rsidRPr="00626BED">
        <w:rPr>
          <w:b/>
          <w:bCs/>
          <w:iCs/>
          <w:color w:val="auto"/>
        </w:rPr>
        <w:t xml:space="preserve">Audit Delay </w:t>
      </w:r>
    </w:p>
    <w:p w14:paraId="51591AD5" w14:textId="379E5A26" w:rsidR="00B46F69" w:rsidRPr="00B756C9" w:rsidRDefault="00B46F69" w:rsidP="00833E5C">
      <w:pPr>
        <w:pStyle w:val="Default"/>
        <w:jc w:val="both"/>
        <w:rPr>
          <w:color w:val="auto"/>
        </w:rPr>
      </w:pPr>
      <w:r w:rsidRPr="00B756C9">
        <w:rPr>
          <w:color w:val="auto"/>
        </w:rPr>
        <w:t xml:space="preserve">Profitability, solvency and liquidity are financial ratios </w:t>
      </w:r>
      <w:r w:rsidR="00FF39E1">
        <w:rPr>
          <w:color w:val="auto"/>
        </w:rPr>
        <w:t xml:space="preserve">found in the financial statements which offer insight into a company’s performance within a designated period. </w:t>
      </w:r>
      <w:r w:rsidR="009B11FA">
        <w:rPr>
          <w:color w:val="auto"/>
        </w:rPr>
        <w:t xml:space="preserve">A favorable ratio signifies that the company”s financial performance is commendable. </w:t>
      </w:r>
      <w:r w:rsidRPr="00B756C9">
        <w:rPr>
          <w:color w:val="auto"/>
        </w:rPr>
        <w:t xml:space="preserve">This good information will motivate management to immediately publish financial reports so as to minimize the risk of delay or </w:t>
      </w:r>
      <w:r w:rsidRPr="00626BED">
        <w:rPr>
          <w:iCs/>
          <w:color w:val="auto"/>
        </w:rPr>
        <w:t>audit delay</w:t>
      </w:r>
      <w:r w:rsidRPr="00B756C9">
        <w:rPr>
          <w:i/>
          <w:iCs/>
          <w:color w:val="auto"/>
        </w:rPr>
        <w:t xml:space="preserve">. </w:t>
      </w:r>
      <w:r w:rsidRPr="00B756C9">
        <w:rPr>
          <w:color w:val="auto"/>
        </w:rPr>
        <w:t xml:space="preserve">This statement supports (Lubis et al., 2019) which states that simultaneously liquidity, solvency, profitability affect </w:t>
      </w:r>
      <w:r w:rsidRPr="00626BED">
        <w:rPr>
          <w:iCs/>
          <w:color w:val="auto"/>
        </w:rPr>
        <w:t>audit delay</w:t>
      </w:r>
      <w:r w:rsidRPr="00B756C9">
        <w:rPr>
          <w:color w:val="auto"/>
        </w:rPr>
        <w:t xml:space="preserve">. </w:t>
      </w:r>
    </w:p>
    <w:p w14:paraId="62673139" w14:textId="77777777" w:rsidR="00B46F69" w:rsidRPr="00626BED" w:rsidRDefault="00B46F69" w:rsidP="00833E5C">
      <w:pPr>
        <w:spacing w:line="240" w:lineRule="auto"/>
        <w:jc w:val="both"/>
        <w:rPr>
          <w:rFonts w:ascii="Arial" w:hAnsi="Arial" w:cs="Arial"/>
          <w:iCs/>
          <w:sz w:val="24"/>
          <w:szCs w:val="24"/>
        </w:rPr>
      </w:pPr>
      <w:r w:rsidRPr="00B756C9">
        <w:rPr>
          <w:rFonts w:ascii="Arial" w:hAnsi="Arial" w:cs="Arial"/>
          <w:sz w:val="24"/>
          <w:szCs w:val="24"/>
        </w:rPr>
        <w:t xml:space="preserve">H4 : Profitability, Solvency, and Liquidity simultaneously affect </w:t>
      </w:r>
      <w:r w:rsidRPr="00626BED">
        <w:rPr>
          <w:rFonts w:ascii="Arial" w:hAnsi="Arial" w:cs="Arial"/>
          <w:iCs/>
          <w:sz w:val="24"/>
          <w:szCs w:val="24"/>
        </w:rPr>
        <w:t>audit delay.</w:t>
      </w:r>
    </w:p>
    <w:p w14:paraId="2BD83B5D" w14:textId="77777777" w:rsidR="00B46F69" w:rsidRDefault="00B46F69" w:rsidP="00833E5C">
      <w:pPr>
        <w:pStyle w:val="Default"/>
        <w:jc w:val="both"/>
        <w:rPr>
          <w:b/>
          <w:bCs/>
        </w:rPr>
      </w:pPr>
      <w:r w:rsidRPr="00B756C9">
        <w:rPr>
          <w:b/>
          <w:bCs/>
        </w:rPr>
        <w:t xml:space="preserve">RESEARCH METHODS </w:t>
      </w:r>
    </w:p>
    <w:p w14:paraId="216A2897" w14:textId="6F739CA7" w:rsidR="00B46F69" w:rsidRPr="00B756C9" w:rsidRDefault="00080CE0" w:rsidP="00833E5C">
      <w:pPr>
        <w:pStyle w:val="Default"/>
        <w:jc w:val="both"/>
      </w:pPr>
      <w:r>
        <w:rPr>
          <w:bCs/>
        </w:rPr>
        <w:tab/>
      </w:r>
      <w:r w:rsidR="00B7087E" w:rsidRPr="00B7087E">
        <w:rPr>
          <w:bCs/>
        </w:rPr>
        <w:t>With secondary data, this study uses quantitative research</w:t>
      </w:r>
      <w:r w:rsidR="000E12DA">
        <w:rPr>
          <w:bCs/>
        </w:rPr>
        <w:t xml:space="preserve"> methodology. Businesses in </w:t>
      </w:r>
      <w:r w:rsidR="00B7087E" w:rsidRPr="00B7087E">
        <w:rPr>
          <w:bCs/>
        </w:rPr>
        <w:t>consumer cyclicals, property &amp; real estate, energy consumer non-cyclicals, and industrial sectors that</w:t>
      </w:r>
      <w:r>
        <w:rPr>
          <w:bCs/>
        </w:rPr>
        <w:t xml:space="preserve"> are</w:t>
      </w:r>
      <w:r w:rsidR="00B7087E" w:rsidRPr="00B7087E">
        <w:rPr>
          <w:bCs/>
        </w:rPr>
        <w:t xml:space="preserve"> listed on the </w:t>
      </w:r>
      <w:r w:rsidR="00B46F69" w:rsidRPr="00B7087E">
        <w:t>Indonesia Stock Exchange in 2020-2021</w:t>
      </w:r>
      <w:r w:rsidR="00B7087E" w:rsidRPr="00B7087E">
        <w:t xml:space="preserve"> are included in the population</w:t>
      </w:r>
      <w:r w:rsidR="00B46F69" w:rsidRPr="00B7087E">
        <w:t>. The research</w:t>
      </w:r>
      <w:r w:rsidR="00B46F69" w:rsidRPr="00B756C9">
        <w:t xml:space="preserve"> sample was taken based on </w:t>
      </w:r>
      <w:r w:rsidR="00B46F69" w:rsidRPr="00B756C9">
        <w:rPr>
          <w:i/>
          <w:iCs/>
        </w:rPr>
        <w:t xml:space="preserve">purposive sampling </w:t>
      </w:r>
      <w:r w:rsidR="00B46F69" w:rsidRPr="00B756C9">
        <w:t xml:space="preserve">technique according to the criteria according to (Murtini et al., 2022) as follows: </w:t>
      </w:r>
    </w:p>
    <w:p w14:paraId="67188949" w14:textId="4183F590" w:rsidR="00B40C42" w:rsidRPr="00B40C42" w:rsidRDefault="007F0E7A" w:rsidP="00833E5C">
      <w:pPr>
        <w:pStyle w:val="NoSpacing"/>
        <w:numPr>
          <w:ilvl w:val="0"/>
          <w:numId w:val="3"/>
        </w:numPr>
        <w:jc w:val="both"/>
        <w:rPr>
          <w:rFonts w:ascii="Arial" w:hAnsi="Arial" w:cs="Arial"/>
          <w:sz w:val="24"/>
        </w:rPr>
      </w:pPr>
      <w:r w:rsidRPr="00B40C42">
        <w:rPr>
          <w:rFonts w:ascii="Arial" w:hAnsi="Arial" w:cs="Arial"/>
          <w:sz w:val="24"/>
        </w:rPr>
        <w:t>Companies within th</w:t>
      </w:r>
      <w:r w:rsidR="002B0CFB">
        <w:rPr>
          <w:rFonts w:ascii="Arial" w:hAnsi="Arial" w:cs="Arial"/>
          <w:sz w:val="24"/>
        </w:rPr>
        <w:t>e consumer cyclicals, property</w:t>
      </w:r>
      <w:r w:rsidRPr="00B40C42">
        <w:rPr>
          <w:rFonts w:ascii="Arial" w:hAnsi="Arial" w:cs="Arial"/>
          <w:sz w:val="24"/>
        </w:rPr>
        <w:t xml:space="preserve"> &amp; real estate, energy, consume</w:t>
      </w:r>
      <w:r w:rsidR="00B40C42">
        <w:rPr>
          <w:rFonts w:ascii="Arial" w:hAnsi="Arial" w:cs="Arial"/>
          <w:sz w:val="24"/>
        </w:rPr>
        <w:t>r non-cyclicals, and industrial</w:t>
      </w:r>
      <w:r w:rsidRPr="00B40C42">
        <w:rPr>
          <w:rFonts w:ascii="Arial" w:hAnsi="Arial" w:cs="Arial"/>
          <w:sz w:val="24"/>
        </w:rPr>
        <w:t xml:space="preserve"> sectors were listed on the Indonesia Stock Exchange during the period of 2020-2021</w:t>
      </w:r>
      <w:r w:rsidR="00B46F69" w:rsidRPr="00B40C42">
        <w:rPr>
          <w:rFonts w:ascii="Arial" w:hAnsi="Arial" w:cs="Arial"/>
          <w:sz w:val="24"/>
        </w:rPr>
        <w:t xml:space="preserve">; </w:t>
      </w:r>
    </w:p>
    <w:p w14:paraId="2E8C9DE6" w14:textId="74E5B94E" w:rsidR="00B46F69" w:rsidRPr="00B40C42" w:rsidRDefault="00B46F69" w:rsidP="00833E5C">
      <w:pPr>
        <w:pStyle w:val="NoSpacing"/>
        <w:numPr>
          <w:ilvl w:val="0"/>
          <w:numId w:val="3"/>
        </w:numPr>
        <w:jc w:val="both"/>
        <w:rPr>
          <w:rFonts w:ascii="Arial" w:hAnsi="Arial" w:cs="Arial"/>
          <w:sz w:val="24"/>
        </w:rPr>
      </w:pPr>
      <w:r w:rsidRPr="00B40C42">
        <w:rPr>
          <w:rFonts w:ascii="Arial" w:hAnsi="Arial" w:cs="Arial"/>
          <w:sz w:val="24"/>
        </w:rPr>
        <w:t>Companies in the consumer cyclicals, property and real estate, energy, consume</w:t>
      </w:r>
      <w:r w:rsidR="00B40C42">
        <w:rPr>
          <w:rFonts w:ascii="Arial" w:hAnsi="Arial" w:cs="Arial"/>
          <w:sz w:val="24"/>
        </w:rPr>
        <w:t xml:space="preserve">r non-cyclicals and industrial </w:t>
      </w:r>
      <w:r w:rsidRPr="00B40C42">
        <w:rPr>
          <w:rFonts w:ascii="Arial" w:hAnsi="Arial" w:cs="Arial"/>
          <w:sz w:val="24"/>
        </w:rPr>
        <w:t xml:space="preserve">sectors that have published annual financial reports since 2020-2021; </w:t>
      </w:r>
    </w:p>
    <w:p w14:paraId="63924B55" w14:textId="77777777" w:rsidR="00B46F69" w:rsidRPr="00B40C42" w:rsidRDefault="00B46F69" w:rsidP="00833E5C">
      <w:pPr>
        <w:pStyle w:val="NoSpacing"/>
        <w:numPr>
          <w:ilvl w:val="0"/>
          <w:numId w:val="3"/>
        </w:numPr>
        <w:jc w:val="both"/>
        <w:rPr>
          <w:rFonts w:ascii="Arial" w:hAnsi="Arial" w:cs="Arial"/>
          <w:sz w:val="24"/>
        </w:rPr>
      </w:pPr>
      <w:r w:rsidRPr="00B40C42">
        <w:rPr>
          <w:rFonts w:ascii="Arial" w:hAnsi="Arial" w:cs="Arial"/>
          <w:sz w:val="24"/>
        </w:rPr>
        <w:t xml:space="preserve">Companies that experience </w:t>
      </w:r>
      <w:r w:rsidRPr="00B40C42">
        <w:rPr>
          <w:rFonts w:ascii="Arial" w:hAnsi="Arial" w:cs="Arial"/>
          <w:iCs/>
          <w:sz w:val="24"/>
        </w:rPr>
        <w:t>audit delay</w:t>
      </w:r>
      <w:r w:rsidRPr="00B40C42">
        <w:rPr>
          <w:rFonts w:ascii="Arial" w:hAnsi="Arial" w:cs="Arial"/>
          <w:sz w:val="24"/>
        </w:rPr>
        <w:t xml:space="preserve">; </w:t>
      </w:r>
    </w:p>
    <w:p w14:paraId="7E60EBDB" w14:textId="2036BA7E" w:rsidR="00B46F69" w:rsidRPr="00B40C42" w:rsidRDefault="007F0E7A" w:rsidP="00833E5C">
      <w:pPr>
        <w:pStyle w:val="NoSpacing"/>
        <w:numPr>
          <w:ilvl w:val="0"/>
          <w:numId w:val="3"/>
        </w:numPr>
        <w:jc w:val="both"/>
        <w:rPr>
          <w:rFonts w:ascii="Arial" w:hAnsi="Arial" w:cs="Arial"/>
          <w:sz w:val="24"/>
        </w:rPr>
      </w:pPr>
      <w:r w:rsidRPr="00B40C42">
        <w:rPr>
          <w:rFonts w:ascii="Arial" w:hAnsi="Arial" w:cs="Arial"/>
          <w:sz w:val="24"/>
        </w:rPr>
        <w:t>Firms that operate using the Indonesian rupiah currency.</w:t>
      </w:r>
    </w:p>
    <w:p w14:paraId="67452F56" w14:textId="77777777" w:rsidR="00B46F69" w:rsidRPr="00B756C9" w:rsidRDefault="00B46F69" w:rsidP="00833E5C">
      <w:pPr>
        <w:spacing w:line="240" w:lineRule="auto"/>
        <w:jc w:val="both"/>
        <w:rPr>
          <w:rFonts w:ascii="Arial" w:hAnsi="Arial" w:cs="Arial"/>
          <w:sz w:val="24"/>
          <w:szCs w:val="24"/>
        </w:rPr>
      </w:pPr>
      <w:r w:rsidRPr="00B756C9">
        <w:rPr>
          <w:rFonts w:ascii="Arial" w:hAnsi="Arial" w:cs="Arial"/>
          <w:sz w:val="24"/>
          <w:szCs w:val="24"/>
        </w:rPr>
        <w:t>From these criteria, the research sample was obtained as many as 36 sample companies.</w:t>
      </w:r>
    </w:p>
    <w:p w14:paraId="6435DCF8" w14:textId="77777777" w:rsidR="00B46F69" w:rsidRPr="00B756C9" w:rsidRDefault="00B46F69" w:rsidP="00833E5C">
      <w:pPr>
        <w:pStyle w:val="Default"/>
        <w:jc w:val="both"/>
      </w:pPr>
      <w:r w:rsidRPr="00B756C9">
        <w:rPr>
          <w:b/>
          <w:bCs/>
        </w:rPr>
        <w:t xml:space="preserve">Operational Definition of Variables </w:t>
      </w:r>
    </w:p>
    <w:p w14:paraId="016AF110" w14:textId="77777777" w:rsidR="00B46F69" w:rsidRPr="00626BED" w:rsidRDefault="00B46F69" w:rsidP="00833E5C">
      <w:pPr>
        <w:pStyle w:val="Default"/>
        <w:jc w:val="both"/>
      </w:pPr>
      <w:r w:rsidRPr="00626BED">
        <w:rPr>
          <w:b/>
          <w:bCs/>
          <w:iCs/>
        </w:rPr>
        <w:t xml:space="preserve">Audit Delay </w:t>
      </w:r>
    </w:p>
    <w:p w14:paraId="7EAE938D" w14:textId="02B47A83" w:rsidR="00B46F69" w:rsidRPr="00A92D19" w:rsidRDefault="00B46F69" w:rsidP="00833E5C">
      <w:pPr>
        <w:spacing w:line="240" w:lineRule="auto"/>
        <w:jc w:val="both"/>
        <w:rPr>
          <w:rFonts w:ascii="Arial" w:hAnsi="Arial" w:cs="Arial"/>
          <w:sz w:val="24"/>
          <w:szCs w:val="24"/>
          <w:lang w:val="en-US"/>
        </w:rPr>
      </w:pPr>
      <w:r w:rsidRPr="00626BED">
        <w:rPr>
          <w:rFonts w:ascii="Arial" w:hAnsi="Arial" w:cs="Arial"/>
          <w:iCs/>
          <w:sz w:val="24"/>
          <w:szCs w:val="24"/>
        </w:rPr>
        <w:t xml:space="preserve">Audit delay </w:t>
      </w:r>
      <w:r w:rsidRPr="00B756C9">
        <w:rPr>
          <w:rFonts w:ascii="Arial" w:hAnsi="Arial" w:cs="Arial"/>
          <w:i/>
          <w:iCs/>
          <w:sz w:val="24"/>
          <w:szCs w:val="24"/>
        </w:rPr>
        <w:t xml:space="preserve">is </w:t>
      </w:r>
      <w:r w:rsidRPr="00B756C9">
        <w:rPr>
          <w:rFonts w:ascii="Arial" w:hAnsi="Arial" w:cs="Arial"/>
          <w:sz w:val="24"/>
          <w:szCs w:val="24"/>
        </w:rPr>
        <w:t>defined as the period of time required to prepare an audit report (Rahman, 2021).</w:t>
      </w:r>
      <w:r w:rsidR="00A92D19">
        <w:rPr>
          <w:rFonts w:ascii="Arial" w:hAnsi="Arial" w:cs="Arial"/>
          <w:sz w:val="24"/>
          <w:szCs w:val="24"/>
          <w:lang w:val="en-US"/>
        </w:rPr>
        <w:t xml:space="preserve"> </w:t>
      </w:r>
      <w:r w:rsidR="00A92D19" w:rsidRPr="00A92D19">
        <w:rPr>
          <w:rFonts w:ascii="Arial" w:hAnsi="Arial" w:cs="Arial"/>
          <w:sz w:val="24"/>
          <w:szCs w:val="24"/>
        </w:rPr>
        <w:t>If the audit completion time exceeds the deadline set by the OJK, the company is considered late or experiencing audit delay.</w:t>
      </w:r>
      <w:r w:rsidR="00A92D19">
        <w:rPr>
          <w:rFonts w:ascii="Arial" w:hAnsi="Arial" w:cs="Arial"/>
          <w:sz w:val="24"/>
          <w:szCs w:val="24"/>
          <w:lang w:val="en-US"/>
        </w:rPr>
        <w:t xml:space="preserve"> </w:t>
      </w:r>
      <w:r w:rsidRPr="00B756C9">
        <w:rPr>
          <w:rFonts w:ascii="Arial" w:hAnsi="Arial" w:cs="Arial"/>
          <w:sz w:val="24"/>
          <w:szCs w:val="24"/>
        </w:rPr>
        <w:t xml:space="preserve">Therefore, the quantitative measurement of the </w:t>
      </w:r>
      <w:r w:rsidRPr="00626BED">
        <w:rPr>
          <w:rFonts w:ascii="Arial" w:hAnsi="Arial" w:cs="Arial"/>
          <w:iCs/>
          <w:sz w:val="24"/>
          <w:szCs w:val="24"/>
        </w:rPr>
        <w:t>audit delay</w:t>
      </w:r>
      <w:r w:rsidRPr="00B756C9">
        <w:rPr>
          <w:rFonts w:ascii="Arial" w:hAnsi="Arial" w:cs="Arial"/>
          <w:i/>
          <w:iCs/>
          <w:sz w:val="24"/>
          <w:szCs w:val="24"/>
        </w:rPr>
        <w:t xml:space="preserve"> </w:t>
      </w:r>
      <w:r w:rsidRPr="00B756C9">
        <w:rPr>
          <w:rFonts w:ascii="Arial" w:hAnsi="Arial" w:cs="Arial"/>
          <w:sz w:val="24"/>
          <w:szCs w:val="24"/>
        </w:rPr>
        <w:t>variable is calculated from the OJK deadline date minus the audit report date.</w:t>
      </w:r>
    </w:p>
    <w:tbl>
      <w:tblPr>
        <w:tblStyle w:val="TableGrid"/>
        <w:tblW w:w="9100" w:type="dxa"/>
        <w:tblLook w:val="04A0" w:firstRow="1" w:lastRow="0" w:firstColumn="1" w:lastColumn="0" w:noHBand="0" w:noVBand="1"/>
      </w:tblPr>
      <w:tblGrid>
        <w:gridCol w:w="9100"/>
      </w:tblGrid>
      <w:tr w:rsidR="001D5BFB" w:rsidRPr="00B756C9" w14:paraId="102C61DA" w14:textId="77777777" w:rsidTr="001D5BFB">
        <w:trPr>
          <w:trHeight w:val="442"/>
        </w:trPr>
        <w:tc>
          <w:tcPr>
            <w:tcW w:w="9100" w:type="dxa"/>
          </w:tcPr>
          <w:p w14:paraId="0A5F96E4" w14:textId="77777777" w:rsidR="001D5BFB" w:rsidRPr="00B756C9" w:rsidRDefault="001D5BFB" w:rsidP="00833E5C">
            <w:pPr>
              <w:pStyle w:val="NoSpacing"/>
              <w:jc w:val="center"/>
              <w:rPr>
                <w:rFonts w:ascii="Arial" w:hAnsi="Arial" w:cs="Arial"/>
                <w:sz w:val="24"/>
                <w:szCs w:val="24"/>
              </w:rPr>
            </w:pPr>
            <w:r w:rsidRPr="00626BED">
              <w:rPr>
                <w:rFonts w:ascii="Arial" w:hAnsi="Arial" w:cs="Arial"/>
                <w:iCs/>
                <w:sz w:val="24"/>
                <w:szCs w:val="24"/>
              </w:rPr>
              <w:t>Audit Delay</w:t>
            </w:r>
            <w:r w:rsidRPr="00B756C9">
              <w:rPr>
                <w:rFonts w:ascii="Arial" w:hAnsi="Arial" w:cs="Arial"/>
                <w:i/>
                <w:iCs/>
                <w:sz w:val="24"/>
                <w:szCs w:val="24"/>
              </w:rPr>
              <w:t xml:space="preserve"> </w:t>
            </w:r>
            <w:r w:rsidRPr="00B756C9">
              <w:rPr>
                <w:rFonts w:ascii="Arial" w:hAnsi="Arial" w:cs="Arial"/>
                <w:sz w:val="24"/>
                <w:szCs w:val="24"/>
              </w:rPr>
              <w:t>= FSA Deadline Date - Audit Report Date</w:t>
            </w:r>
          </w:p>
        </w:tc>
      </w:tr>
    </w:tbl>
    <w:p w14:paraId="11B2A471" w14:textId="77777777" w:rsidR="001D5BFB" w:rsidRPr="00B756C9" w:rsidRDefault="001D5BFB" w:rsidP="00833E5C">
      <w:pPr>
        <w:pStyle w:val="Default"/>
        <w:jc w:val="both"/>
        <w:rPr>
          <w:color w:val="auto"/>
        </w:rPr>
      </w:pPr>
    </w:p>
    <w:p w14:paraId="0D5B3807" w14:textId="77777777" w:rsidR="00B46F69" w:rsidRPr="00B756C9" w:rsidRDefault="00B46F69" w:rsidP="00833E5C">
      <w:pPr>
        <w:pStyle w:val="Default"/>
        <w:jc w:val="both"/>
      </w:pPr>
      <w:r w:rsidRPr="00B756C9">
        <w:rPr>
          <w:b/>
          <w:bCs/>
        </w:rPr>
        <w:t xml:space="preserve">Profitability </w:t>
      </w:r>
    </w:p>
    <w:p w14:paraId="7F812820" w14:textId="4866C9A3" w:rsidR="00B46F69" w:rsidRPr="00B756C9" w:rsidRDefault="00A862F5" w:rsidP="00833E5C">
      <w:pPr>
        <w:spacing w:line="240" w:lineRule="auto"/>
        <w:jc w:val="both"/>
        <w:rPr>
          <w:rFonts w:ascii="Arial" w:hAnsi="Arial" w:cs="Arial"/>
          <w:sz w:val="24"/>
          <w:szCs w:val="24"/>
        </w:rPr>
      </w:pPr>
      <w:r w:rsidRPr="00A862F5">
        <w:rPr>
          <w:rFonts w:ascii="Arial" w:hAnsi="Arial" w:cs="Arial"/>
          <w:sz w:val="24"/>
          <w:szCs w:val="24"/>
        </w:rPr>
        <w:t>Profitability is a ratio used to assess the issuer's capacity for profit generation.</w:t>
      </w:r>
      <w:r>
        <w:rPr>
          <w:rFonts w:ascii="Arial" w:hAnsi="Arial" w:cs="Arial"/>
          <w:sz w:val="24"/>
          <w:szCs w:val="24"/>
          <w:lang w:val="en-US"/>
        </w:rPr>
        <w:t xml:space="preserve"> </w:t>
      </w:r>
      <w:r w:rsidR="00B46F69" w:rsidRPr="00B756C9">
        <w:rPr>
          <w:rFonts w:ascii="Arial" w:hAnsi="Arial" w:cs="Arial"/>
          <w:sz w:val="24"/>
          <w:szCs w:val="24"/>
        </w:rPr>
        <w:t xml:space="preserve">Profitability is measured using the </w:t>
      </w:r>
      <w:r w:rsidR="00B46F69" w:rsidRPr="00B756C9">
        <w:rPr>
          <w:rFonts w:ascii="Arial" w:hAnsi="Arial" w:cs="Arial"/>
          <w:i/>
          <w:iCs/>
          <w:sz w:val="24"/>
          <w:szCs w:val="24"/>
        </w:rPr>
        <w:t xml:space="preserve">Return On Assets </w:t>
      </w:r>
      <w:r w:rsidR="00B46F69" w:rsidRPr="00B756C9">
        <w:rPr>
          <w:rFonts w:ascii="Arial" w:hAnsi="Arial" w:cs="Arial"/>
          <w:sz w:val="24"/>
          <w:szCs w:val="24"/>
        </w:rPr>
        <w:t>(ROA) method based on the following formula: (Arum, 2022)</w:t>
      </w:r>
    </w:p>
    <w:tbl>
      <w:tblPr>
        <w:tblStyle w:val="TableGrid"/>
        <w:tblW w:w="9067" w:type="dxa"/>
        <w:tblLook w:val="04A0" w:firstRow="1" w:lastRow="0" w:firstColumn="1" w:lastColumn="0" w:noHBand="0" w:noVBand="1"/>
      </w:tblPr>
      <w:tblGrid>
        <w:gridCol w:w="9067"/>
      </w:tblGrid>
      <w:tr w:rsidR="001D5BFB" w:rsidRPr="00B756C9" w14:paraId="62CA085E" w14:textId="77777777" w:rsidTr="001D5BFB">
        <w:trPr>
          <w:trHeight w:val="475"/>
        </w:trPr>
        <w:tc>
          <w:tcPr>
            <w:tcW w:w="9067" w:type="dxa"/>
          </w:tcPr>
          <w:p w14:paraId="18ED4DB0" w14:textId="77777777" w:rsidR="001D5BFB" w:rsidRPr="00B756C9" w:rsidRDefault="001D5BFB" w:rsidP="00833E5C">
            <w:pPr>
              <w:pStyle w:val="Default"/>
              <w:jc w:val="center"/>
            </w:pPr>
            <w:r w:rsidRPr="00B756C9">
              <w:t>ROA = Profit After Tax /Total Asset</w:t>
            </w:r>
          </w:p>
        </w:tc>
      </w:tr>
    </w:tbl>
    <w:p w14:paraId="7BAFD729" w14:textId="77777777" w:rsidR="001D5BFB" w:rsidRPr="00B756C9" w:rsidRDefault="001D5BFB" w:rsidP="00833E5C">
      <w:pPr>
        <w:pStyle w:val="Default"/>
        <w:jc w:val="both"/>
        <w:rPr>
          <w:color w:val="auto"/>
        </w:rPr>
      </w:pPr>
    </w:p>
    <w:p w14:paraId="23DE3802" w14:textId="77777777" w:rsidR="00B46F69" w:rsidRPr="00B756C9" w:rsidRDefault="00B46F69" w:rsidP="00833E5C">
      <w:pPr>
        <w:pStyle w:val="Default"/>
        <w:jc w:val="both"/>
      </w:pPr>
      <w:r w:rsidRPr="00B756C9">
        <w:rPr>
          <w:b/>
          <w:bCs/>
        </w:rPr>
        <w:t xml:space="preserve">Solvency </w:t>
      </w:r>
    </w:p>
    <w:p w14:paraId="1F175ECC" w14:textId="05F8B0E5" w:rsidR="009718C6" w:rsidRPr="00B756C9" w:rsidRDefault="00A862F5" w:rsidP="00833E5C">
      <w:pPr>
        <w:spacing w:line="240" w:lineRule="auto"/>
        <w:jc w:val="both"/>
        <w:rPr>
          <w:rFonts w:ascii="Arial" w:hAnsi="Arial" w:cs="Arial"/>
          <w:sz w:val="24"/>
          <w:szCs w:val="24"/>
        </w:rPr>
      </w:pPr>
      <w:r w:rsidRPr="00A862F5">
        <w:rPr>
          <w:rFonts w:ascii="Arial" w:hAnsi="Arial" w:cs="Arial"/>
          <w:sz w:val="24"/>
          <w:szCs w:val="24"/>
        </w:rPr>
        <w:t>Solvency refers to the issuer's capability to settle all its obligations, including both long-term and short-term debts.</w:t>
      </w:r>
      <w:r w:rsidR="00B46F69" w:rsidRPr="00B756C9">
        <w:rPr>
          <w:rFonts w:ascii="Arial" w:hAnsi="Arial" w:cs="Arial"/>
          <w:sz w:val="24"/>
          <w:szCs w:val="24"/>
        </w:rPr>
        <w:t xml:space="preserve"> (Arum, 2022)</w:t>
      </w:r>
    </w:p>
    <w:tbl>
      <w:tblPr>
        <w:tblStyle w:val="TableGrid"/>
        <w:tblW w:w="9100" w:type="dxa"/>
        <w:tblLook w:val="04A0" w:firstRow="1" w:lastRow="0" w:firstColumn="1" w:lastColumn="0" w:noHBand="0" w:noVBand="1"/>
      </w:tblPr>
      <w:tblGrid>
        <w:gridCol w:w="9100"/>
      </w:tblGrid>
      <w:tr w:rsidR="001D5BFB" w:rsidRPr="00B756C9" w14:paraId="73A22675" w14:textId="77777777" w:rsidTr="001D5BFB">
        <w:trPr>
          <w:trHeight w:val="417"/>
        </w:trPr>
        <w:tc>
          <w:tcPr>
            <w:tcW w:w="9100" w:type="dxa"/>
          </w:tcPr>
          <w:p w14:paraId="5E9C892E" w14:textId="77777777" w:rsidR="001D5BFB" w:rsidRPr="00B756C9" w:rsidRDefault="001D5BFB" w:rsidP="00833E5C">
            <w:pPr>
              <w:pStyle w:val="Default"/>
              <w:jc w:val="center"/>
            </w:pPr>
            <w:r w:rsidRPr="00B756C9">
              <w:lastRenderedPageBreak/>
              <w:t>DER = Total Debt/Total Equity</w:t>
            </w:r>
          </w:p>
          <w:p w14:paraId="36479815" w14:textId="77777777" w:rsidR="001D5BFB" w:rsidRPr="00B756C9" w:rsidRDefault="001D5BFB" w:rsidP="00833E5C">
            <w:pPr>
              <w:jc w:val="both"/>
              <w:rPr>
                <w:rFonts w:ascii="Arial" w:hAnsi="Arial" w:cs="Arial"/>
                <w:sz w:val="24"/>
                <w:szCs w:val="24"/>
              </w:rPr>
            </w:pPr>
          </w:p>
        </w:tc>
      </w:tr>
    </w:tbl>
    <w:p w14:paraId="2EAA45A0" w14:textId="77777777" w:rsidR="001D5BFB" w:rsidRPr="00B756C9" w:rsidRDefault="001D5BFB" w:rsidP="00833E5C">
      <w:pPr>
        <w:spacing w:line="240" w:lineRule="auto"/>
        <w:jc w:val="both"/>
        <w:rPr>
          <w:rFonts w:ascii="Arial" w:hAnsi="Arial" w:cs="Arial"/>
          <w:sz w:val="24"/>
          <w:szCs w:val="24"/>
        </w:rPr>
      </w:pPr>
    </w:p>
    <w:p w14:paraId="553DCCFC" w14:textId="77777777" w:rsidR="00B46F69" w:rsidRPr="00B756C9" w:rsidRDefault="00B46F69" w:rsidP="00833E5C">
      <w:pPr>
        <w:pStyle w:val="Default"/>
        <w:jc w:val="both"/>
      </w:pPr>
      <w:r w:rsidRPr="00B756C9">
        <w:rPr>
          <w:b/>
          <w:bCs/>
        </w:rPr>
        <w:t xml:space="preserve">Liquidity </w:t>
      </w:r>
    </w:p>
    <w:p w14:paraId="3EEDD2C9" w14:textId="77777777" w:rsidR="00B46F69" w:rsidRPr="00B756C9" w:rsidRDefault="00B46F69" w:rsidP="00833E5C">
      <w:pPr>
        <w:spacing w:line="240" w:lineRule="auto"/>
        <w:jc w:val="both"/>
        <w:rPr>
          <w:rFonts w:ascii="Arial" w:hAnsi="Arial" w:cs="Arial"/>
          <w:sz w:val="24"/>
          <w:szCs w:val="24"/>
        </w:rPr>
      </w:pPr>
      <w:r w:rsidRPr="00B756C9">
        <w:rPr>
          <w:rFonts w:ascii="Arial" w:hAnsi="Arial" w:cs="Arial"/>
          <w:sz w:val="24"/>
          <w:szCs w:val="24"/>
        </w:rPr>
        <w:t>Liquidity means a ratio to determine how an issuer's ability to pay its short-term debt. (Arum, 2022)</w:t>
      </w:r>
    </w:p>
    <w:tbl>
      <w:tblPr>
        <w:tblStyle w:val="TableGrid"/>
        <w:tblW w:w="9133" w:type="dxa"/>
        <w:tblLook w:val="04A0" w:firstRow="1" w:lastRow="0" w:firstColumn="1" w:lastColumn="0" w:noHBand="0" w:noVBand="1"/>
      </w:tblPr>
      <w:tblGrid>
        <w:gridCol w:w="9133"/>
      </w:tblGrid>
      <w:tr w:rsidR="001D5BFB" w:rsidRPr="00B756C9" w14:paraId="07746B8B" w14:textId="77777777" w:rsidTr="001D5BFB">
        <w:trPr>
          <w:trHeight w:val="504"/>
        </w:trPr>
        <w:tc>
          <w:tcPr>
            <w:tcW w:w="9133" w:type="dxa"/>
          </w:tcPr>
          <w:p w14:paraId="44BC50CC" w14:textId="77777777" w:rsidR="001D5BFB" w:rsidRPr="00B756C9" w:rsidRDefault="001D5BFB" w:rsidP="00833E5C">
            <w:pPr>
              <w:pStyle w:val="Default"/>
              <w:jc w:val="center"/>
            </w:pPr>
            <w:r w:rsidRPr="00B756C9">
              <w:t>CR = Current Assets/Current Debt</w:t>
            </w:r>
          </w:p>
        </w:tc>
      </w:tr>
    </w:tbl>
    <w:p w14:paraId="184E6746" w14:textId="77777777" w:rsidR="009718C6" w:rsidRPr="00B756C9" w:rsidRDefault="009718C6" w:rsidP="00833E5C">
      <w:pPr>
        <w:spacing w:line="240" w:lineRule="auto"/>
        <w:jc w:val="both"/>
        <w:rPr>
          <w:rFonts w:ascii="Arial" w:hAnsi="Arial" w:cs="Arial"/>
          <w:sz w:val="24"/>
          <w:szCs w:val="24"/>
        </w:rPr>
      </w:pPr>
    </w:p>
    <w:p w14:paraId="13E42A87" w14:textId="7F8FC8F8" w:rsidR="009718C6" w:rsidRDefault="009718C6" w:rsidP="00833E5C">
      <w:pPr>
        <w:pStyle w:val="Default"/>
        <w:jc w:val="both"/>
      </w:pPr>
      <w:r w:rsidRPr="00B756C9">
        <w:rPr>
          <w:b/>
          <w:bCs/>
        </w:rPr>
        <w:t xml:space="preserve">RESULTS AND DISCUSSION </w:t>
      </w:r>
    </w:p>
    <w:p w14:paraId="4A1DD465" w14:textId="77777777" w:rsidR="000A6C7A" w:rsidRPr="000A6C7A" w:rsidRDefault="000A6C7A" w:rsidP="00833E5C">
      <w:pPr>
        <w:pStyle w:val="Default"/>
        <w:jc w:val="both"/>
      </w:pPr>
    </w:p>
    <w:p w14:paraId="5F38AA8A" w14:textId="1BF351EB" w:rsidR="000A6C7A" w:rsidRPr="00B756C9" w:rsidRDefault="000A6C7A" w:rsidP="00833E5C">
      <w:pPr>
        <w:pStyle w:val="Default"/>
        <w:jc w:val="both"/>
        <w:rPr>
          <w:b/>
          <w:bCs/>
        </w:rPr>
      </w:pPr>
      <w:r>
        <w:rPr>
          <w:b/>
          <w:bCs/>
        </w:rPr>
        <w:t>Classical Assumption Test</w:t>
      </w:r>
    </w:p>
    <w:p w14:paraId="7B0FDF7D" w14:textId="5D17F524" w:rsidR="000A6C7A" w:rsidRPr="000A6C7A" w:rsidRDefault="007464A7" w:rsidP="00833E5C">
      <w:pPr>
        <w:pStyle w:val="Default"/>
        <w:numPr>
          <w:ilvl w:val="0"/>
          <w:numId w:val="4"/>
        </w:numPr>
        <w:jc w:val="both"/>
      </w:pPr>
      <w:r>
        <w:rPr>
          <w:bCs/>
        </w:rPr>
        <w:t>Normality t</w:t>
      </w:r>
      <w:r w:rsidR="009718C6" w:rsidRPr="000A6C7A">
        <w:rPr>
          <w:bCs/>
        </w:rPr>
        <w:t xml:space="preserve">est </w:t>
      </w:r>
    </w:p>
    <w:p w14:paraId="093A2477" w14:textId="4965C633" w:rsidR="00D84A76" w:rsidRPr="003152A4" w:rsidRDefault="00D84A76" w:rsidP="00833E5C">
      <w:pPr>
        <w:pStyle w:val="Default"/>
        <w:ind w:left="720"/>
        <w:jc w:val="both"/>
      </w:pPr>
      <w:r w:rsidRPr="003152A4">
        <w:t xml:space="preserve">The </w:t>
      </w:r>
      <w:r w:rsidR="003152A4" w:rsidRPr="003152A4">
        <w:t xml:space="preserve">significance level of the </w:t>
      </w:r>
      <w:r w:rsidRPr="003152A4">
        <w:t>one-sample Kolmogorov-Smirnov test</w:t>
      </w:r>
      <w:r w:rsidR="003152A4" w:rsidRPr="003152A4">
        <w:t xml:space="preserve"> is determined to be </w:t>
      </w:r>
      <w:r w:rsidR="003A1827" w:rsidRPr="003152A4">
        <w:t>0.</w:t>
      </w:r>
      <w:r w:rsidRPr="003152A4">
        <w:t>200</w:t>
      </w:r>
      <w:r w:rsidR="003152A4" w:rsidRPr="003152A4">
        <w:t xml:space="preserve">, surpassing the threshold of </w:t>
      </w:r>
      <w:r w:rsidR="003A1827" w:rsidRPr="003152A4">
        <w:t>0.</w:t>
      </w:r>
      <w:r w:rsidR="003152A4" w:rsidRPr="003152A4">
        <w:t xml:space="preserve">05. This is observation suggests that the data conforms to </w:t>
      </w:r>
      <w:r w:rsidRPr="003152A4">
        <w:t>a normal distribution.</w:t>
      </w:r>
      <w:r w:rsidR="009718C6" w:rsidRPr="003152A4">
        <w:t xml:space="preserve"> </w:t>
      </w:r>
    </w:p>
    <w:p w14:paraId="279D7856" w14:textId="3986C29A" w:rsidR="000A6C7A" w:rsidRPr="000A6C7A" w:rsidRDefault="007464A7" w:rsidP="00833E5C">
      <w:pPr>
        <w:pStyle w:val="Default"/>
        <w:numPr>
          <w:ilvl w:val="0"/>
          <w:numId w:val="4"/>
        </w:numPr>
        <w:jc w:val="both"/>
      </w:pPr>
      <w:r>
        <w:rPr>
          <w:bCs/>
        </w:rPr>
        <w:t>Multicollinearity t</w:t>
      </w:r>
      <w:r w:rsidR="009718C6" w:rsidRPr="000A6C7A">
        <w:rPr>
          <w:bCs/>
        </w:rPr>
        <w:t xml:space="preserve">est </w:t>
      </w:r>
    </w:p>
    <w:p w14:paraId="312C7769" w14:textId="3E8CF572" w:rsidR="009718C6" w:rsidRPr="000A6C7A" w:rsidRDefault="007464A7" w:rsidP="00833E5C">
      <w:pPr>
        <w:pStyle w:val="Default"/>
        <w:ind w:left="720"/>
        <w:jc w:val="both"/>
      </w:pPr>
      <w:r w:rsidRPr="0039750F">
        <w:t>I</w:t>
      </w:r>
      <w:r w:rsidR="009718C6" w:rsidRPr="0039750F">
        <w:t xml:space="preserve">ndependent variables produce </w:t>
      </w:r>
      <w:r w:rsidR="009718C6" w:rsidRPr="0039750F">
        <w:rPr>
          <w:i/>
          <w:iCs/>
        </w:rPr>
        <w:t xml:space="preserve">tolerance </w:t>
      </w:r>
      <w:r w:rsidR="003A1827" w:rsidRPr="0039750F">
        <w:t>values &gt; 0.</w:t>
      </w:r>
      <w:r w:rsidR="009718C6" w:rsidRPr="0039750F">
        <w:t>1 and VIF &lt; 10, meaning that the regression model is free from multicollinearity symptoms.</w:t>
      </w:r>
      <w:r w:rsidR="009718C6" w:rsidRPr="000A6C7A">
        <w:t xml:space="preserve"> The </w:t>
      </w:r>
      <w:r w:rsidR="009718C6" w:rsidRPr="000A6C7A">
        <w:rPr>
          <w:i/>
          <w:iCs/>
        </w:rPr>
        <w:t xml:space="preserve">tolerance </w:t>
      </w:r>
      <w:r w:rsidR="003A1827" w:rsidRPr="000A6C7A">
        <w:t>value of profitability is (0.</w:t>
      </w:r>
      <w:r w:rsidR="009718C6" w:rsidRPr="000A6C7A">
        <w:t>836), solvency</w:t>
      </w:r>
      <w:r w:rsidR="003A1827" w:rsidRPr="000A6C7A">
        <w:t xml:space="preserve"> is (0.996) and liquidity is (0.</w:t>
      </w:r>
      <w:r w:rsidR="009718C6" w:rsidRPr="000A6C7A">
        <w:t xml:space="preserve">836). The </w:t>
      </w:r>
      <w:r w:rsidR="009718C6" w:rsidRPr="000A6C7A">
        <w:rPr>
          <w:i/>
          <w:iCs/>
        </w:rPr>
        <w:t xml:space="preserve">Variance Inflation Factor </w:t>
      </w:r>
      <w:r w:rsidR="009718C6" w:rsidRPr="000A6C7A">
        <w:t>(VIF) value of profitabilit</w:t>
      </w:r>
      <w:r w:rsidR="003A1827" w:rsidRPr="000A6C7A">
        <w:t>y is (1.196), solvency (1.004) and liquidity is (1.</w:t>
      </w:r>
      <w:r w:rsidR="009718C6" w:rsidRPr="000A6C7A">
        <w:t xml:space="preserve">196). </w:t>
      </w:r>
    </w:p>
    <w:p w14:paraId="0ED049E6" w14:textId="3348D1DD" w:rsidR="000A6C7A" w:rsidRPr="000A6C7A" w:rsidRDefault="007464A7" w:rsidP="00833E5C">
      <w:pPr>
        <w:pStyle w:val="Default"/>
        <w:numPr>
          <w:ilvl w:val="0"/>
          <w:numId w:val="4"/>
        </w:numPr>
        <w:jc w:val="both"/>
      </w:pPr>
      <w:r>
        <w:rPr>
          <w:bCs/>
        </w:rPr>
        <w:t>Heteroscedasticity t</w:t>
      </w:r>
      <w:r w:rsidR="009718C6" w:rsidRPr="000A6C7A">
        <w:rPr>
          <w:bCs/>
        </w:rPr>
        <w:t xml:space="preserve">est </w:t>
      </w:r>
    </w:p>
    <w:p w14:paraId="0066DFA4" w14:textId="3E13256E" w:rsidR="009718C6" w:rsidRPr="000A6C7A" w:rsidRDefault="009718C6" w:rsidP="00833E5C">
      <w:pPr>
        <w:pStyle w:val="Default"/>
        <w:ind w:left="720"/>
        <w:jc w:val="both"/>
      </w:pPr>
      <w:r w:rsidRPr="000A6C7A">
        <w:t>The Glejser test results in the significance value of all variables&gt;</w:t>
      </w:r>
      <w:r w:rsidR="003A1827" w:rsidRPr="000A6C7A">
        <w:t xml:space="preserve"> 0.</w:t>
      </w:r>
      <w:r w:rsidRPr="000A6C7A">
        <w:t>05 including the profitability variable (0</w:t>
      </w:r>
      <w:r w:rsidR="003A1827" w:rsidRPr="000A6C7A">
        <w:t>.</w:t>
      </w:r>
      <w:r w:rsidR="004166C2" w:rsidRPr="000A6C7A">
        <w:t>456), the solve</w:t>
      </w:r>
      <w:r w:rsidR="003A1827" w:rsidRPr="000A6C7A">
        <w:t>ncy variable (0.</w:t>
      </w:r>
      <w:r w:rsidRPr="000A6C7A">
        <w:t>548</w:t>
      </w:r>
      <w:r w:rsidR="003A1827" w:rsidRPr="000A6C7A">
        <w:t>) and the liquidity variable (0.</w:t>
      </w:r>
      <w:r w:rsidRPr="000A6C7A">
        <w:t xml:space="preserve">892). The conclusion obtained is that the regression model meets the classic assumption test criteria . </w:t>
      </w:r>
    </w:p>
    <w:p w14:paraId="6232B019" w14:textId="420B30F0" w:rsidR="000A6C7A" w:rsidRPr="000A6C7A" w:rsidRDefault="007464A7" w:rsidP="00833E5C">
      <w:pPr>
        <w:pStyle w:val="Default"/>
        <w:numPr>
          <w:ilvl w:val="0"/>
          <w:numId w:val="4"/>
        </w:numPr>
        <w:jc w:val="both"/>
      </w:pPr>
      <w:r>
        <w:rPr>
          <w:bCs/>
        </w:rPr>
        <w:t>Autocorrelation t</w:t>
      </w:r>
      <w:r w:rsidR="009718C6" w:rsidRPr="000A6C7A">
        <w:rPr>
          <w:bCs/>
        </w:rPr>
        <w:t xml:space="preserve">est </w:t>
      </w:r>
    </w:p>
    <w:p w14:paraId="21EE0AE5" w14:textId="3A8F4A44" w:rsidR="009718C6" w:rsidRPr="00B756C9" w:rsidRDefault="009718C6" w:rsidP="00833E5C">
      <w:pPr>
        <w:pStyle w:val="Default"/>
        <w:ind w:left="720"/>
        <w:jc w:val="both"/>
      </w:pPr>
      <w:r w:rsidRPr="008679FF">
        <w:rPr>
          <w:i/>
        </w:rPr>
        <w:t xml:space="preserve">The </w:t>
      </w:r>
      <w:r w:rsidR="008679FF" w:rsidRPr="008679FF">
        <w:rPr>
          <w:i/>
          <w:iCs/>
        </w:rPr>
        <w:t xml:space="preserve">runs </w:t>
      </w:r>
      <w:r w:rsidRPr="008679FF">
        <w:rPr>
          <w:i/>
          <w:iCs/>
        </w:rPr>
        <w:t>test</w:t>
      </w:r>
      <w:r w:rsidRPr="000A6C7A">
        <w:rPr>
          <w:i/>
          <w:iCs/>
        </w:rPr>
        <w:t xml:space="preserve"> </w:t>
      </w:r>
      <w:r w:rsidRPr="00B756C9">
        <w:t>results in a</w:t>
      </w:r>
      <w:r w:rsidR="003A1827">
        <w:t xml:space="preserve"> significance level of 0.398&gt; 0.</w:t>
      </w:r>
      <w:r w:rsidRPr="00B756C9">
        <w:t xml:space="preserve">05, meaning that the regression model is free from autocorrelation symptoms. </w:t>
      </w:r>
    </w:p>
    <w:p w14:paraId="4424B5B7" w14:textId="77777777" w:rsidR="009718C6" w:rsidRPr="00B756C9" w:rsidRDefault="009718C6" w:rsidP="00833E5C">
      <w:pPr>
        <w:pStyle w:val="Default"/>
        <w:jc w:val="both"/>
        <w:rPr>
          <w:b/>
          <w:bCs/>
        </w:rPr>
      </w:pPr>
    </w:p>
    <w:p w14:paraId="4F5BFBD1" w14:textId="77777777" w:rsidR="009718C6" w:rsidRPr="00B756C9" w:rsidRDefault="009718C6" w:rsidP="00833E5C">
      <w:pPr>
        <w:pStyle w:val="Default"/>
        <w:jc w:val="both"/>
      </w:pPr>
      <w:r w:rsidRPr="00B756C9">
        <w:rPr>
          <w:b/>
          <w:bCs/>
        </w:rPr>
        <w:t xml:space="preserve">Multiple Linear Regression Analysis </w:t>
      </w:r>
    </w:p>
    <w:p w14:paraId="16D86A47" w14:textId="77777777" w:rsidR="009718C6" w:rsidRPr="00B756C9" w:rsidRDefault="009718C6" w:rsidP="00833E5C">
      <w:pPr>
        <w:pStyle w:val="Default"/>
        <w:jc w:val="both"/>
      </w:pPr>
      <w:r w:rsidRPr="00B756C9">
        <w:t xml:space="preserve">The analysis results in a multiple linear regression equation: </w:t>
      </w:r>
    </w:p>
    <w:p w14:paraId="0771E81C" w14:textId="51D39A16" w:rsidR="009718C6" w:rsidRPr="00B756C9" w:rsidRDefault="009718C6" w:rsidP="00833E5C">
      <w:pPr>
        <w:pStyle w:val="Default"/>
        <w:jc w:val="both"/>
      </w:pPr>
      <w:r w:rsidRPr="00626BED">
        <w:rPr>
          <w:b/>
          <w:bCs/>
          <w:iCs/>
        </w:rPr>
        <w:t>Audit Delay</w:t>
      </w:r>
      <w:r w:rsidRPr="00B756C9">
        <w:rPr>
          <w:b/>
          <w:bCs/>
          <w:i/>
          <w:iCs/>
        </w:rPr>
        <w:t xml:space="preserve"> </w:t>
      </w:r>
      <w:r w:rsidR="008679FF">
        <w:rPr>
          <w:b/>
          <w:bCs/>
        </w:rPr>
        <w:t>= 73.233 -97.</w:t>
      </w:r>
      <w:r w:rsidRPr="00B756C9">
        <w:rPr>
          <w:b/>
          <w:bCs/>
        </w:rPr>
        <w:t>579</w:t>
      </w:r>
      <w:r w:rsidR="00622D45">
        <w:rPr>
          <w:b/>
          <w:bCs/>
        </w:rPr>
        <w:t>PROF +5.136SOLV -2.</w:t>
      </w:r>
      <w:r w:rsidRPr="00B756C9">
        <w:rPr>
          <w:b/>
          <w:bCs/>
        </w:rPr>
        <w:t xml:space="preserve">260LIK + e </w:t>
      </w:r>
    </w:p>
    <w:p w14:paraId="37E22422" w14:textId="77777777" w:rsidR="009718C6" w:rsidRPr="00B756C9" w:rsidRDefault="009718C6" w:rsidP="00833E5C">
      <w:pPr>
        <w:pStyle w:val="Default"/>
        <w:jc w:val="both"/>
        <w:rPr>
          <w:b/>
          <w:bCs/>
        </w:rPr>
      </w:pPr>
    </w:p>
    <w:p w14:paraId="7990FB66" w14:textId="188A0603" w:rsidR="009718C6" w:rsidRPr="00B756C9" w:rsidRDefault="00622D45" w:rsidP="00833E5C">
      <w:pPr>
        <w:pStyle w:val="Default"/>
        <w:jc w:val="both"/>
      </w:pPr>
      <w:r>
        <w:rPr>
          <w:b/>
          <w:bCs/>
        </w:rPr>
        <w:t>t test</w:t>
      </w:r>
    </w:p>
    <w:p w14:paraId="4A096A18" w14:textId="0BCC2D45" w:rsidR="009718C6" w:rsidRPr="00B756C9" w:rsidRDefault="009718C6" w:rsidP="00833E5C">
      <w:pPr>
        <w:pStyle w:val="Default"/>
        <w:spacing w:after="20"/>
        <w:jc w:val="both"/>
      </w:pPr>
      <w:r w:rsidRPr="00B756C9">
        <w:t>1. The significa</w:t>
      </w:r>
      <w:r w:rsidR="003A1827">
        <w:t>nce value of profitability is 0.145&gt; 0.</w:t>
      </w:r>
      <w:r w:rsidRPr="00B756C9">
        <w:t xml:space="preserve">05, meaning that </w:t>
      </w:r>
      <w:r w:rsidRPr="00B756C9">
        <w:rPr>
          <w:b/>
          <w:bCs/>
        </w:rPr>
        <w:t xml:space="preserve">H1 is rejected. </w:t>
      </w:r>
    </w:p>
    <w:p w14:paraId="6638063D" w14:textId="7A39C563" w:rsidR="009718C6" w:rsidRPr="00B756C9" w:rsidRDefault="009718C6" w:rsidP="00833E5C">
      <w:pPr>
        <w:pStyle w:val="Default"/>
        <w:spacing w:after="20"/>
        <w:jc w:val="both"/>
      </w:pPr>
      <w:r w:rsidRPr="00B756C9">
        <w:t>2. The sign</w:t>
      </w:r>
      <w:r w:rsidR="003A1827">
        <w:t>ificance value of solvency is 0.009 &lt;0.</w:t>
      </w:r>
      <w:r w:rsidRPr="00B756C9">
        <w:t xml:space="preserve">05, meaning that </w:t>
      </w:r>
      <w:r w:rsidRPr="00B756C9">
        <w:rPr>
          <w:b/>
          <w:bCs/>
        </w:rPr>
        <w:t xml:space="preserve">H2 is </w:t>
      </w:r>
      <w:r w:rsidRPr="00622D45">
        <w:rPr>
          <w:b/>
        </w:rPr>
        <w:t>accepted.</w:t>
      </w:r>
      <w:r w:rsidRPr="00B756C9">
        <w:t xml:space="preserve"> </w:t>
      </w:r>
    </w:p>
    <w:p w14:paraId="0E54451A" w14:textId="1496142E" w:rsidR="009718C6" w:rsidRPr="00B756C9" w:rsidRDefault="009718C6" w:rsidP="00833E5C">
      <w:pPr>
        <w:pStyle w:val="Default"/>
        <w:jc w:val="both"/>
      </w:pPr>
      <w:r w:rsidRPr="00B756C9">
        <w:t xml:space="preserve">3. The significance value of liquidity is </w:t>
      </w:r>
      <w:r w:rsidR="003A1827">
        <w:t>0.856&gt; 0.</w:t>
      </w:r>
      <w:r w:rsidRPr="00B756C9">
        <w:t xml:space="preserve">05, meaning that </w:t>
      </w:r>
      <w:r w:rsidRPr="00B756C9">
        <w:rPr>
          <w:b/>
          <w:bCs/>
        </w:rPr>
        <w:t xml:space="preserve">H3 is rejected. </w:t>
      </w:r>
    </w:p>
    <w:p w14:paraId="51EBC259" w14:textId="77777777" w:rsidR="009718C6" w:rsidRPr="00B756C9" w:rsidRDefault="009718C6" w:rsidP="00833E5C">
      <w:pPr>
        <w:spacing w:line="240" w:lineRule="auto"/>
        <w:jc w:val="both"/>
        <w:rPr>
          <w:rFonts w:ascii="Arial" w:hAnsi="Arial" w:cs="Arial"/>
          <w:sz w:val="24"/>
          <w:szCs w:val="24"/>
        </w:rPr>
      </w:pPr>
    </w:p>
    <w:p w14:paraId="3C4AC6FC" w14:textId="77777777" w:rsidR="002B0CFB" w:rsidRDefault="009718C6" w:rsidP="00833E5C">
      <w:pPr>
        <w:pStyle w:val="Default"/>
      </w:pPr>
      <w:r w:rsidRPr="00B756C9">
        <w:rPr>
          <w:b/>
          <w:bCs/>
        </w:rPr>
        <w:t xml:space="preserve">F test </w:t>
      </w:r>
    </w:p>
    <w:p w14:paraId="750F0B86" w14:textId="19EBCFE3" w:rsidR="009718C6" w:rsidRPr="001055DC" w:rsidRDefault="009718C6" w:rsidP="00833E5C">
      <w:pPr>
        <w:pStyle w:val="Default"/>
        <w:rPr>
          <w:highlight w:val="yellow"/>
        </w:rPr>
      </w:pPr>
      <w:r w:rsidRPr="001055DC">
        <w:t xml:space="preserve">The </w:t>
      </w:r>
      <w:r w:rsidR="001055DC" w:rsidRPr="001055DC">
        <w:t xml:space="preserve">F test results showed a </w:t>
      </w:r>
      <w:r w:rsidR="003A1827" w:rsidRPr="001055DC">
        <w:t>significance value of 0</w:t>
      </w:r>
      <w:r w:rsidR="003A1827">
        <w:t>.</w:t>
      </w:r>
      <w:r w:rsidRPr="00B756C9">
        <w:t>021 &lt;</w:t>
      </w:r>
      <w:r w:rsidR="003A1827">
        <w:t xml:space="preserve"> 0.</w:t>
      </w:r>
      <w:r w:rsidRPr="00B756C9">
        <w:t xml:space="preserve">05, meaning that </w:t>
      </w:r>
      <w:r w:rsidRPr="00B756C9">
        <w:rPr>
          <w:b/>
          <w:bCs/>
        </w:rPr>
        <w:t xml:space="preserve">H4 is accepted, </w:t>
      </w:r>
      <w:r w:rsidRPr="00B756C9">
        <w:t xml:space="preserve">simultaneously the variables of profitability, solvency, and liquidity affect </w:t>
      </w:r>
      <w:r w:rsidRPr="00E20BA7">
        <w:rPr>
          <w:iCs/>
        </w:rPr>
        <w:t>audit delay</w:t>
      </w:r>
      <w:r w:rsidRPr="00E20BA7">
        <w:t>.</w:t>
      </w:r>
      <w:r w:rsidRPr="00B756C9">
        <w:t xml:space="preserve"> </w:t>
      </w:r>
    </w:p>
    <w:p w14:paraId="5D3A0F4F" w14:textId="77777777" w:rsidR="009718C6" w:rsidRPr="00B756C9" w:rsidRDefault="009718C6" w:rsidP="00833E5C">
      <w:pPr>
        <w:pStyle w:val="Default"/>
      </w:pPr>
    </w:p>
    <w:p w14:paraId="176A3ED1" w14:textId="292D0CB5" w:rsidR="009718C6" w:rsidRPr="004D31FB" w:rsidRDefault="003619F9" w:rsidP="00833E5C">
      <w:pPr>
        <w:pStyle w:val="Default"/>
      </w:pPr>
      <w:r>
        <w:rPr>
          <w:b/>
          <w:bCs/>
        </w:rPr>
        <w:t xml:space="preserve">The </w:t>
      </w:r>
      <w:r w:rsidR="009718C6" w:rsidRPr="00B756C9">
        <w:rPr>
          <w:b/>
          <w:bCs/>
        </w:rPr>
        <w:t xml:space="preserve">Effect of Profitability on </w:t>
      </w:r>
      <w:r w:rsidR="009718C6" w:rsidRPr="004D31FB">
        <w:rPr>
          <w:b/>
          <w:bCs/>
          <w:iCs/>
        </w:rPr>
        <w:t xml:space="preserve">Audit Delay </w:t>
      </w:r>
    </w:p>
    <w:p w14:paraId="61F887BA" w14:textId="15225F45" w:rsidR="009718C6" w:rsidRPr="00682E9A" w:rsidRDefault="009718C6" w:rsidP="00833E5C">
      <w:pPr>
        <w:spacing w:line="240" w:lineRule="auto"/>
        <w:jc w:val="both"/>
        <w:rPr>
          <w:rFonts w:ascii="Arial" w:hAnsi="Arial" w:cs="Arial"/>
          <w:sz w:val="24"/>
          <w:szCs w:val="24"/>
          <w:lang w:val="en-US"/>
        </w:rPr>
      </w:pPr>
      <w:r w:rsidRPr="00B756C9">
        <w:rPr>
          <w:rFonts w:ascii="Arial" w:hAnsi="Arial" w:cs="Arial"/>
          <w:sz w:val="24"/>
          <w:szCs w:val="24"/>
        </w:rPr>
        <w:tab/>
      </w:r>
      <w:r w:rsidR="001055DC">
        <w:rPr>
          <w:rFonts w:ascii="Arial" w:hAnsi="Arial" w:cs="Arial"/>
          <w:sz w:val="24"/>
          <w:szCs w:val="24"/>
        </w:rPr>
        <w:t xml:space="preserve">Audit delay is unaffected by profitability </w:t>
      </w:r>
      <w:r w:rsidRPr="00B756C9">
        <w:rPr>
          <w:rFonts w:ascii="Arial" w:hAnsi="Arial" w:cs="Arial"/>
          <w:sz w:val="24"/>
          <w:szCs w:val="24"/>
        </w:rPr>
        <w:t xml:space="preserve">because management will prioritize meeting the OJK's financial reporting deadline over company profitability. Such steps </w:t>
      </w:r>
      <w:r w:rsidRPr="00B756C9">
        <w:rPr>
          <w:rFonts w:ascii="Arial" w:hAnsi="Arial" w:cs="Arial"/>
          <w:sz w:val="24"/>
          <w:szCs w:val="24"/>
        </w:rPr>
        <w:lastRenderedPageBreak/>
        <w:t>are taken to comply with regulations and avoid sanctions that can harm the company as well as reduced public confidence</w:t>
      </w:r>
      <w:r w:rsidR="00682E9A">
        <w:rPr>
          <w:rFonts w:ascii="Arial" w:hAnsi="Arial" w:cs="Arial"/>
          <w:sz w:val="24"/>
          <w:szCs w:val="24"/>
          <w:lang w:val="en-US"/>
        </w:rPr>
        <w:t xml:space="preserve">. </w:t>
      </w:r>
      <w:r w:rsidR="00682E9A" w:rsidRPr="00682E9A">
        <w:rPr>
          <w:rFonts w:ascii="Arial" w:hAnsi="Arial" w:cs="Arial"/>
          <w:sz w:val="24"/>
          <w:szCs w:val="24"/>
          <w:lang w:val="en-US"/>
        </w:rPr>
        <w:t>Research data shows that PT Modern Indonesia Tbk suffered losses w</w:t>
      </w:r>
      <w:r w:rsidR="003A1827">
        <w:rPr>
          <w:rFonts w:ascii="Arial" w:hAnsi="Arial" w:cs="Arial"/>
          <w:sz w:val="24"/>
          <w:szCs w:val="24"/>
          <w:lang w:val="en-US"/>
        </w:rPr>
        <w:t>ith a profitability level of -0.</w:t>
      </w:r>
      <w:r w:rsidR="00682E9A" w:rsidRPr="00682E9A">
        <w:rPr>
          <w:rFonts w:ascii="Arial" w:hAnsi="Arial" w:cs="Arial"/>
          <w:sz w:val="24"/>
          <w:szCs w:val="24"/>
          <w:lang w:val="en-US"/>
        </w:rPr>
        <w:t xml:space="preserve">68 and experienced an audit delay of 77 days, while PT Golden Flower Tbk, which owns the </w:t>
      </w:r>
      <w:r w:rsidR="003A1827">
        <w:rPr>
          <w:rFonts w:ascii="Arial" w:hAnsi="Arial" w:cs="Arial"/>
          <w:sz w:val="24"/>
          <w:szCs w:val="24"/>
          <w:lang w:val="en-US"/>
        </w:rPr>
        <w:t>highest profitability of 1.</w:t>
      </w:r>
      <w:r w:rsidR="00682E9A" w:rsidRPr="00682E9A">
        <w:rPr>
          <w:rFonts w:ascii="Arial" w:hAnsi="Arial" w:cs="Arial"/>
          <w:sz w:val="24"/>
          <w:szCs w:val="24"/>
          <w:lang w:val="en-US"/>
        </w:rPr>
        <w:t>39, experienced an audit delay of 45 days.</w:t>
      </w:r>
      <w:r w:rsidR="00682E9A">
        <w:rPr>
          <w:rFonts w:ascii="Arial" w:hAnsi="Arial" w:cs="Arial"/>
          <w:sz w:val="24"/>
          <w:szCs w:val="24"/>
          <w:lang w:val="en-US"/>
        </w:rPr>
        <w:t xml:space="preserve"> </w:t>
      </w:r>
      <w:r w:rsidRPr="00B756C9">
        <w:rPr>
          <w:rFonts w:ascii="Arial" w:hAnsi="Arial" w:cs="Arial"/>
          <w:sz w:val="24"/>
          <w:szCs w:val="24"/>
        </w:rPr>
        <w:t xml:space="preserve">From the research data, it can be seen that even though the company suffered losses or made high profits, the </w:t>
      </w:r>
      <w:r w:rsidRPr="004D31FB">
        <w:rPr>
          <w:rFonts w:ascii="Arial" w:hAnsi="Arial" w:cs="Arial"/>
          <w:iCs/>
          <w:sz w:val="24"/>
          <w:szCs w:val="24"/>
        </w:rPr>
        <w:t>audit delay</w:t>
      </w:r>
      <w:r w:rsidRPr="00B756C9">
        <w:rPr>
          <w:rFonts w:ascii="Arial" w:hAnsi="Arial" w:cs="Arial"/>
          <w:i/>
          <w:iCs/>
          <w:sz w:val="24"/>
          <w:szCs w:val="24"/>
        </w:rPr>
        <w:t xml:space="preserve"> </w:t>
      </w:r>
      <w:r w:rsidRPr="00B756C9">
        <w:rPr>
          <w:rFonts w:ascii="Arial" w:hAnsi="Arial" w:cs="Arial"/>
          <w:sz w:val="24"/>
          <w:szCs w:val="24"/>
        </w:rPr>
        <w:t xml:space="preserve">that occurred in both was not much different. In addition, the high and low levels of profitability have no significant difference in the audit process, so profitability is not a fundamental factor that triggers </w:t>
      </w:r>
      <w:r w:rsidRPr="004D31FB">
        <w:rPr>
          <w:rFonts w:ascii="Arial" w:hAnsi="Arial" w:cs="Arial"/>
          <w:iCs/>
          <w:sz w:val="24"/>
          <w:szCs w:val="24"/>
        </w:rPr>
        <w:t>audit delay</w:t>
      </w:r>
      <w:r w:rsidRPr="00B756C9">
        <w:rPr>
          <w:rFonts w:ascii="Arial" w:hAnsi="Arial" w:cs="Arial"/>
          <w:sz w:val="24"/>
          <w:szCs w:val="24"/>
        </w:rPr>
        <w:t xml:space="preserve">. This study supports (Murtini et al., 2022) that profitability does not affect </w:t>
      </w:r>
      <w:r w:rsidRPr="004D31FB">
        <w:rPr>
          <w:rFonts w:ascii="Arial" w:hAnsi="Arial" w:cs="Arial"/>
          <w:iCs/>
          <w:sz w:val="24"/>
          <w:szCs w:val="24"/>
        </w:rPr>
        <w:t>audit delay</w:t>
      </w:r>
      <w:r w:rsidRPr="00B756C9">
        <w:rPr>
          <w:rFonts w:ascii="Arial" w:hAnsi="Arial" w:cs="Arial"/>
          <w:i/>
          <w:iCs/>
          <w:sz w:val="24"/>
          <w:szCs w:val="24"/>
        </w:rPr>
        <w:t xml:space="preserve"> </w:t>
      </w:r>
      <w:r w:rsidRPr="00B756C9">
        <w:rPr>
          <w:rFonts w:ascii="Arial" w:hAnsi="Arial" w:cs="Arial"/>
          <w:sz w:val="24"/>
          <w:szCs w:val="24"/>
        </w:rPr>
        <w:t>because every company will try to submit financial reports according to OJK regulations to avoid delays.</w:t>
      </w:r>
    </w:p>
    <w:p w14:paraId="167BE66E" w14:textId="77777777" w:rsidR="009718C6" w:rsidRPr="00B756C9" w:rsidRDefault="009718C6" w:rsidP="00833E5C">
      <w:pPr>
        <w:pStyle w:val="Default"/>
      </w:pPr>
      <w:r w:rsidRPr="00B756C9">
        <w:rPr>
          <w:b/>
          <w:bCs/>
        </w:rPr>
        <w:t xml:space="preserve">The Effect of Solvency on </w:t>
      </w:r>
      <w:r w:rsidRPr="00662FFE">
        <w:rPr>
          <w:b/>
          <w:bCs/>
          <w:iCs/>
        </w:rPr>
        <w:t>Audit Delay</w:t>
      </w:r>
      <w:r w:rsidRPr="00B756C9">
        <w:rPr>
          <w:b/>
          <w:bCs/>
          <w:i/>
          <w:iCs/>
        </w:rPr>
        <w:t xml:space="preserve"> </w:t>
      </w:r>
    </w:p>
    <w:p w14:paraId="2A43C71B" w14:textId="54A1005C" w:rsidR="009718C6" w:rsidRPr="00524A63" w:rsidRDefault="00BA27A5" w:rsidP="00833E5C">
      <w:pPr>
        <w:spacing w:line="240" w:lineRule="auto"/>
        <w:jc w:val="both"/>
        <w:rPr>
          <w:rFonts w:ascii="Arial" w:hAnsi="Arial" w:cs="Arial"/>
          <w:sz w:val="24"/>
          <w:szCs w:val="24"/>
        </w:rPr>
      </w:pPr>
      <w:r>
        <w:rPr>
          <w:rFonts w:ascii="Arial" w:hAnsi="Arial" w:cs="Arial"/>
          <w:sz w:val="24"/>
          <w:szCs w:val="24"/>
        </w:rPr>
        <w:tab/>
      </w:r>
      <w:r w:rsidR="00ED15BE">
        <w:rPr>
          <w:rFonts w:ascii="Arial" w:hAnsi="Arial" w:cs="Arial"/>
          <w:sz w:val="24"/>
          <w:szCs w:val="24"/>
        </w:rPr>
        <w:t>Solvency positively affect</w:t>
      </w:r>
      <w:r w:rsidR="00E467E4">
        <w:rPr>
          <w:rFonts w:ascii="Arial" w:hAnsi="Arial" w:cs="Arial"/>
          <w:sz w:val="24"/>
          <w:szCs w:val="24"/>
        </w:rPr>
        <w:t>s</w:t>
      </w:r>
      <w:r w:rsidR="00ED15BE">
        <w:rPr>
          <w:rFonts w:ascii="Arial" w:hAnsi="Arial" w:cs="Arial"/>
          <w:sz w:val="24"/>
          <w:szCs w:val="24"/>
        </w:rPr>
        <w:t xml:space="preserve"> audit delay, with higher solvency leading to longer audit delays, while lower solvency reduces audit delays. Research data support this, as it shows that PT Bukit Uluwatu Villa Tbk with the highest DER level </w:t>
      </w:r>
      <w:r w:rsidR="003A1827">
        <w:rPr>
          <w:rFonts w:ascii="Arial" w:hAnsi="Arial" w:cs="Arial"/>
          <w:sz w:val="24"/>
          <w:szCs w:val="24"/>
        </w:rPr>
        <w:t>of 50.</w:t>
      </w:r>
      <w:r w:rsidR="00E467E4">
        <w:rPr>
          <w:rFonts w:ascii="Arial" w:hAnsi="Arial" w:cs="Arial"/>
          <w:sz w:val="24"/>
          <w:szCs w:val="24"/>
        </w:rPr>
        <w:t xml:space="preserve">19 experienced a 390 day audit delay. </w:t>
      </w:r>
      <w:r w:rsidR="009718C6" w:rsidRPr="00B756C9">
        <w:rPr>
          <w:rFonts w:ascii="Arial" w:hAnsi="Arial" w:cs="Arial"/>
          <w:sz w:val="24"/>
          <w:szCs w:val="24"/>
        </w:rPr>
        <w:t>Meanwhile, PT Panasia Indo Resources with the lowest</w:t>
      </w:r>
      <w:r w:rsidR="003A1827">
        <w:rPr>
          <w:rFonts w:ascii="Arial" w:hAnsi="Arial" w:cs="Arial"/>
          <w:sz w:val="24"/>
          <w:szCs w:val="24"/>
        </w:rPr>
        <w:t xml:space="preserve"> DER of -17.</w:t>
      </w:r>
      <w:r w:rsidR="009718C6" w:rsidRPr="00B756C9">
        <w:rPr>
          <w:rFonts w:ascii="Arial" w:hAnsi="Arial" w:cs="Arial"/>
          <w:sz w:val="24"/>
          <w:szCs w:val="24"/>
        </w:rPr>
        <w:t xml:space="preserve">95 has an </w:t>
      </w:r>
      <w:r w:rsidR="009718C6" w:rsidRPr="004D31FB">
        <w:rPr>
          <w:rFonts w:ascii="Arial" w:hAnsi="Arial" w:cs="Arial"/>
          <w:iCs/>
          <w:sz w:val="24"/>
          <w:szCs w:val="24"/>
        </w:rPr>
        <w:t>audit delay</w:t>
      </w:r>
      <w:r w:rsidR="009718C6" w:rsidRPr="00B756C9">
        <w:rPr>
          <w:rFonts w:ascii="Arial" w:hAnsi="Arial" w:cs="Arial"/>
          <w:i/>
          <w:iCs/>
          <w:sz w:val="24"/>
          <w:szCs w:val="24"/>
        </w:rPr>
        <w:t xml:space="preserve"> of </w:t>
      </w:r>
      <w:r w:rsidR="009718C6" w:rsidRPr="00B756C9">
        <w:rPr>
          <w:rFonts w:ascii="Arial" w:hAnsi="Arial" w:cs="Arial"/>
          <w:sz w:val="24"/>
          <w:szCs w:val="24"/>
        </w:rPr>
        <w:t xml:space="preserve">38 days. </w:t>
      </w:r>
      <w:r w:rsidR="009718C6" w:rsidRPr="00524A63">
        <w:rPr>
          <w:rFonts w:ascii="Arial" w:hAnsi="Arial" w:cs="Arial"/>
          <w:sz w:val="24"/>
          <w:szCs w:val="24"/>
        </w:rPr>
        <w:t xml:space="preserve">The </w:t>
      </w:r>
      <w:r w:rsidR="00524A63" w:rsidRPr="00524A63">
        <w:rPr>
          <w:rFonts w:ascii="Arial" w:hAnsi="Arial" w:cs="Arial"/>
          <w:sz w:val="24"/>
          <w:szCs w:val="24"/>
        </w:rPr>
        <w:t xml:space="preserve">amount </w:t>
      </w:r>
      <w:r w:rsidR="009718C6" w:rsidRPr="00524A63">
        <w:rPr>
          <w:rFonts w:ascii="Arial" w:hAnsi="Arial" w:cs="Arial"/>
          <w:sz w:val="24"/>
          <w:szCs w:val="24"/>
        </w:rPr>
        <w:t xml:space="preserve">of debt </w:t>
      </w:r>
      <w:r w:rsidR="00524A63">
        <w:rPr>
          <w:rFonts w:ascii="Arial" w:hAnsi="Arial" w:cs="Arial"/>
          <w:sz w:val="24"/>
          <w:szCs w:val="24"/>
        </w:rPr>
        <w:t xml:space="preserve">that </w:t>
      </w:r>
      <w:r w:rsidR="00524A63" w:rsidRPr="00524A63">
        <w:rPr>
          <w:rFonts w:ascii="Arial" w:hAnsi="Arial" w:cs="Arial"/>
          <w:sz w:val="24"/>
          <w:szCs w:val="24"/>
        </w:rPr>
        <w:t>is t</w:t>
      </w:r>
      <w:r w:rsidR="00524A63">
        <w:rPr>
          <w:rFonts w:ascii="Arial" w:hAnsi="Arial" w:cs="Arial"/>
          <w:sz w:val="24"/>
          <w:szCs w:val="24"/>
        </w:rPr>
        <w:t xml:space="preserve">oo high </w:t>
      </w:r>
      <w:r w:rsidR="009718C6" w:rsidRPr="00B756C9">
        <w:rPr>
          <w:rFonts w:ascii="Arial" w:hAnsi="Arial" w:cs="Arial"/>
          <w:sz w:val="24"/>
          <w:szCs w:val="24"/>
        </w:rPr>
        <w:t xml:space="preserve">is </w:t>
      </w:r>
      <w:r w:rsidR="009718C6" w:rsidRPr="00524A63">
        <w:rPr>
          <w:rFonts w:ascii="Arial" w:hAnsi="Arial" w:cs="Arial"/>
          <w:iCs/>
          <w:sz w:val="24"/>
          <w:szCs w:val="24"/>
        </w:rPr>
        <w:t>bad</w:t>
      </w:r>
      <w:r w:rsidR="009718C6" w:rsidRPr="00B756C9">
        <w:rPr>
          <w:rFonts w:ascii="Arial" w:hAnsi="Arial" w:cs="Arial"/>
          <w:i/>
          <w:iCs/>
          <w:sz w:val="24"/>
          <w:szCs w:val="24"/>
        </w:rPr>
        <w:t xml:space="preserve"> </w:t>
      </w:r>
      <w:r w:rsidR="009718C6" w:rsidRPr="00B756C9">
        <w:rPr>
          <w:rFonts w:ascii="Arial" w:hAnsi="Arial" w:cs="Arial"/>
          <w:sz w:val="24"/>
          <w:szCs w:val="24"/>
        </w:rPr>
        <w:t>because there is a risk of default</w:t>
      </w:r>
      <w:r w:rsidR="00524A63">
        <w:rPr>
          <w:rFonts w:ascii="Arial" w:hAnsi="Arial" w:cs="Arial"/>
          <w:sz w:val="24"/>
          <w:szCs w:val="24"/>
        </w:rPr>
        <w:t>,</w:t>
      </w:r>
      <w:r w:rsidR="009718C6" w:rsidRPr="00B756C9">
        <w:rPr>
          <w:rFonts w:ascii="Arial" w:hAnsi="Arial" w:cs="Arial"/>
          <w:sz w:val="24"/>
          <w:szCs w:val="24"/>
        </w:rPr>
        <w:t xml:space="preserve"> which is also related to the sustainability of a business. </w:t>
      </w:r>
      <w:r w:rsidR="009718C6" w:rsidRPr="00E467E4">
        <w:rPr>
          <w:rFonts w:ascii="Arial" w:hAnsi="Arial" w:cs="Arial"/>
          <w:sz w:val="24"/>
          <w:szCs w:val="24"/>
        </w:rPr>
        <w:t xml:space="preserve">A high </w:t>
      </w:r>
      <w:r w:rsidR="009718C6" w:rsidRPr="0048108C">
        <w:rPr>
          <w:rFonts w:ascii="Arial" w:hAnsi="Arial" w:cs="Arial"/>
          <w:sz w:val="24"/>
          <w:szCs w:val="24"/>
        </w:rPr>
        <w:t xml:space="preserve">DER level </w:t>
      </w:r>
      <w:r w:rsidR="009F5B12" w:rsidRPr="0048108C">
        <w:rPr>
          <w:rFonts w:ascii="Arial" w:hAnsi="Arial" w:cs="Arial"/>
          <w:sz w:val="24"/>
          <w:szCs w:val="24"/>
        </w:rPr>
        <w:t>indicates</w:t>
      </w:r>
      <w:r w:rsidR="00E467E4" w:rsidRPr="0048108C">
        <w:rPr>
          <w:rFonts w:ascii="Arial" w:hAnsi="Arial" w:cs="Arial"/>
          <w:sz w:val="24"/>
          <w:szCs w:val="24"/>
        </w:rPr>
        <w:t xml:space="preserve"> </w:t>
      </w:r>
      <w:r w:rsidR="009718C6" w:rsidRPr="0048108C">
        <w:rPr>
          <w:rFonts w:ascii="Arial" w:hAnsi="Arial" w:cs="Arial"/>
          <w:sz w:val="24"/>
          <w:szCs w:val="24"/>
        </w:rPr>
        <w:t xml:space="preserve">that the </w:t>
      </w:r>
      <w:r w:rsidR="00E467E4" w:rsidRPr="0048108C">
        <w:rPr>
          <w:rFonts w:ascii="Arial" w:hAnsi="Arial" w:cs="Arial"/>
          <w:sz w:val="24"/>
          <w:szCs w:val="24"/>
        </w:rPr>
        <w:t xml:space="preserve">company primarily finances its capital through debt, which is bad news for the company. </w:t>
      </w:r>
      <w:r w:rsidR="009718C6" w:rsidRPr="00B756C9">
        <w:rPr>
          <w:rFonts w:ascii="Arial" w:hAnsi="Arial" w:cs="Arial"/>
          <w:sz w:val="24"/>
          <w:szCs w:val="24"/>
        </w:rPr>
        <w:t xml:space="preserve">When this happens, management will try to polish the financial statements by suppressing the lowest level of DER which results in longer financial reports being presented. This research is in line with agency theory which explains that management with more detailed information will be very likely to commit fraud by manipulating the information contained in the financial statements. In line with (Setyawan, 2020) which states that the relatively longer audit process occurs due to the high amount of debt in the company. Also in line with (Rahman, 2021) which states that solvency significantly affects </w:t>
      </w:r>
      <w:r w:rsidR="009718C6" w:rsidRPr="004D31FB">
        <w:rPr>
          <w:rFonts w:ascii="Arial" w:hAnsi="Arial" w:cs="Arial"/>
          <w:iCs/>
          <w:sz w:val="24"/>
          <w:szCs w:val="24"/>
        </w:rPr>
        <w:t>audit delay</w:t>
      </w:r>
      <w:r w:rsidR="009718C6" w:rsidRPr="004D31FB">
        <w:rPr>
          <w:rFonts w:ascii="Arial" w:hAnsi="Arial" w:cs="Arial"/>
          <w:sz w:val="24"/>
          <w:szCs w:val="24"/>
        </w:rPr>
        <w:t>.</w:t>
      </w:r>
    </w:p>
    <w:p w14:paraId="053A12AE" w14:textId="404D54EB" w:rsidR="009718C6" w:rsidRPr="00662FFE" w:rsidRDefault="003619F9" w:rsidP="00833E5C">
      <w:pPr>
        <w:pStyle w:val="Default"/>
        <w:jc w:val="both"/>
      </w:pPr>
      <w:r>
        <w:rPr>
          <w:b/>
          <w:bCs/>
        </w:rPr>
        <w:t xml:space="preserve">The </w:t>
      </w:r>
      <w:r w:rsidR="009718C6" w:rsidRPr="00B756C9">
        <w:rPr>
          <w:b/>
          <w:bCs/>
        </w:rPr>
        <w:t xml:space="preserve">Effect of Liquidity on </w:t>
      </w:r>
      <w:r w:rsidR="009718C6" w:rsidRPr="00662FFE">
        <w:rPr>
          <w:b/>
          <w:bCs/>
          <w:iCs/>
        </w:rPr>
        <w:t xml:space="preserve">Audit Delay </w:t>
      </w:r>
    </w:p>
    <w:p w14:paraId="2243D8F2" w14:textId="0C073833" w:rsidR="009718C6" w:rsidRDefault="008B2263" w:rsidP="00833E5C">
      <w:pPr>
        <w:pStyle w:val="Default"/>
        <w:jc w:val="both"/>
      </w:pPr>
      <w:r w:rsidRPr="00B756C9">
        <w:tab/>
      </w:r>
      <w:r w:rsidR="009718C6" w:rsidRPr="00B756C9">
        <w:t xml:space="preserve">Liquidity does not affect </w:t>
      </w:r>
      <w:r w:rsidR="009718C6" w:rsidRPr="004D31FB">
        <w:rPr>
          <w:iCs/>
        </w:rPr>
        <w:t>audit delay</w:t>
      </w:r>
      <w:r w:rsidR="009718C6" w:rsidRPr="00B756C9">
        <w:rPr>
          <w:i/>
          <w:iCs/>
        </w:rPr>
        <w:t xml:space="preserve"> </w:t>
      </w:r>
      <w:r w:rsidR="009718C6" w:rsidRPr="00B756C9">
        <w:t xml:space="preserve">because liquidity does not describe the overall ability to pay debt, but only part of the debt so that it will not affect the length of time the audit work is completed. A company will prioritize the presentation of financial reports in a timely and correct manner compared to the level of liquidity. According to creditors, the longer the submission of financial reports indicates an indication of a problem in the company, so even though the company's liquidity level is low, management will still try to have the financial reports submitted on time to attract creditors' interest in </w:t>
      </w:r>
      <w:r w:rsidR="009718C6" w:rsidRPr="00C54067">
        <w:t xml:space="preserve">providing loans. </w:t>
      </w:r>
      <w:r w:rsidR="00C54067">
        <w:t>Research data reinforces these results, exemplified by PT Pollux Hotels</w:t>
      </w:r>
      <w:r w:rsidR="003A1827">
        <w:t xml:space="preserve"> Group Tbk with a CR level of 0.</w:t>
      </w:r>
      <w:r w:rsidR="00C54067">
        <w:t xml:space="preserve">46 experiencing an audit delay of 87 days. </w:t>
      </w:r>
      <w:r w:rsidR="009718C6" w:rsidRPr="00B756C9">
        <w:t xml:space="preserve">On the other hand, PT Pollux Properties Indonesia Tbk with a </w:t>
      </w:r>
      <w:r w:rsidR="003A1827">
        <w:t>CR level of 3.</w:t>
      </w:r>
      <w:r w:rsidR="009718C6" w:rsidRPr="00B756C9">
        <w:t xml:space="preserve">74 has an </w:t>
      </w:r>
      <w:r w:rsidR="009718C6" w:rsidRPr="004D31FB">
        <w:rPr>
          <w:iCs/>
        </w:rPr>
        <w:t>audit delay</w:t>
      </w:r>
      <w:r w:rsidR="009718C6" w:rsidRPr="00B756C9">
        <w:rPr>
          <w:i/>
          <w:iCs/>
        </w:rPr>
        <w:t xml:space="preserve"> </w:t>
      </w:r>
      <w:r w:rsidR="009718C6" w:rsidRPr="00C54067">
        <w:rPr>
          <w:iCs/>
        </w:rPr>
        <w:t>of</w:t>
      </w:r>
      <w:r w:rsidR="009718C6" w:rsidRPr="00B756C9">
        <w:rPr>
          <w:i/>
          <w:iCs/>
        </w:rPr>
        <w:t xml:space="preserve"> </w:t>
      </w:r>
      <w:r w:rsidR="009718C6" w:rsidRPr="00B756C9">
        <w:t xml:space="preserve">88 days. These results are in line with (Melosa &amp; Rohman, 2022) that liquidity </w:t>
      </w:r>
      <w:r w:rsidR="001E1F80" w:rsidRPr="001E1F80">
        <w:t xml:space="preserve">is </w:t>
      </w:r>
      <w:r w:rsidR="009718C6" w:rsidRPr="001E1F80">
        <w:t xml:space="preserve">not a significant </w:t>
      </w:r>
      <w:r w:rsidR="001E1F80" w:rsidRPr="001E1F80">
        <w:t xml:space="preserve">factor in causing </w:t>
      </w:r>
      <w:r w:rsidR="001E1F80" w:rsidRPr="001E1F80">
        <w:rPr>
          <w:iCs/>
        </w:rPr>
        <w:t>d</w:t>
      </w:r>
      <w:r w:rsidR="001E1F80">
        <w:rPr>
          <w:iCs/>
        </w:rPr>
        <w:t xml:space="preserve">elays in audits </w:t>
      </w:r>
      <w:r w:rsidR="009718C6" w:rsidRPr="00B756C9">
        <w:t>because liquidity does not describe the company's total debt so that it cannot determine the length of the audit period.</w:t>
      </w:r>
    </w:p>
    <w:p w14:paraId="71BF9B0D" w14:textId="77777777" w:rsidR="003619F9" w:rsidRPr="00C54067" w:rsidRDefault="003619F9" w:rsidP="00833E5C">
      <w:pPr>
        <w:pStyle w:val="Default"/>
        <w:jc w:val="both"/>
        <w:rPr>
          <w:highlight w:val="red"/>
        </w:rPr>
      </w:pPr>
    </w:p>
    <w:p w14:paraId="1FE68DBD" w14:textId="77777777" w:rsidR="009718C6" w:rsidRPr="00B756C9" w:rsidRDefault="009718C6" w:rsidP="00833E5C">
      <w:pPr>
        <w:pStyle w:val="Default"/>
        <w:jc w:val="both"/>
      </w:pPr>
      <w:r w:rsidRPr="00B756C9">
        <w:rPr>
          <w:b/>
          <w:bCs/>
        </w:rPr>
        <w:t xml:space="preserve">The Effect of Profitability, Solvency, and Liquidity on </w:t>
      </w:r>
      <w:r w:rsidRPr="004D31FB">
        <w:rPr>
          <w:b/>
          <w:bCs/>
          <w:iCs/>
        </w:rPr>
        <w:t>Audit Delay</w:t>
      </w:r>
      <w:r w:rsidRPr="00B756C9">
        <w:rPr>
          <w:b/>
          <w:bCs/>
          <w:i/>
          <w:iCs/>
        </w:rPr>
        <w:t xml:space="preserve"> </w:t>
      </w:r>
    </w:p>
    <w:p w14:paraId="6AD84C9F" w14:textId="7F7B4454" w:rsidR="009718C6" w:rsidRPr="00B756C9" w:rsidRDefault="00CF0D5A" w:rsidP="00833E5C">
      <w:pPr>
        <w:pStyle w:val="Default"/>
        <w:jc w:val="both"/>
      </w:pPr>
      <w:r w:rsidRPr="00B756C9">
        <w:tab/>
      </w:r>
      <w:r w:rsidR="009718C6" w:rsidRPr="00B756C9">
        <w:t xml:space="preserve">The F test gets results that show simultaneously the financial ratio variables affect </w:t>
      </w:r>
      <w:r w:rsidR="009718C6" w:rsidRPr="004D31FB">
        <w:rPr>
          <w:iCs/>
        </w:rPr>
        <w:t>audit delay</w:t>
      </w:r>
      <w:r w:rsidR="009718C6" w:rsidRPr="004D31FB">
        <w:t>.</w:t>
      </w:r>
      <w:r w:rsidR="009718C6" w:rsidRPr="00B756C9">
        <w:t xml:space="preserve"> This means that if profitability, solvency, and liquidity increase or decrease simultaneously, it will affect </w:t>
      </w:r>
      <w:r w:rsidR="009718C6" w:rsidRPr="004D31FB">
        <w:rPr>
          <w:iCs/>
        </w:rPr>
        <w:t>audit delay</w:t>
      </w:r>
      <w:r w:rsidR="009718C6" w:rsidRPr="00B756C9">
        <w:t xml:space="preserve">. </w:t>
      </w:r>
      <w:r w:rsidR="00975E24">
        <w:t>The findings of this investigation align with the principles of a</w:t>
      </w:r>
      <w:r w:rsidR="000E12DA">
        <w:t xml:space="preserve">gency theory, specifically when </w:t>
      </w:r>
      <w:r w:rsidR="00975E24">
        <w:t xml:space="preserve">three financial indicators, </w:t>
      </w:r>
      <w:r w:rsidR="00975E24">
        <w:lastRenderedPageBreak/>
        <w:t xml:space="preserve">namely profitability, solvency, and liquidity of the enterprise exhibit favorable circumstances, it implies that the enterprise is performing well. Consequently, the timely submission of financial statements is accelerated in order to mitigate the potential hazards associated with delays or audit delays. </w:t>
      </w:r>
      <w:r w:rsidR="001F1587" w:rsidRPr="001F1587">
        <w:t xml:space="preserve">These finding support a study </w:t>
      </w:r>
      <w:r w:rsidR="009718C6" w:rsidRPr="001F1587">
        <w:t xml:space="preserve">(Lubis et al., 2019) </w:t>
      </w:r>
      <w:r w:rsidR="001F1587" w:rsidRPr="001F1587">
        <w:t xml:space="preserve">that found </w:t>
      </w:r>
      <w:r w:rsidR="009718C6" w:rsidRPr="001F1587">
        <w:t xml:space="preserve">liquidity, solvency, profitability simultaneously affect </w:t>
      </w:r>
      <w:r w:rsidR="009718C6" w:rsidRPr="001F1587">
        <w:rPr>
          <w:iCs/>
        </w:rPr>
        <w:t>audit delay</w:t>
      </w:r>
      <w:r w:rsidR="009718C6" w:rsidRPr="001F1587">
        <w:t>.</w:t>
      </w:r>
      <w:r w:rsidR="009718C6" w:rsidRPr="00B756C9">
        <w:t xml:space="preserve"> </w:t>
      </w:r>
    </w:p>
    <w:p w14:paraId="07005C1D" w14:textId="77777777" w:rsidR="009718C6" w:rsidRPr="00B756C9" w:rsidRDefault="009718C6" w:rsidP="00833E5C">
      <w:pPr>
        <w:pStyle w:val="Default"/>
        <w:jc w:val="both"/>
        <w:rPr>
          <w:b/>
          <w:bCs/>
        </w:rPr>
      </w:pPr>
    </w:p>
    <w:p w14:paraId="33DA6AD3" w14:textId="77777777" w:rsidR="009718C6" w:rsidRPr="00B756C9" w:rsidRDefault="009718C6" w:rsidP="00833E5C">
      <w:pPr>
        <w:pStyle w:val="Default"/>
        <w:jc w:val="both"/>
      </w:pPr>
      <w:r w:rsidRPr="00B756C9">
        <w:rPr>
          <w:b/>
          <w:bCs/>
        </w:rPr>
        <w:t xml:space="preserve">CONCLUSIONS AND SUGGESTIONS </w:t>
      </w:r>
    </w:p>
    <w:p w14:paraId="5D40F386" w14:textId="4D96EB00" w:rsidR="009718C6" w:rsidRPr="00B756C9" w:rsidRDefault="00CF0D5A" w:rsidP="00833E5C">
      <w:pPr>
        <w:spacing w:line="240" w:lineRule="auto"/>
        <w:jc w:val="both"/>
        <w:rPr>
          <w:rFonts w:ascii="Arial" w:hAnsi="Arial" w:cs="Arial"/>
          <w:sz w:val="24"/>
          <w:szCs w:val="24"/>
        </w:rPr>
      </w:pPr>
      <w:r w:rsidRPr="00B756C9">
        <w:rPr>
          <w:rFonts w:ascii="Arial" w:hAnsi="Arial" w:cs="Arial"/>
          <w:sz w:val="24"/>
          <w:szCs w:val="24"/>
        </w:rPr>
        <w:tab/>
      </w:r>
      <w:r w:rsidR="009718C6" w:rsidRPr="00975E24">
        <w:rPr>
          <w:rFonts w:ascii="Arial" w:hAnsi="Arial" w:cs="Arial"/>
          <w:sz w:val="24"/>
          <w:szCs w:val="24"/>
        </w:rPr>
        <w:t xml:space="preserve">Partially, profitability and liquidity have no effect on </w:t>
      </w:r>
      <w:r w:rsidR="009718C6" w:rsidRPr="00975E24">
        <w:rPr>
          <w:rFonts w:ascii="Arial" w:hAnsi="Arial" w:cs="Arial"/>
          <w:iCs/>
          <w:sz w:val="24"/>
          <w:szCs w:val="24"/>
        </w:rPr>
        <w:t>audit delay</w:t>
      </w:r>
      <w:r w:rsidR="009718C6" w:rsidRPr="00975E24">
        <w:rPr>
          <w:rFonts w:ascii="Arial" w:hAnsi="Arial" w:cs="Arial"/>
          <w:sz w:val="24"/>
          <w:szCs w:val="24"/>
        </w:rPr>
        <w:t xml:space="preserve">, while solvency has a positive effect on </w:t>
      </w:r>
      <w:r w:rsidR="009718C6" w:rsidRPr="00975E24">
        <w:rPr>
          <w:rFonts w:ascii="Arial" w:hAnsi="Arial" w:cs="Arial"/>
          <w:iCs/>
          <w:sz w:val="24"/>
          <w:szCs w:val="24"/>
        </w:rPr>
        <w:t>audit delay</w:t>
      </w:r>
      <w:r w:rsidR="009718C6" w:rsidRPr="00975E24">
        <w:rPr>
          <w:rFonts w:ascii="Arial" w:hAnsi="Arial" w:cs="Arial"/>
          <w:sz w:val="24"/>
          <w:szCs w:val="24"/>
        </w:rPr>
        <w:t>.</w:t>
      </w:r>
      <w:r w:rsidR="009718C6" w:rsidRPr="00B756C9">
        <w:rPr>
          <w:rFonts w:ascii="Arial" w:hAnsi="Arial" w:cs="Arial"/>
          <w:sz w:val="24"/>
          <w:szCs w:val="24"/>
        </w:rPr>
        <w:t xml:space="preserve"> Meanwhile, profitability, solvency, and liquidity simultaneously affect </w:t>
      </w:r>
      <w:r w:rsidR="009718C6" w:rsidRPr="004D31FB">
        <w:rPr>
          <w:rFonts w:ascii="Arial" w:hAnsi="Arial" w:cs="Arial"/>
          <w:iCs/>
          <w:sz w:val="24"/>
          <w:szCs w:val="24"/>
        </w:rPr>
        <w:t>audit delay</w:t>
      </w:r>
      <w:r w:rsidR="009718C6" w:rsidRPr="00B756C9">
        <w:rPr>
          <w:rFonts w:ascii="Arial" w:hAnsi="Arial" w:cs="Arial"/>
          <w:i/>
          <w:iCs/>
          <w:sz w:val="24"/>
          <w:szCs w:val="24"/>
        </w:rPr>
        <w:t xml:space="preserve">. </w:t>
      </w:r>
      <w:r w:rsidR="00416717" w:rsidRPr="00416717">
        <w:rPr>
          <w:rFonts w:ascii="Arial" w:hAnsi="Arial" w:cs="Arial"/>
          <w:sz w:val="24"/>
          <w:szCs w:val="24"/>
        </w:rPr>
        <w:t xml:space="preserve">Businesses are expected to focus more on the elements that lead to </w:t>
      </w:r>
      <w:r w:rsidR="009718C6" w:rsidRPr="00416717">
        <w:rPr>
          <w:rFonts w:ascii="Arial" w:hAnsi="Arial" w:cs="Arial"/>
          <w:iCs/>
          <w:sz w:val="24"/>
          <w:szCs w:val="24"/>
        </w:rPr>
        <w:t>audit delay</w:t>
      </w:r>
      <w:r w:rsidR="009718C6" w:rsidRPr="00416717">
        <w:rPr>
          <w:rFonts w:ascii="Arial" w:hAnsi="Arial" w:cs="Arial"/>
          <w:i/>
          <w:iCs/>
          <w:sz w:val="24"/>
          <w:szCs w:val="24"/>
        </w:rPr>
        <w:t xml:space="preserve">, </w:t>
      </w:r>
      <w:r w:rsidR="009718C6" w:rsidRPr="00416717">
        <w:rPr>
          <w:rFonts w:ascii="Arial" w:hAnsi="Arial" w:cs="Arial"/>
          <w:sz w:val="24"/>
          <w:szCs w:val="24"/>
        </w:rPr>
        <w:t>on</w:t>
      </w:r>
      <w:r w:rsidR="009718C6" w:rsidRPr="00B756C9">
        <w:rPr>
          <w:rFonts w:ascii="Arial" w:hAnsi="Arial" w:cs="Arial"/>
          <w:sz w:val="24"/>
          <w:szCs w:val="24"/>
        </w:rPr>
        <w:t>e way is to improve financial performance and formulate the right strategy to control the level of solvency so that it is not too high.</w:t>
      </w:r>
    </w:p>
    <w:p w14:paraId="1FCB317A" w14:textId="77777777" w:rsidR="00CF0D5A" w:rsidRPr="00B756C9" w:rsidRDefault="00CF0D5A" w:rsidP="00833E5C">
      <w:pPr>
        <w:spacing w:line="240" w:lineRule="auto"/>
        <w:jc w:val="center"/>
        <w:rPr>
          <w:rFonts w:ascii="Arial" w:hAnsi="Arial" w:cs="Arial"/>
          <w:b/>
          <w:sz w:val="24"/>
          <w:szCs w:val="24"/>
        </w:rPr>
      </w:pPr>
      <w:r w:rsidRPr="00B756C9">
        <w:rPr>
          <w:rFonts w:ascii="Arial" w:hAnsi="Arial" w:cs="Arial"/>
          <w:b/>
          <w:sz w:val="24"/>
          <w:szCs w:val="24"/>
        </w:rPr>
        <w:t>Reference</w:t>
      </w:r>
    </w:p>
    <w:p w14:paraId="5135C7F9" w14:textId="77777777" w:rsidR="00CF0D5A" w:rsidRPr="00B756C9" w:rsidRDefault="00CF0D5A" w:rsidP="00833E5C">
      <w:pPr>
        <w:tabs>
          <w:tab w:val="left" w:pos="567"/>
          <w:tab w:val="center" w:pos="3968"/>
        </w:tabs>
        <w:spacing w:line="240" w:lineRule="auto"/>
        <w:ind w:left="709" w:hanging="709"/>
        <w:jc w:val="both"/>
        <w:rPr>
          <w:rFonts w:ascii="Arial" w:hAnsi="Arial" w:cs="Arial"/>
          <w:sz w:val="24"/>
          <w:szCs w:val="24"/>
          <w:shd w:val="clear" w:color="auto" w:fill="FFFFFF"/>
        </w:rPr>
      </w:pPr>
      <w:r w:rsidRPr="00B756C9">
        <w:rPr>
          <w:rFonts w:ascii="Arial" w:hAnsi="Arial" w:cs="Arial"/>
          <w:sz w:val="24"/>
          <w:szCs w:val="24"/>
          <w:shd w:val="clear" w:color="auto" w:fill="FFFFFF"/>
        </w:rPr>
        <w:t>Arum, R. A., SE, M., Yuyun Wahyuni, S. E., Rida Ristiyana, S. E., Ak, M., Umi Nadhiroh, S. E., &amp; Ak, M. (2022). </w:t>
      </w:r>
      <w:r w:rsidRPr="00B756C9">
        <w:rPr>
          <w:rFonts w:ascii="Arial" w:hAnsi="Arial" w:cs="Arial"/>
          <w:i/>
          <w:iCs/>
          <w:sz w:val="24"/>
          <w:szCs w:val="24"/>
          <w:shd w:val="clear" w:color="auto" w:fill="FFFFFF"/>
        </w:rPr>
        <w:t>Analisis Laporan Keuangan: Penilaian Kinerja Perusahaan Dengan Pendekatan Rasio Keuangan</w:t>
      </w:r>
      <w:r w:rsidRPr="00B756C9">
        <w:rPr>
          <w:rFonts w:ascii="Arial" w:hAnsi="Arial" w:cs="Arial"/>
          <w:sz w:val="24"/>
          <w:szCs w:val="24"/>
          <w:shd w:val="clear" w:color="auto" w:fill="FFFFFF"/>
        </w:rPr>
        <w:t>. Media Sains Indonesia.</w:t>
      </w:r>
    </w:p>
    <w:p w14:paraId="17456D35"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sz w:val="24"/>
          <w:szCs w:val="24"/>
        </w:rPr>
      </w:pPr>
      <w:r w:rsidRPr="00B756C9">
        <w:rPr>
          <w:rFonts w:ascii="Arial" w:eastAsia="Times New Roman" w:hAnsi="Arial" w:cs="Arial"/>
          <w:sz w:val="24"/>
          <w:szCs w:val="24"/>
        </w:rPr>
        <w:t xml:space="preserve">Chairani, S., Reza Hanafi Lubis SE, M. S., &amp; Debbi Chyntia Ovami, S.Pd, M. S. (2019). Pengaruh Rasio Likuiditas, Solvabilitas, Profitabilitas, Dan Ukuran Perusahaan Terhadap </w:t>
      </w:r>
      <w:r w:rsidRPr="00B756C9">
        <w:rPr>
          <w:rFonts w:ascii="Arial" w:eastAsia="Times New Roman" w:hAnsi="Arial" w:cs="Arial"/>
          <w:i/>
          <w:sz w:val="24"/>
          <w:szCs w:val="24"/>
        </w:rPr>
        <w:t>Audit Delay</w:t>
      </w:r>
      <w:r w:rsidRPr="00B756C9">
        <w:rPr>
          <w:rFonts w:ascii="Arial" w:eastAsia="Times New Roman" w:hAnsi="Arial" w:cs="Arial"/>
          <w:sz w:val="24"/>
          <w:szCs w:val="24"/>
        </w:rPr>
        <w:t xml:space="preserve"> Pada Perusahaan LQ 45. </w:t>
      </w:r>
      <w:r w:rsidRPr="00B756C9">
        <w:rPr>
          <w:rFonts w:ascii="Arial" w:eastAsia="Times New Roman" w:hAnsi="Arial" w:cs="Arial"/>
          <w:i/>
          <w:sz w:val="24"/>
          <w:szCs w:val="24"/>
        </w:rPr>
        <w:t>Jurnal Akuntansi Dan Pembelajaran</w:t>
      </w:r>
      <w:r w:rsidRPr="00B756C9">
        <w:rPr>
          <w:rFonts w:ascii="Arial" w:eastAsia="Times New Roman" w:hAnsi="Arial" w:cs="Arial"/>
          <w:sz w:val="24"/>
          <w:szCs w:val="24"/>
        </w:rPr>
        <w:t xml:space="preserve">, </w:t>
      </w:r>
      <w:r w:rsidRPr="00B756C9">
        <w:rPr>
          <w:rFonts w:ascii="Arial" w:eastAsia="Times New Roman" w:hAnsi="Arial" w:cs="Arial"/>
          <w:i/>
          <w:sz w:val="24"/>
          <w:szCs w:val="24"/>
        </w:rPr>
        <w:t>8</w:t>
      </w:r>
      <w:r w:rsidRPr="00B756C9">
        <w:rPr>
          <w:rFonts w:ascii="Arial" w:eastAsia="Times New Roman" w:hAnsi="Arial" w:cs="Arial"/>
          <w:sz w:val="24"/>
          <w:szCs w:val="24"/>
        </w:rPr>
        <w:t>(2), 44–50.</w:t>
      </w:r>
    </w:p>
    <w:p w14:paraId="5D7B443F"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000000"/>
          <w:sz w:val="24"/>
          <w:szCs w:val="24"/>
        </w:rPr>
      </w:pPr>
      <w:r w:rsidRPr="00B756C9">
        <w:rPr>
          <w:rFonts w:ascii="Arial" w:eastAsia="Times New Roman" w:hAnsi="Arial" w:cs="Arial"/>
          <w:color w:val="000000"/>
          <w:sz w:val="24"/>
          <w:szCs w:val="24"/>
        </w:rPr>
        <w:t xml:space="preserve">Dewi, A. A., &amp; Wahyuni, M. A. (2021). Pengaruh Rasio Keuangan, Kompleksitas, dan Kualitas Audit terhadap </w:t>
      </w:r>
      <w:r w:rsidRPr="00B756C9">
        <w:rPr>
          <w:rFonts w:ascii="Arial" w:eastAsia="Times New Roman" w:hAnsi="Arial" w:cs="Arial"/>
          <w:i/>
          <w:color w:val="000000"/>
          <w:sz w:val="24"/>
          <w:szCs w:val="24"/>
        </w:rPr>
        <w:t xml:space="preserve">Audit Delay </w:t>
      </w:r>
      <w:r w:rsidRPr="00B756C9">
        <w:rPr>
          <w:rFonts w:ascii="Arial" w:eastAsia="Times New Roman" w:hAnsi="Arial" w:cs="Arial"/>
          <w:color w:val="000000"/>
          <w:sz w:val="24"/>
          <w:szCs w:val="24"/>
        </w:rPr>
        <w:t xml:space="preserve">pada Perusahaan Manufaktur di BEI. </w:t>
      </w:r>
      <w:r w:rsidRPr="00B756C9">
        <w:rPr>
          <w:rFonts w:ascii="Arial" w:eastAsia="Times New Roman" w:hAnsi="Arial" w:cs="Arial"/>
          <w:i/>
          <w:color w:val="000000"/>
          <w:sz w:val="24"/>
          <w:szCs w:val="24"/>
        </w:rPr>
        <w:t>Jurnal Akuntansi Profesi</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12</w:t>
      </w:r>
      <w:r w:rsidRPr="00B756C9">
        <w:rPr>
          <w:rFonts w:ascii="Arial" w:eastAsia="Times New Roman" w:hAnsi="Arial" w:cs="Arial"/>
          <w:color w:val="000000"/>
          <w:sz w:val="24"/>
          <w:szCs w:val="24"/>
        </w:rPr>
        <w:t xml:space="preserve">(2), 410. </w:t>
      </w:r>
      <w:hyperlink r:id="rId13" w:history="1">
        <w:r w:rsidRPr="00B756C9">
          <w:rPr>
            <w:rStyle w:val="Hyperlink"/>
            <w:rFonts w:ascii="Arial" w:eastAsia="Times New Roman" w:hAnsi="Arial" w:cs="Arial"/>
            <w:sz w:val="24"/>
            <w:szCs w:val="24"/>
          </w:rPr>
          <w:t>https://doi.org/10.23887/jap.v12i2.36214</w:t>
        </w:r>
      </w:hyperlink>
    </w:p>
    <w:p w14:paraId="5CF6155A" w14:textId="77777777" w:rsidR="00CF0D5A" w:rsidRPr="00B756C9" w:rsidRDefault="00CF0D5A" w:rsidP="00833E5C">
      <w:pPr>
        <w:pStyle w:val="Bibliography"/>
        <w:tabs>
          <w:tab w:val="left" w:pos="567"/>
        </w:tabs>
        <w:spacing w:line="240" w:lineRule="auto"/>
        <w:ind w:left="709" w:hanging="709"/>
        <w:jc w:val="both"/>
        <w:rPr>
          <w:rFonts w:ascii="Arial" w:hAnsi="Arial" w:cs="Arial"/>
          <w:noProof/>
          <w:sz w:val="24"/>
          <w:szCs w:val="24"/>
        </w:rPr>
      </w:pPr>
      <w:r w:rsidRPr="00B756C9">
        <w:rPr>
          <w:rFonts w:ascii="Arial" w:hAnsi="Arial" w:cs="Arial"/>
          <w:noProof/>
          <w:sz w:val="24"/>
          <w:szCs w:val="24"/>
        </w:rPr>
        <w:t xml:space="preserve">Gustini, E. (2020). Pengaruh Ukuran Perusahaan, Profitabilitas, Solvabilitas dan dan Jenis Industri terhadap Audit Delay pada perusahaan LQ45 yang Terdaftar di Bursa Efek Indonesia. </w:t>
      </w:r>
      <w:r w:rsidRPr="00B756C9">
        <w:rPr>
          <w:rFonts w:ascii="Arial" w:hAnsi="Arial" w:cs="Arial"/>
          <w:i/>
          <w:iCs/>
          <w:noProof/>
          <w:sz w:val="24"/>
          <w:szCs w:val="24"/>
        </w:rPr>
        <w:t>JURNAL ILMIAH EKONOMI GLOBAL MASA KINI VOLUME 10 No.01 DESEMBER 2020</w:t>
      </w:r>
      <w:r w:rsidRPr="00B756C9">
        <w:rPr>
          <w:rFonts w:ascii="Arial" w:hAnsi="Arial" w:cs="Arial"/>
          <w:noProof/>
          <w:sz w:val="24"/>
          <w:szCs w:val="24"/>
        </w:rPr>
        <w:t>.</w:t>
      </w:r>
    </w:p>
    <w:p w14:paraId="679E102F"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000000"/>
          <w:sz w:val="24"/>
          <w:szCs w:val="24"/>
        </w:rPr>
      </w:pPr>
      <w:r w:rsidRPr="00B756C9">
        <w:rPr>
          <w:rFonts w:ascii="Arial" w:eastAsia="Times New Roman" w:hAnsi="Arial" w:cs="Arial"/>
          <w:color w:val="000000"/>
          <w:sz w:val="24"/>
          <w:szCs w:val="24"/>
        </w:rPr>
        <w:t xml:space="preserve">Harianto, &amp; Saputra, A. J. (2022). Analisis Determinan </w:t>
      </w:r>
      <w:r w:rsidRPr="00B756C9">
        <w:rPr>
          <w:rFonts w:ascii="Arial" w:eastAsia="Times New Roman" w:hAnsi="Arial" w:cs="Arial"/>
          <w:i/>
          <w:color w:val="000000"/>
          <w:sz w:val="24"/>
          <w:szCs w:val="24"/>
        </w:rPr>
        <w:t xml:space="preserve">Audit Delay </w:t>
      </w:r>
      <w:r w:rsidRPr="00B756C9">
        <w:rPr>
          <w:rFonts w:ascii="Arial" w:eastAsia="Times New Roman" w:hAnsi="Arial" w:cs="Arial"/>
          <w:color w:val="000000"/>
          <w:sz w:val="24"/>
          <w:szCs w:val="24"/>
        </w:rPr>
        <w:t xml:space="preserve">Perusahaan Property dan Real Estate. </w:t>
      </w:r>
      <w:r w:rsidRPr="00B756C9">
        <w:rPr>
          <w:rFonts w:ascii="Arial" w:eastAsia="Times New Roman" w:hAnsi="Arial" w:cs="Arial"/>
          <w:i/>
          <w:color w:val="000000"/>
          <w:sz w:val="24"/>
          <w:szCs w:val="24"/>
        </w:rPr>
        <w:t>E-Jurnal Akuntansi</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32</w:t>
      </w:r>
      <w:r w:rsidRPr="00B756C9">
        <w:rPr>
          <w:rFonts w:ascii="Arial" w:eastAsia="Times New Roman" w:hAnsi="Arial" w:cs="Arial"/>
          <w:color w:val="000000"/>
          <w:sz w:val="24"/>
          <w:szCs w:val="24"/>
        </w:rPr>
        <w:t xml:space="preserve">(2), 3712. </w:t>
      </w:r>
      <w:hyperlink r:id="rId14" w:history="1">
        <w:r w:rsidRPr="00B756C9">
          <w:rPr>
            <w:rStyle w:val="Hyperlink"/>
            <w:rFonts w:ascii="Arial" w:eastAsia="Times New Roman" w:hAnsi="Arial" w:cs="Arial"/>
            <w:sz w:val="24"/>
            <w:szCs w:val="24"/>
          </w:rPr>
          <w:t>https://doi.org/10.24843/eja.2022.v32.i02.p09</w:t>
        </w:r>
      </w:hyperlink>
    </w:p>
    <w:p w14:paraId="35DFC9E5" w14:textId="77777777" w:rsidR="00CF0D5A" w:rsidRDefault="00CF0D5A" w:rsidP="00833E5C">
      <w:pPr>
        <w:pStyle w:val="Bibliography"/>
        <w:tabs>
          <w:tab w:val="left" w:pos="567"/>
        </w:tabs>
        <w:spacing w:line="240" w:lineRule="auto"/>
        <w:ind w:left="709" w:hanging="709"/>
        <w:jc w:val="both"/>
        <w:rPr>
          <w:rFonts w:ascii="Arial" w:hAnsi="Arial" w:cs="Arial"/>
          <w:noProof/>
          <w:sz w:val="24"/>
          <w:szCs w:val="24"/>
        </w:rPr>
      </w:pPr>
      <w:r w:rsidRPr="00B756C9">
        <w:rPr>
          <w:rFonts w:ascii="Arial" w:hAnsi="Arial" w:cs="Arial"/>
          <w:noProof/>
          <w:sz w:val="24"/>
          <w:szCs w:val="24"/>
        </w:rPr>
        <w:t xml:space="preserve">Hutauruk S, N. R. (2022). PENGARUH PROFITABILITAS TERHADAP AUDIT DELAY. </w:t>
      </w:r>
      <w:r w:rsidRPr="00B756C9">
        <w:rPr>
          <w:rFonts w:ascii="Arial" w:hAnsi="Arial" w:cs="Arial"/>
          <w:i/>
          <w:iCs/>
          <w:noProof/>
          <w:sz w:val="24"/>
          <w:szCs w:val="24"/>
        </w:rPr>
        <w:t>Konferensi Nasional Sosial dan Engineering Politeknik Negeri Medan Tahun 2022</w:t>
      </w:r>
      <w:r w:rsidRPr="00B756C9">
        <w:rPr>
          <w:rFonts w:ascii="Arial" w:hAnsi="Arial" w:cs="Arial"/>
          <w:noProof/>
          <w:sz w:val="24"/>
          <w:szCs w:val="24"/>
        </w:rPr>
        <w:t>, 266.</w:t>
      </w:r>
    </w:p>
    <w:p w14:paraId="65512277" w14:textId="77777777" w:rsidR="00306E1E" w:rsidRPr="00306E1E" w:rsidRDefault="00306E1E" w:rsidP="00833E5C">
      <w:pPr>
        <w:spacing w:line="240" w:lineRule="auto"/>
        <w:ind w:left="720" w:hanging="720"/>
        <w:jc w:val="both"/>
        <w:rPr>
          <w:rFonts w:ascii="Arial" w:hAnsi="Arial" w:cs="Arial"/>
          <w:sz w:val="24"/>
          <w:lang w:val="en-ID" w:eastAsia="en-ID"/>
        </w:rPr>
      </w:pPr>
      <w:r w:rsidRPr="00306E1E">
        <w:rPr>
          <w:rFonts w:ascii="Arial" w:hAnsi="Arial" w:cs="Arial"/>
          <w:sz w:val="24"/>
          <w:lang w:val="en-ID" w:eastAsia="en-ID"/>
        </w:rPr>
        <w:t xml:space="preserve">Istamar, I., &amp; Utomo, R. (2023). Determinasi Audit Delay Pada Perusahaan Manufaktur Di Indonesia Periode Pandemi Covid-19. Jurnal Ilmiah Wahana Pendidikan, 9(17), 403-415. </w:t>
      </w:r>
      <w:hyperlink r:id="rId15" w:history="1">
        <w:r w:rsidRPr="00306E1E">
          <w:rPr>
            <w:rStyle w:val="Hyperlink"/>
            <w:rFonts w:ascii="Arial" w:hAnsi="Arial" w:cs="Arial"/>
            <w:sz w:val="24"/>
            <w:lang w:val="en-ID" w:eastAsia="en-ID"/>
          </w:rPr>
          <w:t>https://doi.org/10.5281/zenodo.8310493</w:t>
        </w:r>
      </w:hyperlink>
    </w:p>
    <w:p w14:paraId="74A42BFC"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000000"/>
          <w:sz w:val="24"/>
          <w:szCs w:val="24"/>
        </w:rPr>
      </w:pPr>
      <w:r w:rsidRPr="00B756C9">
        <w:rPr>
          <w:rFonts w:ascii="Arial" w:eastAsia="Times New Roman" w:hAnsi="Arial" w:cs="Arial"/>
          <w:color w:val="000000"/>
          <w:sz w:val="24"/>
          <w:szCs w:val="24"/>
        </w:rPr>
        <w:t xml:space="preserve">Kristanti, C., &amp; Mulya, H. (2021). The Effect of Leverage, Profitability and The Audit Committee on </w:t>
      </w:r>
      <w:r w:rsidRPr="00B756C9">
        <w:rPr>
          <w:rFonts w:ascii="Arial" w:eastAsia="Times New Roman" w:hAnsi="Arial" w:cs="Arial"/>
          <w:i/>
          <w:color w:val="000000"/>
          <w:sz w:val="24"/>
          <w:szCs w:val="24"/>
        </w:rPr>
        <w:t>Audit Delay</w:t>
      </w:r>
      <w:r w:rsidRPr="00B756C9">
        <w:rPr>
          <w:rFonts w:ascii="Arial" w:eastAsia="Times New Roman" w:hAnsi="Arial" w:cs="Arial"/>
          <w:color w:val="000000"/>
          <w:sz w:val="24"/>
          <w:szCs w:val="24"/>
        </w:rPr>
        <w:t xml:space="preserve"> With Company Size as a Moderated Variables. </w:t>
      </w:r>
      <w:r w:rsidRPr="00B756C9">
        <w:rPr>
          <w:rFonts w:ascii="Arial" w:eastAsia="Times New Roman" w:hAnsi="Arial" w:cs="Arial"/>
          <w:i/>
          <w:color w:val="000000"/>
          <w:sz w:val="24"/>
          <w:szCs w:val="24"/>
        </w:rPr>
        <w:t>Dinasti International Journal of Economics, Finance and Accounting</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2</w:t>
      </w:r>
      <w:r w:rsidRPr="00B756C9">
        <w:rPr>
          <w:rFonts w:ascii="Arial" w:eastAsia="Times New Roman" w:hAnsi="Arial" w:cs="Arial"/>
          <w:color w:val="000000"/>
          <w:sz w:val="24"/>
          <w:szCs w:val="24"/>
        </w:rPr>
        <w:t xml:space="preserve">(3), 283–294. </w:t>
      </w:r>
      <w:hyperlink r:id="rId16" w:history="1">
        <w:r w:rsidRPr="00B756C9">
          <w:rPr>
            <w:rStyle w:val="Hyperlink"/>
            <w:rFonts w:ascii="Arial" w:eastAsia="Times New Roman" w:hAnsi="Arial" w:cs="Arial"/>
            <w:color w:val="1155CC"/>
            <w:sz w:val="24"/>
            <w:szCs w:val="24"/>
          </w:rPr>
          <w:t>https://doi.org/10.38035/dijefa.v2i3https://creativecommons.org/licenses/by/4.0/</w:t>
        </w:r>
      </w:hyperlink>
    </w:p>
    <w:p w14:paraId="59384CF2"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222222"/>
          <w:sz w:val="24"/>
          <w:szCs w:val="24"/>
        </w:rPr>
      </w:pPr>
      <w:r w:rsidRPr="00B756C9">
        <w:rPr>
          <w:rFonts w:ascii="Arial" w:eastAsia="Times New Roman" w:hAnsi="Arial" w:cs="Arial"/>
          <w:color w:val="222222"/>
          <w:sz w:val="24"/>
          <w:szCs w:val="24"/>
          <w:highlight w:val="white"/>
        </w:rPr>
        <w:t xml:space="preserve">Laia, P. M., Purba, R. B., &amp; Sipahutar, T. T. U. (2021). The Effect of Company Size, </w:t>
      </w:r>
      <w:r w:rsidRPr="00B756C9">
        <w:rPr>
          <w:rFonts w:ascii="Arial" w:eastAsia="Times New Roman" w:hAnsi="Arial" w:cs="Arial"/>
          <w:color w:val="222222"/>
          <w:sz w:val="24"/>
          <w:szCs w:val="24"/>
          <w:highlight w:val="white"/>
        </w:rPr>
        <w:lastRenderedPageBreak/>
        <w:t xml:space="preserve">Profitability, Audit Opinion And Company Age on Audit Delay on Property and Real Estate Companies in BEI. </w:t>
      </w:r>
      <w:r w:rsidRPr="00B756C9">
        <w:rPr>
          <w:rFonts w:ascii="Arial" w:eastAsia="Times New Roman" w:hAnsi="Arial" w:cs="Arial"/>
          <w:i/>
          <w:color w:val="222222"/>
          <w:sz w:val="24"/>
          <w:szCs w:val="24"/>
          <w:highlight w:val="white"/>
        </w:rPr>
        <w:t>Budapest International Research and Critics Institute (BIRCI-Journal): Humanities and Social Sciences</w:t>
      </w:r>
      <w:r w:rsidRPr="00B756C9">
        <w:rPr>
          <w:rFonts w:ascii="Arial" w:eastAsia="Times New Roman" w:hAnsi="Arial" w:cs="Arial"/>
          <w:color w:val="222222"/>
          <w:sz w:val="24"/>
          <w:szCs w:val="24"/>
          <w:highlight w:val="white"/>
        </w:rPr>
        <w:t xml:space="preserve">, </w:t>
      </w:r>
      <w:r w:rsidRPr="00B756C9">
        <w:rPr>
          <w:rFonts w:ascii="Arial" w:eastAsia="Times New Roman" w:hAnsi="Arial" w:cs="Arial"/>
          <w:i/>
          <w:color w:val="222222"/>
          <w:sz w:val="24"/>
          <w:szCs w:val="24"/>
          <w:highlight w:val="white"/>
        </w:rPr>
        <w:t>4</w:t>
      </w:r>
      <w:r w:rsidRPr="00B756C9">
        <w:rPr>
          <w:rFonts w:ascii="Arial" w:eastAsia="Times New Roman" w:hAnsi="Arial" w:cs="Arial"/>
          <w:color w:val="222222"/>
          <w:sz w:val="24"/>
          <w:szCs w:val="24"/>
          <w:highlight w:val="white"/>
        </w:rPr>
        <w:t>(4), 12425-12433.</w:t>
      </w:r>
    </w:p>
    <w:p w14:paraId="5FECB70E" w14:textId="77777777" w:rsidR="00CF0D5A" w:rsidRPr="00B756C9" w:rsidRDefault="00CF0D5A" w:rsidP="00833E5C">
      <w:pPr>
        <w:pStyle w:val="NoSpacing"/>
        <w:tabs>
          <w:tab w:val="left" w:pos="567"/>
        </w:tabs>
        <w:ind w:left="709" w:hanging="709"/>
        <w:jc w:val="both"/>
        <w:rPr>
          <w:rFonts w:ascii="Arial" w:hAnsi="Arial" w:cs="Arial"/>
          <w:b/>
          <w:sz w:val="24"/>
          <w:szCs w:val="24"/>
        </w:rPr>
      </w:pPr>
      <w:r w:rsidRPr="00B756C9">
        <w:rPr>
          <w:rFonts w:ascii="Arial" w:hAnsi="Arial" w:cs="Arial"/>
          <w:color w:val="222222"/>
          <w:sz w:val="24"/>
          <w:szCs w:val="24"/>
          <w:shd w:val="clear" w:color="auto" w:fill="FFFFFF"/>
        </w:rPr>
        <w:t>Lubis, R. H., Ovami, D. C., &amp; Chairani, S. (2019). Pengaruh Rasio Likuiditas, Solvabilitas, Profitabilitas, dan Ukuran Perusahaan Terhadap Audit Delay Pada Perusahaan LQ 45. </w:t>
      </w:r>
      <w:r w:rsidRPr="00B756C9">
        <w:rPr>
          <w:rFonts w:ascii="Arial" w:hAnsi="Arial" w:cs="Arial"/>
          <w:i/>
          <w:iCs/>
          <w:color w:val="222222"/>
          <w:sz w:val="24"/>
          <w:szCs w:val="24"/>
          <w:shd w:val="clear" w:color="auto" w:fill="FFFFFF"/>
        </w:rPr>
        <w:t>Jurnal Akuntansi Dan Pembelajaran</w:t>
      </w:r>
      <w:r w:rsidRPr="00B756C9">
        <w:rPr>
          <w:rFonts w:ascii="Arial" w:hAnsi="Arial" w:cs="Arial"/>
          <w:color w:val="222222"/>
          <w:sz w:val="24"/>
          <w:szCs w:val="24"/>
          <w:shd w:val="clear" w:color="auto" w:fill="FFFFFF"/>
        </w:rPr>
        <w:t>, </w:t>
      </w:r>
      <w:r w:rsidRPr="00B756C9">
        <w:rPr>
          <w:rFonts w:ascii="Arial" w:hAnsi="Arial" w:cs="Arial"/>
          <w:i/>
          <w:iCs/>
          <w:color w:val="222222"/>
          <w:sz w:val="24"/>
          <w:szCs w:val="24"/>
          <w:shd w:val="clear" w:color="auto" w:fill="FFFFFF"/>
        </w:rPr>
        <w:t>8</w:t>
      </w:r>
      <w:r w:rsidRPr="00B756C9">
        <w:rPr>
          <w:rFonts w:ascii="Arial" w:hAnsi="Arial" w:cs="Arial"/>
          <w:color w:val="222222"/>
          <w:sz w:val="24"/>
          <w:szCs w:val="24"/>
          <w:shd w:val="clear" w:color="auto" w:fill="FFFFFF"/>
        </w:rPr>
        <w:t>(2)</w:t>
      </w:r>
    </w:p>
    <w:p w14:paraId="17377772" w14:textId="77777777" w:rsidR="00CF0D5A" w:rsidRPr="00B756C9" w:rsidRDefault="00CF0D5A" w:rsidP="00833E5C">
      <w:pPr>
        <w:pStyle w:val="Bibliography"/>
        <w:tabs>
          <w:tab w:val="left" w:pos="567"/>
        </w:tabs>
        <w:spacing w:line="240" w:lineRule="auto"/>
        <w:ind w:left="709" w:hanging="709"/>
        <w:jc w:val="both"/>
        <w:rPr>
          <w:rFonts w:ascii="Arial" w:hAnsi="Arial" w:cs="Arial"/>
          <w:noProof/>
          <w:sz w:val="24"/>
          <w:szCs w:val="24"/>
        </w:rPr>
      </w:pPr>
      <w:r w:rsidRPr="00B756C9">
        <w:rPr>
          <w:rFonts w:ascii="Arial" w:hAnsi="Arial" w:cs="Arial"/>
          <w:noProof/>
          <w:sz w:val="24"/>
          <w:szCs w:val="24"/>
        </w:rPr>
        <w:t xml:space="preserve">Mayndarto E P, R. W. (2019). Pengaruh Likuiditas dan Perubahan Gross Profit Terhadap Audit Delay. </w:t>
      </w:r>
      <w:r w:rsidRPr="00B756C9">
        <w:rPr>
          <w:rFonts w:ascii="Arial" w:hAnsi="Arial" w:cs="Arial"/>
          <w:i/>
          <w:iCs/>
          <w:noProof/>
          <w:sz w:val="24"/>
          <w:szCs w:val="24"/>
        </w:rPr>
        <w:t>Jurnal Pajak, Akuntansi, Sistem Informasi, dan Auditing</w:t>
      </w:r>
      <w:r w:rsidRPr="00B756C9">
        <w:rPr>
          <w:rFonts w:ascii="Arial" w:hAnsi="Arial" w:cs="Arial"/>
          <w:noProof/>
          <w:sz w:val="24"/>
          <w:szCs w:val="24"/>
        </w:rPr>
        <w:t>, 83-97.</w:t>
      </w:r>
    </w:p>
    <w:p w14:paraId="45EDFE58"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000000"/>
          <w:sz w:val="24"/>
          <w:szCs w:val="24"/>
        </w:rPr>
      </w:pPr>
      <w:r w:rsidRPr="00B756C9">
        <w:rPr>
          <w:rFonts w:ascii="Arial" w:eastAsia="Times New Roman" w:hAnsi="Arial" w:cs="Arial"/>
          <w:color w:val="000000"/>
          <w:sz w:val="24"/>
          <w:szCs w:val="24"/>
        </w:rPr>
        <w:t xml:space="preserve">Melosa, G., &amp; Rohman, A. (2022). Pengaruh Ukuran Perusahaan, Likuiditas, Profitabilitas, Solvabilitas, Debt to Asset Ratio, Earning Per Share dan Ukuran Perusahaan Audit Terhadap </w:t>
      </w:r>
      <w:r w:rsidRPr="00B756C9">
        <w:rPr>
          <w:rFonts w:ascii="Arial" w:eastAsia="Times New Roman" w:hAnsi="Arial" w:cs="Arial"/>
          <w:i/>
          <w:color w:val="000000"/>
          <w:sz w:val="24"/>
          <w:szCs w:val="24"/>
        </w:rPr>
        <w:t>Audit Delay.</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Diponegoro Journal of Accounting</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11</w:t>
      </w:r>
      <w:r w:rsidRPr="00B756C9">
        <w:rPr>
          <w:rFonts w:ascii="Arial" w:eastAsia="Times New Roman" w:hAnsi="Arial" w:cs="Arial"/>
          <w:color w:val="000000"/>
          <w:sz w:val="24"/>
          <w:szCs w:val="24"/>
        </w:rPr>
        <w:t>(4), 1–13.</w:t>
      </w:r>
    </w:p>
    <w:p w14:paraId="56435D12"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000000"/>
          <w:sz w:val="24"/>
          <w:szCs w:val="24"/>
        </w:rPr>
      </w:pPr>
      <w:r w:rsidRPr="00B756C9">
        <w:rPr>
          <w:rFonts w:ascii="Arial" w:eastAsia="Times New Roman" w:hAnsi="Arial" w:cs="Arial"/>
          <w:color w:val="000000"/>
          <w:sz w:val="24"/>
          <w:szCs w:val="24"/>
        </w:rPr>
        <w:t xml:space="preserve">Murtini, S., Babatunde, B. N., Wulandari, I., &amp; Utomo, R. B. (2022). Determination Of </w:t>
      </w:r>
      <w:r w:rsidRPr="00B756C9">
        <w:rPr>
          <w:rFonts w:ascii="Arial" w:eastAsia="Times New Roman" w:hAnsi="Arial" w:cs="Arial"/>
          <w:i/>
          <w:color w:val="000000"/>
          <w:sz w:val="24"/>
          <w:szCs w:val="24"/>
        </w:rPr>
        <w:t>Audit Delay</w:t>
      </w:r>
      <w:r w:rsidRPr="00B756C9">
        <w:rPr>
          <w:rFonts w:ascii="Arial" w:eastAsia="Times New Roman" w:hAnsi="Arial" w:cs="Arial"/>
          <w:color w:val="000000"/>
          <w:sz w:val="24"/>
          <w:szCs w:val="24"/>
        </w:rPr>
        <w:t xml:space="preserve"> on Real Estate Property Companies in Indonesia During The Covid-19 Pandemic. </w:t>
      </w:r>
      <w:r w:rsidRPr="00B756C9">
        <w:rPr>
          <w:rFonts w:ascii="Arial" w:eastAsia="Times New Roman" w:hAnsi="Arial" w:cs="Arial"/>
          <w:i/>
          <w:color w:val="000000"/>
          <w:sz w:val="24"/>
          <w:szCs w:val="24"/>
        </w:rPr>
        <w:t xml:space="preserve">JRAM, </w:t>
      </w:r>
      <w:r w:rsidRPr="00B756C9">
        <w:rPr>
          <w:rFonts w:ascii="Arial" w:eastAsia="Times New Roman" w:hAnsi="Arial" w:cs="Arial"/>
          <w:color w:val="000000"/>
          <w:sz w:val="24"/>
          <w:szCs w:val="24"/>
        </w:rPr>
        <w:t xml:space="preserve">8(1), 103–109. Doi : </w:t>
      </w:r>
      <w:hyperlink r:id="rId17" w:history="1">
        <w:r w:rsidRPr="00B756C9">
          <w:rPr>
            <w:rStyle w:val="Hyperlink"/>
            <w:rFonts w:ascii="Arial" w:eastAsia="Times New Roman" w:hAnsi="Arial" w:cs="Arial"/>
            <w:sz w:val="24"/>
            <w:szCs w:val="24"/>
          </w:rPr>
          <w:t>https://doi.org/https://doi.org/10.26486/jramb.v8i1.2404</w:t>
        </w:r>
      </w:hyperlink>
      <w:r w:rsidRPr="00B756C9">
        <w:rPr>
          <w:rFonts w:ascii="Arial" w:eastAsia="Times New Roman" w:hAnsi="Arial" w:cs="Arial"/>
          <w:color w:val="000000"/>
          <w:sz w:val="24"/>
          <w:szCs w:val="24"/>
        </w:rPr>
        <w:t xml:space="preserve"> </w:t>
      </w:r>
    </w:p>
    <w:p w14:paraId="715652FA" w14:textId="77777777" w:rsidR="00CF0D5A" w:rsidRPr="00B756C9" w:rsidRDefault="00CF0D5A" w:rsidP="00833E5C">
      <w:pPr>
        <w:widowControl w:val="0"/>
        <w:tabs>
          <w:tab w:val="left" w:pos="567"/>
        </w:tabs>
        <w:spacing w:line="240" w:lineRule="auto"/>
        <w:ind w:left="709" w:hanging="709"/>
        <w:jc w:val="both"/>
        <w:rPr>
          <w:rFonts w:ascii="Arial" w:eastAsia="Times New Roman" w:hAnsi="Arial" w:cs="Arial"/>
          <w:color w:val="1155CC"/>
          <w:sz w:val="24"/>
          <w:szCs w:val="24"/>
          <w:u w:val="single"/>
        </w:rPr>
      </w:pPr>
      <w:r w:rsidRPr="00B756C9">
        <w:rPr>
          <w:rFonts w:ascii="Arial" w:eastAsia="Times New Roman" w:hAnsi="Arial" w:cs="Arial"/>
          <w:color w:val="000000"/>
          <w:sz w:val="24"/>
          <w:szCs w:val="24"/>
        </w:rPr>
        <w:t xml:space="preserve">Rahman, H. F. S. dan A. (2021). Faktor-faktor yang mempengaruhi </w:t>
      </w:r>
      <w:r w:rsidRPr="00B756C9">
        <w:rPr>
          <w:rFonts w:ascii="Arial" w:eastAsia="Times New Roman" w:hAnsi="Arial" w:cs="Arial"/>
          <w:i/>
          <w:color w:val="000000"/>
          <w:sz w:val="24"/>
          <w:szCs w:val="24"/>
        </w:rPr>
        <w:t xml:space="preserve">audit delay </w:t>
      </w:r>
      <w:r w:rsidRPr="00B756C9">
        <w:rPr>
          <w:rFonts w:ascii="Arial" w:eastAsia="Times New Roman" w:hAnsi="Arial" w:cs="Arial"/>
          <w:color w:val="000000"/>
          <w:sz w:val="24"/>
          <w:szCs w:val="24"/>
        </w:rPr>
        <w:t xml:space="preserve">pada perusahaan property dan real estate yang terdaftar di bursa efek indonesia tahun 2017-2019. </w:t>
      </w:r>
      <w:r w:rsidRPr="00B756C9">
        <w:rPr>
          <w:rFonts w:ascii="Arial" w:eastAsia="Times New Roman" w:hAnsi="Arial" w:cs="Arial"/>
          <w:i/>
          <w:color w:val="000000"/>
          <w:sz w:val="24"/>
          <w:szCs w:val="24"/>
        </w:rPr>
        <w:t>Jurnal Ilmiah Ekonomi Bisnis (S4)</w:t>
      </w:r>
      <w:r w:rsidRPr="00B756C9">
        <w:rPr>
          <w:rFonts w:ascii="Arial" w:eastAsia="Times New Roman" w:hAnsi="Arial" w:cs="Arial"/>
          <w:color w:val="000000"/>
          <w:sz w:val="24"/>
          <w:szCs w:val="24"/>
        </w:rPr>
        <w:t xml:space="preserve">, </w:t>
      </w:r>
      <w:r w:rsidRPr="00B756C9">
        <w:rPr>
          <w:rFonts w:ascii="Arial" w:eastAsia="Times New Roman" w:hAnsi="Arial" w:cs="Arial"/>
          <w:i/>
          <w:color w:val="000000"/>
          <w:sz w:val="24"/>
          <w:szCs w:val="24"/>
        </w:rPr>
        <w:t>5</w:t>
      </w:r>
      <w:r w:rsidRPr="00B756C9">
        <w:rPr>
          <w:rFonts w:ascii="Arial" w:eastAsia="Times New Roman" w:hAnsi="Arial" w:cs="Arial"/>
          <w:color w:val="000000"/>
          <w:sz w:val="24"/>
          <w:szCs w:val="24"/>
        </w:rPr>
        <w:t xml:space="preserve">(Maret 2018), 110–126. </w:t>
      </w:r>
      <w:hyperlink r:id="rId18" w:history="1">
        <w:r w:rsidRPr="00B756C9">
          <w:rPr>
            <w:rStyle w:val="Hyperlink"/>
            <w:rFonts w:ascii="Arial" w:eastAsia="Times New Roman" w:hAnsi="Arial" w:cs="Arial"/>
            <w:color w:val="1155CC"/>
            <w:sz w:val="24"/>
            <w:szCs w:val="24"/>
          </w:rPr>
          <w:t>http://ejournal.stiepancasetia.ac.id/index.php/jieb</w:t>
        </w:r>
      </w:hyperlink>
    </w:p>
    <w:p w14:paraId="17BA400D" w14:textId="77777777" w:rsidR="00CF0D5A" w:rsidRPr="00B756C9" w:rsidRDefault="00CF0D5A" w:rsidP="00833E5C">
      <w:pPr>
        <w:pStyle w:val="Bibliography"/>
        <w:tabs>
          <w:tab w:val="left" w:pos="567"/>
        </w:tabs>
        <w:spacing w:line="240" w:lineRule="auto"/>
        <w:ind w:left="709" w:hanging="709"/>
        <w:jc w:val="both"/>
        <w:rPr>
          <w:rFonts w:ascii="Arial" w:hAnsi="Arial" w:cs="Arial"/>
          <w:b/>
          <w:sz w:val="24"/>
          <w:szCs w:val="24"/>
        </w:rPr>
      </w:pPr>
      <w:r w:rsidRPr="00B756C9">
        <w:rPr>
          <w:rFonts w:ascii="Arial" w:hAnsi="Arial" w:cs="Arial"/>
          <w:noProof/>
          <w:sz w:val="24"/>
          <w:szCs w:val="24"/>
        </w:rPr>
        <w:t xml:space="preserve">Setyawan, N. H. (2020). Pengaruh Likuiditas, Solvabilitas dan Ukuran Perusahaan terhadap Audit Report Lag. </w:t>
      </w:r>
      <w:r w:rsidRPr="00B756C9">
        <w:rPr>
          <w:rFonts w:ascii="Arial" w:hAnsi="Arial" w:cs="Arial"/>
          <w:i/>
          <w:iCs/>
          <w:noProof/>
          <w:sz w:val="24"/>
          <w:szCs w:val="24"/>
        </w:rPr>
        <w:t>Jurnal Ilmiah Akuntansi dan Finansial Indonesia</w:t>
      </w:r>
      <w:r w:rsidRPr="00B756C9">
        <w:rPr>
          <w:rFonts w:ascii="Arial" w:hAnsi="Arial" w:cs="Arial"/>
          <w:noProof/>
          <w:sz w:val="24"/>
          <w:szCs w:val="24"/>
        </w:rPr>
        <w:t>, 27-40.</w:t>
      </w:r>
      <w:r w:rsidRPr="00B756C9">
        <w:rPr>
          <w:rFonts w:ascii="Arial" w:hAnsi="Arial" w:cs="Arial"/>
          <w:b/>
          <w:sz w:val="24"/>
          <w:szCs w:val="24"/>
        </w:rPr>
        <w:t xml:space="preserve"> </w:t>
      </w:r>
    </w:p>
    <w:p w14:paraId="5F37F6AE" w14:textId="77777777" w:rsidR="009718C6" w:rsidRPr="00B756C9" w:rsidRDefault="009718C6" w:rsidP="00833E5C">
      <w:pPr>
        <w:spacing w:line="240" w:lineRule="auto"/>
        <w:jc w:val="both"/>
        <w:rPr>
          <w:rFonts w:ascii="Arial" w:hAnsi="Arial" w:cs="Arial"/>
          <w:sz w:val="24"/>
          <w:szCs w:val="24"/>
        </w:rPr>
      </w:pPr>
    </w:p>
    <w:sectPr w:rsidR="009718C6" w:rsidRPr="00B756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CEB6" w14:textId="77777777" w:rsidR="00DE5C9F" w:rsidRDefault="00DE5C9F" w:rsidP="000E2F2F">
      <w:pPr>
        <w:spacing w:after="0" w:line="240" w:lineRule="auto"/>
      </w:pPr>
      <w:r>
        <w:separator/>
      </w:r>
    </w:p>
  </w:endnote>
  <w:endnote w:type="continuationSeparator" w:id="0">
    <w:p w14:paraId="694EE4C7" w14:textId="77777777" w:rsidR="00DE5C9F" w:rsidRDefault="00DE5C9F" w:rsidP="000E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B072" w14:textId="77777777" w:rsidR="00DE5C9F" w:rsidRDefault="00DE5C9F" w:rsidP="000E2F2F">
      <w:pPr>
        <w:spacing w:after="0" w:line="240" w:lineRule="auto"/>
      </w:pPr>
      <w:r>
        <w:separator/>
      </w:r>
    </w:p>
  </w:footnote>
  <w:footnote w:type="continuationSeparator" w:id="0">
    <w:p w14:paraId="612184AA" w14:textId="77777777" w:rsidR="00DE5C9F" w:rsidRDefault="00DE5C9F" w:rsidP="000E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82D"/>
    <w:multiLevelType w:val="hybridMultilevel"/>
    <w:tmpl w:val="66F2F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6E1712"/>
    <w:multiLevelType w:val="hybridMultilevel"/>
    <w:tmpl w:val="66AC6B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991C65"/>
    <w:multiLevelType w:val="hybridMultilevel"/>
    <w:tmpl w:val="EB164D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34425B"/>
    <w:multiLevelType w:val="hybridMultilevel"/>
    <w:tmpl w:val="2D740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49"/>
    <w:rsid w:val="00031C49"/>
    <w:rsid w:val="00040866"/>
    <w:rsid w:val="00042C68"/>
    <w:rsid w:val="000770CB"/>
    <w:rsid w:val="00080CE0"/>
    <w:rsid w:val="00087356"/>
    <w:rsid w:val="000A6C7A"/>
    <w:rsid w:val="000B674F"/>
    <w:rsid w:val="000E12DA"/>
    <w:rsid w:val="000E2F2F"/>
    <w:rsid w:val="001055DC"/>
    <w:rsid w:val="00105E8A"/>
    <w:rsid w:val="00146348"/>
    <w:rsid w:val="001A2FAA"/>
    <w:rsid w:val="001D5BFB"/>
    <w:rsid w:val="001D5C41"/>
    <w:rsid w:val="001E1F80"/>
    <w:rsid w:val="001F0402"/>
    <w:rsid w:val="001F1587"/>
    <w:rsid w:val="0021759A"/>
    <w:rsid w:val="00282C3D"/>
    <w:rsid w:val="0029522B"/>
    <w:rsid w:val="002B0CFB"/>
    <w:rsid w:val="002B4AFA"/>
    <w:rsid w:val="00306E1E"/>
    <w:rsid w:val="003117F8"/>
    <w:rsid w:val="003152A4"/>
    <w:rsid w:val="003619F9"/>
    <w:rsid w:val="003633BB"/>
    <w:rsid w:val="0039750F"/>
    <w:rsid w:val="003A1827"/>
    <w:rsid w:val="003B5330"/>
    <w:rsid w:val="003C7CBF"/>
    <w:rsid w:val="003E6F6B"/>
    <w:rsid w:val="003F2E00"/>
    <w:rsid w:val="00412EAB"/>
    <w:rsid w:val="004166C2"/>
    <w:rsid w:val="00416717"/>
    <w:rsid w:val="0048108C"/>
    <w:rsid w:val="004A50AC"/>
    <w:rsid w:val="004B5DDF"/>
    <w:rsid w:val="004D31FB"/>
    <w:rsid w:val="004E7A28"/>
    <w:rsid w:val="00512A06"/>
    <w:rsid w:val="00524A63"/>
    <w:rsid w:val="005B4D37"/>
    <w:rsid w:val="005D1D8B"/>
    <w:rsid w:val="00622D45"/>
    <w:rsid w:val="00626BED"/>
    <w:rsid w:val="006568D9"/>
    <w:rsid w:val="00662FFE"/>
    <w:rsid w:val="0067642C"/>
    <w:rsid w:val="00682E9A"/>
    <w:rsid w:val="006A08C5"/>
    <w:rsid w:val="006E590B"/>
    <w:rsid w:val="007014BB"/>
    <w:rsid w:val="0074145B"/>
    <w:rsid w:val="007464A7"/>
    <w:rsid w:val="00760D0B"/>
    <w:rsid w:val="007B2DA8"/>
    <w:rsid w:val="007C132C"/>
    <w:rsid w:val="007F0E7A"/>
    <w:rsid w:val="00833E5C"/>
    <w:rsid w:val="008550C6"/>
    <w:rsid w:val="00866475"/>
    <w:rsid w:val="008679FF"/>
    <w:rsid w:val="008A3382"/>
    <w:rsid w:val="008B2263"/>
    <w:rsid w:val="008D2D67"/>
    <w:rsid w:val="008D51F9"/>
    <w:rsid w:val="00906625"/>
    <w:rsid w:val="009311DB"/>
    <w:rsid w:val="009534F2"/>
    <w:rsid w:val="009718C6"/>
    <w:rsid w:val="00975E24"/>
    <w:rsid w:val="00977909"/>
    <w:rsid w:val="009B11FA"/>
    <w:rsid w:val="009F5B12"/>
    <w:rsid w:val="00A3240D"/>
    <w:rsid w:val="00A52A0C"/>
    <w:rsid w:val="00A614FB"/>
    <w:rsid w:val="00A862F5"/>
    <w:rsid w:val="00A92D19"/>
    <w:rsid w:val="00B161CE"/>
    <w:rsid w:val="00B224FB"/>
    <w:rsid w:val="00B40C42"/>
    <w:rsid w:val="00B46F69"/>
    <w:rsid w:val="00B70094"/>
    <w:rsid w:val="00B7087E"/>
    <w:rsid w:val="00B744FB"/>
    <w:rsid w:val="00B756C9"/>
    <w:rsid w:val="00B86B0B"/>
    <w:rsid w:val="00BA27A5"/>
    <w:rsid w:val="00BA66EF"/>
    <w:rsid w:val="00BD4555"/>
    <w:rsid w:val="00BF7359"/>
    <w:rsid w:val="00C05153"/>
    <w:rsid w:val="00C40808"/>
    <w:rsid w:val="00C54067"/>
    <w:rsid w:val="00C71FE9"/>
    <w:rsid w:val="00C80D4E"/>
    <w:rsid w:val="00CA460D"/>
    <w:rsid w:val="00CA6BAE"/>
    <w:rsid w:val="00CD2225"/>
    <w:rsid w:val="00CD22AE"/>
    <w:rsid w:val="00CE4EB7"/>
    <w:rsid w:val="00CF0D5A"/>
    <w:rsid w:val="00D343D0"/>
    <w:rsid w:val="00D35D23"/>
    <w:rsid w:val="00D42DB1"/>
    <w:rsid w:val="00D663BC"/>
    <w:rsid w:val="00D8116E"/>
    <w:rsid w:val="00D84A76"/>
    <w:rsid w:val="00DD555A"/>
    <w:rsid w:val="00DE32AB"/>
    <w:rsid w:val="00DE5C9F"/>
    <w:rsid w:val="00E20BA7"/>
    <w:rsid w:val="00E467E4"/>
    <w:rsid w:val="00E6129B"/>
    <w:rsid w:val="00E73110"/>
    <w:rsid w:val="00E765DC"/>
    <w:rsid w:val="00E904C2"/>
    <w:rsid w:val="00EA5810"/>
    <w:rsid w:val="00ED15BE"/>
    <w:rsid w:val="00EE4DDA"/>
    <w:rsid w:val="00F3327D"/>
    <w:rsid w:val="00F3350F"/>
    <w:rsid w:val="00FC1995"/>
    <w:rsid w:val="00FF39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02F6"/>
  <w15:chartTrackingRefBased/>
  <w15:docId w15:val="{DB982AC3-F1DF-499B-88C3-F36CC4B5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C49"/>
    <w:pPr>
      <w:spacing w:after="0" w:line="240" w:lineRule="auto"/>
    </w:pPr>
  </w:style>
  <w:style w:type="character" w:styleId="Hyperlink">
    <w:name w:val="Hyperlink"/>
    <w:basedOn w:val="DefaultParagraphFont"/>
    <w:uiPriority w:val="99"/>
    <w:unhideWhenUsed/>
    <w:rsid w:val="00031C49"/>
    <w:rPr>
      <w:color w:val="0563C1" w:themeColor="hyperlink"/>
      <w:u w:val="single"/>
    </w:rPr>
  </w:style>
  <w:style w:type="paragraph" w:styleId="Header">
    <w:name w:val="header"/>
    <w:basedOn w:val="Normal"/>
    <w:link w:val="HeaderChar"/>
    <w:uiPriority w:val="99"/>
    <w:unhideWhenUsed/>
    <w:rsid w:val="000E2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2F"/>
  </w:style>
  <w:style w:type="paragraph" w:styleId="Footer">
    <w:name w:val="footer"/>
    <w:basedOn w:val="Normal"/>
    <w:link w:val="FooterChar"/>
    <w:uiPriority w:val="99"/>
    <w:unhideWhenUsed/>
    <w:rsid w:val="000E2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F2F"/>
  </w:style>
  <w:style w:type="paragraph" w:customStyle="1" w:styleId="Default">
    <w:name w:val="Default"/>
    <w:rsid w:val="00E765DC"/>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semiHidden/>
    <w:unhideWhenUsed/>
    <w:rsid w:val="00CF0D5A"/>
    <w:pPr>
      <w:spacing w:line="256" w:lineRule="auto"/>
    </w:pPr>
    <w:rPr>
      <w:rFonts w:ascii="Calibri" w:eastAsia="Calibri" w:hAnsi="Calibri" w:cs="Calibri"/>
      <w:lang w:val="en-ID" w:eastAsia="en-ID"/>
    </w:rPr>
  </w:style>
  <w:style w:type="table" w:styleId="TableGrid">
    <w:name w:val="Table Grid"/>
    <w:basedOn w:val="TableNormal"/>
    <w:uiPriority w:val="39"/>
    <w:rsid w:val="001D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514">
      <w:bodyDiv w:val="1"/>
      <w:marLeft w:val="0"/>
      <w:marRight w:val="0"/>
      <w:marTop w:val="0"/>
      <w:marBottom w:val="0"/>
      <w:divBdr>
        <w:top w:val="none" w:sz="0" w:space="0" w:color="auto"/>
        <w:left w:val="none" w:sz="0" w:space="0" w:color="auto"/>
        <w:bottom w:val="none" w:sz="0" w:space="0" w:color="auto"/>
        <w:right w:val="none" w:sz="0" w:space="0" w:color="auto"/>
      </w:divBdr>
    </w:div>
    <w:div w:id="6220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mercubuana-yogya.ac.id" TargetMode="External"/><Relationship Id="rId13" Type="http://schemas.openxmlformats.org/officeDocument/2006/relationships/hyperlink" Target="https://doi.org/10.23887/jap.v12i2.36214" TargetMode="External"/><Relationship Id="rId18" Type="http://schemas.openxmlformats.org/officeDocument/2006/relationships/hyperlink" Target="http://ejournal.stiepancasetia.ac.id/index.php/jieb" TargetMode="External"/><Relationship Id="rId3" Type="http://schemas.openxmlformats.org/officeDocument/2006/relationships/settings" Target="settings.xml"/><Relationship Id="rId7" Type="http://schemas.openxmlformats.org/officeDocument/2006/relationships/hyperlink" Target="mailto:riniariyana28@gmail.com" TargetMode="External"/><Relationship Id="rId12" Type="http://schemas.openxmlformats.org/officeDocument/2006/relationships/hyperlink" Target="http://www.idx.co.id" TargetMode="External"/><Relationship Id="rId17" Type="http://schemas.openxmlformats.org/officeDocument/2006/relationships/hyperlink" Target="https://doi.org/https:/doi.org/10.26486/jramb.v8i1.2404" TargetMode="External"/><Relationship Id="rId2" Type="http://schemas.openxmlformats.org/officeDocument/2006/relationships/styles" Target="styles.xml"/><Relationship Id="rId16" Type="http://schemas.openxmlformats.org/officeDocument/2006/relationships/hyperlink" Target="https://doi.org/10.38035/dijefa.v2i3https:/creativecommons.org/licenses/by/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doi.org/10.5281/zenodo.8310493" TargetMode="External"/><Relationship Id="rId10" Type="http://schemas.openxmlformats.org/officeDocument/2006/relationships/hyperlink" Target="http://www.idx.co.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24843/eja.2022.v32.i02.p0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wnloads\Riset%20re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Perusahaan Terlambat</c:v>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4.4764188649080737E-2"/>
                  <c:y val="-5.0600895596008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5A-4684-9B64-A8481FC9FEF1}"/>
                </c:ext>
              </c:extLst>
            </c:dLbl>
            <c:dLbl>
              <c:idx val="1"/>
              <c:layout>
                <c:manualLayout>
                  <c:x val="-3.8369304556354976E-2"/>
                  <c:y val="-5.0600895596008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5A-4684-9B64-A8481FC9FEF1}"/>
                </c:ext>
              </c:extLst>
            </c:dLbl>
            <c:dLbl>
              <c:idx val="2"/>
              <c:layout>
                <c:manualLayout>
                  <c:x val="-1.2789768185451638E-2"/>
                  <c:y val="2.024035823840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5A-4684-9B64-A8481FC9FEF1}"/>
                </c:ext>
              </c:extLst>
            </c:dLbl>
            <c:dLbl>
              <c:idx val="3"/>
              <c:layout>
                <c:manualLayout>
                  <c:x val="-9.9120703437250199E-2"/>
                  <c:y val="-2.5300447798004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5A-4684-9B64-A8481FC9FEF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olidFill>
                      <a:round/>
                    </a:ln>
                    <a:effectLst/>
                  </c:spPr>
                </c15:leaderLines>
              </c:ext>
            </c:extLst>
          </c:dLbls>
          <c:cat>
            <c:numRef>
              <c:f>Sheet1!$B$13:$B$17</c:f>
              <c:numCache>
                <c:formatCode>General</c:formatCode>
                <c:ptCount val="5"/>
                <c:pt idx="0">
                  <c:v>2017</c:v>
                </c:pt>
                <c:pt idx="1">
                  <c:v>2018</c:v>
                </c:pt>
                <c:pt idx="2">
                  <c:v>2019</c:v>
                </c:pt>
                <c:pt idx="3">
                  <c:v>2020</c:v>
                </c:pt>
                <c:pt idx="4">
                  <c:v>2021</c:v>
                </c:pt>
              </c:numCache>
            </c:numRef>
          </c:cat>
          <c:val>
            <c:numRef>
              <c:f>Sheet1!$C$13:$C$17</c:f>
              <c:numCache>
                <c:formatCode>General</c:formatCode>
                <c:ptCount val="5"/>
                <c:pt idx="0">
                  <c:v>70</c:v>
                </c:pt>
                <c:pt idx="1">
                  <c:v>64</c:v>
                </c:pt>
                <c:pt idx="2">
                  <c:v>64</c:v>
                </c:pt>
                <c:pt idx="3">
                  <c:v>88</c:v>
                </c:pt>
                <c:pt idx="4">
                  <c:v>91</c:v>
                </c:pt>
              </c:numCache>
            </c:numRef>
          </c:val>
          <c:smooth val="0"/>
          <c:extLst>
            <c:ext xmlns:c16="http://schemas.microsoft.com/office/drawing/2014/chart" uri="{C3380CC4-5D6E-409C-BE32-E72D297353CC}">
              <c16:uniqueId val="{00000004-E15A-4684-9B64-A8481FC9FEF1}"/>
            </c:ext>
          </c:extLst>
        </c:ser>
        <c:dLbls>
          <c:showLegendKey val="0"/>
          <c:showVal val="0"/>
          <c:showCatName val="0"/>
          <c:showSerName val="0"/>
          <c:showPercent val="0"/>
          <c:showBubbleSize val="0"/>
        </c:dLbls>
        <c:marker val="1"/>
        <c:smooth val="0"/>
        <c:axId val="1157753024"/>
        <c:axId val="1157762272"/>
      </c:lineChart>
      <c:catAx>
        <c:axId val="1157753024"/>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id-ID" sz="1200" b="1" i="0" baseline="0">
                    <a:solidFill>
                      <a:sysClr val="windowText" lastClr="000000"/>
                    </a:solidFill>
                    <a:effectLst/>
                    <a:latin typeface="Arial" panose="020B0604020202020204" pitchFamily="34" charset="0"/>
                    <a:cs typeface="Arial" panose="020B0604020202020204" pitchFamily="34" charset="0"/>
                  </a:rPr>
                  <a:t>Companies Late in Submitting Anuual Financial Statements</a:t>
                </a:r>
                <a:endParaRPr lang="id-ID" sz="1200">
                  <a:solidFill>
                    <a:sysClr val="windowText" lastClr="000000"/>
                  </a:solidFill>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D" sz="12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57762272"/>
        <c:crosses val="autoZero"/>
        <c:auto val="1"/>
        <c:lblAlgn val="ctr"/>
        <c:lblOffset val="100"/>
        <c:noMultiLvlLbl val="0"/>
      </c:catAx>
      <c:valAx>
        <c:axId val="115776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b="0">
                    <a:solidFill>
                      <a:sysClr val="windowText" lastClr="000000"/>
                    </a:solidFill>
                  </a:rPr>
                  <a:t> </a:t>
                </a:r>
                <a:r>
                  <a:rPr lang="id-ID" sz="1200" b="0">
                    <a:solidFill>
                      <a:sysClr val="windowText" lastClr="000000"/>
                    </a:solidFill>
                    <a:latin typeface="Arial" panose="020B0604020202020204" pitchFamily="34" charset="0"/>
                    <a:cs typeface="Arial" panose="020B0604020202020204" pitchFamily="34" charset="0"/>
                  </a:rPr>
                  <a:t>Total</a:t>
                </a:r>
                <a:endParaRPr lang="en-ID"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3351862145636464E-2"/>
              <c:y val="0.182511731488109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157753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200" b="0" i="0">
                <a:solidFill>
                  <a:sysClr val="windowText" lastClr="000000"/>
                </a:solidFill>
                <a:latin typeface="Arial" panose="020B0604020202020204" pitchFamily="34" charset="0"/>
                <a:cs typeface="Arial" panose="020B0604020202020204" pitchFamily="34" charset="0"/>
              </a:defRPr>
            </a:pPr>
            <a:r>
              <a:rPr lang="id-ID" sz="1200" b="0" i="0" baseline="0">
                <a:solidFill>
                  <a:sysClr val="windowText" lastClr="000000"/>
                </a:solidFill>
                <a:latin typeface="Arial" panose="020B0604020202020204" pitchFamily="34" charset="0"/>
                <a:cs typeface="Arial" panose="020B0604020202020204" pitchFamily="34" charset="0"/>
              </a:rPr>
              <a:t>Distribution of Sectors Experiencing Audit Delay</a:t>
            </a:r>
            <a:endParaRPr lang="id-ID" sz="1200" b="0" i="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462220696647516"/>
          <c:y val="3.5938753377099258E-2"/>
        </c:manualLayout>
      </c:layout>
      <c:overlay val="0"/>
      <c:spPr>
        <a:noFill/>
      </c:spPr>
    </c:title>
    <c:autoTitleDeleted val="0"/>
    <c:plotArea>
      <c:layout>
        <c:manualLayout>
          <c:layoutTarget val="inner"/>
          <c:xMode val="edge"/>
          <c:yMode val="edge"/>
          <c:x val="0.11873722096946525"/>
          <c:y val="0.13815207695615064"/>
          <c:w val="0.75964380917044549"/>
          <c:h val="0.47562584628021742"/>
        </c:manualLayout>
      </c:layout>
      <c:barChart>
        <c:barDir val="col"/>
        <c:grouping val="clustered"/>
        <c:varyColors val="1"/>
        <c:ser>
          <c:idx val="0"/>
          <c:order val="0"/>
          <c:tx>
            <c:strRef>
              <c:f>grafik!$B$15</c:f>
              <c:strCache>
                <c:ptCount val="1"/>
                <c:pt idx="0">
                  <c:v>2017</c:v>
                </c:pt>
              </c:strCache>
            </c:strRef>
          </c:tx>
          <c:spPr>
            <a:solidFill>
              <a:srgbClr val="4285F4"/>
            </a:solidFill>
            <a:ln cmpd="sng">
              <a:solidFill>
                <a:srgbClr val="000000"/>
              </a:solidFill>
            </a:ln>
          </c:spPr>
          <c:invertIfNegative val="1"/>
          <c:cat>
            <c:strRef>
              <c:f>grafik!$A$16:$A$26</c:f>
              <c:strCache>
                <c:ptCount val="11"/>
                <c:pt idx="0">
                  <c:v>Basic Materials</c:v>
                </c:pt>
                <c:pt idx="1">
                  <c:v>Consumer Cyclicals</c:v>
                </c:pt>
                <c:pt idx="2">
                  <c:v>Consumer Non-cyclicals</c:v>
                </c:pt>
                <c:pt idx="3">
                  <c:v>Energy</c:v>
                </c:pt>
                <c:pt idx="4">
                  <c:v>Financials</c:v>
                </c:pt>
                <c:pt idx="5">
                  <c:v>Healthcare</c:v>
                </c:pt>
                <c:pt idx="6">
                  <c:v>Industrials</c:v>
                </c:pt>
                <c:pt idx="7">
                  <c:v>Infrastructures</c:v>
                </c:pt>
                <c:pt idx="8">
                  <c:v>Properties &amp; Real Estate</c:v>
                </c:pt>
                <c:pt idx="9">
                  <c:v>Technology</c:v>
                </c:pt>
                <c:pt idx="10">
                  <c:v>Transportation &amp; Logistic</c:v>
                </c:pt>
              </c:strCache>
            </c:strRef>
          </c:cat>
          <c:val>
            <c:numRef>
              <c:f>grafik!$B$16:$B$26</c:f>
              <c:numCache>
                <c:formatCode>General</c:formatCode>
                <c:ptCount val="11"/>
                <c:pt idx="0">
                  <c:v>2</c:v>
                </c:pt>
                <c:pt idx="1">
                  <c:v>17</c:v>
                </c:pt>
                <c:pt idx="2">
                  <c:v>10</c:v>
                </c:pt>
                <c:pt idx="3">
                  <c:v>15</c:v>
                </c:pt>
                <c:pt idx="4">
                  <c:v>3</c:v>
                </c:pt>
                <c:pt idx="5">
                  <c:v>1</c:v>
                </c:pt>
                <c:pt idx="6">
                  <c:v>5</c:v>
                </c:pt>
                <c:pt idx="7">
                  <c:v>6</c:v>
                </c:pt>
                <c:pt idx="8">
                  <c:v>10</c:v>
                </c:pt>
                <c:pt idx="9">
                  <c:v>0</c:v>
                </c:pt>
                <c:pt idx="10">
                  <c:v>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0A58-4B53-9321-2229166E3D13}"/>
            </c:ext>
          </c:extLst>
        </c:ser>
        <c:ser>
          <c:idx val="1"/>
          <c:order val="1"/>
          <c:tx>
            <c:strRef>
              <c:f>grafik!$C$15</c:f>
              <c:strCache>
                <c:ptCount val="1"/>
                <c:pt idx="0">
                  <c:v>2018</c:v>
                </c:pt>
              </c:strCache>
            </c:strRef>
          </c:tx>
          <c:spPr>
            <a:solidFill>
              <a:srgbClr val="EA4335"/>
            </a:solidFill>
            <a:ln cmpd="sng">
              <a:solidFill>
                <a:srgbClr val="000000"/>
              </a:solidFill>
            </a:ln>
          </c:spPr>
          <c:invertIfNegative val="1"/>
          <c:cat>
            <c:strRef>
              <c:f>grafik!$A$16:$A$26</c:f>
              <c:strCache>
                <c:ptCount val="11"/>
                <c:pt idx="0">
                  <c:v>Basic Materials</c:v>
                </c:pt>
                <c:pt idx="1">
                  <c:v>Consumer Cyclicals</c:v>
                </c:pt>
                <c:pt idx="2">
                  <c:v>Consumer Non-cyclicals</c:v>
                </c:pt>
                <c:pt idx="3">
                  <c:v>Energy</c:v>
                </c:pt>
                <c:pt idx="4">
                  <c:v>Financials</c:v>
                </c:pt>
                <c:pt idx="5">
                  <c:v>Healthcare</c:v>
                </c:pt>
                <c:pt idx="6">
                  <c:v>Industrials</c:v>
                </c:pt>
                <c:pt idx="7">
                  <c:v>Infrastructures</c:v>
                </c:pt>
                <c:pt idx="8">
                  <c:v>Properties &amp; Real Estate</c:v>
                </c:pt>
                <c:pt idx="9">
                  <c:v>Technology</c:v>
                </c:pt>
                <c:pt idx="10">
                  <c:v>Transportation &amp; Logistic</c:v>
                </c:pt>
              </c:strCache>
            </c:strRef>
          </c:cat>
          <c:val>
            <c:numRef>
              <c:f>grafik!$C$16:$C$26</c:f>
              <c:numCache>
                <c:formatCode>General</c:formatCode>
                <c:ptCount val="11"/>
                <c:pt idx="0">
                  <c:v>5</c:v>
                </c:pt>
                <c:pt idx="1">
                  <c:v>17</c:v>
                </c:pt>
                <c:pt idx="2">
                  <c:v>6</c:v>
                </c:pt>
                <c:pt idx="3">
                  <c:v>12</c:v>
                </c:pt>
                <c:pt idx="4">
                  <c:v>4</c:v>
                </c:pt>
                <c:pt idx="5">
                  <c:v>1</c:v>
                </c:pt>
                <c:pt idx="6">
                  <c:v>8</c:v>
                </c:pt>
                <c:pt idx="7">
                  <c:v>6</c:v>
                </c:pt>
                <c:pt idx="8">
                  <c:v>4</c:v>
                </c:pt>
                <c:pt idx="9">
                  <c:v>0</c:v>
                </c:pt>
                <c:pt idx="10">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0A58-4B53-9321-2229166E3D13}"/>
            </c:ext>
          </c:extLst>
        </c:ser>
        <c:ser>
          <c:idx val="2"/>
          <c:order val="2"/>
          <c:tx>
            <c:strRef>
              <c:f>grafik!$D$15</c:f>
              <c:strCache>
                <c:ptCount val="1"/>
                <c:pt idx="0">
                  <c:v>2019</c:v>
                </c:pt>
              </c:strCache>
            </c:strRef>
          </c:tx>
          <c:spPr>
            <a:solidFill>
              <a:srgbClr val="FBBC04"/>
            </a:solidFill>
            <a:ln cmpd="sng">
              <a:solidFill>
                <a:srgbClr val="000000"/>
              </a:solidFill>
            </a:ln>
          </c:spPr>
          <c:invertIfNegative val="1"/>
          <c:cat>
            <c:strRef>
              <c:f>grafik!$A$16:$A$26</c:f>
              <c:strCache>
                <c:ptCount val="11"/>
                <c:pt idx="0">
                  <c:v>Basic Materials</c:v>
                </c:pt>
                <c:pt idx="1">
                  <c:v>Consumer Cyclicals</c:v>
                </c:pt>
                <c:pt idx="2">
                  <c:v>Consumer Non-cyclicals</c:v>
                </c:pt>
                <c:pt idx="3">
                  <c:v>Energy</c:v>
                </c:pt>
                <c:pt idx="4">
                  <c:v>Financials</c:v>
                </c:pt>
                <c:pt idx="5">
                  <c:v>Healthcare</c:v>
                </c:pt>
                <c:pt idx="6">
                  <c:v>Industrials</c:v>
                </c:pt>
                <c:pt idx="7">
                  <c:v>Infrastructures</c:v>
                </c:pt>
                <c:pt idx="8">
                  <c:v>Properties &amp; Real Estate</c:v>
                </c:pt>
                <c:pt idx="9">
                  <c:v>Technology</c:v>
                </c:pt>
                <c:pt idx="10">
                  <c:v>Transportation &amp; Logistic</c:v>
                </c:pt>
              </c:strCache>
            </c:strRef>
          </c:cat>
          <c:val>
            <c:numRef>
              <c:f>grafik!$D$16:$D$26</c:f>
              <c:numCache>
                <c:formatCode>General</c:formatCode>
                <c:ptCount val="11"/>
                <c:pt idx="0">
                  <c:v>5</c:v>
                </c:pt>
                <c:pt idx="1">
                  <c:v>14</c:v>
                </c:pt>
                <c:pt idx="2">
                  <c:v>7</c:v>
                </c:pt>
                <c:pt idx="3">
                  <c:v>9</c:v>
                </c:pt>
                <c:pt idx="4">
                  <c:v>2</c:v>
                </c:pt>
                <c:pt idx="5">
                  <c:v>2</c:v>
                </c:pt>
                <c:pt idx="6">
                  <c:v>8</c:v>
                </c:pt>
                <c:pt idx="7">
                  <c:v>5</c:v>
                </c:pt>
                <c:pt idx="8">
                  <c:v>10</c:v>
                </c:pt>
                <c:pt idx="9">
                  <c:v>1</c:v>
                </c:pt>
                <c:pt idx="10">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0A58-4B53-9321-2229166E3D13}"/>
            </c:ext>
          </c:extLst>
        </c:ser>
        <c:ser>
          <c:idx val="3"/>
          <c:order val="3"/>
          <c:tx>
            <c:strRef>
              <c:f>grafik!$E$15</c:f>
              <c:strCache>
                <c:ptCount val="1"/>
                <c:pt idx="0">
                  <c:v>2020</c:v>
                </c:pt>
              </c:strCache>
            </c:strRef>
          </c:tx>
          <c:spPr>
            <a:solidFill>
              <a:srgbClr val="34A853"/>
            </a:solidFill>
            <a:ln cmpd="sng">
              <a:solidFill>
                <a:srgbClr val="000000"/>
              </a:solidFill>
            </a:ln>
          </c:spPr>
          <c:invertIfNegative val="1"/>
          <c:cat>
            <c:strRef>
              <c:f>grafik!$A$16:$A$26</c:f>
              <c:strCache>
                <c:ptCount val="11"/>
                <c:pt idx="0">
                  <c:v>Basic Materials</c:v>
                </c:pt>
                <c:pt idx="1">
                  <c:v>Consumer Cyclicals</c:v>
                </c:pt>
                <c:pt idx="2">
                  <c:v>Consumer Non-cyclicals</c:v>
                </c:pt>
                <c:pt idx="3">
                  <c:v>Energy</c:v>
                </c:pt>
                <c:pt idx="4">
                  <c:v>Financials</c:v>
                </c:pt>
                <c:pt idx="5">
                  <c:v>Healthcare</c:v>
                </c:pt>
                <c:pt idx="6">
                  <c:v>Industrials</c:v>
                </c:pt>
                <c:pt idx="7">
                  <c:v>Infrastructures</c:v>
                </c:pt>
                <c:pt idx="8">
                  <c:v>Properties &amp; Real Estate</c:v>
                </c:pt>
                <c:pt idx="9">
                  <c:v>Technology</c:v>
                </c:pt>
                <c:pt idx="10">
                  <c:v>Transportation &amp; Logistic</c:v>
                </c:pt>
              </c:strCache>
            </c:strRef>
          </c:cat>
          <c:val>
            <c:numRef>
              <c:f>grafik!$E$16:$E$26</c:f>
              <c:numCache>
                <c:formatCode>General</c:formatCode>
                <c:ptCount val="11"/>
                <c:pt idx="0">
                  <c:v>7</c:v>
                </c:pt>
                <c:pt idx="1">
                  <c:v>21</c:v>
                </c:pt>
                <c:pt idx="2">
                  <c:v>8</c:v>
                </c:pt>
                <c:pt idx="3">
                  <c:v>14</c:v>
                </c:pt>
                <c:pt idx="4">
                  <c:v>2</c:v>
                </c:pt>
                <c:pt idx="5">
                  <c:v>1</c:v>
                </c:pt>
                <c:pt idx="6">
                  <c:v>5</c:v>
                </c:pt>
                <c:pt idx="7">
                  <c:v>6</c:v>
                </c:pt>
                <c:pt idx="8">
                  <c:v>16</c:v>
                </c:pt>
                <c:pt idx="9">
                  <c:v>5</c:v>
                </c:pt>
                <c:pt idx="10">
                  <c:v>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3-0A58-4B53-9321-2229166E3D13}"/>
            </c:ext>
          </c:extLst>
        </c:ser>
        <c:ser>
          <c:idx val="4"/>
          <c:order val="4"/>
          <c:tx>
            <c:strRef>
              <c:f>grafik!$F$15</c:f>
              <c:strCache>
                <c:ptCount val="1"/>
                <c:pt idx="0">
                  <c:v>2021</c:v>
                </c:pt>
              </c:strCache>
            </c:strRef>
          </c:tx>
          <c:spPr>
            <a:solidFill>
              <a:srgbClr val="FF6D01"/>
            </a:solidFill>
            <a:ln cmpd="sng">
              <a:solidFill>
                <a:srgbClr val="000000"/>
              </a:solidFill>
            </a:ln>
          </c:spPr>
          <c:invertIfNegative val="1"/>
          <c:cat>
            <c:strRef>
              <c:f>grafik!$A$16:$A$26</c:f>
              <c:strCache>
                <c:ptCount val="11"/>
                <c:pt idx="0">
                  <c:v>Basic Materials</c:v>
                </c:pt>
                <c:pt idx="1">
                  <c:v>Consumer Cyclicals</c:v>
                </c:pt>
                <c:pt idx="2">
                  <c:v>Consumer Non-cyclicals</c:v>
                </c:pt>
                <c:pt idx="3">
                  <c:v>Energy</c:v>
                </c:pt>
                <c:pt idx="4">
                  <c:v>Financials</c:v>
                </c:pt>
                <c:pt idx="5">
                  <c:v>Healthcare</c:v>
                </c:pt>
                <c:pt idx="6">
                  <c:v>Industrials</c:v>
                </c:pt>
                <c:pt idx="7">
                  <c:v>Infrastructures</c:v>
                </c:pt>
                <c:pt idx="8">
                  <c:v>Properties &amp; Real Estate</c:v>
                </c:pt>
                <c:pt idx="9">
                  <c:v>Technology</c:v>
                </c:pt>
                <c:pt idx="10">
                  <c:v>Transportation &amp; Logistic</c:v>
                </c:pt>
              </c:strCache>
            </c:strRef>
          </c:cat>
          <c:val>
            <c:numRef>
              <c:f>grafik!$F$16:$F$26</c:f>
              <c:numCache>
                <c:formatCode>General</c:formatCode>
                <c:ptCount val="11"/>
                <c:pt idx="0">
                  <c:v>6</c:v>
                </c:pt>
                <c:pt idx="1">
                  <c:v>21</c:v>
                </c:pt>
                <c:pt idx="2">
                  <c:v>8</c:v>
                </c:pt>
                <c:pt idx="3">
                  <c:v>13</c:v>
                </c:pt>
                <c:pt idx="4">
                  <c:v>4</c:v>
                </c:pt>
                <c:pt idx="5">
                  <c:v>2</c:v>
                </c:pt>
                <c:pt idx="6">
                  <c:v>8</c:v>
                </c:pt>
                <c:pt idx="7">
                  <c:v>6</c:v>
                </c:pt>
                <c:pt idx="8">
                  <c:v>16</c:v>
                </c:pt>
                <c:pt idx="9">
                  <c:v>5</c:v>
                </c:pt>
                <c:pt idx="10">
                  <c:v>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4-0A58-4B53-9321-2229166E3D13}"/>
            </c:ext>
          </c:extLst>
        </c:ser>
        <c:dLbls>
          <c:showLegendKey val="0"/>
          <c:showVal val="0"/>
          <c:showCatName val="0"/>
          <c:showSerName val="0"/>
          <c:showPercent val="0"/>
          <c:showBubbleSize val="0"/>
        </c:dLbls>
        <c:gapWidth val="150"/>
        <c:axId val="1223869680"/>
        <c:axId val="1223870224"/>
      </c:barChart>
      <c:catAx>
        <c:axId val="1223869680"/>
        <c:scaling>
          <c:orientation val="minMax"/>
        </c:scaling>
        <c:delete val="0"/>
        <c:axPos val="b"/>
        <c:title>
          <c:tx>
            <c:rich>
              <a:bodyPr/>
              <a:lstStyle/>
              <a:p>
                <a:pPr lvl="0">
                  <a:defRPr b="0" i="0">
                    <a:solidFill>
                      <a:srgbClr val="000000"/>
                    </a:solidFill>
                    <a:latin typeface="+mn-lt"/>
                  </a:defRPr>
                </a:pPr>
                <a:r>
                  <a:rPr lang="id-ID" b="0" i="0">
                    <a:solidFill>
                      <a:srgbClr val="000000"/>
                    </a:solidFill>
                    <a:latin typeface="Arial" panose="020B0604020202020204" pitchFamily="34" charset="0"/>
                    <a:cs typeface="Arial" panose="020B0604020202020204" pitchFamily="34" charset="0"/>
                  </a:rPr>
                  <a:t>Sector</a:t>
                </a:r>
              </a:p>
            </c:rich>
          </c:tx>
          <c:overlay val="0"/>
        </c:title>
        <c:numFmt formatCode="General" sourceLinked="1"/>
        <c:majorTickMark val="none"/>
        <c:minorTickMark val="none"/>
        <c:tickLblPos val="nextTo"/>
        <c:txPr>
          <a:bodyPr/>
          <a:lstStyle/>
          <a:p>
            <a:pPr lvl="0">
              <a:defRPr b="0" i="0">
                <a:solidFill>
                  <a:srgbClr val="000000"/>
                </a:solidFill>
                <a:latin typeface="+mn-lt"/>
              </a:defRPr>
            </a:pPr>
            <a:endParaRPr lang="en-US"/>
          </a:p>
        </c:txPr>
        <c:crossAx val="1223870224"/>
        <c:crosses val="autoZero"/>
        <c:auto val="1"/>
        <c:lblAlgn val="ctr"/>
        <c:lblOffset val="100"/>
        <c:noMultiLvlLbl val="1"/>
      </c:catAx>
      <c:valAx>
        <c:axId val="1223870224"/>
        <c:scaling>
          <c:orientation val="minMax"/>
        </c:scaling>
        <c:delete val="0"/>
        <c:axPos val="l"/>
        <c:majorGridlines>
          <c:spPr>
            <a:ln>
              <a:solidFill>
                <a:srgbClr val="B7B7B7"/>
              </a:solidFill>
            </a:ln>
          </c:spPr>
        </c:majorGridlines>
        <c:minorGridlines>
          <c:spPr>
            <a:ln>
              <a:solidFill>
                <a:srgbClr val="CCCCCC">
                  <a:alpha val="0"/>
                </a:srgbClr>
              </a:solidFill>
            </a:ln>
          </c:spPr>
        </c:minorGridlines>
        <c:title>
          <c:tx>
            <c:rich>
              <a:bodyPr/>
              <a:lstStyle/>
              <a:p>
                <a:pPr lvl="0">
                  <a:defRPr b="0">
                    <a:solidFill>
                      <a:srgbClr val="000000"/>
                    </a:solidFill>
                    <a:latin typeface="+mn-lt"/>
                  </a:defRPr>
                </a:pPr>
                <a:endParaRPr lang="id-ID"/>
              </a:p>
            </c:rich>
          </c:tx>
          <c:overlay val="0"/>
        </c:title>
        <c:numFmt formatCode="General" sourceLinked="1"/>
        <c:majorTickMark val="none"/>
        <c:minorTickMark val="none"/>
        <c:tickLblPos val="nextTo"/>
        <c:spPr>
          <a:ln/>
        </c:spPr>
        <c:txPr>
          <a:bodyPr/>
          <a:lstStyle/>
          <a:p>
            <a:pPr lvl="0">
              <a:defRPr b="0" i="0">
                <a:solidFill>
                  <a:srgbClr val="000000"/>
                </a:solidFill>
                <a:latin typeface="+mn-lt"/>
              </a:defRPr>
            </a:pPr>
            <a:endParaRPr lang="en-US"/>
          </a:p>
        </c:txPr>
        <c:crossAx val="1223869680"/>
        <c:crosses val="autoZero"/>
        <c:crossBetween val="between"/>
      </c:valAx>
    </c:plotArea>
    <c:legend>
      <c:legendPos val="r"/>
      <c:overlay val="0"/>
      <c:txPr>
        <a:bodyPr/>
        <a:lstStyle/>
        <a:p>
          <a:pPr lvl="0">
            <a:defRPr b="0" i="0">
              <a:solidFill>
                <a:srgbClr val="1A1A1A"/>
              </a:solidFill>
              <a:latin typeface="+mn-lt"/>
            </a:defRPr>
          </a:pPr>
          <a:endParaRPr lang="en-US"/>
        </a:p>
      </c:txPr>
    </c:legend>
    <c:plotVisOnly val="1"/>
    <c:dispBlanksAs val="zero"/>
    <c:showDLblsOverMax val="1"/>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0.05757</cdr:x>
      <cdr:y>0.63734</cdr:y>
    </cdr:from>
    <cdr:to>
      <cdr:x>0.17608</cdr:x>
      <cdr:y>0.75072</cdr:y>
    </cdr:to>
    <cdr:sp macro="" textlink="">
      <cdr:nvSpPr>
        <cdr:cNvPr id="3" name="Text Box 2"/>
        <cdr:cNvSpPr txBox="1"/>
      </cdr:nvSpPr>
      <cdr:spPr>
        <a:xfrm xmlns:a="http://schemas.openxmlformats.org/drawingml/2006/main">
          <a:off x="310896" y="1267968"/>
          <a:ext cx="640080" cy="2255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200">
              <a:latin typeface="Arial" panose="020B0604020202020204" pitchFamily="34" charset="0"/>
              <a:cs typeface="Arial" panose="020B0604020202020204" pitchFamily="34" charset="0"/>
            </a:rPr>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62896</cp:lastModifiedBy>
  <cp:revision>2</cp:revision>
  <dcterms:created xsi:type="dcterms:W3CDTF">2023-11-12T04:45:00Z</dcterms:created>
  <dcterms:modified xsi:type="dcterms:W3CDTF">2023-11-12T04:45:00Z</dcterms:modified>
</cp:coreProperties>
</file>