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CEE40" w14:textId="77777777" w:rsidR="00D42A13" w:rsidRDefault="00D42A13" w:rsidP="00D42A13">
      <w:pPr>
        <w:pStyle w:val="ListParagraph"/>
        <w:spacing w:line="480" w:lineRule="auto"/>
        <w:ind w:left="0"/>
        <w:jc w:val="center"/>
        <w:rPr>
          <w:rFonts w:ascii="Times New Roman" w:hAnsi="Times New Roman" w:cs="Times New Roman"/>
          <w:b/>
          <w:sz w:val="24"/>
          <w:szCs w:val="24"/>
          <w:lang w:val="en-GB"/>
        </w:rPr>
      </w:pPr>
      <w:r w:rsidRPr="00DD352E">
        <w:rPr>
          <w:rFonts w:ascii="Times New Roman" w:hAnsi="Times New Roman" w:cs="Times New Roman"/>
          <w:b/>
          <w:sz w:val="24"/>
          <w:szCs w:val="24"/>
          <w:lang w:val="en-GB"/>
        </w:rPr>
        <w:t xml:space="preserve">Pengaruh </w:t>
      </w:r>
      <w:r w:rsidRPr="00DD352E">
        <w:rPr>
          <w:rFonts w:ascii="Times New Roman" w:hAnsi="Times New Roman" w:cs="Times New Roman"/>
          <w:b/>
          <w:i/>
          <w:iCs/>
          <w:sz w:val="24"/>
          <w:szCs w:val="24"/>
          <w:lang w:val="en-GB"/>
        </w:rPr>
        <w:t>Leverage</w:t>
      </w:r>
      <w:r w:rsidRPr="00DD352E">
        <w:rPr>
          <w:rFonts w:ascii="Times New Roman" w:hAnsi="Times New Roman" w:cs="Times New Roman"/>
          <w:b/>
          <w:sz w:val="24"/>
          <w:szCs w:val="24"/>
          <w:lang w:val="en-GB"/>
        </w:rPr>
        <w:t xml:space="preserve"> dan Ukuran Perusahaan Terhadap Profitabilitas</w:t>
      </w:r>
    </w:p>
    <w:p w14:paraId="3AF38FCC" w14:textId="260D2B25" w:rsidR="00D42A13" w:rsidRDefault="00D42A13" w:rsidP="00D42A13">
      <w:pPr>
        <w:pStyle w:val="ListParagraph"/>
        <w:spacing w:line="480" w:lineRule="auto"/>
        <w:ind w:left="0"/>
        <w:jc w:val="center"/>
        <w:rPr>
          <w:rFonts w:ascii="Times New Roman" w:hAnsi="Times New Roman" w:cs="Times New Roman"/>
          <w:b/>
          <w:sz w:val="24"/>
          <w:szCs w:val="24"/>
          <w:lang w:val="en-GB"/>
        </w:rPr>
      </w:pPr>
      <w:r w:rsidRPr="00DD352E">
        <w:rPr>
          <w:rFonts w:ascii="Times New Roman" w:hAnsi="Times New Roman" w:cs="Times New Roman"/>
          <w:b/>
          <w:sz w:val="24"/>
          <w:szCs w:val="24"/>
          <w:lang w:val="en-GB"/>
        </w:rPr>
        <w:t>Pada Perusahaan Manufaktur</w:t>
      </w:r>
    </w:p>
    <w:p w14:paraId="56F5DDDE" w14:textId="7A32CC2C" w:rsidR="00D42A13" w:rsidRPr="00DD352E" w:rsidRDefault="00D42A13" w:rsidP="00D42A13">
      <w:pPr>
        <w:pStyle w:val="ListParagraph"/>
        <w:spacing w:line="480" w:lineRule="auto"/>
        <w:ind w:left="0"/>
        <w:jc w:val="center"/>
        <w:rPr>
          <w:rFonts w:ascii="Times New Roman" w:hAnsi="Times New Roman" w:cs="Times New Roman"/>
          <w:b/>
          <w:sz w:val="24"/>
          <w:szCs w:val="24"/>
          <w:lang w:val="en-GB"/>
        </w:rPr>
      </w:pPr>
      <w:r>
        <w:rPr>
          <w:rFonts w:ascii="Times New Roman" w:hAnsi="Times New Roman" w:cs="Times New Roman"/>
          <w:b/>
          <w:sz w:val="24"/>
          <w:szCs w:val="24"/>
          <w:lang w:val="en-GB"/>
        </w:rPr>
        <w:t>(Studi Empiris</w:t>
      </w:r>
      <w:r w:rsidR="001B1345">
        <w:rPr>
          <w:rFonts w:ascii="Times New Roman" w:hAnsi="Times New Roman" w:cs="Times New Roman"/>
          <w:b/>
          <w:sz w:val="24"/>
          <w:szCs w:val="24"/>
          <w:lang w:val="en-GB"/>
        </w:rPr>
        <w:t xml:space="preserve"> </w:t>
      </w:r>
      <w:bookmarkStart w:id="0" w:name="_GoBack"/>
      <w:bookmarkEnd w:id="0"/>
      <w:r>
        <w:rPr>
          <w:rFonts w:ascii="Times New Roman" w:hAnsi="Times New Roman" w:cs="Times New Roman"/>
          <w:b/>
          <w:sz w:val="24"/>
          <w:szCs w:val="24"/>
          <w:lang w:val="en-GB"/>
        </w:rPr>
        <w:t>pada Perusahaan Manufaktur yang Terdaftar di Bursa Efek Indonesia Tahun 2020-2022)</w:t>
      </w:r>
    </w:p>
    <w:p w14:paraId="016B3961" w14:textId="77777777" w:rsidR="00D42A13" w:rsidRPr="00DD352E" w:rsidRDefault="00D42A13" w:rsidP="00D42A13">
      <w:pPr>
        <w:pStyle w:val="ListParagraph"/>
        <w:spacing w:line="480" w:lineRule="auto"/>
        <w:ind w:left="0"/>
        <w:jc w:val="center"/>
        <w:rPr>
          <w:rFonts w:ascii="Times New Roman" w:hAnsi="Times New Roman" w:cs="Times New Roman"/>
          <w:b/>
          <w:sz w:val="24"/>
          <w:szCs w:val="24"/>
          <w:lang w:val="en-GB"/>
        </w:rPr>
      </w:pPr>
      <w:r w:rsidRPr="00DD352E">
        <w:rPr>
          <w:rFonts w:ascii="Times New Roman" w:hAnsi="Times New Roman" w:cs="Times New Roman"/>
          <w:b/>
          <w:sz w:val="24"/>
          <w:szCs w:val="24"/>
          <w:lang w:val="en-GB"/>
        </w:rPr>
        <w:t>Megantoro Effendi</w:t>
      </w:r>
    </w:p>
    <w:p w14:paraId="4C95C704" w14:textId="568CF5D9" w:rsidR="00D42A13" w:rsidRDefault="00D42A13" w:rsidP="00D42A13">
      <w:pPr>
        <w:pStyle w:val="ListParagraph"/>
        <w:spacing w:line="480" w:lineRule="auto"/>
        <w:ind w:left="0"/>
        <w:jc w:val="center"/>
        <w:rPr>
          <w:rFonts w:ascii="Times New Roman" w:hAnsi="Times New Roman" w:cs="Times New Roman"/>
          <w:bCs/>
          <w:sz w:val="24"/>
          <w:szCs w:val="24"/>
          <w:lang w:val="en-GB"/>
        </w:rPr>
      </w:pPr>
      <w:r>
        <w:rPr>
          <w:rFonts w:ascii="Times New Roman" w:hAnsi="Times New Roman" w:cs="Times New Roman"/>
          <w:bCs/>
          <w:sz w:val="24"/>
          <w:szCs w:val="24"/>
          <w:lang w:val="en-GB"/>
        </w:rPr>
        <w:t>Universitas Mercu Buana Yogyakarta</w:t>
      </w:r>
    </w:p>
    <w:p w14:paraId="26146F67" w14:textId="32247A00" w:rsidR="00D42A13" w:rsidRDefault="001B1345" w:rsidP="00D42A13">
      <w:pPr>
        <w:pStyle w:val="ListParagraph"/>
        <w:spacing w:line="480" w:lineRule="auto"/>
        <w:ind w:left="0"/>
        <w:jc w:val="center"/>
        <w:rPr>
          <w:rFonts w:ascii="Times New Roman" w:hAnsi="Times New Roman" w:cs="Times New Roman"/>
          <w:bCs/>
          <w:sz w:val="24"/>
          <w:szCs w:val="24"/>
          <w:lang w:val="en-GB"/>
        </w:rPr>
      </w:pPr>
      <w:hyperlink r:id="rId5" w:history="1">
        <w:r w:rsidR="00D42A13" w:rsidRPr="000457D3">
          <w:rPr>
            <w:rStyle w:val="Hyperlink"/>
            <w:rFonts w:ascii="Times New Roman" w:hAnsi="Times New Roman" w:cs="Times New Roman"/>
            <w:bCs/>
            <w:sz w:val="24"/>
            <w:szCs w:val="24"/>
            <w:lang w:val="en-GB"/>
          </w:rPr>
          <w:t>effendimegantoro@gmail.com</w:t>
        </w:r>
      </w:hyperlink>
    </w:p>
    <w:p w14:paraId="2900B890" w14:textId="77777777" w:rsidR="00D42A13" w:rsidRPr="00D42A13" w:rsidRDefault="00D42A13" w:rsidP="00D42A13">
      <w:pPr>
        <w:pStyle w:val="ListParagraph"/>
        <w:spacing w:line="240" w:lineRule="auto"/>
        <w:ind w:left="0"/>
        <w:jc w:val="center"/>
        <w:rPr>
          <w:rFonts w:ascii="Times New Roman" w:hAnsi="Times New Roman" w:cs="Times New Roman"/>
          <w:bCs/>
          <w:sz w:val="16"/>
          <w:szCs w:val="16"/>
          <w:lang w:val="en-GB"/>
        </w:rPr>
      </w:pPr>
    </w:p>
    <w:p w14:paraId="1BB52EDA" w14:textId="1D0D323E" w:rsidR="00D42A13" w:rsidRDefault="00D42A13" w:rsidP="00D42A13">
      <w:pPr>
        <w:pStyle w:val="ListParagraph"/>
        <w:spacing w:line="240" w:lineRule="auto"/>
        <w:ind w:left="0"/>
        <w:jc w:val="center"/>
        <w:rPr>
          <w:rFonts w:ascii="Times New Roman" w:hAnsi="Times New Roman" w:cs="Times New Roman"/>
          <w:bCs/>
          <w:sz w:val="28"/>
          <w:szCs w:val="28"/>
          <w:lang w:val="en-GB"/>
        </w:rPr>
      </w:pPr>
      <w:r w:rsidRPr="00DD352E">
        <w:rPr>
          <w:rFonts w:ascii="Times New Roman" w:hAnsi="Times New Roman" w:cs="Times New Roman"/>
          <w:bCs/>
          <w:sz w:val="28"/>
          <w:szCs w:val="28"/>
          <w:lang w:val="en-GB"/>
        </w:rPr>
        <w:t>ABSTRAK</w:t>
      </w:r>
    </w:p>
    <w:p w14:paraId="1E4D3736" w14:textId="77777777" w:rsidR="00D42A13" w:rsidRPr="00DD352E" w:rsidRDefault="00D42A13" w:rsidP="00D42A13">
      <w:pPr>
        <w:pStyle w:val="ListParagraph"/>
        <w:spacing w:line="240" w:lineRule="auto"/>
        <w:ind w:left="0"/>
        <w:jc w:val="center"/>
        <w:rPr>
          <w:rFonts w:ascii="Times New Roman" w:hAnsi="Times New Roman" w:cs="Times New Roman"/>
          <w:bCs/>
          <w:sz w:val="28"/>
          <w:szCs w:val="28"/>
          <w:lang w:val="en-GB"/>
        </w:rPr>
      </w:pPr>
    </w:p>
    <w:p w14:paraId="10D32010" w14:textId="77777777" w:rsidR="00D42A13" w:rsidRDefault="00D42A13" w:rsidP="00D42A13">
      <w:pPr>
        <w:pStyle w:val="ListParagraph"/>
        <w:spacing w:line="48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ab/>
      </w:r>
      <w:r w:rsidRPr="00D43E7C">
        <w:rPr>
          <w:rFonts w:ascii="Times New Roman" w:hAnsi="Times New Roman" w:cs="Times New Roman"/>
          <w:bCs/>
          <w:sz w:val="24"/>
          <w:szCs w:val="24"/>
          <w:lang w:val="en-GB"/>
        </w:rPr>
        <w:t>Penelitian ini</w:t>
      </w:r>
      <w:r>
        <w:rPr>
          <w:rFonts w:ascii="Times New Roman" w:hAnsi="Times New Roman" w:cs="Times New Roman"/>
          <w:bCs/>
          <w:sz w:val="24"/>
          <w:szCs w:val="24"/>
          <w:lang w:val="en-GB"/>
        </w:rPr>
        <w:t xml:space="preserve"> dilakukan untuk mengetahui pengaruh </w:t>
      </w:r>
      <w:r>
        <w:rPr>
          <w:rFonts w:ascii="Times New Roman" w:hAnsi="Times New Roman" w:cs="Times New Roman"/>
          <w:bCs/>
          <w:i/>
          <w:iCs/>
          <w:sz w:val="24"/>
          <w:szCs w:val="24"/>
          <w:lang w:val="en-GB"/>
        </w:rPr>
        <w:t xml:space="preserve">leverage </w:t>
      </w:r>
      <w:r>
        <w:rPr>
          <w:rFonts w:ascii="Times New Roman" w:hAnsi="Times New Roman" w:cs="Times New Roman"/>
          <w:bCs/>
          <w:sz w:val="24"/>
          <w:szCs w:val="24"/>
          <w:lang w:val="en-GB"/>
        </w:rPr>
        <w:t xml:space="preserve">dan ukuran perusahaan terhadap profitabilitas pada perusahaan manufaktur yang terdaftar di Bursa Efek Indonesia periode 2020-2022. Data yang digunakan berupa data sekunder dan diperoleh dari laporan keuangan perusahaan manufaktur yang terdaftar di Bursa Efek Indonesia peridoe 2020-2022. Tujuan penelitian ini adalah untuk menganalisis pengaruh </w:t>
      </w:r>
      <w:r>
        <w:rPr>
          <w:rFonts w:ascii="Times New Roman" w:hAnsi="Times New Roman" w:cs="Times New Roman"/>
          <w:bCs/>
          <w:i/>
          <w:iCs/>
          <w:sz w:val="24"/>
          <w:szCs w:val="24"/>
          <w:lang w:val="en-GB"/>
        </w:rPr>
        <w:t xml:space="preserve">leverage </w:t>
      </w:r>
      <w:r>
        <w:rPr>
          <w:rFonts w:ascii="Times New Roman" w:hAnsi="Times New Roman" w:cs="Times New Roman"/>
          <w:bCs/>
          <w:sz w:val="24"/>
          <w:szCs w:val="24"/>
          <w:lang w:val="en-GB"/>
        </w:rPr>
        <w:t xml:space="preserve">dan ukuran perusahaan terhadap profitabilitas pada perusahaan manufaktur. Penelitian ini menggunakan metode kuantitatif serta menggunakan variabel </w:t>
      </w:r>
      <w:r>
        <w:rPr>
          <w:rFonts w:ascii="Times New Roman" w:hAnsi="Times New Roman" w:cs="Times New Roman"/>
          <w:bCs/>
          <w:i/>
          <w:iCs/>
          <w:sz w:val="24"/>
          <w:szCs w:val="24"/>
          <w:lang w:val="en-GB"/>
        </w:rPr>
        <w:t>leverage</w:t>
      </w:r>
      <w:r>
        <w:rPr>
          <w:rFonts w:ascii="Times New Roman" w:hAnsi="Times New Roman" w:cs="Times New Roman"/>
          <w:bCs/>
          <w:sz w:val="24"/>
          <w:szCs w:val="24"/>
          <w:lang w:val="en-GB"/>
        </w:rPr>
        <w:t xml:space="preserve"> dan ukuran perusahaan. Analisis data pada penelitian ini adalah analisis regresi linier berganda dengan bantuan program SPSS versi 25. Hasil penelitian secara parsial dengan uji-t menunjukkan bahwa variabel </w:t>
      </w:r>
      <w:r>
        <w:rPr>
          <w:rFonts w:ascii="Times New Roman" w:hAnsi="Times New Roman" w:cs="Times New Roman"/>
          <w:bCs/>
          <w:i/>
          <w:iCs/>
          <w:sz w:val="24"/>
          <w:szCs w:val="24"/>
          <w:lang w:val="en-GB"/>
        </w:rPr>
        <w:t xml:space="preserve">leverage </w:t>
      </w:r>
      <w:r>
        <w:rPr>
          <w:rFonts w:ascii="Times New Roman" w:hAnsi="Times New Roman" w:cs="Times New Roman"/>
          <w:bCs/>
          <w:sz w:val="24"/>
          <w:szCs w:val="24"/>
          <w:lang w:val="en-GB"/>
        </w:rPr>
        <w:t>berpengaruh negatif signifikan terhadap profitabilitas pada perusahaan manufaktur dengan nilai 0,007&lt;0,05. Sedangkan variabel ukuran perusahaan tidak memiliki pengaruh signifikan terhadap profitabilitas pada perusaahaan manufaktur yang terdaftar di Bursa Efek Indonesia dengan nilai 0,633.</w:t>
      </w:r>
    </w:p>
    <w:p w14:paraId="0E81C881" w14:textId="77777777" w:rsidR="00D42A13" w:rsidRDefault="00D42A13" w:rsidP="00D42A13">
      <w:pPr>
        <w:pStyle w:val="ListParagraph"/>
        <w:spacing w:line="480" w:lineRule="auto"/>
        <w:ind w:left="0"/>
        <w:rPr>
          <w:rFonts w:ascii="Times New Roman" w:hAnsi="Times New Roman" w:cs="Times New Roman"/>
          <w:b/>
          <w:sz w:val="24"/>
          <w:szCs w:val="24"/>
          <w:lang w:val="en-GB"/>
        </w:rPr>
      </w:pPr>
      <w:r w:rsidRPr="00DD352E">
        <w:rPr>
          <w:rFonts w:ascii="Times New Roman" w:hAnsi="Times New Roman" w:cs="Times New Roman"/>
          <w:b/>
          <w:sz w:val="24"/>
          <w:szCs w:val="24"/>
          <w:lang w:val="en-GB"/>
        </w:rPr>
        <w:t xml:space="preserve">Kata kunci : </w:t>
      </w:r>
      <w:r w:rsidRPr="00DD352E">
        <w:rPr>
          <w:rFonts w:ascii="Times New Roman" w:hAnsi="Times New Roman" w:cs="Times New Roman"/>
          <w:b/>
          <w:i/>
          <w:iCs/>
          <w:sz w:val="24"/>
          <w:szCs w:val="24"/>
          <w:lang w:val="en-GB"/>
        </w:rPr>
        <w:t xml:space="preserve">Leverage, </w:t>
      </w:r>
      <w:r w:rsidRPr="00DD352E">
        <w:rPr>
          <w:rFonts w:ascii="Times New Roman" w:hAnsi="Times New Roman" w:cs="Times New Roman"/>
          <w:b/>
          <w:sz w:val="24"/>
          <w:szCs w:val="24"/>
          <w:lang w:val="en-GB"/>
        </w:rPr>
        <w:t>Ukuran Perusahaan dan Profitabilitas.</w:t>
      </w:r>
    </w:p>
    <w:p w14:paraId="173055DE" w14:textId="77777777" w:rsidR="00D42A13" w:rsidRPr="00DD352E" w:rsidRDefault="00D42A13" w:rsidP="00D42A13">
      <w:pPr>
        <w:pStyle w:val="ListParagraph"/>
        <w:spacing w:line="480" w:lineRule="auto"/>
        <w:ind w:left="0"/>
        <w:jc w:val="center"/>
        <w:rPr>
          <w:rFonts w:ascii="Times New Roman" w:hAnsi="Times New Roman" w:cs="Times New Roman"/>
          <w:bCs/>
          <w:sz w:val="28"/>
          <w:szCs w:val="28"/>
          <w:lang w:val="en-GB"/>
        </w:rPr>
      </w:pPr>
      <w:r w:rsidRPr="00DD352E">
        <w:rPr>
          <w:rFonts w:ascii="Times New Roman" w:hAnsi="Times New Roman" w:cs="Times New Roman"/>
          <w:bCs/>
          <w:sz w:val="28"/>
          <w:szCs w:val="28"/>
          <w:lang w:val="en-GB"/>
        </w:rPr>
        <w:lastRenderedPageBreak/>
        <w:t>ABSTRA</w:t>
      </w:r>
      <w:r>
        <w:rPr>
          <w:rFonts w:ascii="Times New Roman" w:hAnsi="Times New Roman" w:cs="Times New Roman"/>
          <w:bCs/>
          <w:sz w:val="28"/>
          <w:szCs w:val="28"/>
          <w:lang w:val="en-GB"/>
        </w:rPr>
        <w:t>CT</w:t>
      </w:r>
    </w:p>
    <w:p w14:paraId="345AF4EC" w14:textId="77777777" w:rsidR="00D42A13" w:rsidRDefault="00D42A13" w:rsidP="00D42A13">
      <w:pPr>
        <w:pStyle w:val="ListParagraph"/>
        <w:spacing w:line="48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ab/>
        <w:t>This research was conducted to determine the effect of leverage and company size on probability in manufacturing companies listed on the Indonesia Stock Exchange for the 2020-2022 period. The data used is secondary data and was obtained from the financial reports of manufacturing companies listed on the Indonesia Stock Exchange for the 2020-2022 period. The aim of this research is to analyse the effect of leverage and company size on probability in manufacturing companies. This research uses quantitative methods and used leverage and company size variabel. Data analysis in this research is multiple linear regression analysis with the help of the SPSS version 25 program. Partial research results using the t-test show that the leverage variable has a significant negative effect on probability in manufacturing companies with a value of 0.007&lt;0.05. Meanwhile, the company size variable does not have a significant influence on profitability in manufacturing companies listed on the Indonesia Stock Exchange with a value of 0.633.</w:t>
      </w:r>
    </w:p>
    <w:p w14:paraId="2072E252" w14:textId="77777777" w:rsidR="00D42A13" w:rsidRDefault="00D42A13" w:rsidP="00D42A13">
      <w:pPr>
        <w:pStyle w:val="ListParagraph"/>
        <w:spacing w:line="480" w:lineRule="auto"/>
        <w:ind w:left="0"/>
        <w:rPr>
          <w:rFonts w:ascii="Times New Roman" w:hAnsi="Times New Roman" w:cs="Times New Roman"/>
          <w:b/>
          <w:sz w:val="24"/>
          <w:szCs w:val="24"/>
          <w:lang w:val="en-GB"/>
        </w:rPr>
      </w:pPr>
      <w:r>
        <w:rPr>
          <w:rFonts w:ascii="Times New Roman" w:hAnsi="Times New Roman" w:cs="Times New Roman"/>
          <w:b/>
          <w:sz w:val="24"/>
          <w:szCs w:val="24"/>
          <w:lang w:val="en-GB"/>
        </w:rPr>
        <w:t>Keywords : Leverage, Company Size and Profitability.</w:t>
      </w:r>
    </w:p>
    <w:p w14:paraId="415362E0" w14:textId="33504F9A" w:rsidR="00D42A13" w:rsidRDefault="00D42A13" w:rsidP="00D42A13">
      <w:pPr>
        <w:spacing w:line="480" w:lineRule="auto"/>
        <w:jc w:val="center"/>
        <w:rPr>
          <w:rFonts w:ascii="Times New Roman" w:hAnsi="Times New Roman" w:cs="Times New Roman"/>
          <w:sz w:val="24"/>
          <w:szCs w:val="24"/>
          <w:lang w:val="en-GB"/>
        </w:rPr>
      </w:pPr>
    </w:p>
    <w:p w14:paraId="2B0A94CC" w14:textId="4FFB2562" w:rsidR="00F42D40" w:rsidRDefault="00F42D40" w:rsidP="00D42A13">
      <w:pPr>
        <w:spacing w:line="480" w:lineRule="auto"/>
        <w:jc w:val="center"/>
        <w:rPr>
          <w:rFonts w:ascii="Times New Roman" w:hAnsi="Times New Roman" w:cs="Times New Roman"/>
          <w:sz w:val="24"/>
          <w:szCs w:val="24"/>
          <w:lang w:val="en-GB"/>
        </w:rPr>
      </w:pPr>
    </w:p>
    <w:p w14:paraId="70D6012E" w14:textId="5CF84715" w:rsidR="00F42D40" w:rsidRDefault="00F42D40" w:rsidP="00D42A13">
      <w:pPr>
        <w:spacing w:line="480" w:lineRule="auto"/>
        <w:jc w:val="center"/>
        <w:rPr>
          <w:rFonts w:ascii="Times New Roman" w:hAnsi="Times New Roman" w:cs="Times New Roman"/>
          <w:sz w:val="24"/>
          <w:szCs w:val="24"/>
          <w:lang w:val="en-GB"/>
        </w:rPr>
      </w:pPr>
    </w:p>
    <w:p w14:paraId="3BCBD6C2" w14:textId="15FA9A0F" w:rsidR="00F42D40" w:rsidRDefault="00F42D40" w:rsidP="00D42A13">
      <w:pPr>
        <w:spacing w:line="480" w:lineRule="auto"/>
        <w:jc w:val="center"/>
        <w:rPr>
          <w:rFonts w:ascii="Times New Roman" w:hAnsi="Times New Roman" w:cs="Times New Roman"/>
          <w:sz w:val="24"/>
          <w:szCs w:val="24"/>
          <w:lang w:val="en-GB"/>
        </w:rPr>
      </w:pPr>
    </w:p>
    <w:p w14:paraId="49F4F329" w14:textId="55215132" w:rsidR="00F42D40" w:rsidRDefault="00F42D40" w:rsidP="00D42A13">
      <w:pPr>
        <w:spacing w:line="480" w:lineRule="auto"/>
        <w:jc w:val="center"/>
        <w:rPr>
          <w:rFonts w:ascii="Times New Roman" w:hAnsi="Times New Roman" w:cs="Times New Roman"/>
          <w:sz w:val="24"/>
          <w:szCs w:val="24"/>
          <w:lang w:val="en-GB"/>
        </w:rPr>
      </w:pPr>
    </w:p>
    <w:p w14:paraId="7A34DB2E" w14:textId="3CB65CBF" w:rsidR="00F42D40" w:rsidRPr="00F42D40" w:rsidRDefault="00F42D40" w:rsidP="00D42A13">
      <w:pPr>
        <w:spacing w:line="480" w:lineRule="auto"/>
        <w:jc w:val="center"/>
        <w:rPr>
          <w:rFonts w:ascii="Times New Roman" w:hAnsi="Times New Roman" w:cs="Times New Roman"/>
          <w:b/>
          <w:bCs/>
          <w:sz w:val="24"/>
          <w:szCs w:val="24"/>
          <w:lang w:val="en-GB"/>
        </w:rPr>
      </w:pPr>
      <w:r w:rsidRPr="00F42D40">
        <w:rPr>
          <w:rFonts w:ascii="Times New Roman" w:hAnsi="Times New Roman" w:cs="Times New Roman"/>
          <w:b/>
          <w:bCs/>
          <w:sz w:val="24"/>
          <w:szCs w:val="24"/>
          <w:lang w:val="en-GB"/>
        </w:rPr>
        <w:lastRenderedPageBreak/>
        <w:t>PENDAHULUAN</w:t>
      </w:r>
    </w:p>
    <w:p w14:paraId="3B10CE60" w14:textId="5296F84F" w:rsidR="00F42D40" w:rsidRDefault="00F42D40" w:rsidP="00F42D4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Persaingan bisnis antar perusahaan menjadi sangat ketat dalam era globalisasi dan perkembangan jaman yang terjadi saat ini, khususnya perusahaan manufaktur. Setiap perusahaan harus mampu untuk memelihara dan mempertahankan kegiatan bisnisnya atau lingkungan bisnisnya secara efektif dan efisien. Tujuan utama dari kegiatan dalam perusahaan adalah agar bisa mendapatkan keuntungan. Selain itu, tujuannya agar perusahaan mampu menjalankan bisnis dengan baik serta lancar untuk mencapai target perusahaan. Perusahaan harus memiliki kinerja yang sangat baik, terlebih dari segi manajemen, keuangan dan yang lainnya untuk mampu bersaing dan bertahan dalam ketatnya persaingan. Manajemen harus mengetahui hal-hal apa saja dan faktor apa saja yang bisa mempengaruhi laba perusahaan.</w:t>
      </w:r>
    </w:p>
    <w:p w14:paraId="446805D7" w14:textId="14E7D54A" w:rsidR="00F42D40" w:rsidRDefault="00F42D40" w:rsidP="00F42D4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Profitabilitas merupakan salah satu indikator yang dapat digunakan untuk mengukur kinerja manajemen. Profitabilitas merupakan ukuran yang dapat dipakai dalam menilai bagaimana suatu perusahaan tersebut dapat menghasilkan laba sesuai dengan keinginannya. Menurut </w:t>
      </w:r>
      <w:r w:rsidRPr="00041C53">
        <w:rPr>
          <w:rFonts w:ascii="Times New Roman" w:hAnsi="Times New Roman" w:cs="Times New Roman"/>
          <w:sz w:val="24"/>
          <w:szCs w:val="24"/>
          <w:lang w:val="en-GB"/>
        </w:rPr>
        <w:t>Jumingan (2009) dalam Nurfitriana (2012)</w:t>
      </w:r>
      <w:r>
        <w:rPr>
          <w:rFonts w:ascii="Times New Roman" w:hAnsi="Times New Roman" w:cs="Times New Roman"/>
          <w:sz w:val="24"/>
          <w:szCs w:val="24"/>
          <w:lang w:val="en-GB"/>
        </w:rPr>
        <w:t xml:space="preserve"> menyatakan bahwa semakin besar keuntungan yang diperoleh maka akan semakin besar juga kemampuan perusahaan untuk membayarkan dividennya, dan hal ini dapat berdampak pada kenaikan nilai perusahaan. Apabila perusahaan tidak memperoleh laba, maka perusahaan tidak dapat memenuhi tujuan atau mencapai targetnya.</w:t>
      </w:r>
    </w:p>
    <w:p w14:paraId="1CEE23B8" w14:textId="413D112A" w:rsidR="00F42D40" w:rsidRDefault="00F42D40" w:rsidP="00F42D4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Banyak peneliti dan diskusi yang sudah dilakukan karena pentingnya profitabilitas. Beberapa penelitian terkait faktor-faktor yang dapat mempengaruhi profitabilitas telah banyak dilakukan. Ada banyak faktor yang dapat mempengaruhi profitabilitas adalah </w:t>
      </w:r>
      <w:r w:rsidRPr="00B719C9">
        <w:rPr>
          <w:rFonts w:ascii="Times New Roman" w:hAnsi="Times New Roman" w:cs="Times New Roman"/>
          <w:i/>
          <w:iCs/>
          <w:sz w:val="24"/>
          <w:szCs w:val="24"/>
          <w:lang w:val="en-GB"/>
        </w:rPr>
        <w:t>leverage</w:t>
      </w:r>
      <w:r>
        <w:rPr>
          <w:rFonts w:ascii="Times New Roman" w:hAnsi="Times New Roman" w:cs="Times New Roman"/>
          <w:sz w:val="24"/>
          <w:szCs w:val="24"/>
          <w:lang w:val="en-GB"/>
        </w:rPr>
        <w:t>, ukuran perusahaan, likuiditas, pertumbuhan penjualan, dll. Oleh karena itu, manajemen perlu memperhatikan faktor yang dapat mempengaruhi pencapaian profitabilitas.</w:t>
      </w:r>
    </w:p>
    <w:p w14:paraId="7CB59DDD" w14:textId="77777777" w:rsidR="00F42D40" w:rsidRPr="00D10934" w:rsidRDefault="00F42D40" w:rsidP="00F42D40">
      <w:pPr>
        <w:pStyle w:val="ListParagraph"/>
        <w:spacing w:line="48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i/>
          <w:iCs/>
          <w:sz w:val="24"/>
          <w:szCs w:val="24"/>
          <w:lang w:val="en-GB"/>
        </w:rPr>
        <w:t xml:space="preserve">Leverage </w:t>
      </w:r>
      <w:r>
        <w:rPr>
          <w:rFonts w:ascii="Times New Roman" w:hAnsi="Times New Roman" w:cs="Times New Roman"/>
          <w:sz w:val="24"/>
          <w:szCs w:val="24"/>
          <w:lang w:val="en-GB"/>
        </w:rPr>
        <w:t xml:space="preserve"> merupakan salah satu dari rasio keuangan yang bisa menunjukkan sejauh mana asset perusahaan telah dibiayai oleh hutang. Modal atau pendanaan perusahaan bisa diperoleh tidak hanya dari model sendiri, tetapi juga bisa dari kreditur dalam bentuk hutang. Rasio ini biasanya digunakan untuk mengukur sejauhmana perusahaan mampu itu menutupi kewajiban dalam bentuk hutang terhadap modal yang dimiliki. Penelitian </w:t>
      </w:r>
      <w:r w:rsidRPr="00936825">
        <w:rPr>
          <w:rFonts w:ascii="Times New Roman" w:hAnsi="Times New Roman" w:cs="Times New Roman"/>
          <w:sz w:val="24"/>
          <w:szCs w:val="24"/>
          <w:lang w:val="en-GB"/>
        </w:rPr>
        <w:t>Mboka dan Cahyono (2020)</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leverage </w:t>
      </w:r>
      <w:r>
        <w:rPr>
          <w:rFonts w:ascii="Times New Roman" w:hAnsi="Times New Roman" w:cs="Times New Roman"/>
          <w:sz w:val="24"/>
          <w:szCs w:val="24"/>
          <w:lang w:val="en-GB"/>
        </w:rPr>
        <w:t xml:space="preserve">tidak berpengaruh terhadap profitabilitas. Sedangkan penelitian </w:t>
      </w:r>
      <w:r w:rsidRPr="00936825">
        <w:rPr>
          <w:rFonts w:ascii="Times New Roman" w:hAnsi="Times New Roman" w:cs="Times New Roman"/>
          <w:sz w:val="24"/>
          <w:szCs w:val="24"/>
          <w:lang w:val="en-GB"/>
        </w:rPr>
        <w:t>Setiadewi dan Purbawangsa (2015)</w:t>
      </w:r>
      <w:r>
        <w:rPr>
          <w:rFonts w:ascii="Times New Roman" w:hAnsi="Times New Roman" w:cs="Times New Roman"/>
          <w:sz w:val="24"/>
          <w:szCs w:val="24"/>
          <w:lang w:val="en-GB"/>
        </w:rPr>
        <w:t xml:space="preserve"> menyatakan bahwa </w:t>
      </w:r>
      <w:r>
        <w:rPr>
          <w:rFonts w:ascii="Times New Roman" w:hAnsi="Times New Roman" w:cs="Times New Roman"/>
          <w:i/>
          <w:iCs/>
          <w:sz w:val="24"/>
          <w:szCs w:val="24"/>
          <w:lang w:val="en-GB"/>
        </w:rPr>
        <w:t xml:space="preserve">leverage </w:t>
      </w:r>
      <w:r>
        <w:rPr>
          <w:rFonts w:ascii="Times New Roman" w:hAnsi="Times New Roman" w:cs="Times New Roman"/>
          <w:sz w:val="24"/>
          <w:szCs w:val="24"/>
          <w:lang w:val="en-GB"/>
        </w:rPr>
        <w:t>berpengaruh namun tidak signifikan secara statistic terhadap profitabilitas.</w:t>
      </w:r>
    </w:p>
    <w:p w14:paraId="5EC85CCF" w14:textId="71F21CD0" w:rsidR="00F42D40" w:rsidRDefault="00F42D40" w:rsidP="00F42D4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Faktor lain yang bisa mempengaruhi profitabilitas adalah Ukuran Perusahaan. Ukuran perusahaan menunjukkan atau menggambarkan besar kecilnya suatu perusahaan yang ditunjukkan oleh total aktiva. Dimana, jika semakin besar total asset yang dimiliki perusahaan maka semakin besar juga ukuran perusahaan. Dan semakin besar aktiva perusahaan, maka akan semakin banyak modal yang ditanam, hal ini membuat kapasitas perusahaan semakin banyak dikenal. Penelitian Mboka dan Cahyono (2020) mengatakan ukuran perusahaan tidak berpengaruh terhadap profitabilitas. Sedangkan dalam penelitian Setiadewi dan Purbawangsa </w:t>
      </w:r>
      <w:r>
        <w:rPr>
          <w:rFonts w:ascii="Times New Roman" w:hAnsi="Times New Roman" w:cs="Times New Roman"/>
          <w:sz w:val="24"/>
          <w:szCs w:val="24"/>
          <w:lang w:val="en-GB"/>
        </w:rPr>
        <w:lastRenderedPageBreak/>
        <w:t>(2015) mengatakan ukuran perusahaan</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berpengaruh namun tidak signifikan secara statistic terhadap profitabilitas.</w:t>
      </w:r>
    </w:p>
    <w:p w14:paraId="70484867" w14:textId="6506B454" w:rsidR="00F42D40" w:rsidRDefault="00F42D40" w:rsidP="00F42D4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GB"/>
        </w:rPr>
        <w:tab/>
      </w:r>
      <w:r w:rsidRPr="009E633F">
        <w:rPr>
          <w:rFonts w:ascii="Times New Roman" w:hAnsi="Times New Roman" w:cs="Times New Roman"/>
          <w:sz w:val="24"/>
          <w:szCs w:val="24"/>
          <w:lang w:val="en-US"/>
        </w:rPr>
        <w:t xml:space="preserve">Penelitian yang </w:t>
      </w:r>
      <w:r>
        <w:rPr>
          <w:rFonts w:ascii="Times New Roman" w:hAnsi="Times New Roman" w:cs="Times New Roman"/>
          <w:sz w:val="24"/>
          <w:szCs w:val="24"/>
          <w:lang w:val="en-US"/>
        </w:rPr>
        <w:t>pernah</w:t>
      </w:r>
      <w:r w:rsidRPr="009E633F">
        <w:rPr>
          <w:rFonts w:ascii="Times New Roman" w:hAnsi="Times New Roman" w:cs="Times New Roman"/>
          <w:sz w:val="24"/>
          <w:szCs w:val="24"/>
          <w:lang w:val="en-US"/>
        </w:rPr>
        <w:t xml:space="preserve"> di</w:t>
      </w:r>
      <w:r>
        <w:rPr>
          <w:rFonts w:ascii="Times New Roman" w:hAnsi="Times New Roman" w:cs="Times New Roman"/>
          <w:sz w:val="24"/>
          <w:szCs w:val="24"/>
          <w:lang w:val="en-US"/>
        </w:rPr>
        <w:t xml:space="preserve"> </w:t>
      </w:r>
      <w:r w:rsidRPr="009E633F">
        <w:rPr>
          <w:rFonts w:ascii="Times New Roman" w:hAnsi="Times New Roman" w:cs="Times New Roman"/>
          <w:sz w:val="24"/>
          <w:szCs w:val="24"/>
          <w:lang w:val="en-US"/>
        </w:rPr>
        <w:t xml:space="preserve">lakukan mengenai </w:t>
      </w:r>
      <w:r>
        <w:rPr>
          <w:rFonts w:ascii="Times New Roman" w:hAnsi="Times New Roman" w:cs="Times New Roman"/>
          <w:sz w:val="24"/>
          <w:szCs w:val="24"/>
          <w:lang w:val="en-US"/>
        </w:rPr>
        <w:t xml:space="preserve">profitabilitas memiliki hasil yang berbeda-beda. </w:t>
      </w:r>
      <w:r w:rsidRPr="009E633F">
        <w:rPr>
          <w:rFonts w:ascii="Times New Roman" w:hAnsi="Times New Roman" w:cs="Times New Roman"/>
          <w:sz w:val="24"/>
          <w:szCs w:val="24"/>
          <w:lang w:val="en-US"/>
        </w:rPr>
        <w:t xml:space="preserve">Perbedaan pada hasil penelitian tersebut terjadi karena beberapa </w:t>
      </w:r>
      <w:r>
        <w:rPr>
          <w:rFonts w:ascii="Times New Roman" w:hAnsi="Times New Roman" w:cs="Times New Roman"/>
          <w:sz w:val="24"/>
          <w:szCs w:val="24"/>
          <w:lang w:val="en-US"/>
        </w:rPr>
        <w:t>alasan atau faktor</w:t>
      </w:r>
      <w:r w:rsidRPr="009E633F">
        <w:rPr>
          <w:rFonts w:ascii="Times New Roman" w:hAnsi="Times New Roman" w:cs="Times New Roman"/>
          <w:sz w:val="24"/>
          <w:szCs w:val="24"/>
          <w:lang w:val="en-US"/>
        </w:rPr>
        <w:t xml:space="preserve"> seperti perbedaan periode waktu </w:t>
      </w:r>
      <w:r>
        <w:rPr>
          <w:rFonts w:ascii="Times New Roman" w:hAnsi="Times New Roman" w:cs="Times New Roman"/>
          <w:sz w:val="24"/>
          <w:szCs w:val="24"/>
          <w:lang w:val="en-US"/>
        </w:rPr>
        <w:t xml:space="preserve">saat melakukan </w:t>
      </w:r>
      <w:r w:rsidRPr="009E633F">
        <w:rPr>
          <w:rFonts w:ascii="Times New Roman" w:hAnsi="Times New Roman" w:cs="Times New Roman"/>
          <w:sz w:val="24"/>
          <w:szCs w:val="24"/>
          <w:lang w:val="en-US"/>
        </w:rPr>
        <w:t xml:space="preserve">penelitian, </w:t>
      </w:r>
      <w:r>
        <w:rPr>
          <w:rFonts w:ascii="Times New Roman" w:hAnsi="Times New Roman" w:cs="Times New Roman"/>
          <w:sz w:val="24"/>
          <w:szCs w:val="24"/>
          <w:lang w:val="en-US"/>
        </w:rPr>
        <w:t xml:space="preserve">perbedaan </w:t>
      </w:r>
      <w:r w:rsidRPr="009E633F">
        <w:rPr>
          <w:rFonts w:ascii="Times New Roman" w:hAnsi="Times New Roman" w:cs="Times New Roman"/>
          <w:sz w:val="24"/>
          <w:szCs w:val="24"/>
          <w:lang w:val="en-US"/>
        </w:rPr>
        <w:t xml:space="preserve">variabel yang digunakan </w:t>
      </w:r>
      <w:r>
        <w:rPr>
          <w:rFonts w:ascii="Times New Roman" w:hAnsi="Times New Roman" w:cs="Times New Roman"/>
          <w:sz w:val="24"/>
          <w:szCs w:val="24"/>
          <w:lang w:val="en-US"/>
        </w:rPr>
        <w:t>atau</w:t>
      </w:r>
      <w:r w:rsidRPr="009E633F">
        <w:rPr>
          <w:rFonts w:ascii="Times New Roman" w:hAnsi="Times New Roman" w:cs="Times New Roman"/>
          <w:sz w:val="24"/>
          <w:szCs w:val="24"/>
          <w:lang w:val="en-US"/>
        </w:rPr>
        <w:t xml:space="preserve"> metode pengujian yang dilakukan oleh peneliti.</w:t>
      </w:r>
      <w:r>
        <w:rPr>
          <w:rFonts w:ascii="Times New Roman" w:hAnsi="Times New Roman" w:cs="Times New Roman"/>
          <w:sz w:val="24"/>
          <w:szCs w:val="24"/>
        </w:rPr>
        <w:t xml:space="preserve"> Hal ini yang </w:t>
      </w:r>
      <w:r>
        <w:rPr>
          <w:rFonts w:ascii="Times New Roman" w:hAnsi="Times New Roman" w:cs="Times New Roman"/>
          <w:sz w:val="24"/>
          <w:szCs w:val="24"/>
          <w:lang w:val="en-GB"/>
        </w:rPr>
        <w:t>dapat</w:t>
      </w:r>
      <w:r>
        <w:rPr>
          <w:rFonts w:ascii="Times New Roman" w:hAnsi="Times New Roman" w:cs="Times New Roman"/>
          <w:sz w:val="24"/>
          <w:szCs w:val="24"/>
        </w:rPr>
        <w:t xml:space="preserve"> menjadi </w:t>
      </w:r>
      <w:r>
        <w:rPr>
          <w:rFonts w:ascii="Times New Roman" w:hAnsi="Times New Roman" w:cs="Times New Roman"/>
          <w:i/>
          <w:sz w:val="24"/>
          <w:szCs w:val="24"/>
        </w:rPr>
        <w:t xml:space="preserve">research gap </w:t>
      </w:r>
      <w:r>
        <w:rPr>
          <w:rFonts w:ascii="Times New Roman" w:hAnsi="Times New Roman" w:cs="Times New Roman"/>
          <w:sz w:val="24"/>
          <w:szCs w:val="24"/>
        </w:rPr>
        <w:t>d</w:t>
      </w:r>
      <w:r>
        <w:rPr>
          <w:rFonts w:ascii="Times New Roman" w:hAnsi="Times New Roman" w:cs="Times New Roman"/>
          <w:sz w:val="24"/>
          <w:szCs w:val="24"/>
          <w:lang w:val="en-GB"/>
        </w:rPr>
        <w:t>id</w:t>
      </w:r>
      <w:r>
        <w:rPr>
          <w:rFonts w:ascii="Times New Roman" w:hAnsi="Times New Roman" w:cs="Times New Roman"/>
          <w:sz w:val="24"/>
          <w:szCs w:val="24"/>
        </w:rPr>
        <w:t xml:space="preserve">alam penelitian ini, sehingga </w:t>
      </w:r>
      <w:r>
        <w:rPr>
          <w:rFonts w:ascii="Times New Roman" w:hAnsi="Times New Roman" w:cs="Times New Roman"/>
          <w:sz w:val="24"/>
          <w:szCs w:val="24"/>
          <w:lang w:val="en-GB"/>
        </w:rPr>
        <w:t xml:space="preserve">menjadi </w:t>
      </w:r>
      <w:r>
        <w:rPr>
          <w:rFonts w:ascii="Times New Roman" w:hAnsi="Times New Roman" w:cs="Times New Roman"/>
          <w:sz w:val="24"/>
          <w:szCs w:val="24"/>
        </w:rPr>
        <w:t>sangat menarik dan perlu</w:t>
      </w:r>
      <w:r>
        <w:rPr>
          <w:rFonts w:ascii="Times New Roman" w:hAnsi="Times New Roman" w:cs="Times New Roman"/>
          <w:sz w:val="24"/>
          <w:szCs w:val="24"/>
          <w:lang w:val="en-GB"/>
        </w:rPr>
        <w:t xml:space="preserve"> untuk</w:t>
      </w:r>
      <w:r>
        <w:rPr>
          <w:rFonts w:ascii="Times New Roman" w:hAnsi="Times New Roman" w:cs="Times New Roman"/>
          <w:sz w:val="24"/>
          <w:szCs w:val="24"/>
        </w:rPr>
        <w:t xml:space="preserve"> dilakukan penelitian lebih lanjut</w:t>
      </w:r>
      <w:r>
        <w:rPr>
          <w:rFonts w:ascii="Times New Roman" w:hAnsi="Times New Roman" w:cs="Times New Roman"/>
          <w:sz w:val="24"/>
          <w:szCs w:val="24"/>
          <w:lang w:val="en-GB"/>
        </w:rPr>
        <w:t xml:space="preserve"> dan mendalam</w:t>
      </w:r>
      <w:r>
        <w:rPr>
          <w:rFonts w:ascii="Times New Roman" w:hAnsi="Times New Roman" w:cs="Times New Roman"/>
          <w:sz w:val="24"/>
          <w:szCs w:val="24"/>
        </w:rPr>
        <w:t xml:space="preserve">. </w:t>
      </w:r>
      <w:r w:rsidRPr="009E633F">
        <w:rPr>
          <w:rFonts w:ascii="Times New Roman" w:hAnsi="Times New Roman" w:cs="Times New Roman"/>
          <w:sz w:val="24"/>
          <w:szCs w:val="24"/>
          <w:lang w:val="en-US"/>
        </w:rPr>
        <w:t>Berdasarkan perbedaan hasil diatas maka peneliti tertarik untuk melakukan penelitian kembali mengenai “Pengaruh</w:t>
      </w:r>
      <w:r>
        <w:rPr>
          <w:rFonts w:ascii="Times New Roman" w:hAnsi="Times New Roman" w:cs="Times New Roman"/>
          <w:sz w:val="24"/>
          <w:szCs w:val="24"/>
          <w:lang w:val="en-US"/>
        </w:rPr>
        <w:t xml:space="preserve"> </w:t>
      </w:r>
      <w:r w:rsidRPr="002F00F7">
        <w:rPr>
          <w:rFonts w:ascii="Times New Roman" w:hAnsi="Times New Roman" w:cs="Times New Roman"/>
          <w:i/>
          <w:iCs/>
          <w:sz w:val="24"/>
          <w:szCs w:val="24"/>
          <w:lang w:val="en-US"/>
        </w:rPr>
        <w:t>Leverge</w:t>
      </w:r>
      <w:r w:rsidRPr="009E633F">
        <w:rPr>
          <w:rFonts w:ascii="Times New Roman" w:hAnsi="Times New Roman" w:cs="Times New Roman"/>
          <w:sz w:val="24"/>
          <w:szCs w:val="24"/>
          <w:lang w:val="en-US"/>
        </w:rPr>
        <w:t xml:space="preserve"> dan Ukuran </w:t>
      </w:r>
      <w:r>
        <w:rPr>
          <w:rFonts w:ascii="Times New Roman" w:hAnsi="Times New Roman" w:cs="Times New Roman"/>
          <w:sz w:val="24"/>
          <w:szCs w:val="24"/>
          <w:lang w:val="en-US"/>
        </w:rPr>
        <w:t xml:space="preserve">Perusahaan </w:t>
      </w:r>
      <w:r w:rsidRPr="009E633F">
        <w:rPr>
          <w:rFonts w:ascii="Times New Roman" w:hAnsi="Times New Roman" w:cs="Times New Roman"/>
          <w:sz w:val="24"/>
          <w:szCs w:val="24"/>
          <w:lang w:val="en-US"/>
        </w:rPr>
        <w:t xml:space="preserve">terhadap </w:t>
      </w:r>
      <w:r>
        <w:rPr>
          <w:rFonts w:ascii="Times New Roman" w:hAnsi="Times New Roman" w:cs="Times New Roman"/>
          <w:sz w:val="24"/>
          <w:szCs w:val="24"/>
          <w:lang w:val="en-US"/>
        </w:rPr>
        <w:t>Profitabilitas pada Perusahaan Manufaktur</w:t>
      </w:r>
      <w:r w:rsidRPr="009E633F">
        <w:rPr>
          <w:rFonts w:ascii="Times New Roman" w:hAnsi="Times New Roman" w:cs="Times New Roman"/>
          <w:sz w:val="24"/>
          <w:szCs w:val="24"/>
          <w:lang w:val="en-US"/>
        </w:rPr>
        <w:t>”.</w:t>
      </w:r>
    </w:p>
    <w:p w14:paraId="4D40DEEB" w14:textId="4CB4C67F" w:rsidR="00F42D40" w:rsidRDefault="00F42D40" w:rsidP="00F42D40">
      <w:pPr>
        <w:spacing w:line="480" w:lineRule="auto"/>
        <w:jc w:val="both"/>
        <w:rPr>
          <w:rFonts w:ascii="Times New Roman" w:hAnsi="Times New Roman" w:cs="Times New Roman"/>
          <w:sz w:val="24"/>
          <w:szCs w:val="24"/>
          <w:lang w:val="en-US"/>
        </w:rPr>
      </w:pPr>
    </w:p>
    <w:p w14:paraId="4E2FC9E8" w14:textId="76881AA4" w:rsidR="00F42D40" w:rsidRPr="00E10C19" w:rsidRDefault="00F42D40" w:rsidP="00E10C19">
      <w:pPr>
        <w:spacing w:line="480" w:lineRule="auto"/>
        <w:jc w:val="center"/>
        <w:rPr>
          <w:rFonts w:ascii="Times New Roman" w:hAnsi="Times New Roman" w:cs="Times New Roman"/>
          <w:b/>
          <w:bCs/>
          <w:sz w:val="24"/>
          <w:szCs w:val="24"/>
          <w:lang w:val="en-US"/>
        </w:rPr>
      </w:pPr>
      <w:r w:rsidRPr="00E10C19">
        <w:rPr>
          <w:rFonts w:ascii="Times New Roman" w:hAnsi="Times New Roman" w:cs="Times New Roman"/>
          <w:b/>
          <w:bCs/>
          <w:sz w:val="24"/>
          <w:szCs w:val="24"/>
          <w:lang w:val="en-US"/>
        </w:rPr>
        <w:t>METODE</w:t>
      </w:r>
    </w:p>
    <w:p w14:paraId="7DA229D2" w14:textId="11080620" w:rsidR="00856FFE" w:rsidRDefault="006242AE" w:rsidP="00F42D4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Penelitian ini menggunakan metode </w:t>
      </w:r>
      <w:r w:rsidR="00E10C19">
        <w:rPr>
          <w:rFonts w:ascii="Times New Roman" w:hAnsi="Times New Roman" w:cs="Times New Roman"/>
          <w:sz w:val="24"/>
          <w:szCs w:val="24"/>
          <w:lang w:val="en-GB"/>
        </w:rPr>
        <w:t>kuantitatif dengan</w:t>
      </w:r>
      <w:r w:rsidR="00856FFE">
        <w:rPr>
          <w:rFonts w:ascii="Times New Roman" w:hAnsi="Times New Roman" w:cs="Times New Roman"/>
          <w:sz w:val="24"/>
          <w:szCs w:val="24"/>
          <w:lang w:val="en-GB"/>
        </w:rPr>
        <w:t xml:space="preserve"> 141 perusahaan manufaktur yang terdaftar dalam Bursa Efek Indonesia sepanjang tahun 2020-2022. Teknik analisis data dalam penelitian ini menggunakan analisis statistik deskriptif, uji asumsi klasik, uji auto korelasi, alanisis berganda dan uji parsial (t).</w:t>
      </w:r>
    </w:p>
    <w:p w14:paraId="7BDFA89A" w14:textId="6423B431" w:rsidR="00856FFE" w:rsidRDefault="00856FFE" w:rsidP="00F42D40">
      <w:pPr>
        <w:spacing w:line="480" w:lineRule="auto"/>
        <w:jc w:val="both"/>
        <w:rPr>
          <w:rFonts w:ascii="Times New Roman" w:hAnsi="Times New Roman" w:cs="Times New Roman"/>
          <w:sz w:val="24"/>
          <w:szCs w:val="24"/>
          <w:lang w:val="en-GB"/>
        </w:rPr>
      </w:pPr>
    </w:p>
    <w:p w14:paraId="48C49710" w14:textId="38E423CB" w:rsidR="00856FFE" w:rsidRDefault="00856FFE" w:rsidP="00F42D40">
      <w:pPr>
        <w:spacing w:line="480" w:lineRule="auto"/>
        <w:jc w:val="both"/>
        <w:rPr>
          <w:rFonts w:ascii="Times New Roman" w:hAnsi="Times New Roman" w:cs="Times New Roman"/>
          <w:sz w:val="24"/>
          <w:szCs w:val="24"/>
          <w:lang w:val="en-GB"/>
        </w:rPr>
      </w:pPr>
    </w:p>
    <w:p w14:paraId="233DFA90" w14:textId="1BC23BA9" w:rsidR="00856FFE" w:rsidRDefault="00856FFE" w:rsidP="00F42D40">
      <w:pPr>
        <w:spacing w:line="480" w:lineRule="auto"/>
        <w:jc w:val="both"/>
        <w:rPr>
          <w:rFonts w:ascii="Times New Roman" w:hAnsi="Times New Roman" w:cs="Times New Roman"/>
          <w:sz w:val="24"/>
          <w:szCs w:val="24"/>
          <w:lang w:val="en-GB"/>
        </w:rPr>
      </w:pPr>
    </w:p>
    <w:p w14:paraId="0577719A" w14:textId="77777777" w:rsidR="00856FFE" w:rsidRDefault="00856FFE" w:rsidP="00F42D40">
      <w:pPr>
        <w:spacing w:line="480" w:lineRule="auto"/>
        <w:jc w:val="both"/>
        <w:rPr>
          <w:rFonts w:ascii="Times New Roman" w:hAnsi="Times New Roman" w:cs="Times New Roman"/>
          <w:sz w:val="24"/>
          <w:szCs w:val="24"/>
          <w:lang w:val="en-GB"/>
        </w:rPr>
      </w:pPr>
    </w:p>
    <w:p w14:paraId="3556B7B2" w14:textId="41B3B006" w:rsidR="00856FFE" w:rsidRDefault="00856FFE" w:rsidP="00856FFE">
      <w:pPr>
        <w:spacing w:line="480" w:lineRule="auto"/>
        <w:jc w:val="center"/>
        <w:rPr>
          <w:rFonts w:ascii="Times New Roman" w:hAnsi="Times New Roman" w:cs="Times New Roman"/>
          <w:sz w:val="24"/>
          <w:szCs w:val="24"/>
          <w:lang w:val="en-GB"/>
        </w:rPr>
      </w:pPr>
      <w:r w:rsidRPr="00856FFE">
        <w:rPr>
          <w:rFonts w:ascii="Times New Roman" w:hAnsi="Times New Roman" w:cs="Times New Roman"/>
          <w:b/>
          <w:bCs/>
          <w:sz w:val="24"/>
          <w:szCs w:val="24"/>
          <w:lang w:val="en-GB"/>
        </w:rPr>
        <w:lastRenderedPageBreak/>
        <w:t>HASIL</w:t>
      </w:r>
    </w:p>
    <w:p w14:paraId="284E787D" w14:textId="11592833" w:rsidR="00856FFE" w:rsidRPr="00A15C03" w:rsidRDefault="00856FFE" w:rsidP="00856FFE">
      <w:pPr>
        <w:pStyle w:val="ListParagraph"/>
        <w:spacing w:line="480" w:lineRule="auto"/>
        <w:ind w:left="360"/>
        <w:jc w:val="center"/>
        <w:rPr>
          <w:rFonts w:ascii="Times New Roman" w:hAnsi="Times New Roman" w:cs="Times New Roman"/>
          <w:b/>
          <w:sz w:val="24"/>
          <w:szCs w:val="24"/>
          <w:lang w:val="en-GB"/>
        </w:rPr>
      </w:pPr>
      <w:r w:rsidRPr="00A15C03">
        <w:rPr>
          <w:rFonts w:ascii="Times New Roman" w:hAnsi="Times New Roman" w:cs="Times New Roman"/>
          <w:b/>
          <w:sz w:val="24"/>
          <w:szCs w:val="24"/>
          <w:lang w:val="en-GB"/>
        </w:rPr>
        <w:t xml:space="preserve">Tabel </w:t>
      </w:r>
      <w:r>
        <w:rPr>
          <w:rFonts w:ascii="Times New Roman" w:hAnsi="Times New Roman" w:cs="Times New Roman"/>
          <w:b/>
          <w:sz w:val="24"/>
          <w:szCs w:val="24"/>
          <w:lang w:val="en-GB"/>
        </w:rPr>
        <w:t>1</w:t>
      </w:r>
      <w:r w:rsidRPr="00A15C03">
        <w:rPr>
          <w:rFonts w:ascii="Times New Roman" w:hAnsi="Times New Roman" w:cs="Times New Roman"/>
          <w:b/>
          <w:sz w:val="24"/>
          <w:szCs w:val="24"/>
          <w:lang w:val="en-GB"/>
        </w:rPr>
        <w:t>.</w:t>
      </w:r>
      <w:r>
        <w:rPr>
          <w:rFonts w:ascii="Times New Roman" w:hAnsi="Times New Roman" w:cs="Times New Roman"/>
          <w:b/>
          <w:sz w:val="24"/>
          <w:szCs w:val="24"/>
          <w:lang w:val="en-GB"/>
        </w:rPr>
        <w:t>1.</w:t>
      </w:r>
      <w:r w:rsidRPr="00A15C03">
        <w:rPr>
          <w:rFonts w:ascii="Times New Roman" w:hAnsi="Times New Roman" w:cs="Times New Roman"/>
          <w:b/>
          <w:sz w:val="24"/>
          <w:szCs w:val="24"/>
          <w:lang w:val="en-GB"/>
        </w:rPr>
        <w:t xml:space="preserve"> Sampel Penelitian</w:t>
      </w:r>
    </w:p>
    <w:tbl>
      <w:tblPr>
        <w:tblW w:w="6540" w:type="dxa"/>
        <w:jc w:val="center"/>
        <w:tblLook w:val="04A0" w:firstRow="1" w:lastRow="0" w:firstColumn="1" w:lastColumn="0" w:noHBand="0" w:noVBand="1"/>
      </w:tblPr>
      <w:tblGrid>
        <w:gridCol w:w="4880"/>
        <w:gridCol w:w="1660"/>
      </w:tblGrid>
      <w:tr w:rsidR="00856FFE" w:rsidRPr="000B3F8E" w14:paraId="2EE210B5" w14:textId="77777777" w:rsidTr="003B64E0">
        <w:trPr>
          <w:trHeight w:val="300"/>
          <w:jc w:val="center"/>
        </w:trPr>
        <w:tc>
          <w:tcPr>
            <w:tcW w:w="4880" w:type="dxa"/>
            <w:tcBorders>
              <w:top w:val="nil"/>
              <w:left w:val="nil"/>
              <w:bottom w:val="single" w:sz="4" w:space="0" w:color="auto"/>
              <w:right w:val="nil"/>
            </w:tcBorders>
            <w:shd w:val="clear" w:color="auto" w:fill="auto"/>
            <w:vAlign w:val="center"/>
            <w:hideMark/>
          </w:tcPr>
          <w:p w14:paraId="657116EB" w14:textId="77777777" w:rsidR="00856FFE" w:rsidRPr="000B3F8E" w:rsidRDefault="00856FFE" w:rsidP="003B64E0">
            <w:pPr>
              <w:spacing w:after="0" w:line="480" w:lineRule="auto"/>
              <w:jc w:val="both"/>
              <w:rPr>
                <w:rFonts w:ascii="Times New Roman" w:eastAsia="Times New Roman" w:hAnsi="Times New Roman" w:cs="Times New Roman"/>
                <w:b/>
                <w:bCs/>
                <w:color w:val="000000"/>
                <w:sz w:val="24"/>
                <w:szCs w:val="24"/>
                <w:lang w:eastAsia="en-ID"/>
              </w:rPr>
            </w:pPr>
            <w:r w:rsidRPr="000B3F8E">
              <w:rPr>
                <w:rFonts w:ascii="Times New Roman" w:eastAsia="Times New Roman" w:hAnsi="Times New Roman" w:cs="Times New Roman"/>
                <w:b/>
                <w:bCs/>
                <w:color w:val="000000"/>
                <w:sz w:val="24"/>
                <w:szCs w:val="24"/>
                <w:lang w:val="en-GB" w:eastAsia="en-ID"/>
              </w:rPr>
              <w:t>Kriteria sampel</w:t>
            </w:r>
          </w:p>
        </w:tc>
        <w:tc>
          <w:tcPr>
            <w:tcW w:w="1660" w:type="dxa"/>
            <w:tcBorders>
              <w:top w:val="nil"/>
              <w:left w:val="nil"/>
              <w:bottom w:val="single" w:sz="4" w:space="0" w:color="auto"/>
              <w:right w:val="nil"/>
            </w:tcBorders>
            <w:shd w:val="clear" w:color="auto" w:fill="auto"/>
            <w:vAlign w:val="center"/>
            <w:hideMark/>
          </w:tcPr>
          <w:p w14:paraId="3E892876" w14:textId="77777777" w:rsidR="00856FFE" w:rsidRPr="000B3F8E" w:rsidRDefault="00856FFE" w:rsidP="003B64E0">
            <w:pPr>
              <w:spacing w:after="0" w:line="480" w:lineRule="auto"/>
              <w:jc w:val="both"/>
              <w:rPr>
                <w:rFonts w:ascii="Times New Roman" w:eastAsia="Times New Roman" w:hAnsi="Times New Roman" w:cs="Times New Roman"/>
                <w:b/>
                <w:bCs/>
                <w:color w:val="000000"/>
                <w:sz w:val="24"/>
                <w:szCs w:val="24"/>
                <w:lang w:eastAsia="en-ID"/>
              </w:rPr>
            </w:pPr>
            <w:r w:rsidRPr="000B3F8E">
              <w:rPr>
                <w:rFonts w:ascii="Times New Roman" w:eastAsia="Times New Roman" w:hAnsi="Times New Roman" w:cs="Times New Roman"/>
                <w:b/>
                <w:bCs/>
                <w:color w:val="000000"/>
                <w:sz w:val="24"/>
                <w:szCs w:val="24"/>
                <w:lang w:val="en-GB" w:eastAsia="en-ID"/>
              </w:rPr>
              <w:t>Jumlah</w:t>
            </w:r>
          </w:p>
        </w:tc>
      </w:tr>
      <w:tr w:rsidR="00856FFE" w:rsidRPr="002D15F1" w14:paraId="1ED3F723" w14:textId="77777777" w:rsidTr="003B64E0">
        <w:trPr>
          <w:trHeight w:val="300"/>
          <w:jc w:val="center"/>
        </w:trPr>
        <w:tc>
          <w:tcPr>
            <w:tcW w:w="4880" w:type="dxa"/>
            <w:tcBorders>
              <w:top w:val="nil"/>
              <w:left w:val="nil"/>
              <w:bottom w:val="nil"/>
              <w:right w:val="nil"/>
            </w:tcBorders>
            <w:shd w:val="clear" w:color="auto" w:fill="auto"/>
            <w:vAlign w:val="center"/>
            <w:hideMark/>
          </w:tcPr>
          <w:p w14:paraId="31A7C16D" w14:textId="77777777" w:rsidR="00856FFE" w:rsidRPr="002D15F1" w:rsidRDefault="00856FFE" w:rsidP="003B64E0">
            <w:pPr>
              <w:spacing w:after="0" w:line="480" w:lineRule="auto"/>
              <w:jc w:val="both"/>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Perusahaan manufaktur tahun 2020-2022</w:t>
            </w:r>
          </w:p>
        </w:tc>
        <w:tc>
          <w:tcPr>
            <w:tcW w:w="1660" w:type="dxa"/>
            <w:tcBorders>
              <w:top w:val="nil"/>
              <w:left w:val="nil"/>
              <w:bottom w:val="nil"/>
              <w:right w:val="nil"/>
            </w:tcBorders>
            <w:shd w:val="clear" w:color="auto" w:fill="auto"/>
            <w:vAlign w:val="center"/>
            <w:hideMark/>
          </w:tcPr>
          <w:p w14:paraId="0BB44BFE" w14:textId="77777777" w:rsidR="00856FFE" w:rsidRPr="002D15F1" w:rsidRDefault="00856FFE" w:rsidP="003B64E0">
            <w:pPr>
              <w:spacing w:after="0" w:line="480" w:lineRule="auto"/>
              <w:jc w:val="right"/>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141</w:t>
            </w:r>
          </w:p>
        </w:tc>
      </w:tr>
      <w:tr w:rsidR="00856FFE" w:rsidRPr="002D15F1" w14:paraId="5782B9EC" w14:textId="77777777" w:rsidTr="003B64E0">
        <w:trPr>
          <w:trHeight w:val="300"/>
          <w:jc w:val="center"/>
        </w:trPr>
        <w:tc>
          <w:tcPr>
            <w:tcW w:w="4880" w:type="dxa"/>
            <w:tcBorders>
              <w:top w:val="nil"/>
              <w:left w:val="nil"/>
              <w:bottom w:val="single" w:sz="4" w:space="0" w:color="auto"/>
              <w:right w:val="nil"/>
            </w:tcBorders>
            <w:shd w:val="clear" w:color="auto" w:fill="auto"/>
            <w:vAlign w:val="center"/>
            <w:hideMark/>
          </w:tcPr>
          <w:p w14:paraId="44BCC578" w14:textId="77777777" w:rsidR="00856FFE" w:rsidRPr="002D15F1" w:rsidRDefault="00856FFE" w:rsidP="003B64E0">
            <w:pPr>
              <w:spacing w:after="0" w:line="480" w:lineRule="auto"/>
              <w:jc w:val="both"/>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Perusahaan dengan data tidak lengkap</w:t>
            </w:r>
          </w:p>
        </w:tc>
        <w:tc>
          <w:tcPr>
            <w:tcW w:w="1660" w:type="dxa"/>
            <w:tcBorders>
              <w:top w:val="nil"/>
              <w:left w:val="nil"/>
              <w:bottom w:val="single" w:sz="4" w:space="0" w:color="auto"/>
              <w:right w:val="nil"/>
            </w:tcBorders>
            <w:shd w:val="clear" w:color="auto" w:fill="auto"/>
            <w:vAlign w:val="center"/>
            <w:hideMark/>
          </w:tcPr>
          <w:p w14:paraId="18F05893" w14:textId="77777777" w:rsidR="00856FFE" w:rsidRPr="002D15F1" w:rsidRDefault="00856FFE" w:rsidP="003B64E0">
            <w:pPr>
              <w:spacing w:after="0" w:line="480" w:lineRule="auto"/>
              <w:jc w:val="right"/>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-5</w:t>
            </w:r>
          </w:p>
        </w:tc>
      </w:tr>
      <w:tr w:rsidR="00856FFE" w:rsidRPr="002D15F1" w14:paraId="58F2F50E" w14:textId="77777777" w:rsidTr="003B64E0">
        <w:trPr>
          <w:trHeight w:val="300"/>
          <w:jc w:val="center"/>
        </w:trPr>
        <w:tc>
          <w:tcPr>
            <w:tcW w:w="4880" w:type="dxa"/>
            <w:tcBorders>
              <w:top w:val="nil"/>
              <w:left w:val="nil"/>
              <w:bottom w:val="nil"/>
              <w:right w:val="nil"/>
            </w:tcBorders>
            <w:shd w:val="clear" w:color="auto" w:fill="auto"/>
            <w:vAlign w:val="center"/>
            <w:hideMark/>
          </w:tcPr>
          <w:p w14:paraId="4D236741" w14:textId="77777777" w:rsidR="00856FFE" w:rsidRPr="002D15F1" w:rsidRDefault="00856FFE" w:rsidP="003B64E0">
            <w:pPr>
              <w:spacing w:after="0" w:line="480" w:lineRule="auto"/>
              <w:jc w:val="both"/>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Jumlah perusahaan dengan data lengkap</w:t>
            </w:r>
          </w:p>
        </w:tc>
        <w:tc>
          <w:tcPr>
            <w:tcW w:w="1660" w:type="dxa"/>
            <w:tcBorders>
              <w:top w:val="nil"/>
              <w:left w:val="nil"/>
              <w:bottom w:val="nil"/>
              <w:right w:val="nil"/>
            </w:tcBorders>
            <w:shd w:val="clear" w:color="auto" w:fill="auto"/>
            <w:vAlign w:val="center"/>
            <w:hideMark/>
          </w:tcPr>
          <w:p w14:paraId="623CFE41" w14:textId="77777777" w:rsidR="00856FFE" w:rsidRPr="002D15F1" w:rsidRDefault="00856FFE" w:rsidP="003B64E0">
            <w:pPr>
              <w:spacing w:after="0" w:line="480" w:lineRule="auto"/>
              <w:jc w:val="right"/>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136</w:t>
            </w:r>
          </w:p>
        </w:tc>
      </w:tr>
      <w:tr w:rsidR="00856FFE" w:rsidRPr="002D15F1" w14:paraId="5570DEBC" w14:textId="77777777" w:rsidTr="003B64E0">
        <w:trPr>
          <w:trHeight w:val="300"/>
          <w:jc w:val="center"/>
        </w:trPr>
        <w:tc>
          <w:tcPr>
            <w:tcW w:w="4880" w:type="dxa"/>
            <w:tcBorders>
              <w:top w:val="nil"/>
              <w:left w:val="nil"/>
              <w:bottom w:val="nil"/>
              <w:right w:val="nil"/>
            </w:tcBorders>
            <w:shd w:val="clear" w:color="auto" w:fill="auto"/>
            <w:vAlign w:val="center"/>
            <w:hideMark/>
          </w:tcPr>
          <w:p w14:paraId="7BAFF412" w14:textId="77777777" w:rsidR="00856FFE" w:rsidRPr="002D15F1" w:rsidRDefault="00856FFE" w:rsidP="003B64E0">
            <w:pPr>
              <w:spacing w:after="0" w:line="480" w:lineRule="auto"/>
              <w:jc w:val="both"/>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ROE negatif</w:t>
            </w:r>
          </w:p>
        </w:tc>
        <w:tc>
          <w:tcPr>
            <w:tcW w:w="1660" w:type="dxa"/>
            <w:tcBorders>
              <w:top w:val="nil"/>
              <w:left w:val="nil"/>
              <w:bottom w:val="nil"/>
              <w:right w:val="nil"/>
            </w:tcBorders>
            <w:shd w:val="clear" w:color="auto" w:fill="auto"/>
            <w:vAlign w:val="center"/>
            <w:hideMark/>
          </w:tcPr>
          <w:p w14:paraId="28335C83" w14:textId="77777777" w:rsidR="00856FFE" w:rsidRPr="002D15F1" w:rsidRDefault="00856FFE" w:rsidP="003B64E0">
            <w:pPr>
              <w:spacing w:after="0" w:line="480" w:lineRule="auto"/>
              <w:jc w:val="right"/>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61</w:t>
            </w:r>
          </w:p>
        </w:tc>
      </w:tr>
      <w:tr w:rsidR="00856FFE" w:rsidRPr="002D15F1" w14:paraId="1F45593B" w14:textId="77777777" w:rsidTr="003B64E0">
        <w:trPr>
          <w:trHeight w:val="300"/>
          <w:jc w:val="center"/>
        </w:trPr>
        <w:tc>
          <w:tcPr>
            <w:tcW w:w="4880" w:type="dxa"/>
            <w:tcBorders>
              <w:top w:val="nil"/>
              <w:left w:val="nil"/>
              <w:bottom w:val="single" w:sz="4" w:space="0" w:color="auto"/>
              <w:right w:val="nil"/>
            </w:tcBorders>
            <w:shd w:val="clear" w:color="auto" w:fill="auto"/>
            <w:vAlign w:val="center"/>
            <w:hideMark/>
          </w:tcPr>
          <w:p w14:paraId="661DC7A2" w14:textId="77777777" w:rsidR="00856FFE" w:rsidRPr="002D15F1" w:rsidRDefault="00856FFE" w:rsidP="003B64E0">
            <w:pPr>
              <w:spacing w:after="0" w:line="480" w:lineRule="auto"/>
              <w:jc w:val="both"/>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Data ekstrem</w:t>
            </w:r>
          </w:p>
        </w:tc>
        <w:tc>
          <w:tcPr>
            <w:tcW w:w="1660" w:type="dxa"/>
            <w:tcBorders>
              <w:top w:val="nil"/>
              <w:left w:val="nil"/>
              <w:bottom w:val="single" w:sz="4" w:space="0" w:color="auto"/>
              <w:right w:val="nil"/>
            </w:tcBorders>
            <w:shd w:val="clear" w:color="auto" w:fill="auto"/>
            <w:vAlign w:val="center"/>
            <w:hideMark/>
          </w:tcPr>
          <w:p w14:paraId="1F807CED" w14:textId="77777777" w:rsidR="00856FFE" w:rsidRPr="002D15F1" w:rsidRDefault="00856FFE" w:rsidP="003B64E0">
            <w:pPr>
              <w:spacing w:after="0" w:line="480" w:lineRule="auto"/>
              <w:jc w:val="right"/>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31</w:t>
            </w:r>
          </w:p>
        </w:tc>
      </w:tr>
      <w:tr w:rsidR="00856FFE" w:rsidRPr="002D15F1" w14:paraId="5EA1F012" w14:textId="77777777" w:rsidTr="003B64E0">
        <w:trPr>
          <w:trHeight w:val="300"/>
          <w:jc w:val="center"/>
        </w:trPr>
        <w:tc>
          <w:tcPr>
            <w:tcW w:w="4880" w:type="dxa"/>
            <w:tcBorders>
              <w:top w:val="nil"/>
              <w:left w:val="nil"/>
              <w:bottom w:val="nil"/>
              <w:right w:val="nil"/>
            </w:tcBorders>
            <w:shd w:val="clear" w:color="auto" w:fill="auto"/>
            <w:vAlign w:val="center"/>
            <w:hideMark/>
          </w:tcPr>
          <w:p w14:paraId="427CEAB3" w14:textId="77777777" w:rsidR="00856FFE" w:rsidRPr="002D15F1" w:rsidRDefault="00856FFE" w:rsidP="003B64E0">
            <w:pPr>
              <w:spacing w:after="0" w:line="480" w:lineRule="auto"/>
              <w:jc w:val="both"/>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Jumlah data yang diolah</w:t>
            </w:r>
          </w:p>
        </w:tc>
        <w:tc>
          <w:tcPr>
            <w:tcW w:w="1660" w:type="dxa"/>
            <w:tcBorders>
              <w:top w:val="nil"/>
              <w:left w:val="nil"/>
              <w:bottom w:val="nil"/>
              <w:right w:val="nil"/>
            </w:tcBorders>
            <w:shd w:val="clear" w:color="auto" w:fill="auto"/>
            <w:vAlign w:val="center"/>
            <w:hideMark/>
          </w:tcPr>
          <w:p w14:paraId="4D44ACB1" w14:textId="77777777" w:rsidR="00856FFE" w:rsidRPr="002D15F1" w:rsidRDefault="00856FFE" w:rsidP="003B64E0">
            <w:pPr>
              <w:spacing w:after="0" w:line="480" w:lineRule="auto"/>
              <w:jc w:val="right"/>
              <w:rPr>
                <w:rFonts w:ascii="Times New Roman" w:eastAsia="Times New Roman" w:hAnsi="Times New Roman" w:cs="Times New Roman"/>
                <w:color w:val="000000"/>
                <w:sz w:val="24"/>
                <w:szCs w:val="24"/>
                <w:lang w:eastAsia="en-ID"/>
              </w:rPr>
            </w:pPr>
            <w:r w:rsidRPr="002D15F1">
              <w:rPr>
                <w:rFonts w:ascii="Times New Roman" w:eastAsia="Times New Roman" w:hAnsi="Times New Roman" w:cs="Times New Roman"/>
                <w:color w:val="000000"/>
                <w:sz w:val="24"/>
                <w:szCs w:val="24"/>
                <w:lang w:val="en-GB" w:eastAsia="en-ID"/>
              </w:rPr>
              <w:t>44</w:t>
            </w:r>
          </w:p>
        </w:tc>
      </w:tr>
    </w:tbl>
    <w:p w14:paraId="2574ADC6" w14:textId="65A65894" w:rsidR="00856FFE" w:rsidRDefault="00856FFE" w:rsidP="00856FFE">
      <w:pPr>
        <w:spacing w:line="480" w:lineRule="auto"/>
        <w:jc w:val="both"/>
        <w:rPr>
          <w:rFonts w:ascii="Times New Roman" w:hAnsi="Times New Roman" w:cs="Times New Roman"/>
          <w:sz w:val="24"/>
          <w:szCs w:val="24"/>
          <w:lang w:val="en-GB"/>
        </w:rPr>
      </w:pPr>
    </w:p>
    <w:p w14:paraId="729FB647" w14:textId="40D84EB9" w:rsidR="00856FFE" w:rsidRPr="00A15C03" w:rsidRDefault="00856FFE" w:rsidP="00856FFE">
      <w:pPr>
        <w:pStyle w:val="ListParagraph"/>
        <w:spacing w:line="480" w:lineRule="auto"/>
        <w:ind w:left="0"/>
        <w:jc w:val="center"/>
        <w:rPr>
          <w:rFonts w:ascii="Times New Roman" w:hAnsi="Times New Roman" w:cs="Times New Roman"/>
          <w:b/>
          <w:sz w:val="24"/>
          <w:szCs w:val="24"/>
          <w:lang w:val="en-GB"/>
        </w:rPr>
      </w:pPr>
      <w:r w:rsidRPr="00A15C03">
        <w:rPr>
          <w:rFonts w:ascii="Times New Roman" w:hAnsi="Times New Roman" w:cs="Times New Roman"/>
          <w:b/>
          <w:sz w:val="24"/>
          <w:szCs w:val="24"/>
          <w:lang w:val="en-GB"/>
        </w:rPr>
        <w:t xml:space="preserve">Tabel </w:t>
      </w:r>
      <w:r>
        <w:rPr>
          <w:rFonts w:ascii="Times New Roman" w:hAnsi="Times New Roman" w:cs="Times New Roman"/>
          <w:b/>
          <w:sz w:val="24"/>
          <w:szCs w:val="24"/>
          <w:lang w:val="en-GB"/>
        </w:rPr>
        <w:t>1</w:t>
      </w:r>
      <w:r w:rsidRPr="00A15C03">
        <w:rPr>
          <w:rFonts w:ascii="Times New Roman" w:hAnsi="Times New Roman" w:cs="Times New Roman"/>
          <w:b/>
          <w:sz w:val="24"/>
          <w:szCs w:val="24"/>
          <w:lang w:val="en-GB"/>
        </w:rPr>
        <w:t>.</w:t>
      </w:r>
      <w:r>
        <w:rPr>
          <w:rFonts w:ascii="Times New Roman" w:hAnsi="Times New Roman" w:cs="Times New Roman"/>
          <w:b/>
          <w:sz w:val="24"/>
          <w:szCs w:val="24"/>
          <w:lang w:val="en-GB"/>
        </w:rPr>
        <w:t>2.</w:t>
      </w:r>
      <w:r w:rsidRPr="00A15C03">
        <w:rPr>
          <w:rFonts w:ascii="Times New Roman" w:hAnsi="Times New Roman" w:cs="Times New Roman"/>
          <w:b/>
          <w:sz w:val="24"/>
          <w:szCs w:val="24"/>
          <w:lang w:val="en-GB"/>
        </w:rPr>
        <w:t xml:space="preserve"> Statistik Deskriptif</w:t>
      </w:r>
    </w:p>
    <w:tbl>
      <w:tblPr>
        <w:tblW w:w="8000" w:type="dxa"/>
        <w:tblInd w:w="421" w:type="dxa"/>
        <w:tblLook w:val="04A0" w:firstRow="1" w:lastRow="0" w:firstColumn="1" w:lastColumn="0" w:noHBand="0" w:noVBand="1"/>
      </w:tblPr>
      <w:tblGrid>
        <w:gridCol w:w="1556"/>
        <w:gridCol w:w="960"/>
        <w:gridCol w:w="1700"/>
        <w:gridCol w:w="997"/>
        <w:gridCol w:w="1820"/>
        <w:gridCol w:w="967"/>
      </w:tblGrid>
      <w:tr w:rsidR="00856FFE" w:rsidRPr="00843301" w14:paraId="24B4285C" w14:textId="77777777" w:rsidTr="003B64E0">
        <w:trPr>
          <w:trHeight w:val="300"/>
        </w:trPr>
        <w:tc>
          <w:tcPr>
            <w:tcW w:w="80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20ADB0" w14:textId="77777777" w:rsidR="00856FFE" w:rsidRPr="00843301" w:rsidRDefault="00856FFE" w:rsidP="003B64E0">
            <w:pPr>
              <w:spacing w:after="0" w:line="480" w:lineRule="auto"/>
              <w:jc w:val="center"/>
              <w:rPr>
                <w:rFonts w:ascii="Arial Bold" w:eastAsia="Times New Roman" w:hAnsi="Arial Bold" w:cs="Calibri"/>
                <w:b/>
                <w:bCs/>
                <w:lang w:eastAsia="en-ID"/>
              </w:rPr>
            </w:pPr>
            <w:r w:rsidRPr="00843301">
              <w:rPr>
                <w:rFonts w:ascii="Arial Bold" w:eastAsia="Times New Roman" w:hAnsi="Arial Bold" w:cs="Calibri"/>
                <w:b/>
                <w:bCs/>
                <w:lang w:eastAsia="en-ID"/>
              </w:rPr>
              <w:t>Descriptive Statistics</w:t>
            </w:r>
          </w:p>
        </w:tc>
      </w:tr>
      <w:tr w:rsidR="00856FFE" w:rsidRPr="00843301" w14:paraId="1DB86ABE" w14:textId="77777777" w:rsidTr="003B64E0">
        <w:trPr>
          <w:trHeight w:val="495"/>
        </w:trPr>
        <w:tc>
          <w:tcPr>
            <w:tcW w:w="1556" w:type="dxa"/>
            <w:tcBorders>
              <w:top w:val="nil"/>
              <w:left w:val="single" w:sz="4" w:space="0" w:color="auto"/>
              <w:bottom w:val="single" w:sz="4" w:space="0" w:color="auto"/>
              <w:right w:val="single" w:sz="4" w:space="0" w:color="auto"/>
            </w:tcBorders>
            <w:shd w:val="clear" w:color="auto" w:fill="auto"/>
            <w:vAlign w:val="bottom"/>
            <w:hideMark/>
          </w:tcPr>
          <w:p w14:paraId="2E7D08CC" w14:textId="77777777" w:rsidR="00856FFE" w:rsidRPr="00843301" w:rsidRDefault="00856FFE" w:rsidP="003B64E0">
            <w:pPr>
              <w:spacing w:after="0" w:line="480" w:lineRule="auto"/>
              <w:rPr>
                <w:rFonts w:ascii="Arial" w:eastAsia="Times New Roman" w:hAnsi="Arial" w:cs="Arial"/>
                <w:sz w:val="18"/>
                <w:szCs w:val="18"/>
                <w:lang w:eastAsia="en-ID"/>
              </w:rPr>
            </w:pPr>
            <w:r w:rsidRPr="00843301">
              <w:rPr>
                <w:rFonts w:ascii="Arial" w:eastAsia="Times New Roman" w:hAnsi="Arial" w:cs="Arial"/>
                <w:sz w:val="18"/>
                <w:szCs w:val="18"/>
                <w:lang w:eastAsia="en-ID"/>
              </w:rPr>
              <w:t> </w:t>
            </w:r>
          </w:p>
        </w:tc>
        <w:tc>
          <w:tcPr>
            <w:tcW w:w="960" w:type="dxa"/>
            <w:tcBorders>
              <w:top w:val="nil"/>
              <w:left w:val="nil"/>
              <w:bottom w:val="single" w:sz="4" w:space="0" w:color="auto"/>
              <w:right w:val="single" w:sz="4" w:space="0" w:color="auto"/>
            </w:tcBorders>
            <w:shd w:val="clear" w:color="auto" w:fill="auto"/>
            <w:vAlign w:val="bottom"/>
            <w:hideMark/>
          </w:tcPr>
          <w:p w14:paraId="0DC73681" w14:textId="77777777" w:rsidR="00856FFE" w:rsidRPr="00843301" w:rsidRDefault="00856FFE" w:rsidP="003B64E0">
            <w:pPr>
              <w:spacing w:after="0" w:line="480" w:lineRule="auto"/>
              <w:jc w:val="center"/>
              <w:rPr>
                <w:rFonts w:ascii="Arial" w:eastAsia="Times New Roman" w:hAnsi="Arial" w:cs="Arial"/>
                <w:sz w:val="18"/>
                <w:szCs w:val="18"/>
                <w:lang w:eastAsia="en-ID"/>
              </w:rPr>
            </w:pPr>
            <w:r w:rsidRPr="00843301">
              <w:rPr>
                <w:rFonts w:ascii="Arial" w:eastAsia="Times New Roman" w:hAnsi="Arial" w:cs="Arial"/>
                <w:sz w:val="18"/>
                <w:szCs w:val="18"/>
                <w:lang w:eastAsia="en-ID"/>
              </w:rPr>
              <w:t>N</w:t>
            </w:r>
          </w:p>
        </w:tc>
        <w:tc>
          <w:tcPr>
            <w:tcW w:w="1700" w:type="dxa"/>
            <w:tcBorders>
              <w:top w:val="nil"/>
              <w:left w:val="nil"/>
              <w:bottom w:val="single" w:sz="4" w:space="0" w:color="auto"/>
              <w:right w:val="single" w:sz="4" w:space="0" w:color="auto"/>
            </w:tcBorders>
            <w:shd w:val="clear" w:color="auto" w:fill="auto"/>
            <w:vAlign w:val="bottom"/>
            <w:hideMark/>
          </w:tcPr>
          <w:p w14:paraId="2E82B5C7" w14:textId="77777777" w:rsidR="00856FFE" w:rsidRPr="00843301" w:rsidRDefault="00856FFE" w:rsidP="003B64E0">
            <w:pPr>
              <w:spacing w:after="0" w:line="480" w:lineRule="auto"/>
              <w:jc w:val="center"/>
              <w:rPr>
                <w:rFonts w:ascii="Arial" w:eastAsia="Times New Roman" w:hAnsi="Arial" w:cs="Arial"/>
                <w:sz w:val="18"/>
                <w:szCs w:val="18"/>
                <w:lang w:eastAsia="en-ID"/>
              </w:rPr>
            </w:pPr>
            <w:r w:rsidRPr="00843301">
              <w:rPr>
                <w:rFonts w:ascii="Arial" w:eastAsia="Times New Roman" w:hAnsi="Arial" w:cs="Arial"/>
                <w:sz w:val="18"/>
                <w:szCs w:val="18"/>
                <w:lang w:eastAsia="en-ID"/>
              </w:rPr>
              <w:t>Minimum</w:t>
            </w:r>
          </w:p>
        </w:tc>
        <w:tc>
          <w:tcPr>
            <w:tcW w:w="997" w:type="dxa"/>
            <w:tcBorders>
              <w:top w:val="nil"/>
              <w:left w:val="nil"/>
              <w:bottom w:val="single" w:sz="4" w:space="0" w:color="auto"/>
              <w:right w:val="single" w:sz="4" w:space="0" w:color="auto"/>
            </w:tcBorders>
            <w:shd w:val="clear" w:color="auto" w:fill="auto"/>
            <w:vAlign w:val="bottom"/>
            <w:hideMark/>
          </w:tcPr>
          <w:p w14:paraId="67844EA2" w14:textId="77777777" w:rsidR="00856FFE" w:rsidRPr="00843301" w:rsidRDefault="00856FFE" w:rsidP="003B64E0">
            <w:pPr>
              <w:spacing w:after="0" w:line="480" w:lineRule="auto"/>
              <w:jc w:val="center"/>
              <w:rPr>
                <w:rFonts w:ascii="Arial" w:eastAsia="Times New Roman" w:hAnsi="Arial" w:cs="Arial"/>
                <w:sz w:val="18"/>
                <w:szCs w:val="18"/>
                <w:lang w:eastAsia="en-ID"/>
              </w:rPr>
            </w:pPr>
            <w:r w:rsidRPr="00843301">
              <w:rPr>
                <w:rFonts w:ascii="Arial" w:eastAsia="Times New Roman" w:hAnsi="Arial" w:cs="Arial"/>
                <w:sz w:val="18"/>
                <w:szCs w:val="18"/>
                <w:lang w:eastAsia="en-ID"/>
              </w:rPr>
              <w:t>Maximum</w:t>
            </w:r>
          </w:p>
        </w:tc>
        <w:tc>
          <w:tcPr>
            <w:tcW w:w="1820" w:type="dxa"/>
            <w:tcBorders>
              <w:top w:val="nil"/>
              <w:left w:val="nil"/>
              <w:bottom w:val="single" w:sz="4" w:space="0" w:color="auto"/>
              <w:right w:val="single" w:sz="4" w:space="0" w:color="auto"/>
            </w:tcBorders>
            <w:shd w:val="clear" w:color="auto" w:fill="auto"/>
            <w:vAlign w:val="bottom"/>
            <w:hideMark/>
          </w:tcPr>
          <w:p w14:paraId="59C997A8" w14:textId="77777777" w:rsidR="00856FFE" w:rsidRPr="00843301" w:rsidRDefault="00856FFE" w:rsidP="003B64E0">
            <w:pPr>
              <w:spacing w:after="0" w:line="480" w:lineRule="auto"/>
              <w:jc w:val="center"/>
              <w:rPr>
                <w:rFonts w:ascii="Arial" w:eastAsia="Times New Roman" w:hAnsi="Arial" w:cs="Arial"/>
                <w:sz w:val="18"/>
                <w:szCs w:val="18"/>
                <w:lang w:eastAsia="en-ID"/>
              </w:rPr>
            </w:pPr>
            <w:r w:rsidRPr="00843301">
              <w:rPr>
                <w:rFonts w:ascii="Arial" w:eastAsia="Times New Roman" w:hAnsi="Arial" w:cs="Arial"/>
                <w:sz w:val="18"/>
                <w:szCs w:val="18"/>
                <w:lang w:eastAsia="en-ID"/>
              </w:rPr>
              <w:t>Mean</w:t>
            </w:r>
          </w:p>
        </w:tc>
        <w:tc>
          <w:tcPr>
            <w:tcW w:w="967" w:type="dxa"/>
            <w:tcBorders>
              <w:top w:val="nil"/>
              <w:left w:val="nil"/>
              <w:bottom w:val="single" w:sz="4" w:space="0" w:color="auto"/>
              <w:right w:val="single" w:sz="4" w:space="0" w:color="auto"/>
            </w:tcBorders>
            <w:shd w:val="clear" w:color="auto" w:fill="auto"/>
            <w:vAlign w:val="bottom"/>
            <w:hideMark/>
          </w:tcPr>
          <w:p w14:paraId="25CBFD12" w14:textId="77777777" w:rsidR="00856FFE" w:rsidRPr="00843301" w:rsidRDefault="00856FFE" w:rsidP="003B64E0">
            <w:pPr>
              <w:spacing w:after="0" w:line="480" w:lineRule="auto"/>
              <w:jc w:val="center"/>
              <w:rPr>
                <w:rFonts w:ascii="Arial" w:eastAsia="Times New Roman" w:hAnsi="Arial" w:cs="Arial"/>
                <w:sz w:val="18"/>
                <w:szCs w:val="18"/>
                <w:lang w:eastAsia="en-ID"/>
              </w:rPr>
            </w:pPr>
            <w:r w:rsidRPr="00843301">
              <w:rPr>
                <w:rFonts w:ascii="Arial" w:eastAsia="Times New Roman" w:hAnsi="Arial" w:cs="Arial"/>
                <w:sz w:val="18"/>
                <w:szCs w:val="18"/>
                <w:lang w:eastAsia="en-ID"/>
              </w:rPr>
              <w:t>Std. Deviation</w:t>
            </w:r>
          </w:p>
        </w:tc>
      </w:tr>
      <w:tr w:rsidR="00856FFE" w:rsidRPr="00843301" w14:paraId="3B5F3C2C" w14:textId="77777777" w:rsidTr="003B64E0">
        <w:trPr>
          <w:trHeight w:val="495"/>
        </w:trPr>
        <w:tc>
          <w:tcPr>
            <w:tcW w:w="1556" w:type="dxa"/>
            <w:tcBorders>
              <w:top w:val="nil"/>
              <w:left w:val="single" w:sz="4" w:space="0" w:color="auto"/>
              <w:bottom w:val="single" w:sz="4" w:space="0" w:color="auto"/>
              <w:right w:val="single" w:sz="4" w:space="0" w:color="auto"/>
            </w:tcBorders>
            <w:shd w:val="clear" w:color="auto" w:fill="auto"/>
            <w:hideMark/>
          </w:tcPr>
          <w:p w14:paraId="46E3AE46" w14:textId="77777777" w:rsidR="00856FFE" w:rsidRPr="00843301" w:rsidRDefault="00856FFE" w:rsidP="003B64E0">
            <w:pPr>
              <w:spacing w:after="0" w:line="480" w:lineRule="auto"/>
              <w:rPr>
                <w:rFonts w:ascii="Arial" w:eastAsia="Times New Roman" w:hAnsi="Arial" w:cs="Arial"/>
                <w:sz w:val="18"/>
                <w:szCs w:val="18"/>
                <w:lang w:eastAsia="en-ID"/>
              </w:rPr>
            </w:pPr>
            <w:r w:rsidRPr="00843301">
              <w:rPr>
                <w:rFonts w:ascii="Arial" w:eastAsia="Times New Roman" w:hAnsi="Arial" w:cs="Arial"/>
                <w:sz w:val="18"/>
                <w:szCs w:val="18"/>
                <w:lang w:eastAsia="en-ID"/>
              </w:rPr>
              <w:t>ROE</w:t>
            </w:r>
          </w:p>
        </w:tc>
        <w:tc>
          <w:tcPr>
            <w:tcW w:w="960" w:type="dxa"/>
            <w:tcBorders>
              <w:top w:val="nil"/>
              <w:left w:val="nil"/>
              <w:bottom w:val="single" w:sz="4" w:space="0" w:color="auto"/>
              <w:right w:val="single" w:sz="4" w:space="0" w:color="auto"/>
            </w:tcBorders>
            <w:shd w:val="clear" w:color="auto" w:fill="auto"/>
            <w:noWrap/>
            <w:hideMark/>
          </w:tcPr>
          <w:p w14:paraId="27A19690"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132</w:t>
            </w:r>
          </w:p>
        </w:tc>
        <w:tc>
          <w:tcPr>
            <w:tcW w:w="1700" w:type="dxa"/>
            <w:tcBorders>
              <w:top w:val="nil"/>
              <w:left w:val="nil"/>
              <w:bottom w:val="single" w:sz="4" w:space="0" w:color="auto"/>
              <w:right w:val="single" w:sz="4" w:space="0" w:color="auto"/>
            </w:tcBorders>
            <w:shd w:val="clear" w:color="auto" w:fill="auto"/>
            <w:noWrap/>
            <w:hideMark/>
          </w:tcPr>
          <w:p w14:paraId="7D19D1B3"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-24,57</w:t>
            </w:r>
          </w:p>
        </w:tc>
        <w:tc>
          <w:tcPr>
            <w:tcW w:w="997" w:type="dxa"/>
            <w:tcBorders>
              <w:top w:val="nil"/>
              <w:left w:val="nil"/>
              <w:bottom w:val="single" w:sz="4" w:space="0" w:color="auto"/>
              <w:right w:val="single" w:sz="4" w:space="0" w:color="auto"/>
            </w:tcBorders>
            <w:shd w:val="clear" w:color="auto" w:fill="auto"/>
            <w:noWrap/>
            <w:hideMark/>
          </w:tcPr>
          <w:p w14:paraId="628EB37D"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65,84</w:t>
            </w:r>
          </w:p>
        </w:tc>
        <w:tc>
          <w:tcPr>
            <w:tcW w:w="1820" w:type="dxa"/>
            <w:tcBorders>
              <w:top w:val="nil"/>
              <w:left w:val="nil"/>
              <w:bottom w:val="single" w:sz="4" w:space="0" w:color="auto"/>
              <w:right w:val="single" w:sz="4" w:space="0" w:color="auto"/>
            </w:tcBorders>
            <w:shd w:val="clear" w:color="auto" w:fill="auto"/>
            <w:noWrap/>
            <w:hideMark/>
          </w:tcPr>
          <w:p w14:paraId="1788BF2B"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1,2220</w:t>
            </w:r>
          </w:p>
        </w:tc>
        <w:tc>
          <w:tcPr>
            <w:tcW w:w="967" w:type="dxa"/>
            <w:tcBorders>
              <w:top w:val="nil"/>
              <w:left w:val="nil"/>
              <w:bottom w:val="single" w:sz="4" w:space="0" w:color="auto"/>
              <w:right w:val="single" w:sz="4" w:space="0" w:color="auto"/>
            </w:tcBorders>
            <w:shd w:val="clear" w:color="auto" w:fill="auto"/>
            <w:noWrap/>
            <w:hideMark/>
          </w:tcPr>
          <w:p w14:paraId="741A98A7"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10,26382</w:t>
            </w:r>
          </w:p>
        </w:tc>
      </w:tr>
      <w:tr w:rsidR="00856FFE" w:rsidRPr="00843301" w14:paraId="308795C6" w14:textId="77777777" w:rsidTr="003B64E0">
        <w:trPr>
          <w:trHeight w:val="300"/>
        </w:trPr>
        <w:tc>
          <w:tcPr>
            <w:tcW w:w="1556" w:type="dxa"/>
            <w:tcBorders>
              <w:top w:val="nil"/>
              <w:left w:val="single" w:sz="4" w:space="0" w:color="auto"/>
              <w:bottom w:val="single" w:sz="4" w:space="0" w:color="auto"/>
              <w:right w:val="single" w:sz="4" w:space="0" w:color="auto"/>
            </w:tcBorders>
            <w:shd w:val="clear" w:color="auto" w:fill="auto"/>
            <w:hideMark/>
          </w:tcPr>
          <w:p w14:paraId="4F94476A" w14:textId="77777777" w:rsidR="00856FFE" w:rsidRPr="00843301" w:rsidRDefault="00856FFE" w:rsidP="003B64E0">
            <w:pPr>
              <w:spacing w:after="0" w:line="480" w:lineRule="auto"/>
              <w:rPr>
                <w:rFonts w:ascii="Arial" w:eastAsia="Times New Roman" w:hAnsi="Arial" w:cs="Arial"/>
                <w:sz w:val="18"/>
                <w:szCs w:val="18"/>
                <w:lang w:eastAsia="en-ID"/>
              </w:rPr>
            </w:pPr>
            <w:r w:rsidRPr="00843301">
              <w:rPr>
                <w:rFonts w:ascii="Arial" w:eastAsia="Times New Roman" w:hAnsi="Arial" w:cs="Arial"/>
                <w:sz w:val="18"/>
                <w:szCs w:val="18"/>
                <w:lang w:eastAsia="en-ID"/>
              </w:rPr>
              <w:t>DER</w:t>
            </w:r>
          </w:p>
        </w:tc>
        <w:tc>
          <w:tcPr>
            <w:tcW w:w="960" w:type="dxa"/>
            <w:tcBorders>
              <w:top w:val="nil"/>
              <w:left w:val="nil"/>
              <w:bottom w:val="single" w:sz="4" w:space="0" w:color="auto"/>
              <w:right w:val="single" w:sz="4" w:space="0" w:color="auto"/>
            </w:tcBorders>
            <w:shd w:val="clear" w:color="auto" w:fill="auto"/>
            <w:noWrap/>
            <w:hideMark/>
          </w:tcPr>
          <w:p w14:paraId="068488C6"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132</w:t>
            </w:r>
          </w:p>
        </w:tc>
        <w:tc>
          <w:tcPr>
            <w:tcW w:w="1700" w:type="dxa"/>
            <w:tcBorders>
              <w:top w:val="nil"/>
              <w:left w:val="nil"/>
              <w:bottom w:val="single" w:sz="4" w:space="0" w:color="auto"/>
              <w:right w:val="single" w:sz="4" w:space="0" w:color="auto"/>
            </w:tcBorders>
            <w:shd w:val="clear" w:color="auto" w:fill="auto"/>
            <w:noWrap/>
            <w:hideMark/>
          </w:tcPr>
          <w:p w14:paraId="257FD08C"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-10,63</w:t>
            </w:r>
          </w:p>
        </w:tc>
        <w:tc>
          <w:tcPr>
            <w:tcW w:w="997" w:type="dxa"/>
            <w:tcBorders>
              <w:top w:val="nil"/>
              <w:left w:val="nil"/>
              <w:bottom w:val="single" w:sz="4" w:space="0" w:color="auto"/>
              <w:right w:val="single" w:sz="4" w:space="0" w:color="auto"/>
            </w:tcBorders>
            <w:shd w:val="clear" w:color="auto" w:fill="auto"/>
            <w:noWrap/>
            <w:hideMark/>
          </w:tcPr>
          <w:p w14:paraId="337062AD"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19,40</w:t>
            </w:r>
          </w:p>
        </w:tc>
        <w:tc>
          <w:tcPr>
            <w:tcW w:w="1820" w:type="dxa"/>
            <w:tcBorders>
              <w:top w:val="nil"/>
              <w:left w:val="nil"/>
              <w:bottom w:val="single" w:sz="4" w:space="0" w:color="auto"/>
              <w:right w:val="single" w:sz="4" w:space="0" w:color="auto"/>
            </w:tcBorders>
            <w:shd w:val="clear" w:color="auto" w:fill="auto"/>
            <w:noWrap/>
            <w:hideMark/>
          </w:tcPr>
          <w:p w14:paraId="79865C30"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1,0961</w:t>
            </w:r>
          </w:p>
        </w:tc>
        <w:tc>
          <w:tcPr>
            <w:tcW w:w="967" w:type="dxa"/>
            <w:tcBorders>
              <w:top w:val="nil"/>
              <w:left w:val="nil"/>
              <w:bottom w:val="single" w:sz="4" w:space="0" w:color="auto"/>
              <w:right w:val="single" w:sz="4" w:space="0" w:color="auto"/>
            </w:tcBorders>
            <w:shd w:val="clear" w:color="auto" w:fill="auto"/>
            <w:noWrap/>
            <w:hideMark/>
          </w:tcPr>
          <w:p w14:paraId="328B995F"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2,76255</w:t>
            </w:r>
          </w:p>
        </w:tc>
      </w:tr>
      <w:tr w:rsidR="00856FFE" w:rsidRPr="00843301" w14:paraId="584F77EF" w14:textId="77777777" w:rsidTr="003B64E0">
        <w:trPr>
          <w:trHeight w:val="300"/>
        </w:trPr>
        <w:tc>
          <w:tcPr>
            <w:tcW w:w="1556" w:type="dxa"/>
            <w:tcBorders>
              <w:top w:val="nil"/>
              <w:left w:val="single" w:sz="4" w:space="0" w:color="auto"/>
              <w:bottom w:val="single" w:sz="4" w:space="0" w:color="auto"/>
              <w:right w:val="single" w:sz="4" w:space="0" w:color="auto"/>
            </w:tcBorders>
            <w:shd w:val="clear" w:color="auto" w:fill="auto"/>
            <w:hideMark/>
          </w:tcPr>
          <w:p w14:paraId="5C89929D" w14:textId="77777777" w:rsidR="00856FFE" w:rsidRPr="00843301" w:rsidRDefault="00856FFE" w:rsidP="003B64E0">
            <w:pPr>
              <w:spacing w:after="0" w:line="480" w:lineRule="auto"/>
              <w:rPr>
                <w:rFonts w:ascii="Arial" w:eastAsia="Times New Roman" w:hAnsi="Arial" w:cs="Arial"/>
                <w:sz w:val="18"/>
                <w:szCs w:val="18"/>
                <w:lang w:eastAsia="en-ID"/>
              </w:rPr>
            </w:pPr>
            <w:r w:rsidRPr="00843301">
              <w:rPr>
                <w:rFonts w:ascii="Arial" w:eastAsia="Times New Roman" w:hAnsi="Arial" w:cs="Arial"/>
                <w:sz w:val="18"/>
                <w:szCs w:val="18"/>
                <w:lang w:eastAsia="en-ID"/>
              </w:rPr>
              <w:t>LN</w:t>
            </w:r>
          </w:p>
        </w:tc>
        <w:tc>
          <w:tcPr>
            <w:tcW w:w="960" w:type="dxa"/>
            <w:tcBorders>
              <w:top w:val="nil"/>
              <w:left w:val="nil"/>
              <w:bottom w:val="single" w:sz="4" w:space="0" w:color="auto"/>
              <w:right w:val="single" w:sz="4" w:space="0" w:color="auto"/>
            </w:tcBorders>
            <w:shd w:val="clear" w:color="auto" w:fill="auto"/>
            <w:noWrap/>
            <w:hideMark/>
          </w:tcPr>
          <w:p w14:paraId="24CA6807"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132</w:t>
            </w:r>
          </w:p>
        </w:tc>
        <w:tc>
          <w:tcPr>
            <w:tcW w:w="1700" w:type="dxa"/>
            <w:tcBorders>
              <w:top w:val="nil"/>
              <w:left w:val="nil"/>
              <w:bottom w:val="single" w:sz="4" w:space="0" w:color="auto"/>
              <w:right w:val="single" w:sz="4" w:space="0" w:color="auto"/>
            </w:tcBorders>
            <w:shd w:val="clear" w:color="auto" w:fill="auto"/>
            <w:noWrap/>
            <w:hideMark/>
          </w:tcPr>
          <w:p w14:paraId="0405A9F7"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18,45</w:t>
            </w:r>
          </w:p>
        </w:tc>
        <w:tc>
          <w:tcPr>
            <w:tcW w:w="997" w:type="dxa"/>
            <w:tcBorders>
              <w:top w:val="nil"/>
              <w:left w:val="nil"/>
              <w:bottom w:val="single" w:sz="4" w:space="0" w:color="auto"/>
              <w:right w:val="single" w:sz="4" w:space="0" w:color="auto"/>
            </w:tcBorders>
            <w:shd w:val="clear" w:color="auto" w:fill="auto"/>
            <w:noWrap/>
            <w:hideMark/>
          </w:tcPr>
          <w:p w14:paraId="68561EE7"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25,07</w:t>
            </w:r>
          </w:p>
        </w:tc>
        <w:tc>
          <w:tcPr>
            <w:tcW w:w="1820" w:type="dxa"/>
            <w:tcBorders>
              <w:top w:val="nil"/>
              <w:left w:val="nil"/>
              <w:bottom w:val="single" w:sz="4" w:space="0" w:color="auto"/>
              <w:right w:val="single" w:sz="4" w:space="0" w:color="auto"/>
            </w:tcBorders>
            <w:shd w:val="clear" w:color="auto" w:fill="auto"/>
            <w:noWrap/>
            <w:hideMark/>
          </w:tcPr>
          <w:p w14:paraId="4AEC6A45"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21,2892</w:t>
            </w:r>
          </w:p>
        </w:tc>
        <w:tc>
          <w:tcPr>
            <w:tcW w:w="967" w:type="dxa"/>
            <w:tcBorders>
              <w:top w:val="nil"/>
              <w:left w:val="nil"/>
              <w:bottom w:val="single" w:sz="4" w:space="0" w:color="auto"/>
              <w:right w:val="single" w:sz="4" w:space="0" w:color="auto"/>
            </w:tcBorders>
            <w:shd w:val="clear" w:color="auto" w:fill="auto"/>
            <w:noWrap/>
            <w:hideMark/>
          </w:tcPr>
          <w:p w14:paraId="6AB5B78C"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1,40818</w:t>
            </w:r>
          </w:p>
        </w:tc>
      </w:tr>
      <w:tr w:rsidR="00856FFE" w:rsidRPr="00843301" w14:paraId="3000EC1F" w14:textId="77777777" w:rsidTr="003B64E0">
        <w:trPr>
          <w:trHeight w:val="480"/>
        </w:trPr>
        <w:tc>
          <w:tcPr>
            <w:tcW w:w="1556" w:type="dxa"/>
            <w:tcBorders>
              <w:top w:val="nil"/>
              <w:left w:val="single" w:sz="4" w:space="0" w:color="auto"/>
              <w:bottom w:val="single" w:sz="4" w:space="0" w:color="auto"/>
              <w:right w:val="single" w:sz="4" w:space="0" w:color="auto"/>
            </w:tcBorders>
            <w:shd w:val="clear" w:color="auto" w:fill="auto"/>
            <w:hideMark/>
          </w:tcPr>
          <w:p w14:paraId="7BB8F23F" w14:textId="77777777" w:rsidR="00856FFE" w:rsidRPr="00843301" w:rsidRDefault="00856FFE" w:rsidP="003B64E0">
            <w:pPr>
              <w:spacing w:after="0" w:line="480" w:lineRule="auto"/>
              <w:rPr>
                <w:rFonts w:ascii="Arial" w:eastAsia="Times New Roman" w:hAnsi="Arial" w:cs="Arial"/>
                <w:sz w:val="18"/>
                <w:szCs w:val="18"/>
                <w:lang w:eastAsia="en-ID"/>
              </w:rPr>
            </w:pPr>
            <w:r w:rsidRPr="00843301">
              <w:rPr>
                <w:rFonts w:ascii="Arial" w:eastAsia="Times New Roman" w:hAnsi="Arial" w:cs="Arial"/>
                <w:sz w:val="18"/>
                <w:szCs w:val="18"/>
                <w:lang w:eastAsia="en-ID"/>
              </w:rPr>
              <w:t>Valid N (listwise)</w:t>
            </w:r>
          </w:p>
        </w:tc>
        <w:tc>
          <w:tcPr>
            <w:tcW w:w="960" w:type="dxa"/>
            <w:tcBorders>
              <w:top w:val="nil"/>
              <w:left w:val="nil"/>
              <w:bottom w:val="single" w:sz="4" w:space="0" w:color="auto"/>
              <w:right w:val="single" w:sz="4" w:space="0" w:color="auto"/>
            </w:tcBorders>
            <w:shd w:val="clear" w:color="auto" w:fill="auto"/>
            <w:noWrap/>
            <w:hideMark/>
          </w:tcPr>
          <w:p w14:paraId="013266B5" w14:textId="77777777" w:rsidR="00856FFE" w:rsidRPr="00843301" w:rsidRDefault="00856FFE" w:rsidP="003B64E0">
            <w:pPr>
              <w:spacing w:after="0" w:line="480" w:lineRule="auto"/>
              <w:jc w:val="right"/>
              <w:rPr>
                <w:rFonts w:ascii="Arial" w:eastAsia="Times New Roman" w:hAnsi="Arial" w:cs="Arial"/>
                <w:sz w:val="18"/>
                <w:szCs w:val="18"/>
                <w:lang w:eastAsia="en-ID"/>
              </w:rPr>
            </w:pPr>
            <w:r w:rsidRPr="00843301">
              <w:rPr>
                <w:rFonts w:ascii="Arial" w:eastAsia="Times New Roman" w:hAnsi="Arial" w:cs="Arial"/>
                <w:sz w:val="18"/>
                <w:szCs w:val="18"/>
                <w:lang w:eastAsia="en-ID"/>
              </w:rPr>
              <w:t>132</w:t>
            </w:r>
          </w:p>
        </w:tc>
        <w:tc>
          <w:tcPr>
            <w:tcW w:w="1700" w:type="dxa"/>
            <w:tcBorders>
              <w:top w:val="nil"/>
              <w:left w:val="nil"/>
              <w:bottom w:val="single" w:sz="4" w:space="0" w:color="auto"/>
              <w:right w:val="single" w:sz="4" w:space="0" w:color="auto"/>
            </w:tcBorders>
            <w:shd w:val="clear" w:color="auto" w:fill="auto"/>
            <w:hideMark/>
          </w:tcPr>
          <w:p w14:paraId="059ADF23" w14:textId="77777777" w:rsidR="00856FFE" w:rsidRPr="00843301" w:rsidRDefault="00856FFE" w:rsidP="003B64E0">
            <w:pPr>
              <w:spacing w:after="0" w:line="480" w:lineRule="auto"/>
              <w:rPr>
                <w:rFonts w:ascii="Arial" w:eastAsia="Times New Roman" w:hAnsi="Arial" w:cs="Arial"/>
                <w:sz w:val="18"/>
                <w:szCs w:val="18"/>
                <w:lang w:eastAsia="en-ID"/>
              </w:rPr>
            </w:pPr>
            <w:r w:rsidRPr="00843301">
              <w:rPr>
                <w:rFonts w:ascii="Arial" w:eastAsia="Times New Roman" w:hAnsi="Arial" w:cs="Arial"/>
                <w:sz w:val="18"/>
                <w:szCs w:val="18"/>
                <w:lang w:eastAsia="en-ID"/>
              </w:rPr>
              <w:t> </w:t>
            </w:r>
          </w:p>
        </w:tc>
        <w:tc>
          <w:tcPr>
            <w:tcW w:w="997" w:type="dxa"/>
            <w:tcBorders>
              <w:top w:val="nil"/>
              <w:left w:val="nil"/>
              <w:bottom w:val="single" w:sz="4" w:space="0" w:color="auto"/>
              <w:right w:val="single" w:sz="4" w:space="0" w:color="auto"/>
            </w:tcBorders>
            <w:shd w:val="clear" w:color="auto" w:fill="auto"/>
            <w:hideMark/>
          </w:tcPr>
          <w:p w14:paraId="216EE9BB" w14:textId="77777777" w:rsidR="00856FFE" w:rsidRPr="00843301" w:rsidRDefault="00856FFE" w:rsidP="003B64E0">
            <w:pPr>
              <w:spacing w:after="0" w:line="480" w:lineRule="auto"/>
              <w:rPr>
                <w:rFonts w:ascii="Arial" w:eastAsia="Times New Roman" w:hAnsi="Arial" w:cs="Arial"/>
                <w:sz w:val="18"/>
                <w:szCs w:val="18"/>
                <w:lang w:eastAsia="en-ID"/>
              </w:rPr>
            </w:pPr>
            <w:r w:rsidRPr="00843301">
              <w:rPr>
                <w:rFonts w:ascii="Arial" w:eastAsia="Times New Roman" w:hAnsi="Arial" w:cs="Arial"/>
                <w:sz w:val="18"/>
                <w:szCs w:val="18"/>
                <w:lang w:eastAsia="en-ID"/>
              </w:rPr>
              <w:t> </w:t>
            </w:r>
          </w:p>
        </w:tc>
        <w:tc>
          <w:tcPr>
            <w:tcW w:w="1820" w:type="dxa"/>
            <w:tcBorders>
              <w:top w:val="nil"/>
              <w:left w:val="nil"/>
              <w:bottom w:val="single" w:sz="4" w:space="0" w:color="auto"/>
              <w:right w:val="single" w:sz="4" w:space="0" w:color="auto"/>
            </w:tcBorders>
            <w:shd w:val="clear" w:color="auto" w:fill="auto"/>
            <w:hideMark/>
          </w:tcPr>
          <w:p w14:paraId="370969C2" w14:textId="77777777" w:rsidR="00856FFE" w:rsidRPr="00843301" w:rsidRDefault="00856FFE" w:rsidP="003B64E0">
            <w:pPr>
              <w:spacing w:after="0" w:line="480" w:lineRule="auto"/>
              <w:rPr>
                <w:rFonts w:ascii="Arial" w:eastAsia="Times New Roman" w:hAnsi="Arial" w:cs="Arial"/>
                <w:sz w:val="18"/>
                <w:szCs w:val="18"/>
                <w:lang w:eastAsia="en-ID"/>
              </w:rPr>
            </w:pPr>
            <w:r w:rsidRPr="00843301">
              <w:rPr>
                <w:rFonts w:ascii="Arial" w:eastAsia="Times New Roman" w:hAnsi="Arial" w:cs="Arial"/>
                <w:sz w:val="18"/>
                <w:szCs w:val="18"/>
                <w:lang w:eastAsia="en-ID"/>
              </w:rPr>
              <w:t> </w:t>
            </w:r>
          </w:p>
        </w:tc>
        <w:tc>
          <w:tcPr>
            <w:tcW w:w="967" w:type="dxa"/>
            <w:tcBorders>
              <w:top w:val="nil"/>
              <w:left w:val="nil"/>
              <w:bottom w:val="single" w:sz="4" w:space="0" w:color="auto"/>
              <w:right w:val="single" w:sz="4" w:space="0" w:color="auto"/>
            </w:tcBorders>
            <w:shd w:val="clear" w:color="auto" w:fill="auto"/>
            <w:hideMark/>
          </w:tcPr>
          <w:p w14:paraId="7F2B0237" w14:textId="77777777" w:rsidR="00856FFE" w:rsidRPr="00843301" w:rsidRDefault="00856FFE" w:rsidP="003B64E0">
            <w:pPr>
              <w:spacing w:after="0" w:line="480" w:lineRule="auto"/>
              <w:rPr>
                <w:rFonts w:ascii="Arial" w:eastAsia="Times New Roman" w:hAnsi="Arial" w:cs="Arial"/>
                <w:sz w:val="18"/>
                <w:szCs w:val="18"/>
                <w:lang w:eastAsia="en-ID"/>
              </w:rPr>
            </w:pPr>
            <w:r w:rsidRPr="00843301">
              <w:rPr>
                <w:rFonts w:ascii="Arial" w:eastAsia="Times New Roman" w:hAnsi="Arial" w:cs="Arial"/>
                <w:sz w:val="18"/>
                <w:szCs w:val="18"/>
                <w:lang w:eastAsia="en-ID"/>
              </w:rPr>
              <w:t> </w:t>
            </w:r>
          </w:p>
        </w:tc>
      </w:tr>
    </w:tbl>
    <w:p w14:paraId="2E6F29B8" w14:textId="77777777" w:rsidR="00856FFE" w:rsidRDefault="00856FFE" w:rsidP="00856FFE">
      <w:pPr>
        <w:pStyle w:val="ListParagraph"/>
        <w:spacing w:line="480" w:lineRule="auto"/>
        <w:ind w:left="360"/>
        <w:rPr>
          <w:rFonts w:ascii="Times New Roman" w:hAnsi="Times New Roman" w:cs="Times New Roman"/>
          <w:bCs/>
          <w:sz w:val="24"/>
          <w:szCs w:val="24"/>
          <w:lang w:val="en-GB"/>
        </w:rPr>
      </w:pPr>
    </w:p>
    <w:p w14:paraId="79A0441E" w14:textId="77777777" w:rsidR="00856FFE" w:rsidRDefault="00856FFE" w:rsidP="00B77E46">
      <w:pPr>
        <w:pStyle w:val="ListParagraph"/>
        <w:spacing w:line="48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Berdasarkan hasil perhitungan tabel 1.3. diatas, </w:t>
      </w:r>
      <w:r w:rsidRPr="00C30BAA">
        <w:rPr>
          <w:rFonts w:ascii="Times New Roman" w:hAnsi="Times New Roman" w:cs="Times New Roman"/>
          <w:bCs/>
          <w:sz w:val="24"/>
          <w:szCs w:val="24"/>
          <w:lang w:val="en-GB"/>
        </w:rPr>
        <w:t>variabel</w:t>
      </w:r>
      <w:r>
        <w:rPr>
          <w:rFonts w:ascii="Times New Roman" w:hAnsi="Times New Roman" w:cs="Times New Roman"/>
          <w:bCs/>
          <w:sz w:val="24"/>
          <w:szCs w:val="24"/>
          <w:lang w:val="en-GB"/>
        </w:rPr>
        <w:t xml:space="preserve"> profitabilitas memiliki nilai minimum -24,57 dan maksimum 65,84 selama tahun 2020-2022. Sedangkan untuk nilai rata-rata (</w:t>
      </w:r>
      <w:r>
        <w:rPr>
          <w:rFonts w:ascii="Times New Roman" w:hAnsi="Times New Roman" w:cs="Times New Roman"/>
          <w:bCs/>
          <w:i/>
          <w:iCs/>
          <w:sz w:val="24"/>
          <w:szCs w:val="24"/>
          <w:lang w:val="en-GB"/>
        </w:rPr>
        <w:t>mean</w:t>
      </w:r>
      <w:r>
        <w:rPr>
          <w:rFonts w:ascii="Times New Roman" w:hAnsi="Times New Roman" w:cs="Times New Roman"/>
          <w:bCs/>
          <w:sz w:val="24"/>
          <w:szCs w:val="24"/>
          <w:lang w:val="en-GB"/>
        </w:rPr>
        <w:t xml:space="preserve">) dari tahun 2020 samapi dengan tahun 2022 mencapai 1,22. Sedangkan variabel independen yaitu </w:t>
      </w:r>
      <w:r>
        <w:rPr>
          <w:rFonts w:ascii="Times New Roman" w:hAnsi="Times New Roman" w:cs="Times New Roman"/>
          <w:bCs/>
          <w:i/>
          <w:iCs/>
          <w:sz w:val="24"/>
          <w:szCs w:val="24"/>
          <w:lang w:val="en-GB"/>
        </w:rPr>
        <w:t xml:space="preserve">leverage </w:t>
      </w:r>
      <w:r>
        <w:rPr>
          <w:rFonts w:ascii="Times New Roman" w:hAnsi="Times New Roman" w:cs="Times New Roman"/>
          <w:bCs/>
          <w:sz w:val="24"/>
          <w:szCs w:val="24"/>
          <w:lang w:val="en-GB"/>
        </w:rPr>
        <w:t xml:space="preserve">mempunyai nilai </w:t>
      </w:r>
      <w:r>
        <w:rPr>
          <w:rFonts w:ascii="Times New Roman" w:hAnsi="Times New Roman" w:cs="Times New Roman"/>
          <w:bCs/>
          <w:sz w:val="24"/>
          <w:szCs w:val="24"/>
          <w:lang w:val="en-GB"/>
        </w:rPr>
        <w:lastRenderedPageBreak/>
        <w:t xml:space="preserve">minimum -10,63 dan maksimum 19,40 selama tahun 2020-2022. Nilai rata-rata </w:t>
      </w:r>
      <w:r>
        <w:rPr>
          <w:rFonts w:ascii="Times New Roman" w:hAnsi="Times New Roman" w:cs="Times New Roman"/>
          <w:bCs/>
          <w:i/>
          <w:iCs/>
          <w:sz w:val="24"/>
          <w:szCs w:val="24"/>
          <w:lang w:val="en-GB"/>
        </w:rPr>
        <w:t xml:space="preserve">leverage </w:t>
      </w:r>
      <w:r>
        <w:rPr>
          <w:rFonts w:ascii="Times New Roman" w:hAnsi="Times New Roman" w:cs="Times New Roman"/>
          <w:bCs/>
          <w:sz w:val="24"/>
          <w:szCs w:val="24"/>
          <w:lang w:val="en-GB"/>
        </w:rPr>
        <w:t>selama tahun 2020-2022 sebesar 1,09. Dan untuk variabel ukuran perusahaan memiliki nilai minimum 18,45 dan maksimum 25,07 selama tahun 2020-2022. Nilai rata-rata ukuran perusahaan 21,28 selama tahun 2020-2022.</w:t>
      </w:r>
    </w:p>
    <w:p w14:paraId="39A10DEB" w14:textId="024595A9" w:rsidR="00856FFE" w:rsidRDefault="00856FFE" w:rsidP="00856FFE">
      <w:pPr>
        <w:spacing w:line="480" w:lineRule="auto"/>
        <w:jc w:val="both"/>
        <w:rPr>
          <w:rFonts w:ascii="Times New Roman" w:hAnsi="Times New Roman" w:cs="Times New Roman"/>
          <w:sz w:val="24"/>
          <w:szCs w:val="24"/>
          <w:lang w:val="en-GB"/>
        </w:rPr>
      </w:pPr>
    </w:p>
    <w:p w14:paraId="719EEF80" w14:textId="4D7EF238" w:rsidR="00856FFE" w:rsidRPr="00A15C03" w:rsidRDefault="00856FFE" w:rsidP="00856FFE">
      <w:pPr>
        <w:pStyle w:val="ListParagraph"/>
        <w:spacing w:line="480" w:lineRule="auto"/>
        <w:ind w:left="0"/>
        <w:jc w:val="center"/>
        <w:rPr>
          <w:rFonts w:ascii="Times New Roman" w:hAnsi="Times New Roman" w:cs="Times New Roman"/>
          <w:b/>
          <w:sz w:val="24"/>
          <w:szCs w:val="24"/>
          <w:lang w:val="en-GB"/>
        </w:rPr>
      </w:pPr>
      <w:r w:rsidRPr="00A15C03">
        <w:rPr>
          <w:rFonts w:ascii="Times New Roman" w:hAnsi="Times New Roman" w:cs="Times New Roman"/>
          <w:b/>
          <w:sz w:val="24"/>
          <w:szCs w:val="24"/>
          <w:lang w:val="en-GB"/>
        </w:rPr>
        <w:t>Tabel 1.</w:t>
      </w:r>
      <w:r>
        <w:rPr>
          <w:rFonts w:ascii="Times New Roman" w:hAnsi="Times New Roman" w:cs="Times New Roman"/>
          <w:b/>
          <w:sz w:val="24"/>
          <w:szCs w:val="24"/>
          <w:lang w:val="en-GB"/>
        </w:rPr>
        <w:t>3.</w:t>
      </w:r>
      <w:r w:rsidRPr="00A15C03">
        <w:rPr>
          <w:rFonts w:ascii="Times New Roman" w:hAnsi="Times New Roman" w:cs="Times New Roman"/>
          <w:b/>
          <w:sz w:val="24"/>
          <w:szCs w:val="24"/>
          <w:lang w:val="en-GB"/>
        </w:rPr>
        <w:t xml:space="preserve"> Uji Normalitas</w:t>
      </w:r>
    </w:p>
    <w:tbl>
      <w:tblPr>
        <w:tblW w:w="4400" w:type="dxa"/>
        <w:jc w:val="center"/>
        <w:tblLook w:val="04A0" w:firstRow="1" w:lastRow="0" w:firstColumn="1" w:lastColumn="0" w:noHBand="0" w:noVBand="1"/>
      </w:tblPr>
      <w:tblGrid>
        <w:gridCol w:w="1733"/>
        <w:gridCol w:w="967"/>
        <w:gridCol w:w="1700"/>
      </w:tblGrid>
      <w:tr w:rsidR="00856FFE" w:rsidRPr="000819F0" w14:paraId="1709493F" w14:textId="77777777" w:rsidTr="003B64E0">
        <w:trPr>
          <w:trHeight w:val="300"/>
          <w:jc w:val="center"/>
        </w:trPr>
        <w:tc>
          <w:tcPr>
            <w:tcW w:w="4400" w:type="dxa"/>
            <w:gridSpan w:val="3"/>
            <w:tcBorders>
              <w:top w:val="nil"/>
              <w:left w:val="nil"/>
              <w:bottom w:val="nil"/>
              <w:right w:val="nil"/>
            </w:tcBorders>
            <w:shd w:val="clear" w:color="auto" w:fill="auto"/>
            <w:vAlign w:val="center"/>
            <w:hideMark/>
          </w:tcPr>
          <w:p w14:paraId="7956EE84" w14:textId="77777777" w:rsidR="00856FFE" w:rsidRPr="000819F0" w:rsidRDefault="00856FFE" w:rsidP="003B64E0">
            <w:pPr>
              <w:spacing w:after="0" w:line="480" w:lineRule="auto"/>
              <w:jc w:val="center"/>
              <w:rPr>
                <w:rFonts w:ascii="Arial Bold" w:eastAsia="Times New Roman" w:hAnsi="Arial Bold" w:cs="Calibri"/>
                <w:b/>
                <w:bCs/>
                <w:color w:val="993300"/>
                <w:lang w:eastAsia="en-ID"/>
              </w:rPr>
            </w:pPr>
            <w:r w:rsidRPr="000819F0">
              <w:rPr>
                <w:rFonts w:ascii="Arial Bold" w:eastAsia="Times New Roman" w:hAnsi="Arial Bold" w:cs="Calibri"/>
                <w:b/>
                <w:bCs/>
                <w:color w:val="993300"/>
                <w:lang w:eastAsia="en-ID"/>
              </w:rPr>
              <w:t>One-Sample Kolmogorov-Smirnov Test</w:t>
            </w:r>
          </w:p>
        </w:tc>
      </w:tr>
      <w:tr w:rsidR="00856FFE" w:rsidRPr="000819F0" w14:paraId="73477A47" w14:textId="77777777" w:rsidTr="003B64E0">
        <w:trPr>
          <w:trHeight w:val="495"/>
          <w:jc w:val="center"/>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4BC323"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 </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789F9F9" w14:textId="77777777" w:rsidR="00856FFE" w:rsidRPr="000819F0" w:rsidRDefault="00856FFE" w:rsidP="003B64E0">
            <w:pPr>
              <w:spacing w:after="0" w:line="480" w:lineRule="auto"/>
              <w:jc w:val="center"/>
              <w:rPr>
                <w:rFonts w:ascii="Arial" w:eastAsia="Times New Roman" w:hAnsi="Arial" w:cs="Arial"/>
                <w:sz w:val="18"/>
                <w:szCs w:val="18"/>
                <w:lang w:eastAsia="en-ID"/>
              </w:rPr>
            </w:pPr>
            <w:r w:rsidRPr="000819F0">
              <w:rPr>
                <w:rFonts w:ascii="Arial" w:eastAsia="Times New Roman" w:hAnsi="Arial" w:cs="Arial"/>
                <w:sz w:val="18"/>
                <w:szCs w:val="18"/>
                <w:lang w:eastAsia="en-ID"/>
              </w:rPr>
              <w:t>Unstandardized Residual</w:t>
            </w:r>
          </w:p>
        </w:tc>
      </w:tr>
      <w:tr w:rsidR="00856FFE" w:rsidRPr="000819F0" w14:paraId="0967F3EC" w14:textId="77777777" w:rsidTr="003B64E0">
        <w:trPr>
          <w:trHeight w:val="300"/>
          <w:jc w:val="center"/>
        </w:trPr>
        <w:tc>
          <w:tcPr>
            <w:tcW w:w="27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2AF82C"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N</w:t>
            </w:r>
          </w:p>
        </w:tc>
        <w:tc>
          <w:tcPr>
            <w:tcW w:w="1700" w:type="dxa"/>
            <w:tcBorders>
              <w:top w:val="nil"/>
              <w:left w:val="nil"/>
              <w:bottom w:val="single" w:sz="4" w:space="0" w:color="auto"/>
              <w:right w:val="single" w:sz="4" w:space="0" w:color="auto"/>
            </w:tcBorders>
            <w:shd w:val="clear" w:color="auto" w:fill="auto"/>
            <w:noWrap/>
            <w:hideMark/>
          </w:tcPr>
          <w:p w14:paraId="437F658F" w14:textId="77777777" w:rsidR="00856FFE" w:rsidRPr="000819F0" w:rsidRDefault="00856FFE" w:rsidP="003B64E0">
            <w:pPr>
              <w:spacing w:after="0" w:line="480" w:lineRule="auto"/>
              <w:jc w:val="right"/>
              <w:rPr>
                <w:rFonts w:ascii="Arial" w:eastAsia="Times New Roman" w:hAnsi="Arial" w:cs="Arial"/>
                <w:sz w:val="18"/>
                <w:szCs w:val="18"/>
                <w:lang w:eastAsia="en-ID"/>
              </w:rPr>
            </w:pPr>
            <w:r w:rsidRPr="000819F0">
              <w:rPr>
                <w:rFonts w:ascii="Arial" w:eastAsia="Times New Roman" w:hAnsi="Arial" w:cs="Arial"/>
                <w:sz w:val="18"/>
                <w:szCs w:val="18"/>
                <w:lang w:eastAsia="en-ID"/>
              </w:rPr>
              <w:t>132</w:t>
            </w:r>
          </w:p>
        </w:tc>
      </w:tr>
      <w:tr w:rsidR="00856FFE" w:rsidRPr="000819F0" w14:paraId="62B902A0" w14:textId="77777777" w:rsidTr="003B64E0">
        <w:trPr>
          <w:trHeight w:val="300"/>
          <w:jc w:val="center"/>
        </w:trPr>
        <w:tc>
          <w:tcPr>
            <w:tcW w:w="1733" w:type="dxa"/>
            <w:vMerge w:val="restart"/>
            <w:tcBorders>
              <w:top w:val="nil"/>
              <w:left w:val="single" w:sz="4" w:space="0" w:color="auto"/>
              <w:bottom w:val="single" w:sz="4" w:space="0" w:color="auto"/>
              <w:right w:val="single" w:sz="4" w:space="0" w:color="auto"/>
            </w:tcBorders>
            <w:shd w:val="clear" w:color="auto" w:fill="auto"/>
            <w:hideMark/>
          </w:tcPr>
          <w:p w14:paraId="74055775"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Normal Parameters</w:t>
            </w:r>
            <w:r w:rsidRPr="000819F0">
              <w:rPr>
                <w:rFonts w:ascii="Arial" w:eastAsia="Times New Roman" w:hAnsi="Arial" w:cs="Arial"/>
                <w:sz w:val="18"/>
                <w:szCs w:val="18"/>
                <w:vertAlign w:val="superscript"/>
                <w:lang w:eastAsia="en-ID"/>
              </w:rPr>
              <w:t>a,b</w:t>
            </w:r>
          </w:p>
        </w:tc>
        <w:tc>
          <w:tcPr>
            <w:tcW w:w="967" w:type="dxa"/>
            <w:tcBorders>
              <w:top w:val="nil"/>
              <w:left w:val="nil"/>
              <w:bottom w:val="single" w:sz="4" w:space="0" w:color="auto"/>
              <w:right w:val="single" w:sz="4" w:space="0" w:color="auto"/>
            </w:tcBorders>
            <w:shd w:val="clear" w:color="auto" w:fill="auto"/>
            <w:hideMark/>
          </w:tcPr>
          <w:p w14:paraId="0BF92296"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Mean</w:t>
            </w:r>
          </w:p>
        </w:tc>
        <w:tc>
          <w:tcPr>
            <w:tcW w:w="1700" w:type="dxa"/>
            <w:tcBorders>
              <w:top w:val="nil"/>
              <w:left w:val="nil"/>
              <w:bottom w:val="single" w:sz="4" w:space="0" w:color="auto"/>
              <w:right w:val="single" w:sz="4" w:space="0" w:color="auto"/>
            </w:tcBorders>
            <w:shd w:val="clear" w:color="auto" w:fill="auto"/>
            <w:noWrap/>
            <w:hideMark/>
          </w:tcPr>
          <w:p w14:paraId="6FB08A5D" w14:textId="77777777" w:rsidR="00856FFE" w:rsidRPr="000819F0" w:rsidRDefault="00856FFE" w:rsidP="003B64E0">
            <w:pPr>
              <w:spacing w:after="0" w:line="480" w:lineRule="auto"/>
              <w:jc w:val="right"/>
              <w:rPr>
                <w:rFonts w:ascii="Arial" w:eastAsia="Times New Roman" w:hAnsi="Arial" w:cs="Arial"/>
                <w:sz w:val="18"/>
                <w:szCs w:val="18"/>
                <w:lang w:eastAsia="en-ID"/>
              </w:rPr>
            </w:pPr>
            <w:r w:rsidRPr="000819F0">
              <w:rPr>
                <w:rFonts w:ascii="Arial" w:eastAsia="Times New Roman" w:hAnsi="Arial" w:cs="Arial"/>
                <w:sz w:val="18"/>
                <w:szCs w:val="18"/>
                <w:lang w:eastAsia="en-ID"/>
              </w:rPr>
              <w:t>0,0000000</w:t>
            </w:r>
          </w:p>
        </w:tc>
      </w:tr>
      <w:tr w:rsidR="00856FFE" w:rsidRPr="000819F0" w14:paraId="5D9AB2C0" w14:textId="77777777" w:rsidTr="003B64E0">
        <w:trPr>
          <w:trHeight w:val="480"/>
          <w:jc w:val="center"/>
        </w:trPr>
        <w:tc>
          <w:tcPr>
            <w:tcW w:w="1733" w:type="dxa"/>
            <w:vMerge/>
            <w:tcBorders>
              <w:top w:val="nil"/>
              <w:left w:val="single" w:sz="4" w:space="0" w:color="auto"/>
              <w:bottom w:val="single" w:sz="4" w:space="0" w:color="auto"/>
              <w:right w:val="single" w:sz="4" w:space="0" w:color="auto"/>
            </w:tcBorders>
            <w:vAlign w:val="center"/>
            <w:hideMark/>
          </w:tcPr>
          <w:p w14:paraId="6EA6A33E" w14:textId="77777777" w:rsidR="00856FFE" w:rsidRPr="000819F0" w:rsidRDefault="00856FFE" w:rsidP="003B64E0">
            <w:pPr>
              <w:spacing w:after="0" w:line="480" w:lineRule="auto"/>
              <w:rPr>
                <w:rFonts w:ascii="Arial" w:eastAsia="Times New Roman" w:hAnsi="Arial" w:cs="Arial"/>
                <w:sz w:val="18"/>
                <w:szCs w:val="18"/>
                <w:lang w:eastAsia="en-ID"/>
              </w:rPr>
            </w:pPr>
          </w:p>
        </w:tc>
        <w:tc>
          <w:tcPr>
            <w:tcW w:w="967" w:type="dxa"/>
            <w:tcBorders>
              <w:top w:val="nil"/>
              <w:left w:val="nil"/>
              <w:bottom w:val="single" w:sz="4" w:space="0" w:color="auto"/>
              <w:right w:val="single" w:sz="4" w:space="0" w:color="auto"/>
            </w:tcBorders>
            <w:shd w:val="clear" w:color="auto" w:fill="auto"/>
            <w:hideMark/>
          </w:tcPr>
          <w:p w14:paraId="09D169AD"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Std. Deviation</w:t>
            </w:r>
          </w:p>
        </w:tc>
        <w:tc>
          <w:tcPr>
            <w:tcW w:w="1700" w:type="dxa"/>
            <w:tcBorders>
              <w:top w:val="nil"/>
              <w:left w:val="nil"/>
              <w:bottom w:val="single" w:sz="4" w:space="0" w:color="auto"/>
              <w:right w:val="single" w:sz="4" w:space="0" w:color="auto"/>
            </w:tcBorders>
            <w:shd w:val="clear" w:color="auto" w:fill="auto"/>
            <w:noWrap/>
            <w:hideMark/>
          </w:tcPr>
          <w:p w14:paraId="41CFD7E8" w14:textId="77777777" w:rsidR="00856FFE" w:rsidRPr="000819F0" w:rsidRDefault="00856FFE" w:rsidP="003B64E0">
            <w:pPr>
              <w:spacing w:after="0" w:line="480" w:lineRule="auto"/>
              <w:jc w:val="right"/>
              <w:rPr>
                <w:rFonts w:ascii="Arial" w:eastAsia="Times New Roman" w:hAnsi="Arial" w:cs="Arial"/>
                <w:sz w:val="18"/>
                <w:szCs w:val="18"/>
                <w:lang w:eastAsia="en-ID"/>
              </w:rPr>
            </w:pPr>
            <w:r w:rsidRPr="000819F0">
              <w:rPr>
                <w:rFonts w:ascii="Arial" w:eastAsia="Times New Roman" w:hAnsi="Arial" w:cs="Arial"/>
                <w:sz w:val="18"/>
                <w:szCs w:val="18"/>
                <w:lang w:eastAsia="en-ID"/>
              </w:rPr>
              <w:t>9,97333832</w:t>
            </w:r>
          </w:p>
        </w:tc>
      </w:tr>
      <w:tr w:rsidR="00856FFE" w:rsidRPr="000819F0" w14:paraId="341967A5" w14:textId="77777777" w:rsidTr="003B64E0">
        <w:trPr>
          <w:trHeight w:val="495"/>
          <w:jc w:val="center"/>
        </w:trPr>
        <w:tc>
          <w:tcPr>
            <w:tcW w:w="1733" w:type="dxa"/>
            <w:vMerge w:val="restart"/>
            <w:tcBorders>
              <w:top w:val="nil"/>
              <w:left w:val="single" w:sz="4" w:space="0" w:color="auto"/>
              <w:bottom w:val="single" w:sz="4" w:space="0" w:color="auto"/>
              <w:right w:val="single" w:sz="4" w:space="0" w:color="auto"/>
            </w:tcBorders>
            <w:shd w:val="clear" w:color="auto" w:fill="auto"/>
            <w:hideMark/>
          </w:tcPr>
          <w:p w14:paraId="12C856EE"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Most Extreme Differences</w:t>
            </w:r>
          </w:p>
        </w:tc>
        <w:tc>
          <w:tcPr>
            <w:tcW w:w="967" w:type="dxa"/>
            <w:tcBorders>
              <w:top w:val="nil"/>
              <w:left w:val="nil"/>
              <w:bottom w:val="single" w:sz="4" w:space="0" w:color="auto"/>
              <w:right w:val="single" w:sz="4" w:space="0" w:color="auto"/>
            </w:tcBorders>
            <w:shd w:val="clear" w:color="auto" w:fill="auto"/>
            <w:hideMark/>
          </w:tcPr>
          <w:p w14:paraId="2ABBA082"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Absolute</w:t>
            </w:r>
          </w:p>
        </w:tc>
        <w:tc>
          <w:tcPr>
            <w:tcW w:w="1700" w:type="dxa"/>
            <w:tcBorders>
              <w:top w:val="nil"/>
              <w:left w:val="nil"/>
              <w:bottom w:val="single" w:sz="4" w:space="0" w:color="auto"/>
              <w:right w:val="single" w:sz="4" w:space="0" w:color="auto"/>
            </w:tcBorders>
            <w:shd w:val="clear" w:color="auto" w:fill="auto"/>
            <w:noWrap/>
            <w:hideMark/>
          </w:tcPr>
          <w:p w14:paraId="7B096FF8" w14:textId="77777777" w:rsidR="00856FFE" w:rsidRPr="000819F0" w:rsidRDefault="00856FFE" w:rsidP="003B64E0">
            <w:pPr>
              <w:spacing w:after="0" w:line="480" w:lineRule="auto"/>
              <w:jc w:val="right"/>
              <w:rPr>
                <w:rFonts w:ascii="Arial" w:eastAsia="Times New Roman" w:hAnsi="Arial" w:cs="Arial"/>
                <w:sz w:val="18"/>
                <w:szCs w:val="18"/>
                <w:lang w:eastAsia="en-ID"/>
              </w:rPr>
            </w:pPr>
            <w:r w:rsidRPr="000819F0">
              <w:rPr>
                <w:rFonts w:ascii="Arial" w:eastAsia="Times New Roman" w:hAnsi="Arial" w:cs="Arial"/>
                <w:sz w:val="18"/>
                <w:szCs w:val="18"/>
                <w:lang w:eastAsia="en-ID"/>
              </w:rPr>
              <w:t>0,167</w:t>
            </w:r>
          </w:p>
        </w:tc>
      </w:tr>
      <w:tr w:rsidR="00856FFE" w:rsidRPr="000819F0" w14:paraId="6512AC82" w14:textId="77777777" w:rsidTr="003B64E0">
        <w:trPr>
          <w:trHeight w:val="300"/>
          <w:jc w:val="center"/>
        </w:trPr>
        <w:tc>
          <w:tcPr>
            <w:tcW w:w="1733" w:type="dxa"/>
            <w:vMerge/>
            <w:tcBorders>
              <w:top w:val="nil"/>
              <w:left w:val="single" w:sz="4" w:space="0" w:color="auto"/>
              <w:bottom w:val="single" w:sz="4" w:space="0" w:color="auto"/>
              <w:right w:val="single" w:sz="4" w:space="0" w:color="auto"/>
            </w:tcBorders>
            <w:vAlign w:val="center"/>
            <w:hideMark/>
          </w:tcPr>
          <w:p w14:paraId="4DA9E3CE" w14:textId="77777777" w:rsidR="00856FFE" w:rsidRPr="000819F0" w:rsidRDefault="00856FFE" w:rsidP="003B64E0">
            <w:pPr>
              <w:spacing w:after="0" w:line="480" w:lineRule="auto"/>
              <w:rPr>
                <w:rFonts w:ascii="Arial" w:eastAsia="Times New Roman" w:hAnsi="Arial" w:cs="Arial"/>
                <w:sz w:val="18"/>
                <w:szCs w:val="18"/>
                <w:lang w:eastAsia="en-ID"/>
              </w:rPr>
            </w:pPr>
          </w:p>
        </w:tc>
        <w:tc>
          <w:tcPr>
            <w:tcW w:w="967" w:type="dxa"/>
            <w:tcBorders>
              <w:top w:val="nil"/>
              <w:left w:val="nil"/>
              <w:bottom w:val="single" w:sz="4" w:space="0" w:color="auto"/>
              <w:right w:val="single" w:sz="4" w:space="0" w:color="auto"/>
            </w:tcBorders>
            <w:shd w:val="clear" w:color="auto" w:fill="auto"/>
            <w:hideMark/>
          </w:tcPr>
          <w:p w14:paraId="09953EE4"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Positive</w:t>
            </w:r>
          </w:p>
        </w:tc>
        <w:tc>
          <w:tcPr>
            <w:tcW w:w="1700" w:type="dxa"/>
            <w:tcBorders>
              <w:top w:val="nil"/>
              <w:left w:val="nil"/>
              <w:bottom w:val="single" w:sz="4" w:space="0" w:color="auto"/>
              <w:right w:val="single" w:sz="4" w:space="0" w:color="auto"/>
            </w:tcBorders>
            <w:shd w:val="clear" w:color="auto" w:fill="auto"/>
            <w:noWrap/>
            <w:hideMark/>
          </w:tcPr>
          <w:p w14:paraId="3D9A5744" w14:textId="77777777" w:rsidR="00856FFE" w:rsidRPr="000819F0" w:rsidRDefault="00856FFE" w:rsidP="003B64E0">
            <w:pPr>
              <w:spacing w:after="0" w:line="480" w:lineRule="auto"/>
              <w:jc w:val="right"/>
              <w:rPr>
                <w:rFonts w:ascii="Arial" w:eastAsia="Times New Roman" w:hAnsi="Arial" w:cs="Arial"/>
                <w:sz w:val="18"/>
                <w:szCs w:val="18"/>
                <w:lang w:eastAsia="en-ID"/>
              </w:rPr>
            </w:pPr>
            <w:r w:rsidRPr="000819F0">
              <w:rPr>
                <w:rFonts w:ascii="Arial" w:eastAsia="Times New Roman" w:hAnsi="Arial" w:cs="Arial"/>
                <w:sz w:val="18"/>
                <w:szCs w:val="18"/>
                <w:lang w:eastAsia="en-ID"/>
              </w:rPr>
              <w:t>0,167</w:t>
            </w:r>
          </w:p>
        </w:tc>
      </w:tr>
      <w:tr w:rsidR="00856FFE" w:rsidRPr="000819F0" w14:paraId="0C769F80" w14:textId="77777777" w:rsidTr="003B64E0">
        <w:trPr>
          <w:trHeight w:val="300"/>
          <w:jc w:val="center"/>
        </w:trPr>
        <w:tc>
          <w:tcPr>
            <w:tcW w:w="1733" w:type="dxa"/>
            <w:vMerge/>
            <w:tcBorders>
              <w:top w:val="nil"/>
              <w:left w:val="single" w:sz="4" w:space="0" w:color="auto"/>
              <w:bottom w:val="single" w:sz="4" w:space="0" w:color="auto"/>
              <w:right w:val="single" w:sz="4" w:space="0" w:color="auto"/>
            </w:tcBorders>
            <w:vAlign w:val="center"/>
            <w:hideMark/>
          </w:tcPr>
          <w:p w14:paraId="1870EB25" w14:textId="77777777" w:rsidR="00856FFE" w:rsidRPr="000819F0" w:rsidRDefault="00856FFE" w:rsidP="003B64E0">
            <w:pPr>
              <w:spacing w:after="0" w:line="480" w:lineRule="auto"/>
              <w:rPr>
                <w:rFonts w:ascii="Arial" w:eastAsia="Times New Roman" w:hAnsi="Arial" w:cs="Arial"/>
                <w:sz w:val="18"/>
                <w:szCs w:val="18"/>
                <w:lang w:eastAsia="en-ID"/>
              </w:rPr>
            </w:pPr>
          </w:p>
        </w:tc>
        <w:tc>
          <w:tcPr>
            <w:tcW w:w="967" w:type="dxa"/>
            <w:tcBorders>
              <w:top w:val="nil"/>
              <w:left w:val="nil"/>
              <w:bottom w:val="single" w:sz="4" w:space="0" w:color="auto"/>
              <w:right w:val="single" w:sz="4" w:space="0" w:color="auto"/>
            </w:tcBorders>
            <w:shd w:val="clear" w:color="auto" w:fill="auto"/>
            <w:hideMark/>
          </w:tcPr>
          <w:p w14:paraId="3EF99DD8"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Negative</w:t>
            </w:r>
          </w:p>
        </w:tc>
        <w:tc>
          <w:tcPr>
            <w:tcW w:w="1700" w:type="dxa"/>
            <w:tcBorders>
              <w:top w:val="nil"/>
              <w:left w:val="nil"/>
              <w:bottom w:val="single" w:sz="4" w:space="0" w:color="auto"/>
              <w:right w:val="single" w:sz="4" w:space="0" w:color="auto"/>
            </w:tcBorders>
            <w:shd w:val="clear" w:color="auto" w:fill="auto"/>
            <w:noWrap/>
            <w:hideMark/>
          </w:tcPr>
          <w:p w14:paraId="0929322D" w14:textId="77777777" w:rsidR="00856FFE" w:rsidRPr="000819F0" w:rsidRDefault="00856FFE" w:rsidP="003B64E0">
            <w:pPr>
              <w:spacing w:after="0" w:line="480" w:lineRule="auto"/>
              <w:jc w:val="right"/>
              <w:rPr>
                <w:rFonts w:ascii="Arial" w:eastAsia="Times New Roman" w:hAnsi="Arial" w:cs="Arial"/>
                <w:sz w:val="18"/>
                <w:szCs w:val="18"/>
                <w:lang w:eastAsia="en-ID"/>
              </w:rPr>
            </w:pPr>
            <w:r w:rsidRPr="000819F0">
              <w:rPr>
                <w:rFonts w:ascii="Arial" w:eastAsia="Times New Roman" w:hAnsi="Arial" w:cs="Arial"/>
                <w:sz w:val="18"/>
                <w:szCs w:val="18"/>
                <w:lang w:eastAsia="en-ID"/>
              </w:rPr>
              <w:t>-0,136</w:t>
            </w:r>
          </w:p>
        </w:tc>
      </w:tr>
      <w:tr w:rsidR="00856FFE" w:rsidRPr="000819F0" w14:paraId="32BF78A8" w14:textId="77777777" w:rsidTr="003B64E0">
        <w:trPr>
          <w:trHeight w:val="480"/>
          <w:jc w:val="center"/>
        </w:trPr>
        <w:tc>
          <w:tcPr>
            <w:tcW w:w="27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D198FD"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Test Statistic</w:t>
            </w:r>
          </w:p>
        </w:tc>
        <w:tc>
          <w:tcPr>
            <w:tcW w:w="1700" w:type="dxa"/>
            <w:tcBorders>
              <w:top w:val="nil"/>
              <w:left w:val="nil"/>
              <w:bottom w:val="single" w:sz="4" w:space="0" w:color="auto"/>
              <w:right w:val="single" w:sz="4" w:space="0" w:color="auto"/>
            </w:tcBorders>
            <w:shd w:val="clear" w:color="auto" w:fill="auto"/>
            <w:noWrap/>
            <w:hideMark/>
          </w:tcPr>
          <w:p w14:paraId="2CE6F130" w14:textId="77777777" w:rsidR="00856FFE" w:rsidRPr="000819F0" w:rsidRDefault="00856FFE" w:rsidP="003B64E0">
            <w:pPr>
              <w:spacing w:after="0" w:line="480" w:lineRule="auto"/>
              <w:jc w:val="right"/>
              <w:rPr>
                <w:rFonts w:ascii="Arial" w:eastAsia="Times New Roman" w:hAnsi="Arial" w:cs="Arial"/>
                <w:sz w:val="18"/>
                <w:szCs w:val="18"/>
                <w:lang w:eastAsia="en-ID"/>
              </w:rPr>
            </w:pPr>
            <w:r w:rsidRPr="000819F0">
              <w:rPr>
                <w:rFonts w:ascii="Arial" w:eastAsia="Times New Roman" w:hAnsi="Arial" w:cs="Arial"/>
                <w:sz w:val="18"/>
                <w:szCs w:val="18"/>
                <w:lang w:eastAsia="en-ID"/>
              </w:rPr>
              <w:t>0,167</w:t>
            </w:r>
          </w:p>
        </w:tc>
      </w:tr>
      <w:tr w:rsidR="00856FFE" w:rsidRPr="000819F0" w14:paraId="699B777E" w14:textId="77777777" w:rsidTr="003B64E0">
        <w:trPr>
          <w:trHeight w:val="300"/>
          <w:jc w:val="center"/>
        </w:trPr>
        <w:tc>
          <w:tcPr>
            <w:tcW w:w="27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4A40A" w14:textId="77777777" w:rsidR="00856FFE" w:rsidRPr="000819F0" w:rsidRDefault="00856FFE" w:rsidP="003B64E0">
            <w:pPr>
              <w:spacing w:after="0" w:line="480" w:lineRule="auto"/>
              <w:rPr>
                <w:rFonts w:ascii="Arial" w:eastAsia="Times New Roman" w:hAnsi="Arial" w:cs="Arial"/>
                <w:sz w:val="18"/>
                <w:szCs w:val="18"/>
                <w:lang w:eastAsia="en-ID"/>
              </w:rPr>
            </w:pPr>
            <w:r w:rsidRPr="000819F0">
              <w:rPr>
                <w:rFonts w:ascii="Arial" w:eastAsia="Times New Roman" w:hAnsi="Arial" w:cs="Arial"/>
                <w:sz w:val="18"/>
                <w:szCs w:val="18"/>
                <w:lang w:eastAsia="en-ID"/>
              </w:rPr>
              <w:t>Asymp. Sig. (2-tailed)</w:t>
            </w:r>
          </w:p>
        </w:tc>
        <w:tc>
          <w:tcPr>
            <w:tcW w:w="1700" w:type="dxa"/>
            <w:tcBorders>
              <w:top w:val="nil"/>
              <w:left w:val="nil"/>
              <w:bottom w:val="single" w:sz="4" w:space="0" w:color="auto"/>
              <w:right w:val="single" w:sz="4" w:space="0" w:color="auto"/>
            </w:tcBorders>
            <w:shd w:val="clear" w:color="auto" w:fill="auto"/>
            <w:noWrap/>
            <w:hideMark/>
          </w:tcPr>
          <w:p w14:paraId="5995F9C2" w14:textId="77777777" w:rsidR="00856FFE" w:rsidRPr="000819F0" w:rsidRDefault="00856FFE" w:rsidP="003B64E0">
            <w:pPr>
              <w:spacing w:after="0" w:line="480" w:lineRule="auto"/>
              <w:jc w:val="right"/>
              <w:rPr>
                <w:rFonts w:ascii="Arial" w:eastAsia="Times New Roman" w:hAnsi="Arial" w:cs="Arial"/>
                <w:sz w:val="18"/>
                <w:szCs w:val="18"/>
                <w:lang w:eastAsia="en-ID"/>
              </w:rPr>
            </w:pPr>
            <w:r w:rsidRPr="000819F0">
              <w:rPr>
                <w:rFonts w:ascii="Arial" w:eastAsia="Times New Roman" w:hAnsi="Arial" w:cs="Arial"/>
                <w:sz w:val="18"/>
                <w:szCs w:val="18"/>
                <w:lang w:eastAsia="en-ID"/>
              </w:rPr>
              <w:t>.000</w:t>
            </w:r>
            <w:r w:rsidRPr="000819F0">
              <w:rPr>
                <w:rFonts w:ascii="Arial" w:eastAsia="Times New Roman" w:hAnsi="Arial" w:cs="Arial"/>
                <w:sz w:val="18"/>
                <w:szCs w:val="18"/>
                <w:vertAlign w:val="superscript"/>
                <w:lang w:eastAsia="en-ID"/>
              </w:rPr>
              <w:t>c</w:t>
            </w:r>
          </w:p>
        </w:tc>
      </w:tr>
    </w:tbl>
    <w:p w14:paraId="0C440BD2" w14:textId="77777777" w:rsidR="00856FFE" w:rsidRDefault="00856FFE" w:rsidP="00856FFE">
      <w:pPr>
        <w:pStyle w:val="ListParagraph"/>
        <w:spacing w:line="480" w:lineRule="auto"/>
        <w:jc w:val="both"/>
        <w:rPr>
          <w:rFonts w:ascii="Times New Roman" w:hAnsi="Times New Roman" w:cs="Times New Roman"/>
          <w:bCs/>
          <w:sz w:val="24"/>
          <w:szCs w:val="24"/>
          <w:lang w:val="en-GB"/>
        </w:rPr>
      </w:pPr>
    </w:p>
    <w:p w14:paraId="2986321C" w14:textId="77777777" w:rsidR="00856FFE" w:rsidRDefault="00856FFE" w:rsidP="00B77E46">
      <w:pPr>
        <w:pStyle w:val="ListParagraph"/>
        <w:spacing w:line="48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ab/>
        <w:t>Pada tabel 1.4. ini dapat dilihat angka variabel residual sebesar 0,000 yang menunjukkan bahwa nilai Sig. berada &lt;0,05 atau 5% sehingga dapat disimpulkan data variabel berasal dari populasi yang tidak normal. Dapat dilihat pada gambar berikut ini bahwa sebaran data tidak berada di garis normal.</w:t>
      </w:r>
    </w:p>
    <w:p w14:paraId="6B462CA6" w14:textId="77777777" w:rsidR="00B77E46" w:rsidRDefault="00B77E46" w:rsidP="00856FFE">
      <w:pPr>
        <w:pStyle w:val="ListParagraph"/>
        <w:spacing w:line="480" w:lineRule="auto"/>
        <w:ind w:left="0"/>
        <w:jc w:val="center"/>
        <w:rPr>
          <w:rFonts w:ascii="Times New Roman" w:hAnsi="Times New Roman" w:cs="Times New Roman"/>
          <w:b/>
          <w:sz w:val="24"/>
          <w:szCs w:val="24"/>
          <w:lang w:val="en-GB"/>
        </w:rPr>
      </w:pPr>
    </w:p>
    <w:p w14:paraId="6F112E83" w14:textId="77777777" w:rsidR="00B77E46" w:rsidRDefault="00B77E46" w:rsidP="00856FFE">
      <w:pPr>
        <w:pStyle w:val="ListParagraph"/>
        <w:spacing w:line="480" w:lineRule="auto"/>
        <w:ind w:left="0"/>
        <w:jc w:val="center"/>
        <w:rPr>
          <w:rFonts w:ascii="Times New Roman" w:hAnsi="Times New Roman" w:cs="Times New Roman"/>
          <w:b/>
          <w:sz w:val="24"/>
          <w:szCs w:val="24"/>
          <w:lang w:val="en-GB"/>
        </w:rPr>
      </w:pPr>
    </w:p>
    <w:p w14:paraId="53769258" w14:textId="7E2BBD7C" w:rsidR="00856FFE" w:rsidRPr="00506B5A" w:rsidRDefault="00856FFE" w:rsidP="00856FFE">
      <w:pPr>
        <w:pStyle w:val="ListParagraph"/>
        <w:spacing w:line="480" w:lineRule="auto"/>
        <w:ind w:left="0"/>
        <w:jc w:val="center"/>
        <w:rPr>
          <w:rFonts w:ascii="Times New Roman" w:hAnsi="Times New Roman" w:cs="Times New Roman"/>
          <w:b/>
          <w:sz w:val="24"/>
          <w:szCs w:val="24"/>
          <w:lang w:val="en-GB"/>
        </w:rPr>
      </w:pPr>
      <w:r w:rsidRPr="00506B5A">
        <w:rPr>
          <w:rFonts w:ascii="Times New Roman" w:hAnsi="Times New Roman" w:cs="Times New Roman"/>
          <w:b/>
          <w:sz w:val="24"/>
          <w:szCs w:val="24"/>
          <w:lang w:val="en-GB"/>
        </w:rPr>
        <w:lastRenderedPageBreak/>
        <w:t xml:space="preserve">Tabel </w:t>
      </w:r>
      <w:r>
        <w:rPr>
          <w:rFonts w:ascii="Times New Roman" w:hAnsi="Times New Roman" w:cs="Times New Roman"/>
          <w:b/>
          <w:sz w:val="24"/>
          <w:szCs w:val="24"/>
          <w:lang w:val="en-GB"/>
        </w:rPr>
        <w:t>1</w:t>
      </w:r>
      <w:r w:rsidRPr="00506B5A">
        <w:rPr>
          <w:rFonts w:ascii="Times New Roman" w:hAnsi="Times New Roman" w:cs="Times New Roman"/>
          <w:b/>
          <w:sz w:val="24"/>
          <w:szCs w:val="24"/>
          <w:lang w:val="en-GB"/>
        </w:rPr>
        <w:t>.</w:t>
      </w:r>
      <w:r>
        <w:rPr>
          <w:rFonts w:ascii="Times New Roman" w:hAnsi="Times New Roman" w:cs="Times New Roman"/>
          <w:b/>
          <w:sz w:val="24"/>
          <w:szCs w:val="24"/>
          <w:lang w:val="en-GB"/>
        </w:rPr>
        <w:t>4.</w:t>
      </w:r>
      <w:r w:rsidRPr="00506B5A">
        <w:rPr>
          <w:rFonts w:ascii="Times New Roman" w:hAnsi="Times New Roman" w:cs="Times New Roman"/>
          <w:b/>
          <w:sz w:val="24"/>
          <w:szCs w:val="24"/>
          <w:lang w:val="en-GB"/>
        </w:rPr>
        <w:t xml:space="preserve"> Uji Multikolinieritas</w:t>
      </w:r>
    </w:p>
    <w:tbl>
      <w:tblPr>
        <w:tblW w:w="7548" w:type="dxa"/>
        <w:tblInd w:w="279" w:type="dxa"/>
        <w:tblLook w:val="04A0" w:firstRow="1" w:lastRow="0" w:firstColumn="1" w:lastColumn="0" w:noHBand="0" w:noVBand="1"/>
      </w:tblPr>
      <w:tblGrid>
        <w:gridCol w:w="317"/>
        <w:gridCol w:w="1057"/>
        <w:gridCol w:w="780"/>
        <w:gridCol w:w="875"/>
        <w:gridCol w:w="1441"/>
        <w:gridCol w:w="727"/>
        <w:gridCol w:w="667"/>
        <w:gridCol w:w="1017"/>
        <w:gridCol w:w="667"/>
      </w:tblGrid>
      <w:tr w:rsidR="00856FFE" w:rsidRPr="00333607" w14:paraId="51D6B27D" w14:textId="77777777" w:rsidTr="00B77E46">
        <w:trPr>
          <w:trHeight w:val="495"/>
        </w:trPr>
        <w:tc>
          <w:tcPr>
            <w:tcW w:w="754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6D91A68" w14:textId="77777777" w:rsidR="00856FFE" w:rsidRPr="00333607" w:rsidRDefault="00856FFE" w:rsidP="003B64E0">
            <w:pPr>
              <w:spacing w:after="0" w:line="480" w:lineRule="auto"/>
              <w:jc w:val="center"/>
              <w:rPr>
                <w:rFonts w:ascii="Arial Bold" w:eastAsia="Times New Roman" w:hAnsi="Arial Bold" w:cs="Calibri"/>
                <w:b/>
                <w:bCs/>
                <w:lang w:eastAsia="en-ID"/>
              </w:rPr>
            </w:pPr>
            <w:r w:rsidRPr="00333607">
              <w:rPr>
                <w:rFonts w:ascii="Arial Bold" w:eastAsia="Times New Roman" w:hAnsi="Arial Bold" w:cs="Calibri"/>
                <w:b/>
                <w:bCs/>
                <w:lang w:eastAsia="en-ID"/>
              </w:rPr>
              <w:t>Coefficients</w:t>
            </w:r>
            <w:r w:rsidRPr="00333607">
              <w:rPr>
                <w:rFonts w:ascii="Arial Bold" w:eastAsia="Times New Roman" w:hAnsi="Arial Bold" w:cs="Calibri"/>
                <w:b/>
                <w:bCs/>
                <w:vertAlign w:val="superscript"/>
                <w:lang w:eastAsia="en-ID"/>
              </w:rPr>
              <w:t>a</w:t>
            </w:r>
          </w:p>
        </w:tc>
      </w:tr>
      <w:tr w:rsidR="00856FFE" w:rsidRPr="00333607" w14:paraId="392CDFD1" w14:textId="77777777" w:rsidTr="00B77E46">
        <w:trPr>
          <w:trHeight w:val="64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48A53C8" w14:textId="77777777" w:rsidR="00856FFE" w:rsidRPr="00333607" w:rsidRDefault="00856FFE" w:rsidP="003B64E0">
            <w:pPr>
              <w:spacing w:after="0" w:line="480" w:lineRule="auto"/>
              <w:rPr>
                <w:rFonts w:ascii="Arial" w:eastAsia="Times New Roman" w:hAnsi="Arial" w:cs="Arial"/>
                <w:sz w:val="18"/>
                <w:szCs w:val="18"/>
                <w:lang w:eastAsia="en-ID"/>
              </w:rPr>
            </w:pPr>
            <w:r w:rsidRPr="00333607">
              <w:rPr>
                <w:rFonts w:ascii="Arial" w:eastAsia="Times New Roman" w:hAnsi="Arial" w:cs="Arial"/>
                <w:sz w:val="18"/>
                <w:szCs w:val="18"/>
                <w:lang w:eastAsia="en-ID"/>
              </w:rPr>
              <w:t>Model</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14:paraId="39BCE87D"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Unstandardized Coefficients</w:t>
            </w:r>
          </w:p>
        </w:tc>
        <w:tc>
          <w:tcPr>
            <w:tcW w:w="0" w:type="auto"/>
            <w:tcBorders>
              <w:top w:val="nil"/>
              <w:left w:val="nil"/>
              <w:bottom w:val="single" w:sz="4" w:space="0" w:color="auto"/>
              <w:right w:val="single" w:sz="4" w:space="0" w:color="auto"/>
            </w:tcBorders>
            <w:shd w:val="clear" w:color="auto" w:fill="auto"/>
            <w:vAlign w:val="bottom"/>
            <w:hideMark/>
          </w:tcPr>
          <w:p w14:paraId="1F2FCC2B"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Standardized Coefficients</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7B84F69"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t</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4CB350D"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Sig.</w:t>
            </w:r>
          </w:p>
        </w:tc>
        <w:tc>
          <w:tcPr>
            <w:tcW w:w="1684" w:type="dxa"/>
            <w:gridSpan w:val="2"/>
            <w:tcBorders>
              <w:top w:val="single" w:sz="4" w:space="0" w:color="auto"/>
              <w:left w:val="nil"/>
              <w:bottom w:val="single" w:sz="4" w:space="0" w:color="auto"/>
              <w:right w:val="single" w:sz="4" w:space="0" w:color="auto"/>
            </w:tcBorders>
            <w:shd w:val="clear" w:color="auto" w:fill="auto"/>
            <w:vAlign w:val="bottom"/>
            <w:hideMark/>
          </w:tcPr>
          <w:p w14:paraId="42BF1F9F"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Collinearity Statistics</w:t>
            </w:r>
          </w:p>
        </w:tc>
      </w:tr>
      <w:tr w:rsidR="00856FFE" w:rsidRPr="00333607" w14:paraId="7BB65560" w14:textId="77777777" w:rsidTr="00B77E46">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933297" w14:textId="77777777" w:rsidR="00856FFE" w:rsidRPr="00333607" w:rsidRDefault="00856FFE" w:rsidP="003B64E0">
            <w:pPr>
              <w:spacing w:after="0" w:line="480" w:lineRule="auto"/>
              <w:rPr>
                <w:rFonts w:ascii="Arial" w:eastAsia="Times New Roman" w:hAnsi="Arial" w:cs="Arial"/>
                <w:sz w:val="18"/>
                <w:szCs w:val="18"/>
                <w:lang w:eastAsia="en-ID"/>
              </w:rPr>
            </w:pPr>
          </w:p>
        </w:tc>
        <w:tc>
          <w:tcPr>
            <w:tcW w:w="0" w:type="auto"/>
            <w:tcBorders>
              <w:top w:val="nil"/>
              <w:left w:val="nil"/>
              <w:bottom w:val="single" w:sz="4" w:space="0" w:color="auto"/>
              <w:right w:val="single" w:sz="4" w:space="0" w:color="auto"/>
            </w:tcBorders>
            <w:shd w:val="clear" w:color="auto" w:fill="auto"/>
            <w:vAlign w:val="bottom"/>
            <w:hideMark/>
          </w:tcPr>
          <w:p w14:paraId="6F088047"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B</w:t>
            </w:r>
          </w:p>
        </w:tc>
        <w:tc>
          <w:tcPr>
            <w:tcW w:w="0" w:type="auto"/>
            <w:tcBorders>
              <w:top w:val="nil"/>
              <w:left w:val="nil"/>
              <w:bottom w:val="single" w:sz="4" w:space="0" w:color="auto"/>
              <w:right w:val="single" w:sz="4" w:space="0" w:color="auto"/>
            </w:tcBorders>
            <w:shd w:val="clear" w:color="auto" w:fill="auto"/>
            <w:vAlign w:val="bottom"/>
            <w:hideMark/>
          </w:tcPr>
          <w:p w14:paraId="342E1130"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Std. Error</w:t>
            </w:r>
          </w:p>
        </w:tc>
        <w:tc>
          <w:tcPr>
            <w:tcW w:w="0" w:type="auto"/>
            <w:tcBorders>
              <w:top w:val="nil"/>
              <w:left w:val="nil"/>
              <w:bottom w:val="single" w:sz="4" w:space="0" w:color="auto"/>
              <w:right w:val="single" w:sz="4" w:space="0" w:color="auto"/>
            </w:tcBorders>
            <w:shd w:val="clear" w:color="auto" w:fill="auto"/>
            <w:vAlign w:val="bottom"/>
            <w:hideMark/>
          </w:tcPr>
          <w:p w14:paraId="66563FC4"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Beta</w:t>
            </w:r>
          </w:p>
        </w:tc>
        <w:tc>
          <w:tcPr>
            <w:tcW w:w="0" w:type="auto"/>
            <w:vMerge/>
            <w:tcBorders>
              <w:top w:val="nil"/>
              <w:left w:val="single" w:sz="4" w:space="0" w:color="auto"/>
              <w:bottom w:val="single" w:sz="4" w:space="0" w:color="auto"/>
              <w:right w:val="single" w:sz="4" w:space="0" w:color="auto"/>
            </w:tcBorders>
            <w:vAlign w:val="center"/>
            <w:hideMark/>
          </w:tcPr>
          <w:p w14:paraId="15D94089" w14:textId="77777777" w:rsidR="00856FFE" w:rsidRPr="00333607" w:rsidRDefault="00856FFE" w:rsidP="003B64E0">
            <w:pPr>
              <w:spacing w:after="0" w:line="480" w:lineRule="auto"/>
              <w:rPr>
                <w:rFonts w:ascii="Arial" w:eastAsia="Times New Roman" w:hAnsi="Arial" w:cs="Arial"/>
                <w:sz w:val="18"/>
                <w:szCs w:val="18"/>
                <w:lang w:eastAsia="en-ID"/>
              </w:rPr>
            </w:pPr>
          </w:p>
        </w:tc>
        <w:tc>
          <w:tcPr>
            <w:tcW w:w="0" w:type="auto"/>
            <w:vMerge/>
            <w:tcBorders>
              <w:top w:val="nil"/>
              <w:left w:val="single" w:sz="4" w:space="0" w:color="auto"/>
              <w:bottom w:val="single" w:sz="4" w:space="0" w:color="auto"/>
              <w:right w:val="single" w:sz="4" w:space="0" w:color="auto"/>
            </w:tcBorders>
            <w:vAlign w:val="center"/>
            <w:hideMark/>
          </w:tcPr>
          <w:p w14:paraId="4A8D84B0" w14:textId="77777777" w:rsidR="00856FFE" w:rsidRPr="00333607" w:rsidRDefault="00856FFE" w:rsidP="003B64E0">
            <w:pPr>
              <w:spacing w:after="0" w:line="480" w:lineRule="auto"/>
              <w:rPr>
                <w:rFonts w:ascii="Arial" w:eastAsia="Times New Roman" w:hAnsi="Arial" w:cs="Arial"/>
                <w:sz w:val="18"/>
                <w:szCs w:val="18"/>
                <w:lang w:eastAsia="en-ID"/>
              </w:rPr>
            </w:pPr>
          </w:p>
        </w:tc>
        <w:tc>
          <w:tcPr>
            <w:tcW w:w="0" w:type="auto"/>
            <w:tcBorders>
              <w:top w:val="nil"/>
              <w:left w:val="nil"/>
              <w:bottom w:val="single" w:sz="4" w:space="0" w:color="auto"/>
              <w:right w:val="single" w:sz="4" w:space="0" w:color="auto"/>
            </w:tcBorders>
            <w:shd w:val="clear" w:color="auto" w:fill="auto"/>
            <w:vAlign w:val="bottom"/>
            <w:hideMark/>
          </w:tcPr>
          <w:p w14:paraId="32282144"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Tolerance</w:t>
            </w:r>
          </w:p>
        </w:tc>
        <w:tc>
          <w:tcPr>
            <w:tcW w:w="667" w:type="dxa"/>
            <w:tcBorders>
              <w:top w:val="nil"/>
              <w:left w:val="nil"/>
              <w:bottom w:val="single" w:sz="4" w:space="0" w:color="auto"/>
              <w:right w:val="single" w:sz="4" w:space="0" w:color="auto"/>
            </w:tcBorders>
            <w:shd w:val="clear" w:color="auto" w:fill="auto"/>
            <w:vAlign w:val="bottom"/>
            <w:hideMark/>
          </w:tcPr>
          <w:p w14:paraId="4890F290"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VIF</w:t>
            </w:r>
          </w:p>
        </w:tc>
      </w:tr>
      <w:tr w:rsidR="00856FFE" w:rsidRPr="00333607" w14:paraId="56338067" w14:textId="77777777" w:rsidTr="00B77E46">
        <w:trPr>
          <w:trHeight w:val="48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1CF646A1" w14:textId="77777777" w:rsidR="00856FFE" w:rsidRPr="00333607" w:rsidRDefault="00856FFE" w:rsidP="003B64E0">
            <w:pPr>
              <w:spacing w:after="0" w:line="480" w:lineRule="auto"/>
              <w:rPr>
                <w:rFonts w:ascii="Arial" w:eastAsia="Times New Roman" w:hAnsi="Arial" w:cs="Arial"/>
                <w:sz w:val="18"/>
                <w:szCs w:val="18"/>
                <w:lang w:eastAsia="en-ID"/>
              </w:rPr>
            </w:pPr>
            <w:r w:rsidRPr="00333607">
              <w:rPr>
                <w:rFonts w:ascii="Arial" w:eastAsia="Times New Roman" w:hAnsi="Arial" w:cs="Arial"/>
                <w:sz w:val="18"/>
                <w:szCs w:val="18"/>
                <w:lang w:eastAsia="en-ID"/>
              </w:rPr>
              <w:t>1</w:t>
            </w:r>
          </w:p>
        </w:tc>
        <w:tc>
          <w:tcPr>
            <w:tcW w:w="0" w:type="auto"/>
            <w:tcBorders>
              <w:top w:val="nil"/>
              <w:left w:val="nil"/>
              <w:bottom w:val="single" w:sz="4" w:space="0" w:color="auto"/>
              <w:right w:val="single" w:sz="4" w:space="0" w:color="auto"/>
            </w:tcBorders>
            <w:shd w:val="clear" w:color="auto" w:fill="auto"/>
            <w:hideMark/>
          </w:tcPr>
          <w:p w14:paraId="2F00409E" w14:textId="77777777" w:rsidR="00856FFE" w:rsidRPr="00333607" w:rsidRDefault="00856FFE" w:rsidP="003B64E0">
            <w:pPr>
              <w:spacing w:after="0" w:line="480" w:lineRule="auto"/>
              <w:rPr>
                <w:rFonts w:ascii="Arial" w:eastAsia="Times New Roman" w:hAnsi="Arial" w:cs="Arial"/>
                <w:sz w:val="18"/>
                <w:szCs w:val="18"/>
                <w:lang w:eastAsia="en-ID"/>
              </w:rPr>
            </w:pPr>
            <w:r w:rsidRPr="00333607">
              <w:rPr>
                <w:rFonts w:ascii="Arial" w:eastAsia="Times New Roman" w:hAnsi="Arial" w:cs="Arial"/>
                <w:sz w:val="18"/>
                <w:szCs w:val="18"/>
                <w:lang w:eastAsia="en-ID"/>
              </w:rPr>
              <w:t>(Constant)</w:t>
            </w:r>
          </w:p>
        </w:tc>
        <w:tc>
          <w:tcPr>
            <w:tcW w:w="0" w:type="auto"/>
            <w:tcBorders>
              <w:top w:val="nil"/>
              <w:left w:val="nil"/>
              <w:bottom w:val="single" w:sz="4" w:space="0" w:color="auto"/>
              <w:right w:val="single" w:sz="4" w:space="0" w:color="auto"/>
            </w:tcBorders>
            <w:shd w:val="clear" w:color="auto" w:fill="auto"/>
            <w:noWrap/>
            <w:hideMark/>
          </w:tcPr>
          <w:p w14:paraId="37BBB4BB"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-4,219</w:t>
            </w:r>
          </w:p>
        </w:tc>
        <w:tc>
          <w:tcPr>
            <w:tcW w:w="0" w:type="auto"/>
            <w:tcBorders>
              <w:top w:val="nil"/>
              <w:left w:val="nil"/>
              <w:bottom w:val="single" w:sz="4" w:space="0" w:color="auto"/>
              <w:right w:val="single" w:sz="4" w:space="0" w:color="auto"/>
            </w:tcBorders>
            <w:shd w:val="clear" w:color="auto" w:fill="auto"/>
            <w:noWrap/>
            <w:hideMark/>
          </w:tcPr>
          <w:p w14:paraId="371140C7"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13,394</w:t>
            </w:r>
          </w:p>
        </w:tc>
        <w:tc>
          <w:tcPr>
            <w:tcW w:w="0" w:type="auto"/>
            <w:tcBorders>
              <w:top w:val="nil"/>
              <w:left w:val="nil"/>
              <w:bottom w:val="single" w:sz="4" w:space="0" w:color="auto"/>
              <w:right w:val="single" w:sz="4" w:space="0" w:color="auto"/>
            </w:tcBorders>
            <w:shd w:val="clear" w:color="auto" w:fill="auto"/>
            <w:hideMark/>
          </w:tcPr>
          <w:p w14:paraId="2BEED9C7" w14:textId="77777777" w:rsidR="00856FFE" w:rsidRPr="00333607" w:rsidRDefault="00856FFE" w:rsidP="003B64E0">
            <w:pPr>
              <w:spacing w:after="0" w:line="480" w:lineRule="auto"/>
              <w:rPr>
                <w:rFonts w:ascii="Arial" w:eastAsia="Times New Roman" w:hAnsi="Arial" w:cs="Arial"/>
                <w:sz w:val="18"/>
                <w:szCs w:val="18"/>
                <w:lang w:eastAsia="en-ID"/>
              </w:rPr>
            </w:pPr>
            <w:r w:rsidRPr="00333607">
              <w:rPr>
                <w:rFonts w:ascii="Arial" w:eastAsia="Times New Roman" w:hAnsi="Arial" w:cs="Arial"/>
                <w:sz w:val="18"/>
                <w:szCs w:val="18"/>
                <w:lang w:eastAsia="en-ID"/>
              </w:rPr>
              <w:t> </w:t>
            </w:r>
          </w:p>
        </w:tc>
        <w:tc>
          <w:tcPr>
            <w:tcW w:w="0" w:type="auto"/>
            <w:tcBorders>
              <w:top w:val="nil"/>
              <w:left w:val="nil"/>
              <w:bottom w:val="single" w:sz="4" w:space="0" w:color="auto"/>
              <w:right w:val="single" w:sz="4" w:space="0" w:color="auto"/>
            </w:tcBorders>
            <w:shd w:val="clear" w:color="auto" w:fill="auto"/>
            <w:noWrap/>
            <w:hideMark/>
          </w:tcPr>
          <w:p w14:paraId="052565B6"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-0,315</w:t>
            </w:r>
          </w:p>
        </w:tc>
        <w:tc>
          <w:tcPr>
            <w:tcW w:w="0" w:type="auto"/>
            <w:tcBorders>
              <w:top w:val="nil"/>
              <w:left w:val="nil"/>
              <w:bottom w:val="single" w:sz="4" w:space="0" w:color="auto"/>
              <w:right w:val="single" w:sz="4" w:space="0" w:color="auto"/>
            </w:tcBorders>
            <w:shd w:val="clear" w:color="auto" w:fill="auto"/>
            <w:noWrap/>
            <w:hideMark/>
          </w:tcPr>
          <w:p w14:paraId="06BBB65C"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0,753</w:t>
            </w:r>
          </w:p>
        </w:tc>
        <w:tc>
          <w:tcPr>
            <w:tcW w:w="0" w:type="auto"/>
            <w:tcBorders>
              <w:top w:val="nil"/>
              <w:left w:val="nil"/>
              <w:bottom w:val="single" w:sz="4" w:space="0" w:color="auto"/>
              <w:right w:val="single" w:sz="4" w:space="0" w:color="auto"/>
            </w:tcBorders>
            <w:shd w:val="clear" w:color="auto" w:fill="auto"/>
            <w:hideMark/>
          </w:tcPr>
          <w:p w14:paraId="6A4FA696" w14:textId="77777777" w:rsidR="00856FFE" w:rsidRPr="00333607" w:rsidRDefault="00856FFE" w:rsidP="003B64E0">
            <w:pPr>
              <w:spacing w:after="0" w:line="480" w:lineRule="auto"/>
              <w:rPr>
                <w:rFonts w:ascii="Arial" w:eastAsia="Times New Roman" w:hAnsi="Arial" w:cs="Arial"/>
                <w:sz w:val="18"/>
                <w:szCs w:val="18"/>
                <w:lang w:eastAsia="en-ID"/>
              </w:rPr>
            </w:pPr>
            <w:r w:rsidRPr="00333607">
              <w:rPr>
                <w:rFonts w:ascii="Arial" w:eastAsia="Times New Roman" w:hAnsi="Arial" w:cs="Arial"/>
                <w:sz w:val="18"/>
                <w:szCs w:val="18"/>
                <w:lang w:eastAsia="en-ID"/>
              </w:rPr>
              <w:t> </w:t>
            </w:r>
          </w:p>
        </w:tc>
        <w:tc>
          <w:tcPr>
            <w:tcW w:w="667" w:type="dxa"/>
            <w:tcBorders>
              <w:top w:val="nil"/>
              <w:left w:val="nil"/>
              <w:bottom w:val="single" w:sz="4" w:space="0" w:color="auto"/>
              <w:right w:val="single" w:sz="4" w:space="0" w:color="auto"/>
            </w:tcBorders>
            <w:shd w:val="clear" w:color="auto" w:fill="auto"/>
            <w:hideMark/>
          </w:tcPr>
          <w:p w14:paraId="0CB6A70E" w14:textId="77777777" w:rsidR="00856FFE" w:rsidRPr="00333607" w:rsidRDefault="00856FFE" w:rsidP="003B64E0">
            <w:pPr>
              <w:spacing w:after="0" w:line="480" w:lineRule="auto"/>
              <w:rPr>
                <w:rFonts w:ascii="Arial" w:eastAsia="Times New Roman" w:hAnsi="Arial" w:cs="Arial"/>
                <w:sz w:val="18"/>
                <w:szCs w:val="18"/>
                <w:lang w:eastAsia="en-ID"/>
              </w:rPr>
            </w:pPr>
            <w:r w:rsidRPr="00333607">
              <w:rPr>
                <w:rFonts w:ascii="Arial" w:eastAsia="Times New Roman" w:hAnsi="Arial" w:cs="Arial"/>
                <w:sz w:val="18"/>
                <w:szCs w:val="18"/>
                <w:lang w:eastAsia="en-ID"/>
              </w:rPr>
              <w:t> </w:t>
            </w:r>
          </w:p>
        </w:tc>
      </w:tr>
      <w:tr w:rsidR="00856FFE" w:rsidRPr="00333607" w14:paraId="131FD7D7" w14:textId="77777777" w:rsidTr="00B77E46">
        <w:trPr>
          <w:trHeight w:val="300"/>
        </w:trPr>
        <w:tc>
          <w:tcPr>
            <w:tcW w:w="0" w:type="auto"/>
            <w:vMerge/>
            <w:tcBorders>
              <w:top w:val="nil"/>
              <w:left w:val="single" w:sz="4" w:space="0" w:color="auto"/>
              <w:bottom w:val="single" w:sz="4" w:space="0" w:color="auto"/>
              <w:right w:val="single" w:sz="4" w:space="0" w:color="auto"/>
            </w:tcBorders>
            <w:vAlign w:val="center"/>
            <w:hideMark/>
          </w:tcPr>
          <w:p w14:paraId="10D1D1BA" w14:textId="77777777" w:rsidR="00856FFE" w:rsidRPr="00333607" w:rsidRDefault="00856FFE" w:rsidP="003B64E0">
            <w:pPr>
              <w:spacing w:after="0" w:line="480" w:lineRule="auto"/>
              <w:rPr>
                <w:rFonts w:ascii="Arial" w:eastAsia="Times New Roman" w:hAnsi="Arial" w:cs="Arial"/>
                <w:sz w:val="18"/>
                <w:szCs w:val="18"/>
                <w:lang w:eastAsia="en-ID"/>
              </w:rPr>
            </w:pPr>
          </w:p>
        </w:tc>
        <w:tc>
          <w:tcPr>
            <w:tcW w:w="0" w:type="auto"/>
            <w:tcBorders>
              <w:top w:val="nil"/>
              <w:left w:val="nil"/>
              <w:bottom w:val="single" w:sz="4" w:space="0" w:color="auto"/>
              <w:right w:val="single" w:sz="4" w:space="0" w:color="auto"/>
            </w:tcBorders>
            <w:shd w:val="clear" w:color="auto" w:fill="auto"/>
            <w:hideMark/>
          </w:tcPr>
          <w:p w14:paraId="5C678C08" w14:textId="77777777" w:rsidR="00856FFE" w:rsidRPr="00333607" w:rsidRDefault="00856FFE" w:rsidP="003B64E0">
            <w:pPr>
              <w:spacing w:after="0" w:line="480" w:lineRule="auto"/>
              <w:rPr>
                <w:rFonts w:ascii="Arial" w:eastAsia="Times New Roman" w:hAnsi="Arial" w:cs="Arial"/>
                <w:sz w:val="18"/>
                <w:szCs w:val="18"/>
                <w:lang w:eastAsia="en-ID"/>
              </w:rPr>
            </w:pPr>
            <w:r w:rsidRPr="00333607">
              <w:rPr>
                <w:rFonts w:ascii="Arial" w:eastAsia="Times New Roman" w:hAnsi="Arial" w:cs="Arial"/>
                <w:sz w:val="18"/>
                <w:szCs w:val="18"/>
                <w:lang w:eastAsia="en-ID"/>
              </w:rPr>
              <w:t>DER</w:t>
            </w:r>
          </w:p>
        </w:tc>
        <w:tc>
          <w:tcPr>
            <w:tcW w:w="0" w:type="auto"/>
            <w:tcBorders>
              <w:top w:val="nil"/>
              <w:left w:val="nil"/>
              <w:bottom w:val="single" w:sz="4" w:space="0" w:color="auto"/>
              <w:right w:val="single" w:sz="4" w:space="0" w:color="auto"/>
            </w:tcBorders>
            <w:shd w:val="clear" w:color="auto" w:fill="auto"/>
            <w:noWrap/>
            <w:hideMark/>
          </w:tcPr>
          <w:p w14:paraId="0B740958"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-0,886</w:t>
            </w:r>
          </w:p>
        </w:tc>
        <w:tc>
          <w:tcPr>
            <w:tcW w:w="0" w:type="auto"/>
            <w:tcBorders>
              <w:top w:val="nil"/>
              <w:left w:val="nil"/>
              <w:bottom w:val="single" w:sz="4" w:space="0" w:color="auto"/>
              <w:right w:val="single" w:sz="4" w:space="0" w:color="auto"/>
            </w:tcBorders>
            <w:shd w:val="clear" w:color="auto" w:fill="auto"/>
            <w:noWrap/>
            <w:hideMark/>
          </w:tcPr>
          <w:p w14:paraId="7D9720CC"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0,321</w:t>
            </w:r>
          </w:p>
        </w:tc>
        <w:tc>
          <w:tcPr>
            <w:tcW w:w="0" w:type="auto"/>
            <w:tcBorders>
              <w:top w:val="nil"/>
              <w:left w:val="nil"/>
              <w:bottom w:val="single" w:sz="4" w:space="0" w:color="auto"/>
              <w:right w:val="single" w:sz="4" w:space="0" w:color="auto"/>
            </w:tcBorders>
            <w:shd w:val="clear" w:color="auto" w:fill="auto"/>
            <w:noWrap/>
            <w:hideMark/>
          </w:tcPr>
          <w:p w14:paraId="29D23C47"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-0,239</w:t>
            </w:r>
          </w:p>
        </w:tc>
        <w:tc>
          <w:tcPr>
            <w:tcW w:w="0" w:type="auto"/>
            <w:tcBorders>
              <w:top w:val="nil"/>
              <w:left w:val="nil"/>
              <w:bottom w:val="single" w:sz="4" w:space="0" w:color="auto"/>
              <w:right w:val="single" w:sz="4" w:space="0" w:color="auto"/>
            </w:tcBorders>
            <w:shd w:val="clear" w:color="auto" w:fill="auto"/>
            <w:noWrap/>
            <w:hideMark/>
          </w:tcPr>
          <w:p w14:paraId="015F478A"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-2,760</w:t>
            </w:r>
          </w:p>
        </w:tc>
        <w:tc>
          <w:tcPr>
            <w:tcW w:w="0" w:type="auto"/>
            <w:tcBorders>
              <w:top w:val="nil"/>
              <w:left w:val="nil"/>
              <w:bottom w:val="single" w:sz="4" w:space="0" w:color="auto"/>
              <w:right w:val="single" w:sz="4" w:space="0" w:color="auto"/>
            </w:tcBorders>
            <w:shd w:val="clear" w:color="auto" w:fill="auto"/>
            <w:noWrap/>
            <w:hideMark/>
          </w:tcPr>
          <w:p w14:paraId="3F482125"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0,007</w:t>
            </w:r>
          </w:p>
        </w:tc>
        <w:tc>
          <w:tcPr>
            <w:tcW w:w="0" w:type="auto"/>
            <w:tcBorders>
              <w:top w:val="nil"/>
              <w:left w:val="nil"/>
              <w:bottom w:val="single" w:sz="4" w:space="0" w:color="auto"/>
              <w:right w:val="single" w:sz="4" w:space="0" w:color="auto"/>
            </w:tcBorders>
            <w:shd w:val="clear" w:color="auto" w:fill="auto"/>
            <w:noWrap/>
            <w:hideMark/>
          </w:tcPr>
          <w:p w14:paraId="4D2C6222"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0,980</w:t>
            </w:r>
          </w:p>
        </w:tc>
        <w:tc>
          <w:tcPr>
            <w:tcW w:w="667" w:type="dxa"/>
            <w:tcBorders>
              <w:top w:val="nil"/>
              <w:left w:val="nil"/>
              <w:bottom w:val="single" w:sz="4" w:space="0" w:color="auto"/>
              <w:right w:val="single" w:sz="4" w:space="0" w:color="auto"/>
            </w:tcBorders>
            <w:shd w:val="clear" w:color="auto" w:fill="auto"/>
            <w:noWrap/>
            <w:hideMark/>
          </w:tcPr>
          <w:p w14:paraId="3ABD818D"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1,020</w:t>
            </w:r>
          </w:p>
        </w:tc>
      </w:tr>
      <w:tr w:rsidR="00856FFE" w:rsidRPr="00333607" w14:paraId="20F95825" w14:textId="77777777" w:rsidTr="00B77E46">
        <w:trPr>
          <w:trHeight w:val="300"/>
        </w:trPr>
        <w:tc>
          <w:tcPr>
            <w:tcW w:w="0" w:type="auto"/>
            <w:vMerge/>
            <w:tcBorders>
              <w:top w:val="nil"/>
              <w:left w:val="single" w:sz="4" w:space="0" w:color="auto"/>
              <w:bottom w:val="single" w:sz="4" w:space="0" w:color="auto"/>
              <w:right w:val="single" w:sz="4" w:space="0" w:color="auto"/>
            </w:tcBorders>
            <w:vAlign w:val="center"/>
            <w:hideMark/>
          </w:tcPr>
          <w:p w14:paraId="47A80FDF" w14:textId="77777777" w:rsidR="00856FFE" w:rsidRPr="00333607" w:rsidRDefault="00856FFE" w:rsidP="003B64E0">
            <w:pPr>
              <w:spacing w:after="0" w:line="480" w:lineRule="auto"/>
              <w:rPr>
                <w:rFonts w:ascii="Arial" w:eastAsia="Times New Roman" w:hAnsi="Arial" w:cs="Arial"/>
                <w:sz w:val="18"/>
                <w:szCs w:val="18"/>
                <w:lang w:eastAsia="en-ID"/>
              </w:rPr>
            </w:pPr>
          </w:p>
        </w:tc>
        <w:tc>
          <w:tcPr>
            <w:tcW w:w="0" w:type="auto"/>
            <w:tcBorders>
              <w:top w:val="nil"/>
              <w:left w:val="nil"/>
              <w:bottom w:val="single" w:sz="4" w:space="0" w:color="auto"/>
              <w:right w:val="single" w:sz="4" w:space="0" w:color="auto"/>
            </w:tcBorders>
            <w:shd w:val="clear" w:color="auto" w:fill="auto"/>
            <w:hideMark/>
          </w:tcPr>
          <w:p w14:paraId="1575C3C4" w14:textId="77777777" w:rsidR="00856FFE" w:rsidRPr="00333607" w:rsidRDefault="00856FFE" w:rsidP="003B64E0">
            <w:pPr>
              <w:spacing w:after="0" w:line="480" w:lineRule="auto"/>
              <w:rPr>
                <w:rFonts w:ascii="Arial" w:eastAsia="Times New Roman" w:hAnsi="Arial" w:cs="Arial"/>
                <w:sz w:val="18"/>
                <w:szCs w:val="18"/>
                <w:lang w:eastAsia="en-ID"/>
              </w:rPr>
            </w:pPr>
            <w:r w:rsidRPr="00333607">
              <w:rPr>
                <w:rFonts w:ascii="Arial" w:eastAsia="Times New Roman" w:hAnsi="Arial" w:cs="Arial"/>
                <w:sz w:val="18"/>
                <w:szCs w:val="18"/>
                <w:lang w:eastAsia="en-ID"/>
              </w:rPr>
              <w:t>LN</w:t>
            </w:r>
          </w:p>
        </w:tc>
        <w:tc>
          <w:tcPr>
            <w:tcW w:w="0" w:type="auto"/>
            <w:tcBorders>
              <w:top w:val="nil"/>
              <w:left w:val="nil"/>
              <w:bottom w:val="single" w:sz="4" w:space="0" w:color="auto"/>
              <w:right w:val="single" w:sz="4" w:space="0" w:color="auto"/>
            </w:tcBorders>
            <w:shd w:val="clear" w:color="auto" w:fill="auto"/>
            <w:noWrap/>
            <w:hideMark/>
          </w:tcPr>
          <w:p w14:paraId="61E4034D"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0,301</w:t>
            </w:r>
          </w:p>
        </w:tc>
        <w:tc>
          <w:tcPr>
            <w:tcW w:w="0" w:type="auto"/>
            <w:tcBorders>
              <w:top w:val="nil"/>
              <w:left w:val="nil"/>
              <w:bottom w:val="single" w:sz="4" w:space="0" w:color="auto"/>
              <w:right w:val="single" w:sz="4" w:space="0" w:color="auto"/>
            </w:tcBorders>
            <w:shd w:val="clear" w:color="auto" w:fill="auto"/>
            <w:noWrap/>
            <w:hideMark/>
          </w:tcPr>
          <w:p w14:paraId="035F9DA8"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0,630</w:t>
            </w:r>
          </w:p>
        </w:tc>
        <w:tc>
          <w:tcPr>
            <w:tcW w:w="0" w:type="auto"/>
            <w:tcBorders>
              <w:top w:val="nil"/>
              <w:left w:val="nil"/>
              <w:bottom w:val="single" w:sz="4" w:space="0" w:color="auto"/>
              <w:right w:val="single" w:sz="4" w:space="0" w:color="auto"/>
            </w:tcBorders>
            <w:shd w:val="clear" w:color="auto" w:fill="auto"/>
            <w:noWrap/>
            <w:hideMark/>
          </w:tcPr>
          <w:p w14:paraId="062FF31A"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0,041</w:t>
            </w:r>
          </w:p>
        </w:tc>
        <w:tc>
          <w:tcPr>
            <w:tcW w:w="0" w:type="auto"/>
            <w:tcBorders>
              <w:top w:val="nil"/>
              <w:left w:val="nil"/>
              <w:bottom w:val="single" w:sz="4" w:space="0" w:color="auto"/>
              <w:right w:val="single" w:sz="4" w:space="0" w:color="auto"/>
            </w:tcBorders>
            <w:shd w:val="clear" w:color="auto" w:fill="auto"/>
            <w:noWrap/>
            <w:hideMark/>
          </w:tcPr>
          <w:p w14:paraId="788DE157"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0,478</w:t>
            </w:r>
          </w:p>
        </w:tc>
        <w:tc>
          <w:tcPr>
            <w:tcW w:w="0" w:type="auto"/>
            <w:tcBorders>
              <w:top w:val="nil"/>
              <w:left w:val="nil"/>
              <w:bottom w:val="single" w:sz="4" w:space="0" w:color="auto"/>
              <w:right w:val="single" w:sz="4" w:space="0" w:color="auto"/>
            </w:tcBorders>
            <w:shd w:val="clear" w:color="auto" w:fill="auto"/>
            <w:noWrap/>
            <w:hideMark/>
          </w:tcPr>
          <w:p w14:paraId="760ACFF2"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0,633</w:t>
            </w:r>
          </w:p>
        </w:tc>
        <w:tc>
          <w:tcPr>
            <w:tcW w:w="0" w:type="auto"/>
            <w:tcBorders>
              <w:top w:val="nil"/>
              <w:left w:val="nil"/>
              <w:bottom w:val="single" w:sz="4" w:space="0" w:color="auto"/>
              <w:right w:val="single" w:sz="4" w:space="0" w:color="auto"/>
            </w:tcBorders>
            <w:shd w:val="clear" w:color="auto" w:fill="auto"/>
            <w:noWrap/>
            <w:hideMark/>
          </w:tcPr>
          <w:p w14:paraId="17D8752C"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0,980</w:t>
            </w:r>
          </w:p>
        </w:tc>
        <w:tc>
          <w:tcPr>
            <w:tcW w:w="667" w:type="dxa"/>
            <w:tcBorders>
              <w:top w:val="nil"/>
              <w:left w:val="nil"/>
              <w:bottom w:val="single" w:sz="4" w:space="0" w:color="auto"/>
              <w:right w:val="single" w:sz="4" w:space="0" w:color="auto"/>
            </w:tcBorders>
            <w:shd w:val="clear" w:color="auto" w:fill="auto"/>
            <w:noWrap/>
            <w:hideMark/>
          </w:tcPr>
          <w:p w14:paraId="6613CF01"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1,020</w:t>
            </w:r>
          </w:p>
        </w:tc>
      </w:tr>
    </w:tbl>
    <w:p w14:paraId="18B743CF" w14:textId="77777777" w:rsidR="00856FFE" w:rsidRDefault="00856FFE" w:rsidP="00856FFE">
      <w:pPr>
        <w:pStyle w:val="ListParagraph"/>
        <w:spacing w:line="480" w:lineRule="auto"/>
        <w:jc w:val="both"/>
        <w:rPr>
          <w:rFonts w:ascii="Times New Roman" w:hAnsi="Times New Roman" w:cs="Times New Roman"/>
          <w:bCs/>
          <w:sz w:val="24"/>
          <w:szCs w:val="24"/>
          <w:lang w:val="en-GB"/>
        </w:rPr>
      </w:pPr>
    </w:p>
    <w:p w14:paraId="428B35E2" w14:textId="28DE4F95" w:rsidR="00856FFE" w:rsidRDefault="00856FFE" w:rsidP="00856FFE">
      <w:pPr>
        <w:spacing w:line="48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ab/>
        <w:t>Berdasarkan tabel 1.6. diatas, h</w:t>
      </w:r>
      <w:r w:rsidRPr="00C30BAA">
        <w:rPr>
          <w:rFonts w:ascii="Times New Roman" w:hAnsi="Times New Roman" w:cs="Times New Roman"/>
          <w:bCs/>
          <w:sz w:val="24"/>
          <w:szCs w:val="24"/>
          <w:lang w:val="en-GB"/>
        </w:rPr>
        <w:t>asil</w:t>
      </w:r>
      <w:r>
        <w:rPr>
          <w:rFonts w:ascii="Times New Roman" w:hAnsi="Times New Roman" w:cs="Times New Roman"/>
          <w:bCs/>
          <w:sz w:val="24"/>
          <w:szCs w:val="24"/>
          <w:lang w:val="en-GB"/>
        </w:rPr>
        <w:t xml:space="preserve"> perhitungan nilai Tolerance berada di angka lebih dari 0,10 dan juga masing-masing variabel bebas memiliki angka VIF yang berada dibawah angka 10 dan tidak ada yang lebih dari 10. Hasil uji multikolinieritas menunjukkan bahwa semua variabel bebas dari multikolinieritas.</w:t>
      </w:r>
    </w:p>
    <w:p w14:paraId="739FC910" w14:textId="53F16505" w:rsidR="00856FFE" w:rsidRDefault="00856FFE" w:rsidP="00856FFE">
      <w:pPr>
        <w:spacing w:line="480" w:lineRule="auto"/>
        <w:jc w:val="both"/>
        <w:rPr>
          <w:rFonts w:ascii="Times New Roman" w:hAnsi="Times New Roman" w:cs="Times New Roman"/>
          <w:bCs/>
          <w:sz w:val="24"/>
          <w:szCs w:val="24"/>
          <w:lang w:val="en-GB"/>
        </w:rPr>
      </w:pPr>
    </w:p>
    <w:p w14:paraId="52C233C3" w14:textId="2A7E7EF4" w:rsidR="00856FFE" w:rsidRPr="00506B5A" w:rsidRDefault="00856FFE" w:rsidP="00856FFE">
      <w:pPr>
        <w:pStyle w:val="ListParagraph"/>
        <w:spacing w:line="480" w:lineRule="auto"/>
        <w:jc w:val="center"/>
        <w:rPr>
          <w:rFonts w:ascii="Times New Roman" w:hAnsi="Times New Roman" w:cs="Times New Roman"/>
          <w:b/>
          <w:sz w:val="24"/>
          <w:szCs w:val="24"/>
          <w:lang w:val="en-GB"/>
        </w:rPr>
      </w:pPr>
      <w:r w:rsidRPr="00506B5A">
        <w:rPr>
          <w:rFonts w:ascii="Times New Roman" w:hAnsi="Times New Roman" w:cs="Times New Roman"/>
          <w:b/>
          <w:sz w:val="24"/>
          <w:szCs w:val="24"/>
          <w:lang w:val="en-GB"/>
        </w:rPr>
        <w:t xml:space="preserve">Tabel </w:t>
      </w:r>
      <w:r>
        <w:rPr>
          <w:rFonts w:ascii="Times New Roman" w:hAnsi="Times New Roman" w:cs="Times New Roman"/>
          <w:b/>
          <w:sz w:val="24"/>
          <w:szCs w:val="24"/>
          <w:lang w:val="en-GB"/>
        </w:rPr>
        <w:t>1</w:t>
      </w:r>
      <w:r w:rsidRPr="00506B5A">
        <w:rPr>
          <w:rFonts w:ascii="Times New Roman" w:hAnsi="Times New Roman" w:cs="Times New Roman"/>
          <w:b/>
          <w:sz w:val="24"/>
          <w:szCs w:val="24"/>
          <w:lang w:val="en-GB"/>
        </w:rPr>
        <w:t>.</w:t>
      </w:r>
      <w:r>
        <w:rPr>
          <w:rFonts w:ascii="Times New Roman" w:hAnsi="Times New Roman" w:cs="Times New Roman"/>
          <w:b/>
          <w:sz w:val="24"/>
          <w:szCs w:val="24"/>
          <w:lang w:val="en-GB"/>
        </w:rPr>
        <w:t>5.</w:t>
      </w:r>
      <w:r w:rsidRPr="00506B5A">
        <w:rPr>
          <w:rFonts w:ascii="Times New Roman" w:hAnsi="Times New Roman" w:cs="Times New Roman"/>
          <w:b/>
          <w:sz w:val="24"/>
          <w:szCs w:val="24"/>
          <w:lang w:val="en-GB"/>
        </w:rPr>
        <w:t xml:space="preserve"> Uji Autokorelasi</w:t>
      </w:r>
    </w:p>
    <w:tbl>
      <w:tblPr>
        <w:tblW w:w="7699" w:type="dxa"/>
        <w:tblInd w:w="707" w:type="dxa"/>
        <w:tblLook w:val="04A0" w:firstRow="1" w:lastRow="0" w:firstColumn="1" w:lastColumn="0" w:noHBand="0" w:noVBand="1"/>
      </w:tblPr>
      <w:tblGrid>
        <w:gridCol w:w="707"/>
        <w:gridCol w:w="634"/>
        <w:gridCol w:w="977"/>
        <w:gridCol w:w="1727"/>
        <w:gridCol w:w="2237"/>
        <w:gridCol w:w="1417"/>
      </w:tblGrid>
      <w:tr w:rsidR="00856FFE" w:rsidRPr="00333607" w14:paraId="1E12F73C" w14:textId="77777777" w:rsidTr="003B64E0">
        <w:trPr>
          <w:trHeight w:val="48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4891EC" w14:textId="77777777" w:rsidR="00856FFE" w:rsidRPr="00333607" w:rsidRDefault="00856FFE" w:rsidP="003B64E0">
            <w:pPr>
              <w:spacing w:after="0" w:line="480" w:lineRule="auto"/>
              <w:jc w:val="center"/>
              <w:rPr>
                <w:rFonts w:ascii="Arial Bold" w:eastAsia="Times New Roman" w:hAnsi="Arial Bold" w:cs="Calibri"/>
                <w:b/>
                <w:bCs/>
                <w:lang w:eastAsia="en-ID"/>
              </w:rPr>
            </w:pPr>
            <w:r w:rsidRPr="00333607">
              <w:rPr>
                <w:rFonts w:ascii="Arial Bold" w:eastAsia="Times New Roman" w:hAnsi="Arial Bold" w:cs="Calibri"/>
                <w:b/>
                <w:bCs/>
                <w:lang w:eastAsia="en-ID"/>
              </w:rPr>
              <w:t>Model Summary</w:t>
            </w:r>
            <w:r w:rsidRPr="00333607">
              <w:rPr>
                <w:rFonts w:ascii="Arial Bold" w:eastAsia="Times New Roman" w:hAnsi="Arial Bold" w:cs="Calibri"/>
                <w:b/>
                <w:bCs/>
                <w:vertAlign w:val="superscript"/>
                <w:lang w:eastAsia="en-ID"/>
              </w:rPr>
              <w:t>b</w:t>
            </w:r>
          </w:p>
        </w:tc>
      </w:tr>
      <w:tr w:rsidR="00856FFE" w:rsidRPr="00333607" w14:paraId="7CC57C50" w14:textId="77777777" w:rsidTr="003B64E0">
        <w:trPr>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8A36CDF" w14:textId="77777777" w:rsidR="00856FFE" w:rsidRPr="00333607" w:rsidRDefault="00856FFE" w:rsidP="003B64E0">
            <w:pPr>
              <w:spacing w:after="0" w:line="480" w:lineRule="auto"/>
              <w:rPr>
                <w:rFonts w:ascii="Arial" w:eastAsia="Times New Roman" w:hAnsi="Arial" w:cs="Arial"/>
                <w:sz w:val="18"/>
                <w:szCs w:val="18"/>
                <w:lang w:eastAsia="en-ID"/>
              </w:rPr>
            </w:pPr>
            <w:r w:rsidRPr="00333607">
              <w:rPr>
                <w:rFonts w:ascii="Arial" w:eastAsia="Times New Roman" w:hAnsi="Arial" w:cs="Arial"/>
                <w:sz w:val="18"/>
                <w:szCs w:val="18"/>
                <w:lang w:eastAsia="en-ID"/>
              </w:rPr>
              <w:t>Model</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0948A12"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R</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D818CF6"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R Square</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E098A97"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Adjusted R Square</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F1698CD"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Std. Error of the Estimate</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0F0B110" w14:textId="77777777" w:rsidR="00856FFE" w:rsidRPr="00333607" w:rsidRDefault="00856FFE" w:rsidP="003B64E0">
            <w:pPr>
              <w:spacing w:after="0" w:line="480" w:lineRule="auto"/>
              <w:jc w:val="center"/>
              <w:rPr>
                <w:rFonts w:ascii="Arial" w:eastAsia="Times New Roman" w:hAnsi="Arial" w:cs="Arial"/>
                <w:sz w:val="18"/>
                <w:szCs w:val="18"/>
                <w:lang w:eastAsia="en-ID"/>
              </w:rPr>
            </w:pPr>
            <w:r w:rsidRPr="00333607">
              <w:rPr>
                <w:rFonts w:ascii="Arial" w:eastAsia="Times New Roman" w:hAnsi="Arial" w:cs="Arial"/>
                <w:sz w:val="18"/>
                <w:szCs w:val="18"/>
                <w:lang w:eastAsia="en-ID"/>
              </w:rPr>
              <w:t>Durbin-Watson</w:t>
            </w:r>
          </w:p>
        </w:tc>
      </w:tr>
      <w:tr w:rsidR="00856FFE" w:rsidRPr="00333607" w14:paraId="3A4B9F46" w14:textId="77777777" w:rsidTr="003B64E0">
        <w:trPr>
          <w:trHeight w:val="450"/>
        </w:trPr>
        <w:tc>
          <w:tcPr>
            <w:tcW w:w="0" w:type="auto"/>
            <w:vMerge/>
            <w:tcBorders>
              <w:top w:val="nil"/>
              <w:left w:val="single" w:sz="4" w:space="0" w:color="auto"/>
              <w:bottom w:val="single" w:sz="4" w:space="0" w:color="auto"/>
              <w:right w:val="single" w:sz="4" w:space="0" w:color="auto"/>
            </w:tcBorders>
            <w:vAlign w:val="center"/>
            <w:hideMark/>
          </w:tcPr>
          <w:p w14:paraId="3F3F1089" w14:textId="77777777" w:rsidR="00856FFE" w:rsidRPr="00333607" w:rsidRDefault="00856FFE" w:rsidP="003B64E0">
            <w:pPr>
              <w:spacing w:after="0" w:line="480" w:lineRule="auto"/>
              <w:rPr>
                <w:rFonts w:ascii="Arial" w:eastAsia="Times New Roman" w:hAnsi="Arial" w:cs="Arial"/>
                <w:sz w:val="18"/>
                <w:szCs w:val="18"/>
                <w:lang w:eastAsia="en-ID"/>
              </w:rPr>
            </w:pPr>
          </w:p>
        </w:tc>
        <w:tc>
          <w:tcPr>
            <w:tcW w:w="0" w:type="auto"/>
            <w:vMerge/>
            <w:tcBorders>
              <w:top w:val="nil"/>
              <w:left w:val="single" w:sz="4" w:space="0" w:color="auto"/>
              <w:bottom w:val="single" w:sz="4" w:space="0" w:color="auto"/>
              <w:right w:val="single" w:sz="4" w:space="0" w:color="auto"/>
            </w:tcBorders>
            <w:vAlign w:val="center"/>
            <w:hideMark/>
          </w:tcPr>
          <w:p w14:paraId="716A1AD4" w14:textId="77777777" w:rsidR="00856FFE" w:rsidRPr="00333607" w:rsidRDefault="00856FFE" w:rsidP="003B64E0">
            <w:pPr>
              <w:spacing w:after="0" w:line="480" w:lineRule="auto"/>
              <w:rPr>
                <w:rFonts w:ascii="Arial" w:eastAsia="Times New Roman" w:hAnsi="Arial" w:cs="Arial"/>
                <w:sz w:val="18"/>
                <w:szCs w:val="18"/>
                <w:lang w:eastAsia="en-ID"/>
              </w:rPr>
            </w:pPr>
          </w:p>
        </w:tc>
        <w:tc>
          <w:tcPr>
            <w:tcW w:w="0" w:type="auto"/>
            <w:vMerge/>
            <w:tcBorders>
              <w:top w:val="nil"/>
              <w:left w:val="single" w:sz="4" w:space="0" w:color="auto"/>
              <w:bottom w:val="single" w:sz="4" w:space="0" w:color="auto"/>
              <w:right w:val="single" w:sz="4" w:space="0" w:color="auto"/>
            </w:tcBorders>
            <w:vAlign w:val="center"/>
            <w:hideMark/>
          </w:tcPr>
          <w:p w14:paraId="0E9426AA" w14:textId="77777777" w:rsidR="00856FFE" w:rsidRPr="00333607" w:rsidRDefault="00856FFE" w:rsidP="003B64E0">
            <w:pPr>
              <w:spacing w:after="0" w:line="480" w:lineRule="auto"/>
              <w:rPr>
                <w:rFonts w:ascii="Arial" w:eastAsia="Times New Roman" w:hAnsi="Arial" w:cs="Arial"/>
                <w:sz w:val="18"/>
                <w:szCs w:val="18"/>
                <w:lang w:eastAsia="en-ID"/>
              </w:rPr>
            </w:pPr>
          </w:p>
        </w:tc>
        <w:tc>
          <w:tcPr>
            <w:tcW w:w="0" w:type="auto"/>
            <w:vMerge/>
            <w:tcBorders>
              <w:top w:val="nil"/>
              <w:left w:val="single" w:sz="4" w:space="0" w:color="auto"/>
              <w:bottom w:val="single" w:sz="4" w:space="0" w:color="auto"/>
              <w:right w:val="single" w:sz="4" w:space="0" w:color="auto"/>
            </w:tcBorders>
            <w:vAlign w:val="center"/>
            <w:hideMark/>
          </w:tcPr>
          <w:p w14:paraId="649BEDBF" w14:textId="77777777" w:rsidR="00856FFE" w:rsidRPr="00333607" w:rsidRDefault="00856FFE" w:rsidP="003B64E0">
            <w:pPr>
              <w:spacing w:after="0" w:line="480" w:lineRule="auto"/>
              <w:rPr>
                <w:rFonts w:ascii="Arial" w:eastAsia="Times New Roman" w:hAnsi="Arial" w:cs="Arial"/>
                <w:sz w:val="18"/>
                <w:szCs w:val="18"/>
                <w:lang w:eastAsia="en-ID"/>
              </w:rPr>
            </w:pPr>
          </w:p>
        </w:tc>
        <w:tc>
          <w:tcPr>
            <w:tcW w:w="0" w:type="auto"/>
            <w:vMerge/>
            <w:tcBorders>
              <w:top w:val="nil"/>
              <w:left w:val="single" w:sz="4" w:space="0" w:color="auto"/>
              <w:bottom w:val="single" w:sz="4" w:space="0" w:color="auto"/>
              <w:right w:val="single" w:sz="4" w:space="0" w:color="auto"/>
            </w:tcBorders>
            <w:vAlign w:val="center"/>
            <w:hideMark/>
          </w:tcPr>
          <w:p w14:paraId="4CFC95BF" w14:textId="77777777" w:rsidR="00856FFE" w:rsidRPr="00333607" w:rsidRDefault="00856FFE" w:rsidP="003B64E0">
            <w:pPr>
              <w:spacing w:after="0" w:line="480" w:lineRule="auto"/>
              <w:rPr>
                <w:rFonts w:ascii="Arial" w:eastAsia="Times New Roman" w:hAnsi="Arial" w:cs="Arial"/>
                <w:sz w:val="18"/>
                <w:szCs w:val="18"/>
                <w:lang w:eastAsia="en-ID"/>
              </w:rPr>
            </w:pPr>
          </w:p>
        </w:tc>
        <w:tc>
          <w:tcPr>
            <w:tcW w:w="0" w:type="auto"/>
            <w:vMerge/>
            <w:tcBorders>
              <w:top w:val="nil"/>
              <w:left w:val="single" w:sz="4" w:space="0" w:color="auto"/>
              <w:bottom w:val="single" w:sz="4" w:space="0" w:color="auto"/>
              <w:right w:val="single" w:sz="4" w:space="0" w:color="auto"/>
            </w:tcBorders>
            <w:vAlign w:val="center"/>
            <w:hideMark/>
          </w:tcPr>
          <w:p w14:paraId="1109A6AB" w14:textId="77777777" w:rsidR="00856FFE" w:rsidRPr="00333607" w:rsidRDefault="00856FFE" w:rsidP="003B64E0">
            <w:pPr>
              <w:spacing w:after="0" w:line="480" w:lineRule="auto"/>
              <w:rPr>
                <w:rFonts w:ascii="Arial" w:eastAsia="Times New Roman" w:hAnsi="Arial" w:cs="Arial"/>
                <w:sz w:val="18"/>
                <w:szCs w:val="18"/>
                <w:lang w:eastAsia="en-ID"/>
              </w:rPr>
            </w:pPr>
          </w:p>
        </w:tc>
      </w:tr>
      <w:tr w:rsidR="00856FFE" w:rsidRPr="00333607" w14:paraId="2420E397" w14:textId="77777777" w:rsidTr="003B64E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22A2044" w14:textId="77777777" w:rsidR="00856FFE" w:rsidRPr="00333607" w:rsidRDefault="00856FFE" w:rsidP="003B64E0">
            <w:pPr>
              <w:spacing w:after="0" w:line="480" w:lineRule="auto"/>
              <w:rPr>
                <w:rFonts w:ascii="Arial" w:eastAsia="Times New Roman" w:hAnsi="Arial" w:cs="Arial"/>
                <w:sz w:val="18"/>
                <w:szCs w:val="18"/>
                <w:lang w:eastAsia="en-ID"/>
              </w:rPr>
            </w:pPr>
            <w:r w:rsidRPr="00333607">
              <w:rPr>
                <w:rFonts w:ascii="Arial" w:eastAsia="Times New Roman" w:hAnsi="Arial" w:cs="Arial"/>
                <w:sz w:val="18"/>
                <w:szCs w:val="18"/>
                <w:lang w:eastAsia="en-ID"/>
              </w:rPr>
              <w:t>1</w:t>
            </w:r>
          </w:p>
        </w:tc>
        <w:tc>
          <w:tcPr>
            <w:tcW w:w="0" w:type="auto"/>
            <w:tcBorders>
              <w:top w:val="nil"/>
              <w:left w:val="nil"/>
              <w:bottom w:val="single" w:sz="4" w:space="0" w:color="auto"/>
              <w:right w:val="single" w:sz="4" w:space="0" w:color="auto"/>
            </w:tcBorders>
            <w:shd w:val="clear" w:color="auto" w:fill="auto"/>
            <w:noWrap/>
            <w:hideMark/>
          </w:tcPr>
          <w:p w14:paraId="25249065"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.236</w:t>
            </w:r>
            <w:r w:rsidRPr="00333607">
              <w:rPr>
                <w:rFonts w:ascii="Arial" w:eastAsia="Times New Roman" w:hAnsi="Arial" w:cs="Arial"/>
                <w:sz w:val="18"/>
                <w:szCs w:val="18"/>
                <w:vertAlign w:val="superscript"/>
                <w:lang w:eastAsia="en-ID"/>
              </w:rPr>
              <w:t>a</w:t>
            </w:r>
          </w:p>
        </w:tc>
        <w:tc>
          <w:tcPr>
            <w:tcW w:w="0" w:type="auto"/>
            <w:tcBorders>
              <w:top w:val="nil"/>
              <w:left w:val="nil"/>
              <w:bottom w:val="single" w:sz="4" w:space="0" w:color="auto"/>
              <w:right w:val="single" w:sz="4" w:space="0" w:color="auto"/>
            </w:tcBorders>
            <w:shd w:val="clear" w:color="auto" w:fill="auto"/>
            <w:noWrap/>
            <w:hideMark/>
          </w:tcPr>
          <w:p w14:paraId="06C4354F"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0,056</w:t>
            </w:r>
          </w:p>
        </w:tc>
        <w:tc>
          <w:tcPr>
            <w:tcW w:w="0" w:type="auto"/>
            <w:tcBorders>
              <w:top w:val="nil"/>
              <w:left w:val="nil"/>
              <w:bottom w:val="single" w:sz="4" w:space="0" w:color="auto"/>
              <w:right w:val="single" w:sz="4" w:space="0" w:color="auto"/>
            </w:tcBorders>
            <w:shd w:val="clear" w:color="auto" w:fill="auto"/>
            <w:noWrap/>
            <w:hideMark/>
          </w:tcPr>
          <w:p w14:paraId="303DCE2C"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0,041</w:t>
            </w:r>
          </w:p>
        </w:tc>
        <w:tc>
          <w:tcPr>
            <w:tcW w:w="0" w:type="auto"/>
            <w:tcBorders>
              <w:top w:val="nil"/>
              <w:left w:val="nil"/>
              <w:bottom w:val="single" w:sz="4" w:space="0" w:color="auto"/>
              <w:right w:val="single" w:sz="4" w:space="0" w:color="auto"/>
            </w:tcBorders>
            <w:shd w:val="clear" w:color="auto" w:fill="auto"/>
            <w:noWrap/>
            <w:hideMark/>
          </w:tcPr>
          <w:p w14:paraId="4E1B49D9"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10,05035</w:t>
            </w:r>
          </w:p>
        </w:tc>
        <w:tc>
          <w:tcPr>
            <w:tcW w:w="0" w:type="auto"/>
            <w:tcBorders>
              <w:top w:val="nil"/>
              <w:left w:val="nil"/>
              <w:bottom w:val="single" w:sz="4" w:space="0" w:color="auto"/>
              <w:right w:val="single" w:sz="4" w:space="0" w:color="auto"/>
            </w:tcBorders>
            <w:shd w:val="clear" w:color="auto" w:fill="auto"/>
            <w:noWrap/>
            <w:hideMark/>
          </w:tcPr>
          <w:p w14:paraId="07ECD7D6" w14:textId="77777777" w:rsidR="00856FFE" w:rsidRPr="00333607" w:rsidRDefault="00856FFE" w:rsidP="003B64E0">
            <w:pPr>
              <w:spacing w:after="0" w:line="480" w:lineRule="auto"/>
              <w:jc w:val="right"/>
              <w:rPr>
                <w:rFonts w:ascii="Arial" w:eastAsia="Times New Roman" w:hAnsi="Arial" w:cs="Arial"/>
                <w:sz w:val="18"/>
                <w:szCs w:val="18"/>
                <w:lang w:eastAsia="en-ID"/>
              </w:rPr>
            </w:pPr>
            <w:r w:rsidRPr="00333607">
              <w:rPr>
                <w:rFonts w:ascii="Arial" w:eastAsia="Times New Roman" w:hAnsi="Arial" w:cs="Arial"/>
                <w:sz w:val="18"/>
                <w:szCs w:val="18"/>
                <w:lang w:eastAsia="en-ID"/>
              </w:rPr>
              <w:t>1,666</w:t>
            </w:r>
          </w:p>
        </w:tc>
      </w:tr>
    </w:tbl>
    <w:p w14:paraId="1CC7F033" w14:textId="77777777" w:rsidR="00856FFE" w:rsidRDefault="00856FFE" w:rsidP="00856FFE">
      <w:pPr>
        <w:pStyle w:val="ListParagraph"/>
        <w:spacing w:line="480" w:lineRule="auto"/>
        <w:jc w:val="both"/>
        <w:rPr>
          <w:rFonts w:ascii="Times New Roman" w:hAnsi="Times New Roman" w:cs="Times New Roman"/>
          <w:b/>
          <w:sz w:val="24"/>
          <w:szCs w:val="24"/>
          <w:lang w:val="en-GB"/>
        </w:rPr>
      </w:pPr>
    </w:p>
    <w:p w14:paraId="3D568DEC" w14:textId="77777777" w:rsidR="00856FFE" w:rsidRDefault="00856FFE" w:rsidP="00B77E46">
      <w:pPr>
        <w:pStyle w:val="ListParagraph"/>
        <w:spacing w:line="48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Berdasarkan table 1.7. diatas dapat dilihat angka Durbin-Watson sebesar 1,666 yang berarti tidak terjadi autokorelasi positif maupun negative pada model </w:t>
      </w:r>
      <w:r>
        <w:rPr>
          <w:rFonts w:ascii="Times New Roman" w:hAnsi="Times New Roman" w:cs="Times New Roman"/>
          <w:bCs/>
          <w:sz w:val="24"/>
          <w:szCs w:val="24"/>
          <w:lang w:val="en-GB"/>
        </w:rPr>
        <w:lastRenderedPageBreak/>
        <w:t>regresi, maka autokorelasi terpenuhi. Autokorelasi terlanggar bila angka Dubin-Watson sebesar &lt;1 dan &gt;3.</w:t>
      </w:r>
    </w:p>
    <w:p w14:paraId="6EBD548B" w14:textId="67B36C8B" w:rsidR="00856FFE" w:rsidRDefault="00856FFE" w:rsidP="00856FFE">
      <w:pPr>
        <w:spacing w:line="480" w:lineRule="auto"/>
        <w:jc w:val="both"/>
        <w:rPr>
          <w:rFonts w:ascii="Times New Roman" w:hAnsi="Times New Roman" w:cs="Times New Roman"/>
          <w:sz w:val="24"/>
          <w:szCs w:val="24"/>
          <w:lang w:val="en-GB"/>
        </w:rPr>
      </w:pPr>
    </w:p>
    <w:p w14:paraId="703B0F14" w14:textId="1173CF66" w:rsidR="00856FFE" w:rsidRPr="00506B5A" w:rsidRDefault="00856FFE" w:rsidP="00856FFE">
      <w:pPr>
        <w:pStyle w:val="ListParagraph"/>
        <w:spacing w:line="480" w:lineRule="auto"/>
        <w:jc w:val="center"/>
        <w:rPr>
          <w:rFonts w:ascii="Times New Roman" w:hAnsi="Times New Roman" w:cs="Times New Roman"/>
          <w:b/>
          <w:sz w:val="24"/>
          <w:szCs w:val="24"/>
          <w:lang w:val="en-GB"/>
        </w:rPr>
      </w:pPr>
      <w:r w:rsidRPr="00506B5A">
        <w:rPr>
          <w:rFonts w:ascii="Times New Roman" w:hAnsi="Times New Roman" w:cs="Times New Roman"/>
          <w:b/>
          <w:sz w:val="24"/>
          <w:szCs w:val="24"/>
          <w:lang w:val="en-GB"/>
        </w:rPr>
        <w:t xml:space="preserve">Tabel </w:t>
      </w:r>
      <w:r>
        <w:rPr>
          <w:rFonts w:ascii="Times New Roman" w:hAnsi="Times New Roman" w:cs="Times New Roman"/>
          <w:b/>
          <w:sz w:val="24"/>
          <w:szCs w:val="24"/>
          <w:lang w:val="en-GB"/>
        </w:rPr>
        <w:t>1</w:t>
      </w:r>
      <w:r w:rsidRPr="00506B5A">
        <w:rPr>
          <w:rFonts w:ascii="Times New Roman" w:hAnsi="Times New Roman" w:cs="Times New Roman"/>
          <w:b/>
          <w:sz w:val="24"/>
          <w:szCs w:val="24"/>
          <w:lang w:val="en-GB"/>
        </w:rPr>
        <w:t>.</w:t>
      </w:r>
      <w:r>
        <w:rPr>
          <w:rFonts w:ascii="Times New Roman" w:hAnsi="Times New Roman" w:cs="Times New Roman"/>
          <w:b/>
          <w:sz w:val="24"/>
          <w:szCs w:val="24"/>
          <w:lang w:val="en-GB"/>
        </w:rPr>
        <w:t>6.</w:t>
      </w:r>
      <w:r w:rsidRPr="00506B5A">
        <w:rPr>
          <w:rFonts w:ascii="Times New Roman" w:hAnsi="Times New Roman" w:cs="Times New Roman"/>
          <w:b/>
          <w:sz w:val="24"/>
          <w:szCs w:val="24"/>
          <w:lang w:val="en-GB"/>
        </w:rPr>
        <w:t xml:space="preserve"> Uji Heteroskedastisitas</w:t>
      </w:r>
    </w:p>
    <w:p w14:paraId="24BE6EB9" w14:textId="77777777" w:rsidR="00856FFE" w:rsidRDefault="00856FFE" w:rsidP="00856FFE">
      <w:pPr>
        <w:pStyle w:val="ListParagraph"/>
        <w:spacing w:line="480" w:lineRule="auto"/>
        <w:jc w:val="both"/>
        <w:rPr>
          <w:rFonts w:ascii="Times New Roman" w:hAnsi="Times New Roman" w:cs="Times New Roman"/>
          <w:bCs/>
          <w:sz w:val="24"/>
          <w:szCs w:val="24"/>
          <w:lang w:val="en-GB"/>
        </w:rPr>
      </w:pPr>
      <w:r>
        <w:rPr>
          <w:rFonts w:ascii="Times New Roman" w:hAnsi="Times New Roman" w:cs="Times New Roman"/>
          <w:noProof/>
          <w:sz w:val="24"/>
          <w:szCs w:val="24"/>
          <w:lang w:eastAsia="id-ID"/>
        </w:rPr>
        <w:drawing>
          <wp:inline distT="0" distB="0" distL="0" distR="0" wp14:anchorId="7FA9366D" wp14:editId="1999F7B3">
            <wp:extent cx="5039995" cy="2964180"/>
            <wp:effectExtent l="0" t="0" r="8255" b="7620"/>
            <wp:docPr id="5910008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9995" cy="2964180"/>
                    </a:xfrm>
                    <a:prstGeom prst="rect">
                      <a:avLst/>
                    </a:prstGeom>
                    <a:noFill/>
                    <a:ln>
                      <a:noFill/>
                    </a:ln>
                  </pic:spPr>
                </pic:pic>
              </a:graphicData>
            </a:graphic>
          </wp:inline>
        </w:drawing>
      </w:r>
    </w:p>
    <w:p w14:paraId="38AA7DCF" w14:textId="77777777" w:rsidR="00856FFE" w:rsidRPr="00506B5A" w:rsidRDefault="00856FFE" w:rsidP="00B77E46">
      <w:pPr>
        <w:pStyle w:val="ListParagraph"/>
        <w:spacing w:line="48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Pada tabel 1.8. terlihat tampilan grafik </w:t>
      </w:r>
      <w:r>
        <w:rPr>
          <w:rFonts w:ascii="Times New Roman" w:hAnsi="Times New Roman" w:cs="Times New Roman"/>
          <w:bCs/>
          <w:i/>
          <w:iCs/>
          <w:sz w:val="24"/>
          <w:szCs w:val="24"/>
          <w:lang w:val="en-GB"/>
        </w:rPr>
        <w:t xml:space="preserve">scatterplot </w:t>
      </w:r>
      <w:r>
        <w:rPr>
          <w:rFonts w:ascii="Times New Roman" w:hAnsi="Times New Roman" w:cs="Times New Roman"/>
          <w:bCs/>
          <w:sz w:val="24"/>
          <w:szCs w:val="24"/>
          <w:lang w:val="en-GB"/>
        </w:rPr>
        <w:t>bahwa titik-titik tidak menyebar secara acak, baik di atas maupun dibawah angka 0 pada sumbu Y.</w:t>
      </w:r>
    </w:p>
    <w:p w14:paraId="123A4BE3" w14:textId="77777777" w:rsidR="003B71C2" w:rsidRDefault="003B71C2" w:rsidP="00856FFE">
      <w:pPr>
        <w:spacing w:line="480" w:lineRule="auto"/>
        <w:jc w:val="both"/>
        <w:rPr>
          <w:rFonts w:ascii="Times New Roman" w:hAnsi="Times New Roman" w:cs="Times New Roman"/>
          <w:sz w:val="24"/>
          <w:szCs w:val="24"/>
          <w:lang w:val="en-GB"/>
        </w:rPr>
      </w:pPr>
    </w:p>
    <w:p w14:paraId="5FB04F86" w14:textId="371E5CBE" w:rsidR="00856FFE" w:rsidRPr="00564CC6" w:rsidRDefault="00856FFE" w:rsidP="00856FFE">
      <w:pPr>
        <w:pStyle w:val="ListParagraph"/>
        <w:spacing w:line="480" w:lineRule="auto"/>
        <w:jc w:val="center"/>
        <w:rPr>
          <w:rFonts w:ascii="Times New Roman" w:hAnsi="Times New Roman" w:cs="Times New Roman"/>
          <w:b/>
          <w:sz w:val="24"/>
          <w:szCs w:val="24"/>
          <w:lang w:val="en-GB"/>
        </w:rPr>
      </w:pPr>
      <w:r w:rsidRPr="00564CC6">
        <w:rPr>
          <w:rFonts w:ascii="Times New Roman" w:hAnsi="Times New Roman" w:cs="Times New Roman"/>
          <w:b/>
          <w:sz w:val="24"/>
          <w:szCs w:val="24"/>
          <w:lang w:val="en-GB"/>
        </w:rPr>
        <w:t>Tabel 1.</w:t>
      </w:r>
      <w:r w:rsidR="003B71C2">
        <w:rPr>
          <w:rFonts w:ascii="Times New Roman" w:hAnsi="Times New Roman" w:cs="Times New Roman"/>
          <w:b/>
          <w:sz w:val="24"/>
          <w:szCs w:val="24"/>
          <w:lang w:val="en-GB"/>
        </w:rPr>
        <w:t>7</w:t>
      </w:r>
      <w:r w:rsidRPr="00564CC6">
        <w:rPr>
          <w:rFonts w:ascii="Times New Roman" w:hAnsi="Times New Roman" w:cs="Times New Roman"/>
          <w:b/>
          <w:sz w:val="24"/>
          <w:szCs w:val="24"/>
          <w:lang w:val="en-GB"/>
        </w:rPr>
        <w:t>. Uji Parsial (t)</w:t>
      </w:r>
    </w:p>
    <w:tbl>
      <w:tblPr>
        <w:tblW w:w="7310" w:type="dxa"/>
        <w:tblInd w:w="709" w:type="dxa"/>
        <w:tblLook w:val="04A0" w:firstRow="1" w:lastRow="0" w:firstColumn="1" w:lastColumn="0" w:noHBand="0" w:noVBand="1"/>
      </w:tblPr>
      <w:tblGrid>
        <w:gridCol w:w="1560"/>
        <w:gridCol w:w="1059"/>
        <w:gridCol w:w="889"/>
        <w:gridCol w:w="821"/>
        <w:gridCol w:w="1346"/>
        <w:gridCol w:w="801"/>
        <w:gridCol w:w="834"/>
      </w:tblGrid>
      <w:tr w:rsidR="00856FFE" w:rsidRPr="00B21A71" w14:paraId="5E0A42C8" w14:textId="77777777" w:rsidTr="003B64E0">
        <w:trPr>
          <w:trHeight w:val="300"/>
        </w:trPr>
        <w:tc>
          <w:tcPr>
            <w:tcW w:w="1560" w:type="dxa"/>
            <w:tcBorders>
              <w:top w:val="nil"/>
              <w:left w:val="nil"/>
              <w:bottom w:val="nil"/>
              <w:right w:val="nil"/>
            </w:tcBorders>
            <w:shd w:val="clear" w:color="auto" w:fill="auto"/>
            <w:vAlign w:val="center"/>
            <w:hideMark/>
          </w:tcPr>
          <w:p w14:paraId="09E7B394" w14:textId="77777777" w:rsidR="00856FFE" w:rsidRPr="00B21A71" w:rsidRDefault="00856FFE" w:rsidP="003B64E0">
            <w:pPr>
              <w:spacing w:after="0" w:line="480" w:lineRule="auto"/>
              <w:rPr>
                <w:rFonts w:ascii="Arial Bold" w:eastAsia="Times New Roman" w:hAnsi="Arial Bold" w:cs="Calibri"/>
                <w:b/>
                <w:bCs/>
                <w:color w:val="993300"/>
                <w:lang w:eastAsia="en-ID"/>
              </w:rPr>
            </w:pPr>
            <w:r w:rsidRPr="00B21A71">
              <w:rPr>
                <w:rFonts w:ascii="Arial Bold" w:eastAsia="Times New Roman" w:hAnsi="Arial Bold" w:cs="Calibri"/>
                <w:b/>
                <w:bCs/>
                <w:color w:val="993300"/>
                <w:lang w:eastAsia="en-ID"/>
              </w:rPr>
              <w:t>Coefficients</w:t>
            </w:r>
            <w:r w:rsidRPr="00B21A71">
              <w:rPr>
                <w:rFonts w:ascii="Arial Bold" w:eastAsia="Times New Roman" w:hAnsi="Arial Bold" w:cs="Calibri"/>
                <w:b/>
                <w:bCs/>
                <w:color w:val="993300"/>
                <w:vertAlign w:val="superscript"/>
                <w:lang w:eastAsia="en-ID"/>
              </w:rPr>
              <w:t>a</w:t>
            </w:r>
          </w:p>
        </w:tc>
        <w:tc>
          <w:tcPr>
            <w:tcW w:w="1059" w:type="dxa"/>
            <w:tcBorders>
              <w:top w:val="nil"/>
              <w:left w:val="nil"/>
              <w:bottom w:val="nil"/>
              <w:right w:val="nil"/>
            </w:tcBorders>
            <w:shd w:val="clear" w:color="auto" w:fill="auto"/>
            <w:vAlign w:val="center"/>
            <w:hideMark/>
          </w:tcPr>
          <w:p w14:paraId="18E0FDD3" w14:textId="77777777" w:rsidR="00856FFE" w:rsidRPr="00B21A71" w:rsidRDefault="00856FFE" w:rsidP="003B64E0">
            <w:pPr>
              <w:spacing w:after="0" w:line="480" w:lineRule="auto"/>
              <w:rPr>
                <w:rFonts w:ascii="Arial Bold" w:eastAsia="Times New Roman" w:hAnsi="Arial Bold" w:cs="Calibri"/>
                <w:b/>
                <w:bCs/>
                <w:color w:val="993300"/>
                <w:lang w:eastAsia="en-ID"/>
              </w:rPr>
            </w:pPr>
          </w:p>
        </w:tc>
        <w:tc>
          <w:tcPr>
            <w:tcW w:w="889" w:type="dxa"/>
            <w:tcBorders>
              <w:top w:val="nil"/>
              <w:left w:val="nil"/>
              <w:bottom w:val="nil"/>
              <w:right w:val="nil"/>
            </w:tcBorders>
            <w:shd w:val="clear" w:color="auto" w:fill="auto"/>
            <w:vAlign w:val="center"/>
            <w:hideMark/>
          </w:tcPr>
          <w:p w14:paraId="0A763EF4" w14:textId="77777777" w:rsidR="00856FFE" w:rsidRPr="00B21A71" w:rsidRDefault="00856FFE" w:rsidP="003B64E0">
            <w:pPr>
              <w:spacing w:after="0" w:line="480" w:lineRule="auto"/>
              <w:rPr>
                <w:rFonts w:ascii="Times New Roman" w:eastAsia="Times New Roman" w:hAnsi="Times New Roman" w:cs="Times New Roman"/>
                <w:sz w:val="20"/>
                <w:szCs w:val="20"/>
                <w:lang w:eastAsia="en-ID"/>
              </w:rPr>
            </w:pPr>
          </w:p>
        </w:tc>
        <w:tc>
          <w:tcPr>
            <w:tcW w:w="821" w:type="dxa"/>
            <w:tcBorders>
              <w:top w:val="nil"/>
              <w:left w:val="nil"/>
              <w:bottom w:val="nil"/>
              <w:right w:val="nil"/>
            </w:tcBorders>
            <w:shd w:val="clear" w:color="auto" w:fill="auto"/>
            <w:vAlign w:val="center"/>
            <w:hideMark/>
          </w:tcPr>
          <w:p w14:paraId="7559CC10" w14:textId="77777777" w:rsidR="00856FFE" w:rsidRPr="00B21A71" w:rsidRDefault="00856FFE" w:rsidP="003B64E0">
            <w:pPr>
              <w:spacing w:after="0" w:line="480" w:lineRule="auto"/>
              <w:rPr>
                <w:rFonts w:ascii="Times New Roman" w:eastAsia="Times New Roman" w:hAnsi="Times New Roman" w:cs="Times New Roman"/>
                <w:sz w:val="20"/>
                <w:szCs w:val="20"/>
                <w:lang w:eastAsia="en-ID"/>
              </w:rPr>
            </w:pPr>
          </w:p>
        </w:tc>
        <w:tc>
          <w:tcPr>
            <w:tcW w:w="1346" w:type="dxa"/>
            <w:tcBorders>
              <w:top w:val="nil"/>
              <w:left w:val="nil"/>
              <w:bottom w:val="nil"/>
              <w:right w:val="nil"/>
            </w:tcBorders>
            <w:shd w:val="clear" w:color="auto" w:fill="auto"/>
            <w:vAlign w:val="center"/>
            <w:hideMark/>
          </w:tcPr>
          <w:p w14:paraId="10F66F36" w14:textId="77777777" w:rsidR="00856FFE" w:rsidRPr="00B21A71" w:rsidRDefault="00856FFE" w:rsidP="003B64E0">
            <w:pPr>
              <w:spacing w:after="0" w:line="480" w:lineRule="auto"/>
              <w:rPr>
                <w:rFonts w:ascii="Times New Roman" w:eastAsia="Times New Roman" w:hAnsi="Times New Roman" w:cs="Times New Roman"/>
                <w:sz w:val="20"/>
                <w:szCs w:val="20"/>
                <w:lang w:eastAsia="en-ID"/>
              </w:rPr>
            </w:pPr>
          </w:p>
        </w:tc>
        <w:tc>
          <w:tcPr>
            <w:tcW w:w="801" w:type="dxa"/>
            <w:tcBorders>
              <w:top w:val="nil"/>
              <w:left w:val="nil"/>
              <w:bottom w:val="nil"/>
              <w:right w:val="nil"/>
            </w:tcBorders>
            <w:shd w:val="clear" w:color="auto" w:fill="auto"/>
            <w:vAlign w:val="center"/>
            <w:hideMark/>
          </w:tcPr>
          <w:p w14:paraId="59152596" w14:textId="77777777" w:rsidR="00856FFE" w:rsidRPr="00B21A71" w:rsidRDefault="00856FFE" w:rsidP="003B64E0">
            <w:pPr>
              <w:spacing w:after="0" w:line="480" w:lineRule="auto"/>
              <w:rPr>
                <w:rFonts w:ascii="Times New Roman" w:eastAsia="Times New Roman" w:hAnsi="Times New Roman" w:cs="Times New Roman"/>
                <w:sz w:val="20"/>
                <w:szCs w:val="20"/>
                <w:lang w:eastAsia="en-ID"/>
              </w:rPr>
            </w:pPr>
          </w:p>
        </w:tc>
        <w:tc>
          <w:tcPr>
            <w:tcW w:w="834" w:type="dxa"/>
            <w:tcBorders>
              <w:top w:val="nil"/>
              <w:left w:val="nil"/>
              <w:bottom w:val="nil"/>
              <w:right w:val="nil"/>
            </w:tcBorders>
            <w:shd w:val="clear" w:color="auto" w:fill="auto"/>
            <w:vAlign w:val="center"/>
            <w:hideMark/>
          </w:tcPr>
          <w:p w14:paraId="1B4FC376" w14:textId="77777777" w:rsidR="00856FFE" w:rsidRPr="00B21A71" w:rsidRDefault="00856FFE" w:rsidP="003B64E0">
            <w:pPr>
              <w:spacing w:after="0" w:line="480" w:lineRule="auto"/>
              <w:rPr>
                <w:rFonts w:ascii="Times New Roman" w:eastAsia="Times New Roman" w:hAnsi="Times New Roman" w:cs="Times New Roman"/>
                <w:sz w:val="20"/>
                <w:szCs w:val="20"/>
                <w:lang w:eastAsia="en-ID"/>
              </w:rPr>
            </w:pPr>
          </w:p>
        </w:tc>
      </w:tr>
      <w:tr w:rsidR="00856FFE" w:rsidRPr="00B21A71" w14:paraId="04E58916" w14:textId="77777777" w:rsidTr="003B64E0">
        <w:trPr>
          <w:trHeight w:val="495"/>
        </w:trPr>
        <w:tc>
          <w:tcPr>
            <w:tcW w:w="26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AB0E658" w14:textId="77777777" w:rsidR="00856FFE" w:rsidRPr="00B21A71" w:rsidRDefault="00856FFE" w:rsidP="003B64E0">
            <w:pPr>
              <w:spacing w:after="0" w:line="480" w:lineRule="auto"/>
              <w:rPr>
                <w:rFonts w:ascii="Arial" w:eastAsia="Times New Roman" w:hAnsi="Arial" w:cs="Arial"/>
                <w:sz w:val="18"/>
                <w:szCs w:val="18"/>
                <w:lang w:eastAsia="en-ID"/>
              </w:rPr>
            </w:pPr>
            <w:r w:rsidRPr="00B21A71">
              <w:rPr>
                <w:rFonts w:ascii="Arial" w:eastAsia="Times New Roman" w:hAnsi="Arial" w:cs="Arial"/>
                <w:sz w:val="18"/>
                <w:szCs w:val="18"/>
                <w:lang w:eastAsia="en-ID"/>
              </w:rPr>
              <w:t>Model</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14:paraId="7F81A930" w14:textId="77777777" w:rsidR="00856FFE" w:rsidRPr="00B21A71" w:rsidRDefault="00856FFE" w:rsidP="003B64E0">
            <w:pPr>
              <w:spacing w:after="0" w:line="480" w:lineRule="auto"/>
              <w:jc w:val="center"/>
              <w:rPr>
                <w:rFonts w:ascii="Arial" w:eastAsia="Times New Roman" w:hAnsi="Arial" w:cs="Arial"/>
                <w:sz w:val="18"/>
                <w:szCs w:val="18"/>
                <w:lang w:eastAsia="en-ID"/>
              </w:rPr>
            </w:pPr>
            <w:r w:rsidRPr="00B21A71">
              <w:rPr>
                <w:rFonts w:ascii="Arial" w:eastAsia="Times New Roman" w:hAnsi="Arial" w:cs="Arial"/>
                <w:sz w:val="18"/>
                <w:szCs w:val="18"/>
                <w:lang w:eastAsia="en-ID"/>
              </w:rPr>
              <w:t>Unstandardized Coefficients</w:t>
            </w:r>
          </w:p>
        </w:tc>
        <w:tc>
          <w:tcPr>
            <w:tcW w:w="1346" w:type="dxa"/>
            <w:tcBorders>
              <w:top w:val="single" w:sz="4" w:space="0" w:color="auto"/>
              <w:left w:val="nil"/>
              <w:bottom w:val="single" w:sz="4" w:space="0" w:color="auto"/>
              <w:right w:val="single" w:sz="4" w:space="0" w:color="auto"/>
            </w:tcBorders>
            <w:shd w:val="clear" w:color="auto" w:fill="auto"/>
            <w:vAlign w:val="bottom"/>
            <w:hideMark/>
          </w:tcPr>
          <w:p w14:paraId="2C4493DE" w14:textId="77777777" w:rsidR="00856FFE" w:rsidRPr="00B21A71" w:rsidRDefault="00856FFE" w:rsidP="003B64E0">
            <w:pPr>
              <w:spacing w:after="0" w:line="480" w:lineRule="auto"/>
              <w:jc w:val="center"/>
              <w:rPr>
                <w:rFonts w:ascii="Arial" w:eastAsia="Times New Roman" w:hAnsi="Arial" w:cs="Arial"/>
                <w:sz w:val="18"/>
                <w:szCs w:val="18"/>
                <w:lang w:eastAsia="en-ID"/>
              </w:rPr>
            </w:pPr>
            <w:r w:rsidRPr="00B21A71">
              <w:rPr>
                <w:rFonts w:ascii="Arial" w:eastAsia="Times New Roman" w:hAnsi="Arial" w:cs="Arial"/>
                <w:sz w:val="18"/>
                <w:szCs w:val="18"/>
                <w:lang w:eastAsia="en-ID"/>
              </w:rPr>
              <w:t>Standardized Coefficients</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DE9882F" w14:textId="77777777" w:rsidR="00856FFE" w:rsidRPr="00B21A71" w:rsidRDefault="00856FFE" w:rsidP="003B64E0">
            <w:pPr>
              <w:spacing w:after="0" w:line="480" w:lineRule="auto"/>
              <w:jc w:val="center"/>
              <w:rPr>
                <w:rFonts w:ascii="Arial" w:eastAsia="Times New Roman" w:hAnsi="Arial" w:cs="Arial"/>
                <w:sz w:val="18"/>
                <w:szCs w:val="18"/>
                <w:lang w:eastAsia="en-ID"/>
              </w:rPr>
            </w:pPr>
            <w:r w:rsidRPr="00B21A71">
              <w:rPr>
                <w:rFonts w:ascii="Arial" w:eastAsia="Times New Roman" w:hAnsi="Arial" w:cs="Arial"/>
                <w:sz w:val="18"/>
                <w:szCs w:val="18"/>
                <w:lang w:eastAsia="en-ID"/>
              </w:rPr>
              <w:t>t</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1A596D" w14:textId="77777777" w:rsidR="00856FFE" w:rsidRPr="00B21A71" w:rsidRDefault="00856FFE" w:rsidP="003B64E0">
            <w:pPr>
              <w:spacing w:after="0" w:line="480" w:lineRule="auto"/>
              <w:jc w:val="center"/>
              <w:rPr>
                <w:rFonts w:ascii="Arial" w:eastAsia="Times New Roman" w:hAnsi="Arial" w:cs="Arial"/>
                <w:sz w:val="18"/>
                <w:szCs w:val="18"/>
                <w:lang w:eastAsia="en-ID"/>
              </w:rPr>
            </w:pPr>
            <w:r w:rsidRPr="00B21A71">
              <w:rPr>
                <w:rFonts w:ascii="Arial" w:eastAsia="Times New Roman" w:hAnsi="Arial" w:cs="Arial"/>
                <w:sz w:val="18"/>
                <w:szCs w:val="18"/>
                <w:lang w:eastAsia="en-ID"/>
              </w:rPr>
              <w:t>Sig.</w:t>
            </w:r>
          </w:p>
        </w:tc>
      </w:tr>
      <w:tr w:rsidR="00856FFE" w:rsidRPr="00B21A71" w14:paraId="4D9C26FA" w14:textId="77777777" w:rsidTr="003B64E0">
        <w:trPr>
          <w:trHeight w:val="645"/>
        </w:trPr>
        <w:tc>
          <w:tcPr>
            <w:tcW w:w="2619" w:type="dxa"/>
            <w:gridSpan w:val="2"/>
            <w:vMerge/>
            <w:tcBorders>
              <w:top w:val="single" w:sz="4" w:space="0" w:color="auto"/>
              <w:left w:val="single" w:sz="4" w:space="0" w:color="auto"/>
              <w:bottom w:val="single" w:sz="4" w:space="0" w:color="auto"/>
              <w:right w:val="single" w:sz="4" w:space="0" w:color="auto"/>
            </w:tcBorders>
            <w:vAlign w:val="center"/>
            <w:hideMark/>
          </w:tcPr>
          <w:p w14:paraId="74C8C657" w14:textId="77777777" w:rsidR="00856FFE" w:rsidRPr="00B21A71" w:rsidRDefault="00856FFE" w:rsidP="003B64E0">
            <w:pPr>
              <w:spacing w:after="0" w:line="480" w:lineRule="auto"/>
              <w:rPr>
                <w:rFonts w:ascii="Arial" w:eastAsia="Times New Roman" w:hAnsi="Arial" w:cs="Arial"/>
                <w:sz w:val="18"/>
                <w:szCs w:val="18"/>
                <w:lang w:eastAsia="en-ID"/>
              </w:rPr>
            </w:pPr>
          </w:p>
        </w:tc>
        <w:tc>
          <w:tcPr>
            <w:tcW w:w="889" w:type="dxa"/>
            <w:tcBorders>
              <w:top w:val="nil"/>
              <w:left w:val="nil"/>
              <w:bottom w:val="single" w:sz="4" w:space="0" w:color="auto"/>
              <w:right w:val="single" w:sz="4" w:space="0" w:color="auto"/>
            </w:tcBorders>
            <w:shd w:val="clear" w:color="auto" w:fill="auto"/>
            <w:vAlign w:val="bottom"/>
            <w:hideMark/>
          </w:tcPr>
          <w:p w14:paraId="556DDE08" w14:textId="77777777" w:rsidR="00856FFE" w:rsidRPr="00B21A71" w:rsidRDefault="00856FFE" w:rsidP="003B64E0">
            <w:pPr>
              <w:spacing w:after="0" w:line="480" w:lineRule="auto"/>
              <w:jc w:val="center"/>
              <w:rPr>
                <w:rFonts w:ascii="Arial" w:eastAsia="Times New Roman" w:hAnsi="Arial" w:cs="Arial"/>
                <w:sz w:val="18"/>
                <w:szCs w:val="18"/>
                <w:lang w:eastAsia="en-ID"/>
              </w:rPr>
            </w:pPr>
            <w:r w:rsidRPr="00B21A71">
              <w:rPr>
                <w:rFonts w:ascii="Arial" w:eastAsia="Times New Roman" w:hAnsi="Arial" w:cs="Arial"/>
                <w:sz w:val="18"/>
                <w:szCs w:val="18"/>
                <w:lang w:eastAsia="en-ID"/>
              </w:rPr>
              <w:t>B</w:t>
            </w:r>
          </w:p>
        </w:tc>
        <w:tc>
          <w:tcPr>
            <w:tcW w:w="821" w:type="dxa"/>
            <w:tcBorders>
              <w:top w:val="nil"/>
              <w:left w:val="nil"/>
              <w:bottom w:val="single" w:sz="4" w:space="0" w:color="auto"/>
              <w:right w:val="single" w:sz="4" w:space="0" w:color="auto"/>
            </w:tcBorders>
            <w:shd w:val="clear" w:color="auto" w:fill="auto"/>
            <w:vAlign w:val="bottom"/>
            <w:hideMark/>
          </w:tcPr>
          <w:p w14:paraId="72EBBE6E" w14:textId="77777777" w:rsidR="00856FFE" w:rsidRPr="00B21A71" w:rsidRDefault="00856FFE" w:rsidP="003B64E0">
            <w:pPr>
              <w:spacing w:after="0" w:line="480" w:lineRule="auto"/>
              <w:jc w:val="center"/>
              <w:rPr>
                <w:rFonts w:ascii="Arial" w:eastAsia="Times New Roman" w:hAnsi="Arial" w:cs="Arial"/>
                <w:sz w:val="18"/>
                <w:szCs w:val="18"/>
                <w:lang w:eastAsia="en-ID"/>
              </w:rPr>
            </w:pPr>
            <w:r w:rsidRPr="00B21A71">
              <w:rPr>
                <w:rFonts w:ascii="Arial" w:eastAsia="Times New Roman" w:hAnsi="Arial" w:cs="Arial"/>
                <w:sz w:val="18"/>
                <w:szCs w:val="18"/>
                <w:lang w:eastAsia="en-ID"/>
              </w:rPr>
              <w:t>Std. Error</w:t>
            </w:r>
          </w:p>
        </w:tc>
        <w:tc>
          <w:tcPr>
            <w:tcW w:w="1346" w:type="dxa"/>
            <w:tcBorders>
              <w:top w:val="nil"/>
              <w:left w:val="nil"/>
              <w:bottom w:val="single" w:sz="4" w:space="0" w:color="auto"/>
              <w:right w:val="single" w:sz="4" w:space="0" w:color="auto"/>
            </w:tcBorders>
            <w:shd w:val="clear" w:color="auto" w:fill="auto"/>
            <w:vAlign w:val="bottom"/>
            <w:hideMark/>
          </w:tcPr>
          <w:p w14:paraId="58F586E2" w14:textId="77777777" w:rsidR="00856FFE" w:rsidRPr="00B21A71" w:rsidRDefault="00856FFE" w:rsidP="003B64E0">
            <w:pPr>
              <w:spacing w:after="0" w:line="480" w:lineRule="auto"/>
              <w:jc w:val="center"/>
              <w:rPr>
                <w:rFonts w:ascii="Arial" w:eastAsia="Times New Roman" w:hAnsi="Arial" w:cs="Arial"/>
                <w:sz w:val="18"/>
                <w:szCs w:val="18"/>
                <w:lang w:eastAsia="en-ID"/>
              </w:rPr>
            </w:pPr>
            <w:r w:rsidRPr="00B21A71">
              <w:rPr>
                <w:rFonts w:ascii="Arial" w:eastAsia="Times New Roman" w:hAnsi="Arial" w:cs="Arial"/>
                <w:sz w:val="18"/>
                <w:szCs w:val="18"/>
                <w:lang w:eastAsia="en-ID"/>
              </w:rPr>
              <w:t>Beta</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5E446EEE" w14:textId="77777777" w:rsidR="00856FFE" w:rsidRPr="00B21A71" w:rsidRDefault="00856FFE" w:rsidP="003B64E0">
            <w:pPr>
              <w:spacing w:after="0" w:line="480" w:lineRule="auto"/>
              <w:rPr>
                <w:rFonts w:ascii="Arial" w:eastAsia="Times New Roman" w:hAnsi="Arial" w:cs="Arial"/>
                <w:sz w:val="18"/>
                <w:szCs w:val="18"/>
                <w:lang w:eastAsia="en-ID"/>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26090B5" w14:textId="77777777" w:rsidR="00856FFE" w:rsidRPr="00B21A71" w:rsidRDefault="00856FFE" w:rsidP="003B64E0">
            <w:pPr>
              <w:spacing w:after="0" w:line="480" w:lineRule="auto"/>
              <w:rPr>
                <w:rFonts w:ascii="Arial" w:eastAsia="Times New Roman" w:hAnsi="Arial" w:cs="Arial"/>
                <w:sz w:val="18"/>
                <w:szCs w:val="18"/>
                <w:lang w:eastAsia="en-ID"/>
              </w:rPr>
            </w:pPr>
          </w:p>
        </w:tc>
      </w:tr>
      <w:tr w:rsidR="00856FFE" w:rsidRPr="00B21A71" w14:paraId="4C4D8BBA" w14:textId="77777777" w:rsidTr="003B64E0">
        <w:trPr>
          <w:trHeight w:val="480"/>
        </w:trPr>
        <w:tc>
          <w:tcPr>
            <w:tcW w:w="1560" w:type="dxa"/>
            <w:vMerge w:val="restart"/>
            <w:tcBorders>
              <w:top w:val="nil"/>
              <w:left w:val="single" w:sz="4" w:space="0" w:color="auto"/>
              <w:bottom w:val="single" w:sz="4" w:space="0" w:color="auto"/>
              <w:right w:val="single" w:sz="4" w:space="0" w:color="auto"/>
            </w:tcBorders>
            <w:shd w:val="clear" w:color="auto" w:fill="auto"/>
            <w:noWrap/>
            <w:hideMark/>
          </w:tcPr>
          <w:p w14:paraId="7A9019A3" w14:textId="77777777" w:rsidR="00856FFE" w:rsidRPr="00B21A71" w:rsidRDefault="00856FFE" w:rsidP="003B64E0">
            <w:pPr>
              <w:spacing w:after="0" w:line="480" w:lineRule="auto"/>
              <w:rPr>
                <w:rFonts w:ascii="Arial" w:eastAsia="Times New Roman" w:hAnsi="Arial" w:cs="Arial"/>
                <w:sz w:val="18"/>
                <w:szCs w:val="18"/>
                <w:lang w:eastAsia="en-ID"/>
              </w:rPr>
            </w:pPr>
            <w:r w:rsidRPr="00B21A71">
              <w:rPr>
                <w:rFonts w:ascii="Arial" w:eastAsia="Times New Roman" w:hAnsi="Arial" w:cs="Arial"/>
                <w:sz w:val="18"/>
                <w:szCs w:val="18"/>
                <w:lang w:eastAsia="en-ID"/>
              </w:rPr>
              <w:t>1</w:t>
            </w:r>
          </w:p>
        </w:tc>
        <w:tc>
          <w:tcPr>
            <w:tcW w:w="1059" w:type="dxa"/>
            <w:tcBorders>
              <w:top w:val="nil"/>
              <w:left w:val="nil"/>
              <w:bottom w:val="single" w:sz="4" w:space="0" w:color="auto"/>
              <w:right w:val="single" w:sz="4" w:space="0" w:color="auto"/>
            </w:tcBorders>
            <w:shd w:val="clear" w:color="auto" w:fill="auto"/>
            <w:hideMark/>
          </w:tcPr>
          <w:p w14:paraId="05348ABD" w14:textId="77777777" w:rsidR="00856FFE" w:rsidRPr="00B21A71" w:rsidRDefault="00856FFE" w:rsidP="003B64E0">
            <w:pPr>
              <w:spacing w:after="0" w:line="480" w:lineRule="auto"/>
              <w:rPr>
                <w:rFonts w:ascii="Arial" w:eastAsia="Times New Roman" w:hAnsi="Arial" w:cs="Arial"/>
                <w:sz w:val="18"/>
                <w:szCs w:val="18"/>
                <w:lang w:eastAsia="en-ID"/>
              </w:rPr>
            </w:pPr>
            <w:r w:rsidRPr="00B21A71">
              <w:rPr>
                <w:rFonts w:ascii="Arial" w:eastAsia="Times New Roman" w:hAnsi="Arial" w:cs="Arial"/>
                <w:sz w:val="18"/>
                <w:szCs w:val="18"/>
                <w:lang w:eastAsia="en-ID"/>
              </w:rPr>
              <w:t>(Constant)</w:t>
            </w:r>
          </w:p>
        </w:tc>
        <w:tc>
          <w:tcPr>
            <w:tcW w:w="889" w:type="dxa"/>
            <w:tcBorders>
              <w:top w:val="nil"/>
              <w:left w:val="nil"/>
              <w:bottom w:val="single" w:sz="4" w:space="0" w:color="auto"/>
              <w:right w:val="single" w:sz="4" w:space="0" w:color="auto"/>
            </w:tcBorders>
            <w:shd w:val="clear" w:color="auto" w:fill="auto"/>
            <w:noWrap/>
            <w:hideMark/>
          </w:tcPr>
          <w:p w14:paraId="4BBB2656"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-4,219</w:t>
            </w:r>
          </w:p>
        </w:tc>
        <w:tc>
          <w:tcPr>
            <w:tcW w:w="821" w:type="dxa"/>
            <w:tcBorders>
              <w:top w:val="nil"/>
              <w:left w:val="nil"/>
              <w:bottom w:val="single" w:sz="4" w:space="0" w:color="auto"/>
              <w:right w:val="single" w:sz="4" w:space="0" w:color="auto"/>
            </w:tcBorders>
            <w:shd w:val="clear" w:color="auto" w:fill="auto"/>
            <w:noWrap/>
            <w:hideMark/>
          </w:tcPr>
          <w:p w14:paraId="65BA9B7D"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13,394</w:t>
            </w:r>
          </w:p>
        </w:tc>
        <w:tc>
          <w:tcPr>
            <w:tcW w:w="1346" w:type="dxa"/>
            <w:tcBorders>
              <w:top w:val="nil"/>
              <w:left w:val="nil"/>
              <w:bottom w:val="single" w:sz="4" w:space="0" w:color="auto"/>
              <w:right w:val="single" w:sz="4" w:space="0" w:color="auto"/>
            </w:tcBorders>
            <w:shd w:val="clear" w:color="auto" w:fill="auto"/>
            <w:hideMark/>
          </w:tcPr>
          <w:p w14:paraId="42EBF9FB" w14:textId="77777777" w:rsidR="00856FFE" w:rsidRPr="00B21A71" w:rsidRDefault="00856FFE" w:rsidP="003B64E0">
            <w:pPr>
              <w:spacing w:after="0" w:line="480" w:lineRule="auto"/>
              <w:rPr>
                <w:rFonts w:ascii="Arial" w:eastAsia="Times New Roman" w:hAnsi="Arial" w:cs="Arial"/>
                <w:sz w:val="18"/>
                <w:szCs w:val="18"/>
                <w:lang w:eastAsia="en-ID"/>
              </w:rPr>
            </w:pPr>
            <w:r w:rsidRPr="00B21A71">
              <w:rPr>
                <w:rFonts w:ascii="Arial" w:eastAsia="Times New Roman" w:hAnsi="Arial" w:cs="Arial"/>
                <w:sz w:val="18"/>
                <w:szCs w:val="18"/>
                <w:lang w:eastAsia="en-ID"/>
              </w:rPr>
              <w:t> </w:t>
            </w:r>
          </w:p>
        </w:tc>
        <w:tc>
          <w:tcPr>
            <w:tcW w:w="801" w:type="dxa"/>
            <w:tcBorders>
              <w:top w:val="nil"/>
              <w:left w:val="nil"/>
              <w:bottom w:val="single" w:sz="4" w:space="0" w:color="auto"/>
              <w:right w:val="single" w:sz="4" w:space="0" w:color="auto"/>
            </w:tcBorders>
            <w:shd w:val="clear" w:color="auto" w:fill="auto"/>
            <w:noWrap/>
            <w:hideMark/>
          </w:tcPr>
          <w:p w14:paraId="71E1D76A"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-0,315</w:t>
            </w:r>
          </w:p>
        </w:tc>
        <w:tc>
          <w:tcPr>
            <w:tcW w:w="834" w:type="dxa"/>
            <w:tcBorders>
              <w:top w:val="nil"/>
              <w:left w:val="nil"/>
              <w:bottom w:val="single" w:sz="4" w:space="0" w:color="auto"/>
              <w:right w:val="single" w:sz="4" w:space="0" w:color="auto"/>
            </w:tcBorders>
            <w:shd w:val="clear" w:color="auto" w:fill="auto"/>
            <w:noWrap/>
            <w:hideMark/>
          </w:tcPr>
          <w:p w14:paraId="0011F76C"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0,753</w:t>
            </w:r>
          </w:p>
        </w:tc>
      </w:tr>
      <w:tr w:rsidR="00856FFE" w:rsidRPr="00B21A71" w14:paraId="6FDBB0AA" w14:textId="77777777" w:rsidTr="003B64E0">
        <w:trPr>
          <w:trHeight w:val="480"/>
        </w:trPr>
        <w:tc>
          <w:tcPr>
            <w:tcW w:w="1560" w:type="dxa"/>
            <w:vMerge/>
            <w:tcBorders>
              <w:top w:val="nil"/>
              <w:left w:val="single" w:sz="4" w:space="0" w:color="auto"/>
              <w:bottom w:val="single" w:sz="4" w:space="0" w:color="auto"/>
              <w:right w:val="single" w:sz="4" w:space="0" w:color="auto"/>
            </w:tcBorders>
            <w:vAlign w:val="center"/>
            <w:hideMark/>
          </w:tcPr>
          <w:p w14:paraId="55F63FD4" w14:textId="77777777" w:rsidR="00856FFE" w:rsidRPr="00B21A71" w:rsidRDefault="00856FFE" w:rsidP="003B64E0">
            <w:pPr>
              <w:spacing w:after="0" w:line="480" w:lineRule="auto"/>
              <w:rPr>
                <w:rFonts w:ascii="Arial" w:eastAsia="Times New Roman" w:hAnsi="Arial" w:cs="Arial"/>
                <w:sz w:val="18"/>
                <w:szCs w:val="18"/>
                <w:lang w:eastAsia="en-ID"/>
              </w:rPr>
            </w:pPr>
          </w:p>
        </w:tc>
        <w:tc>
          <w:tcPr>
            <w:tcW w:w="1059" w:type="dxa"/>
            <w:tcBorders>
              <w:top w:val="nil"/>
              <w:left w:val="nil"/>
              <w:bottom w:val="single" w:sz="4" w:space="0" w:color="auto"/>
              <w:right w:val="single" w:sz="4" w:space="0" w:color="auto"/>
            </w:tcBorders>
            <w:shd w:val="clear" w:color="auto" w:fill="auto"/>
            <w:hideMark/>
          </w:tcPr>
          <w:p w14:paraId="62FB86A6" w14:textId="77777777" w:rsidR="00856FFE" w:rsidRPr="00B21A71" w:rsidRDefault="00856FFE" w:rsidP="003B64E0">
            <w:pPr>
              <w:spacing w:after="0" w:line="480" w:lineRule="auto"/>
              <w:rPr>
                <w:rFonts w:ascii="Arial" w:eastAsia="Times New Roman" w:hAnsi="Arial" w:cs="Arial"/>
                <w:sz w:val="18"/>
                <w:szCs w:val="18"/>
                <w:lang w:eastAsia="en-ID"/>
              </w:rPr>
            </w:pPr>
            <w:r w:rsidRPr="00B21A71">
              <w:rPr>
                <w:rFonts w:ascii="Arial" w:eastAsia="Times New Roman" w:hAnsi="Arial" w:cs="Arial"/>
                <w:sz w:val="18"/>
                <w:szCs w:val="18"/>
                <w:lang w:eastAsia="en-ID"/>
              </w:rPr>
              <w:t>DER</w:t>
            </w:r>
          </w:p>
        </w:tc>
        <w:tc>
          <w:tcPr>
            <w:tcW w:w="889" w:type="dxa"/>
            <w:tcBorders>
              <w:top w:val="nil"/>
              <w:left w:val="nil"/>
              <w:bottom w:val="single" w:sz="4" w:space="0" w:color="auto"/>
              <w:right w:val="single" w:sz="4" w:space="0" w:color="auto"/>
            </w:tcBorders>
            <w:shd w:val="clear" w:color="auto" w:fill="auto"/>
            <w:noWrap/>
            <w:hideMark/>
          </w:tcPr>
          <w:p w14:paraId="666977F4"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-0,886</w:t>
            </w:r>
          </w:p>
        </w:tc>
        <w:tc>
          <w:tcPr>
            <w:tcW w:w="821" w:type="dxa"/>
            <w:tcBorders>
              <w:top w:val="nil"/>
              <w:left w:val="nil"/>
              <w:bottom w:val="single" w:sz="4" w:space="0" w:color="auto"/>
              <w:right w:val="single" w:sz="4" w:space="0" w:color="auto"/>
            </w:tcBorders>
            <w:shd w:val="clear" w:color="auto" w:fill="auto"/>
            <w:noWrap/>
            <w:hideMark/>
          </w:tcPr>
          <w:p w14:paraId="772BA9D3"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0,321</w:t>
            </w:r>
          </w:p>
        </w:tc>
        <w:tc>
          <w:tcPr>
            <w:tcW w:w="1346" w:type="dxa"/>
            <w:tcBorders>
              <w:top w:val="nil"/>
              <w:left w:val="nil"/>
              <w:bottom w:val="single" w:sz="4" w:space="0" w:color="auto"/>
              <w:right w:val="single" w:sz="4" w:space="0" w:color="auto"/>
            </w:tcBorders>
            <w:shd w:val="clear" w:color="auto" w:fill="auto"/>
            <w:noWrap/>
            <w:hideMark/>
          </w:tcPr>
          <w:p w14:paraId="611EE9DA"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-0,239</w:t>
            </w:r>
          </w:p>
        </w:tc>
        <w:tc>
          <w:tcPr>
            <w:tcW w:w="801" w:type="dxa"/>
            <w:tcBorders>
              <w:top w:val="nil"/>
              <w:left w:val="nil"/>
              <w:bottom w:val="single" w:sz="4" w:space="0" w:color="auto"/>
              <w:right w:val="single" w:sz="4" w:space="0" w:color="auto"/>
            </w:tcBorders>
            <w:shd w:val="clear" w:color="auto" w:fill="auto"/>
            <w:noWrap/>
            <w:hideMark/>
          </w:tcPr>
          <w:p w14:paraId="79FE471A"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-2,760</w:t>
            </w:r>
          </w:p>
        </w:tc>
        <w:tc>
          <w:tcPr>
            <w:tcW w:w="834" w:type="dxa"/>
            <w:tcBorders>
              <w:top w:val="nil"/>
              <w:left w:val="nil"/>
              <w:bottom w:val="single" w:sz="4" w:space="0" w:color="auto"/>
              <w:right w:val="single" w:sz="4" w:space="0" w:color="auto"/>
            </w:tcBorders>
            <w:shd w:val="clear" w:color="auto" w:fill="auto"/>
            <w:noWrap/>
            <w:hideMark/>
          </w:tcPr>
          <w:p w14:paraId="2AFABAC4"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0,007</w:t>
            </w:r>
          </w:p>
        </w:tc>
      </w:tr>
      <w:tr w:rsidR="00856FFE" w:rsidRPr="00B21A71" w14:paraId="115B7411" w14:textId="77777777" w:rsidTr="003B64E0">
        <w:trPr>
          <w:trHeight w:val="300"/>
        </w:trPr>
        <w:tc>
          <w:tcPr>
            <w:tcW w:w="1560" w:type="dxa"/>
            <w:vMerge/>
            <w:tcBorders>
              <w:top w:val="nil"/>
              <w:left w:val="single" w:sz="4" w:space="0" w:color="auto"/>
              <w:bottom w:val="single" w:sz="4" w:space="0" w:color="auto"/>
              <w:right w:val="single" w:sz="4" w:space="0" w:color="auto"/>
            </w:tcBorders>
            <w:vAlign w:val="center"/>
            <w:hideMark/>
          </w:tcPr>
          <w:p w14:paraId="5A156430" w14:textId="77777777" w:rsidR="00856FFE" w:rsidRPr="00B21A71" w:rsidRDefault="00856FFE" w:rsidP="003B64E0">
            <w:pPr>
              <w:spacing w:after="0" w:line="480" w:lineRule="auto"/>
              <w:rPr>
                <w:rFonts w:ascii="Arial" w:eastAsia="Times New Roman" w:hAnsi="Arial" w:cs="Arial"/>
                <w:sz w:val="18"/>
                <w:szCs w:val="18"/>
                <w:lang w:eastAsia="en-ID"/>
              </w:rPr>
            </w:pPr>
          </w:p>
        </w:tc>
        <w:tc>
          <w:tcPr>
            <w:tcW w:w="1059" w:type="dxa"/>
            <w:tcBorders>
              <w:top w:val="nil"/>
              <w:left w:val="nil"/>
              <w:bottom w:val="single" w:sz="4" w:space="0" w:color="auto"/>
              <w:right w:val="single" w:sz="4" w:space="0" w:color="auto"/>
            </w:tcBorders>
            <w:shd w:val="clear" w:color="auto" w:fill="auto"/>
            <w:hideMark/>
          </w:tcPr>
          <w:p w14:paraId="01B17E27" w14:textId="77777777" w:rsidR="00856FFE" w:rsidRPr="00B21A71" w:rsidRDefault="00856FFE" w:rsidP="003B64E0">
            <w:pPr>
              <w:spacing w:after="0" w:line="480" w:lineRule="auto"/>
              <w:rPr>
                <w:rFonts w:ascii="Arial" w:eastAsia="Times New Roman" w:hAnsi="Arial" w:cs="Arial"/>
                <w:sz w:val="18"/>
                <w:szCs w:val="18"/>
                <w:lang w:eastAsia="en-ID"/>
              </w:rPr>
            </w:pPr>
            <w:r w:rsidRPr="00B21A71">
              <w:rPr>
                <w:rFonts w:ascii="Arial" w:eastAsia="Times New Roman" w:hAnsi="Arial" w:cs="Arial"/>
                <w:sz w:val="18"/>
                <w:szCs w:val="18"/>
                <w:lang w:eastAsia="en-ID"/>
              </w:rPr>
              <w:t>LN</w:t>
            </w:r>
          </w:p>
        </w:tc>
        <w:tc>
          <w:tcPr>
            <w:tcW w:w="889" w:type="dxa"/>
            <w:tcBorders>
              <w:top w:val="nil"/>
              <w:left w:val="nil"/>
              <w:bottom w:val="single" w:sz="4" w:space="0" w:color="auto"/>
              <w:right w:val="single" w:sz="4" w:space="0" w:color="auto"/>
            </w:tcBorders>
            <w:shd w:val="clear" w:color="auto" w:fill="auto"/>
            <w:noWrap/>
            <w:hideMark/>
          </w:tcPr>
          <w:p w14:paraId="11414330"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0,301</w:t>
            </w:r>
          </w:p>
        </w:tc>
        <w:tc>
          <w:tcPr>
            <w:tcW w:w="821" w:type="dxa"/>
            <w:tcBorders>
              <w:top w:val="nil"/>
              <w:left w:val="nil"/>
              <w:bottom w:val="single" w:sz="4" w:space="0" w:color="auto"/>
              <w:right w:val="single" w:sz="4" w:space="0" w:color="auto"/>
            </w:tcBorders>
            <w:shd w:val="clear" w:color="auto" w:fill="auto"/>
            <w:noWrap/>
            <w:hideMark/>
          </w:tcPr>
          <w:p w14:paraId="0FBB3194"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0,630</w:t>
            </w:r>
          </w:p>
        </w:tc>
        <w:tc>
          <w:tcPr>
            <w:tcW w:w="1346" w:type="dxa"/>
            <w:tcBorders>
              <w:top w:val="nil"/>
              <w:left w:val="nil"/>
              <w:bottom w:val="single" w:sz="4" w:space="0" w:color="auto"/>
              <w:right w:val="single" w:sz="4" w:space="0" w:color="auto"/>
            </w:tcBorders>
            <w:shd w:val="clear" w:color="auto" w:fill="auto"/>
            <w:noWrap/>
            <w:hideMark/>
          </w:tcPr>
          <w:p w14:paraId="1B69BA88"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0,041</w:t>
            </w:r>
          </w:p>
        </w:tc>
        <w:tc>
          <w:tcPr>
            <w:tcW w:w="801" w:type="dxa"/>
            <w:tcBorders>
              <w:top w:val="nil"/>
              <w:left w:val="nil"/>
              <w:bottom w:val="single" w:sz="4" w:space="0" w:color="auto"/>
              <w:right w:val="single" w:sz="4" w:space="0" w:color="auto"/>
            </w:tcBorders>
            <w:shd w:val="clear" w:color="auto" w:fill="auto"/>
            <w:noWrap/>
            <w:hideMark/>
          </w:tcPr>
          <w:p w14:paraId="4225BCFC"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0,478</w:t>
            </w:r>
          </w:p>
        </w:tc>
        <w:tc>
          <w:tcPr>
            <w:tcW w:w="834" w:type="dxa"/>
            <w:tcBorders>
              <w:top w:val="nil"/>
              <w:left w:val="nil"/>
              <w:bottom w:val="single" w:sz="4" w:space="0" w:color="auto"/>
              <w:right w:val="single" w:sz="4" w:space="0" w:color="auto"/>
            </w:tcBorders>
            <w:shd w:val="clear" w:color="auto" w:fill="auto"/>
            <w:noWrap/>
            <w:hideMark/>
          </w:tcPr>
          <w:p w14:paraId="3CCFF79F" w14:textId="77777777" w:rsidR="00856FFE" w:rsidRPr="00B21A71" w:rsidRDefault="00856FFE" w:rsidP="003B64E0">
            <w:pPr>
              <w:spacing w:after="0" w:line="480" w:lineRule="auto"/>
              <w:jc w:val="right"/>
              <w:rPr>
                <w:rFonts w:ascii="Arial" w:eastAsia="Times New Roman" w:hAnsi="Arial" w:cs="Arial"/>
                <w:sz w:val="18"/>
                <w:szCs w:val="18"/>
                <w:lang w:eastAsia="en-ID"/>
              </w:rPr>
            </w:pPr>
            <w:r w:rsidRPr="00B21A71">
              <w:rPr>
                <w:rFonts w:ascii="Arial" w:eastAsia="Times New Roman" w:hAnsi="Arial" w:cs="Arial"/>
                <w:sz w:val="18"/>
                <w:szCs w:val="18"/>
                <w:lang w:eastAsia="en-ID"/>
              </w:rPr>
              <w:t>0,633</w:t>
            </w:r>
          </w:p>
        </w:tc>
      </w:tr>
    </w:tbl>
    <w:p w14:paraId="7C8079D4" w14:textId="77777777" w:rsidR="00856FFE" w:rsidRDefault="00856FFE" w:rsidP="00856FFE">
      <w:pPr>
        <w:pStyle w:val="ListParagraph"/>
        <w:spacing w:line="480" w:lineRule="auto"/>
        <w:jc w:val="both"/>
        <w:rPr>
          <w:rFonts w:ascii="Times New Roman" w:hAnsi="Times New Roman" w:cs="Times New Roman"/>
          <w:bCs/>
          <w:sz w:val="24"/>
          <w:szCs w:val="24"/>
          <w:lang w:val="en-GB"/>
        </w:rPr>
      </w:pPr>
    </w:p>
    <w:p w14:paraId="488F0C1D" w14:textId="77777777" w:rsidR="003061A1" w:rsidRDefault="00856FFE" w:rsidP="003061A1">
      <w:pPr>
        <w:pStyle w:val="ListParagraph"/>
        <w:spacing w:line="48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Dari uraian tabel 1.9. diatas dapat digunakan untuk melihat pengaruh secara parsial antara variabel </w:t>
      </w:r>
      <w:r>
        <w:rPr>
          <w:rFonts w:ascii="Times New Roman" w:hAnsi="Times New Roman" w:cs="Times New Roman"/>
          <w:bCs/>
          <w:i/>
          <w:iCs/>
          <w:sz w:val="24"/>
          <w:szCs w:val="24"/>
          <w:lang w:val="en-GB"/>
        </w:rPr>
        <w:t xml:space="preserve">leverage </w:t>
      </w:r>
      <w:r>
        <w:rPr>
          <w:rFonts w:ascii="Times New Roman" w:hAnsi="Times New Roman" w:cs="Times New Roman"/>
          <w:bCs/>
          <w:sz w:val="24"/>
          <w:szCs w:val="24"/>
          <w:lang w:val="en-GB"/>
        </w:rPr>
        <w:t>dan ukuran perusahaan terhadap variabel profitabilitas (ROE). Untuk menentukan signifikan akan dibandingkan terlebih dahulu dengan angka Sig. terhadap a=0,05. H0 akan ditolak dan H1 akan diterima bila angka Sig. &lt;0,05 . Sebaliknya jika H0 akan diterima dan H1 akan ditolak apabila angka Sig. &gt;0,05.</w:t>
      </w:r>
      <w:r w:rsidR="003061A1">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Dapat dilihat variabel </w:t>
      </w:r>
      <w:r>
        <w:rPr>
          <w:rFonts w:ascii="Times New Roman" w:hAnsi="Times New Roman" w:cs="Times New Roman"/>
          <w:bCs/>
          <w:i/>
          <w:iCs/>
          <w:sz w:val="24"/>
          <w:szCs w:val="24"/>
          <w:lang w:val="en-GB"/>
        </w:rPr>
        <w:t xml:space="preserve">leverage </w:t>
      </w:r>
      <w:r>
        <w:rPr>
          <w:rFonts w:ascii="Times New Roman" w:hAnsi="Times New Roman" w:cs="Times New Roman"/>
          <w:bCs/>
          <w:sz w:val="24"/>
          <w:szCs w:val="24"/>
          <w:lang w:val="en-GB"/>
        </w:rPr>
        <w:t>(DER) menunjukkan angka 0,007 yang berarti memiliki pengaruh negative signifikan. Dan variabel ukuran perusahaan  menunjukkan angka 0,633 yang berarti tidak memiliki pengaruh signifikan.</w:t>
      </w:r>
    </w:p>
    <w:p w14:paraId="0C2E1A36" w14:textId="32D091F9" w:rsidR="00856FFE" w:rsidRDefault="003061A1" w:rsidP="003061A1">
      <w:pPr>
        <w:pStyle w:val="ListParagraph"/>
        <w:spacing w:line="48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ab/>
      </w:r>
      <w:r w:rsidR="00856FFE">
        <w:rPr>
          <w:rFonts w:ascii="Times New Roman" w:hAnsi="Times New Roman" w:cs="Times New Roman"/>
          <w:bCs/>
          <w:sz w:val="24"/>
          <w:szCs w:val="24"/>
          <w:lang w:val="en-GB"/>
        </w:rPr>
        <w:t xml:space="preserve">Maka dapat disimpulkan bahawa </w:t>
      </w:r>
      <w:r w:rsidR="00856FFE">
        <w:rPr>
          <w:rFonts w:ascii="Times New Roman" w:hAnsi="Times New Roman" w:cs="Times New Roman"/>
          <w:bCs/>
          <w:i/>
          <w:iCs/>
          <w:sz w:val="24"/>
          <w:szCs w:val="24"/>
          <w:lang w:val="en-GB"/>
        </w:rPr>
        <w:t>leverage</w:t>
      </w:r>
      <w:r w:rsidR="00856FFE">
        <w:rPr>
          <w:rFonts w:ascii="Times New Roman" w:hAnsi="Times New Roman" w:cs="Times New Roman"/>
          <w:bCs/>
          <w:sz w:val="24"/>
          <w:szCs w:val="24"/>
          <w:lang w:val="en-GB"/>
        </w:rPr>
        <w:t xml:space="preserve"> memiliki pengaruh negative signifikan dan ukuran perusahaan tidak memiliki pengaruh signifikan terhadap profitabilitas pada perusahaan manufaktur yang terdaftar di Bursa Efek Indonesia periode 2020-2022.</w:t>
      </w:r>
    </w:p>
    <w:p w14:paraId="3D5EF944" w14:textId="067CC458" w:rsidR="002744F2" w:rsidRDefault="002744F2" w:rsidP="003B71C2">
      <w:pPr>
        <w:pStyle w:val="ListParagraph"/>
        <w:spacing w:line="480" w:lineRule="auto"/>
        <w:jc w:val="both"/>
        <w:rPr>
          <w:rFonts w:ascii="Times New Roman" w:hAnsi="Times New Roman" w:cs="Times New Roman"/>
          <w:bCs/>
          <w:sz w:val="24"/>
          <w:szCs w:val="24"/>
          <w:lang w:val="en-GB"/>
        </w:rPr>
      </w:pPr>
    </w:p>
    <w:p w14:paraId="7B8510FF" w14:textId="3AEA0D35" w:rsidR="003061A1" w:rsidRDefault="003061A1" w:rsidP="003B71C2">
      <w:pPr>
        <w:pStyle w:val="ListParagraph"/>
        <w:spacing w:line="480" w:lineRule="auto"/>
        <w:jc w:val="both"/>
        <w:rPr>
          <w:rFonts w:ascii="Times New Roman" w:hAnsi="Times New Roman" w:cs="Times New Roman"/>
          <w:bCs/>
          <w:sz w:val="24"/>
          <w:szCs w:val="24"/>
          <w:lang w:val="en-GB"/>
        </w:rPr>
      </w:pPr>
    </w:p>
    <w:p w14:paraId="40098CC9" w14:textId="496ACF63" w:rsidR="003061A1" w:rsidRDefault="003061A1" w:rsidP="003B71C2">
      <w:pPr>
        <w:pStyle w:val="ListParagraph"/>
        <w:spacing w:line="480" w:lineRule="auto"/>
        <w:jc w:val="both"/>
        <w:rPr>
          <w:rFonts w:ascii="Times New Roman" w:hAnsi="Times New Roman" w:cs="Times New Roman"/>
          <w:bCs/>
          <w:sz w:val="24"/>
          <w:szCs w:val="24"/>
          <w:lang w:val="en-GB"/>
        </w:rPr>
      </w:pPr>
    </w:p>
    <w:p w14:paraId="21A2F709" w14:textId="03EBE798" w:rsidR="003061A1" w:rsidRDefault="003061A1" w:rsidP="003B71C2">
      <w:pPr>
        <w:pStyle w:val="ListParagraph"/>
        <w:spacing w:line="480" w:lineRule="auto"/>
        <w:jc w:val="both"/>
        <w:rPr>
          <w:rFonts w:ascii="Times New Roman" w:hAnsi="Times New Roman" w:cs="Times New Roman"/>
          <w:bCs/>
          <w:sz w:val="24"/>
          <w:szCs w:val="24"/>
          <w:lang w:val="en-GB"/>
        </w:rPr>
      </w:pPr>
    </w:p>
    <w:p w14:paraId="0C206519" w14:textId="51D3305F" w:rsidR="003061A1" w:rsidRDefault="003061A1" w:rsidP="003B71C2">
      <w:pPr>
        <w:pStyle w:val="ListParagraph"/>
        <w:spacing w:line="480" w:lineRule="auto"/>
        <w:jc w:val="both"/>
        <w:rPr>
          <w:rFonts w:ascii="Times New Roman" w:hAnsi="Times New Roman" w:cs="Times New Roman"/>
          <w:bCs/>
          <w:sz w:val="24"/>
          <w:szCs w:val="24"/>
          <w:lang w:val="en-GB"/>
        </w:rPr>
      </w:pPr>
    </w:p>
    <w:p w14:paraId="2DF38082" w14:textId="7195C674" w:rsidR="003061A1" w:rsidRDefault="003061A1" w:rsidP="003B71C2">
      <w:pPr>
        <w:pStyle w:val="ListParagraph"/>
        <w:spacing w:line="480" w:lineRule="auto"/>
        <w:jc w:val="both"/>
        <w:rPr>
          <w:rFonts w:ascii="Times New Roman" w:hAnsi="Times New Roman" w:cs="Times New Roman"/>
          <w:bCs/>
          <w:sz w:val="24"/>
          <w:szCs w:val="24"/>
          <w:lang w:val="en-GB"/>
        </w:rPr>
      </w:pPr>
    </w:p>
    <w:p w14:paraId="19EB3812" w14:textId="6FD2BB9D" w:rsidR="003061A1" w:rsidRDefault="003061A1" w:rsidP="003B71C2">
      <w:pPr>
        <w:pStyle w:val="ListParagraph"/>
        <w:spacing w:line="480" w:lineRule="auto"/>
        <w:jc w:val="both"/>
        <w:rPr>
          <w:rFonts w:ascii="Times New Roman" w:hAnsi="Times New Roman" w:cs="Times New Roman"/>
          <w:bCs/>
          <w:sz w:val="24"/>
          <w:szCs w:val="24"/>
          <w:lang w:val="en-GB"/>
        </w:rPr>
      </w:pPr>
    </w:p>
    <w:p w14:paraId="02747544" w14:textId="77777777" w:rsidR="003061A1" w:rsidRDefault="003061A1" w:rsidP="003B71C2">
      <w:pPr>
        <w:pStyle w:val="ListParagraph"/>
        <w:spacing w:line="480" w:lineRule="auto"/>
        <w:jc w:val="both"/>
        <w:rPr>
          <w:rFonts w:ascii="Times New Roman" w:hAnsi="Times New Roman" w:cs="Times New Roman"/>
          <w:bCs/>
          <w:sz w:val="24"/>
          <w:szCs w:val="24"/>
          <w:lang w:val="en-GB"/>
        </w:rPr>
      </w:pPr>
    </w:p>
    <w:p w14:paraId="06040ACE" w14:textId="4C2DAB7F" w:rsidR="002744F2" w:rsidRDefault="002744F2" w:rsidP="00B77E46">
      <w:pPr>
        <w:pStyle w:val="ListParagraph"/>
        <w:spacing w:line="480" w:lineRule="auto"/>
        <w:jc w:val="center"/>
        <w:rPr>
          <w:rFonts w:ascii="Times New Roman" w:hAnsi="Times New Roman" w:cs="Times New Roman"/>
          <w:b/>
          <w:sz w:val="24"/>
          <w:szCs w:val="24"/>
          <w:lang w:val="en-GB"/>
        </w:rPr>
      </w:pPr>
      <w:r w:rsidRPr="002744F2">
        <w:rPr>
          <w:rFonts w:ascii="Times New Roman" w:hAnsi="Times New Roman" w:cs="Times New Roman"/>
          <w:b/>
          <w:sz w:val="24"/>
          <w:szCs w:val="24"/>
          <w:lang w:val="en-GB"/>
        </w:rPr>
        <w:lastRenderedPageBreak/>
        <w:t>KESIMPULAN</w:t>
      </w:r>
    </w:p>
    <w:p w14:paraId="208A6908" w14:textId="77777777" w:rsidR="00B77E46" w:rsidRDefault="00B77E46" w:rsidP="003061A1">
      <w:pPr>
        <w:pStyle w:val="ListParagraph"/>
        <w:spacing w:line="48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Penelitian ini mencoba meneliti bagaimana pengaruh </w:t>
      </w:r>
      <w:r>
        <w:rPr>
          <w:rFonts w:ascii="Times New Roman" w:hAnsi="Times New Roman" w:cs="Times New Roman"/>
          <w:bCs/>
          <w:i/>
          <w:iCs/>
          <w:sz w:val="24"/>
          <w:szCs w:val="24"/>
          <w:lang w:val="en-GB"/>
        </w:rPr>
        <w:t>leverage</w:t>
      </w:r>
      <w:r>
        <w:rPr>
          <w:rFonts w:ascii="Times New Roman" w:hAnsi="Times New Roman" w:cs="Times New Roman"/>
          <w:bCs/>
          <w:sz w:val="24"/>
          <w:szCs w:val="24"/>
          <w:lang w:val="en-GB"/>
        </w:rPr>
        <w:t xml:space="preserve"> dan ukuran perusahaan terhadap profitabilitas pada perusahaan manufaktur yang terdaftar di Bursa Efek Indonesia periode 2020-2022.</w:t>
      </w:r>
    </w:p>
    <w:p w14:paraId="78EC0EAD" w14:textId="77777777" w:rsidR="00B77E46" w:rsidRDefault="00B77E46" w:rsidP="003061A1">
      <w:pPr>
        <w:pStyle w:val="ListParagraph"/>
        <w:spacing w:line="48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Adapun hasil analisis adalah sebagai berikut :</w:t>
      </w:r>
    </w:p>
    <w:p w14:paraId="12FBFA96" w14:textId="77777777" w:rsidR="00B77E46" w:rsidRDefault="00B77E46" w:rsidP="003061A1">
      <w:pPr>
        <w:pStyle w:val="ListParagraph"/>
        <w:numPr>
          <w:ilvl w:val="0"/>
          <w:numId w:val="1"/>
        </w:numPr>
        <w:spacing w:line="480" w:lineRule="auto"/>
        <w:ind w:left="426"/>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Dari hasil pengujian hipotesis mengenai </w:t>
      </w:r>
      <w:r>
        <w:rPr>
          <w:rFonts w:ascii="Times New Roman" w:hAnsi="Times New Roman" w:cs="Times New Roman"/>
          <w:bCs/>
          <w:i/>
          <w:iCs/>
          <w:sz w:val="24"/>
          <w:szCs w:val="24"/>
          <w:lang w:val="en-GB"/>
        </w:rPr>
        <w:t>leverage</w:t>
      </w:r>
      <w:r>
        <w:rPr>
          <w:rFonts w:ascii="Times New Roman" w:hAnsi="Times New Roman" w:cs="Times New Roman"/>
          <w:bCs/>
          <w:sz w:val="24"/>
          <w:szCs w:val="24"/>
          <w:lang w:val="en-GB"/>
        </w:rPr>
        <w:t xml:space="preserve"> (DER) terhadap profitabilitas melalui uji t dengan nilai signifikasi 0,007, hal ini menunjukkan secara parsial </w:t>
      </w:r>
      <w:r>
        <w:rPr>
          <w:rFonts w:ascii="Times New Roman" w:hAnsi="Times New Roman" w:cs="Times New Roman"/>
          <w:bCs/>
          <w:i/>
          <w:iCs/>
          <w:sz w:val="24"/>
          <w:szCs w:val="24"/>
          <w:lang w:val="en-GB"/>
        </w:rPr>
        <w:t>leverage</w:t>
      </w:r>
      <w:r>
        <w:rPr>
          <w:rFonts w:ascii="Times New Roman" w:hAnsi="Times New Roman" w:cs="Times New Roman"/>
          <w:bCs/>
          <w:sz w:val="24"/>
          <w:szCs w:val="24"/>
          <w:lang w:val="en-GB"/>
        </w:rPr>
        <w:t xml:space="preserve"> memiliki pengaruh negative signifikan terhadap profitabilitas (ROE).</w:t>
      </w:r>
    </w:p>
    <w:p w14:paraId="58176A5D" w14:textId="57716AF4" w:rsidR="003061A1" w:rsidRDefault="00B77E46" w:rsidP="003061A1">
      <w:pPr>
        <w:pStyle w:val="ListParagraph"/>
        <w:numPr>
          <w:ilvl w:val="0"/>
          <w:numId w:val="1"/>
        </w:numPr>
        <w:spacing w:line="480" w:lineRule="auto"/>
        <w:ind w:left="426"/>
        <w:jc w:val="both"/>
        <w:rPr>
          <w:rFonts w:ascii="Times New Roman" w:hAnsi="Times New Roman" w:cs="Times New Roman"/>
          <w:bCs/>
          <w:sz w:val="24"/>
          <w:szCs w:val="24"/>
          <w:lang w:val="en-GB"/>
        </w:rPr>
      </w:pPr>
      <w:r>
        <w:rPr>
          <w:rFonts w:ascii="Times New Roman" w:hAnsi="Times New Roman" w:cs="Times New Roman"/>
          <w:bCs/>
          <w:sz w:val="24"/>
          <w:szCs w:val="24"/>
          <w:lang w:val="en-GB"/>
        </w:rPr>
        <w:t>Pengujian hipotesis uji t mengenai pengaruh ukuran perusahaan terhadap profitabilitas menunjukkan nilai 0,633 yang berarti ukuran perusahaan tidak memiliki pengaruh signifikan terhadap profitabilitas pada perusahaan manufaktur yang terdaftar di Bursa Efek Indonesia</w:t>
      </w:r>
      <w:r w:rsidR="003061A1">
        <w:rPr>
          <w:rFonts w:ascii="Times New Roman" w:hAnsi="Times New Roman" w:cs="Times New Roman"/>
          <w:bCs/>
          <w:sz w:val="24"/>
          <w:szCs w:val="24"/>
          <w:lang w:val="en-GB"/>
        </w:rPr>
        <w:t>.</w:t>
      </w:r>
    </w:p>
    <w:p w14:paraId="06409D56" w14:textId="77E0A449" w:rsidR="003061A1" w:rsidRDefault="003061A1" w:rsidP="003061A1">
      <w:pPr>
        <w:pStyle w:val="ListParagraph"/>
        <w:spacing w:line="480" w:lineRule="auto"/>
        <w:ind w:left="426"/>
        <w:jc w:val="both"/>
        <w:rPr>
          <w:rFonts w:ascii="Times New Roman" w:hAnsi="Times New Roman" w:cs="Times New Roman"/>
          <w:bCs/>
          <w:sz w:val="24"/>
          <w:szCs w:val="24"/>
          <w:lang w:val="en-GB"/>
        </w:rPr>
      </w:pPr>
    </w:p>
    <w:p w14:paraId="000B7FA2" w14:textId="542C07BF" w:rsidR="003061A1" w:rsidRDefault="003061A1" w:rsidP="003061A1">
      <w:pPr>
        <w:pStyle w:val="ListParagraph"/>
        <w:spacing w:line="480" w:lineRule="auto"/>
        <w:ind w:left="426"/>
        <w:jc w:val="both"/>
        <w:rPr>
          <w:rFonts w:ascii="Times New Roman" w:hAnsi="Times New Roman" w:cs="Times New Roman"/>
          <w:bCs/>
          <w:sz w:val="24"/>
          <w:szCs w:val="24"/>
          <w:lang w:val="en-GB"/>
        </w:rPr>
      </w:pPr>
    </w:p>
    <w:p w14:paraId="3832166F" w14:textId="749384F3" w:rsidR="003061A1" w:rsidRDefault="003061A1" w:rsidP="003061A1">
      <w:pPr>
        <w:pStyle w:val="ListParagraph"/>
        <w:spacing w:line="480" w:lineRule="auto"/>
        <w:ind w:left="426"/>
        <w:jc w:val="both"/>
        <w:rPr>
          <w:rFonts w:ascii="Times New Roman" w:hAnsi="Times New Roman" w:cs="Times New Roman"/>
          <w:bCs/>
          <w:sz w:val="24"/>
          <w:szCs w:val="24"/>
          <w:lang w:val="en-GB"/>
        </w:rPr>
      </w:pPr>
    </w:p>
    <w:p w14:paraId="5A605C4E" w14:textId="3DC20A42" w:rsidR="003061A1" w:rsidRDefault="003061A1" w:rsidP="003061A1">
      <w:pPr>
        <w:pStyle w:val="ListParagraph"/>
        <w:spacing w:line="480" w:lineRule="auto"/>
        <w:ind w:left="426"/>
        <w:jc w:val="both"/>
        <w:rPr>
          <w:rFonts w:ascii="Times New Roman" w:hAnsi="Times New Roman" w:cs="Times New Roman"/>
          <w:bCs/>
          <w:sz w:val="24"/>
          <w:szCs w:val="24"/>
          <w:lang w:val="en-GB"/>
        </w:rPr>
      </w:pPr>
    </w:p>
    <w:p w14:paraId="58104B5C" w14:textId="0427E9E8" w:rsidR="003061A1" w:rsidRDefault="003061A1" w:rsidP="003061A1">
      <w:pPr>
        <w:pStyle w:val="ListParagraph"/>
        <w:spacing w:line="480" w:lineRule="auto"/>
        <w:ind w:left="426"/>
        <w:jc w:val="both"/>
        <w:rPr>
          <w:rFonts w:ascii="Times New Roman" w:hAnsi="Times New Roman" w:cs="Times New Roman"/>
          <w:bCs/>
          <w:sz w:val="24"/>
          <w:szCs w:val="24"/>
          <w:lang w:val="en-GB"/>
        </w:rPr>
      </w:pPr>
    </w:p>
    <w:p w14:paraId="0A4528D3" w14:textId="1A3BDB54" w:rsidR="003061A1" w:rsidRDefault="003061A1" w:rsidP="003061A1">
      <w:pPr>
        <w:pStyle w:val="ListParagraph"/>
        <w:spacing w:line="480" w:lineRule="auto"/>
        <w:ind w:left="426"/>
        <w:jc w:val="both"/>
        <w:rPr>
          <w:rFonts w:ascii="Times New Roman" w:hAnsi="Times New Roman" w:cs="Times New Roman"/>
          <w:bCs/>
          <w:sz w:val="24"/>
          <w:szCs w:val="24"/>
          <w:lang w:val="en-GB"/>
        </w:rPr>
      </w:pPr>
    </w:p>
    <w:p w14:paraId="0559F398" w14:textId="66E2CC08" w:rsidR="003061A1" w:rsidRDefault="003061A1" w:rsidP="003061A1">
      <w:pPr>
        <w:pStyle w:val="ListParagraph"/>
        <w:spacing w:line="480" w:lineRule="auto"/>
        <w:ind w:left="426"/>
        <w:jc w:val="both"/>
        <w:rPr>
          <w:rFonts w:ascii="Times New Roman" w:hAnsi="Times New Roman" w:cs="Times New Roman"/>
          <w:bCs/>
          <w:sz w:val="24"/>
          <w:szCs w:val="24"/>
          <w:lang w:val="en-GB"/>
        </w:rPr>
      </w:pPr>
    </w:p>
    <w:p w14:paraId="25BA497E" w14:textId="76A2208A" w:rsidR="003061A1" w:rsidRDefault="003061A1" w:rsidP="003061A1">
      <w:pPr>
        <w:pStyle w:val="ListParagraph"/>
        <w:spacing w:line="480" w:lineRule="auto"/>
        <w:ind w:left="426"/>
        <w:jc w:val="both"/>
        <w:rPr>
          <w:rFonts w:ascii="Times New Roman" w:hAnsi="Times New Roman" w:cs="Times New Roman"/>
          <w:bCs/>
          <w:sz w:val="24"/>
          <w:szCs w:val="24"/>
          <w:lang w:val="en-GB"/>
        </w:rPr>
      </w:pPr>
    </w:p>
    <w:p w14:paraId="44C7500F" w14:textId="2D572817" w:rsidR="003061A1" w:rsidRDefault="003061A1" w:rsidP="003061A1">
      <w:pPr>
        <w:pStyle w:val="ListParagraph"/>
        <w:spacing w:line="480" w:lineRule="auto"/>
        <w:ind w:left="426"/>
        <w:jc w:val="both"/>
        <w:rPr>
          <w:rFonts w:ascii="Times New Roman" w:hAnsi="Times New Roman" w:cs="Times New Roman"/>
          <w:bCs/>
          <w:sz w:val="24"/>
          <w:szCs w:val="24"/>
          <w:lang w:val="en-GB"/>
        </w:rPr>
      </w:pPr>
    </w:p>
    <w:p w14:paraId="03A9CFA1" w14:textId="248EFBBA" w:rsidR="003061A1" w:rsidRDefault="003061A1" w:rsidP="003061A1">
      <w:pPr>
        <w:pStyle w:val="ListParagraph"/>
        <w:spacing w:line="480" w:lineRule="auto"/>
        <w:ind w:left="426"/>
        <w:jc w:val="both"/>
        <w:rPr>
          <w:rFonts w:ascii="Times New Roman" w:hAnsi="Times New Roman" w:cs="Times New Roman"/>
          <w:bCs/>
          <w:sz w:val="24"/>
          <w:szCs w:val="24"/>
          <w:lang w:val="en-GB"/>
        </w:rPr>
      </w:pPr>
    </w:p>
    <w:p w14:paraId="45D997B5" w14:textId="1DB166C8" w:rsidR="003061A1" w:rsidRDefault="003061A1" w:rsidP="003061A1">
      <w:pPr>
        <w:pStyle w:val="ListParagraph"/>
        <w:spacing w:line="480" w:lineRule="auto"/>
        <w:ind w:left="0"/>
        <w:jc w:val="both"/>
        <w:rPr>
          <w:rFonts w:ascii="Times New Roman" w:hAnsi="Times New Roman" w:cs="Times New Roman"/>
          <w:bCs/>
          <w:sz w:val="24"/>
          <w:szCs w:val="24"/>
          <w:lang w:val="en-GB"/>
        </w:rPr>
      </w:pPr>
    </w:p>
    <w:p w14:paraId="39C0B809" w14:textId="66829514" w:rsidR="003061A1" w:rsidRPr="003061A1" w:rsidRDefault="003061A1" w:rsidP="003061A1">
      <w:pPr>
        <w:pStyle w:val="ListParagraph"/>
        <w:spacing w:line="480" w:lineRule="auto"/>
        <w:ind w:left="0"/>
        <w:jc w:val="center"/>
        <w:rPr>
          <w:rFonts w:ascii="Times New Roman" w:hAnsi="Times New Roman" w:cs="Times New Roman"/>
          <w:b/>
          <w:sz w:val="24"/>
          <w:szCs w:val="24"/>
          <w:lang w:val="en-GB"/>
        </w:rPr>
      </w:pPr>
      <w:r w:rsidRPr="003061A1">
        <w:rPr>
          <w:rFonts w:ascii="Times New Roman" w:hAnsi="Times New Roman" w:cs="Times New Roman"/>
          <w:b/>
          <w:sz w:val="24"/>
          <w:szCs w:val="24"/>
          <w:lang w:val="en-GB"/>
        </w:rPr>
        <w:lastRenderedPageBreak/>
        <w:t>DAFTAR PUSTAKA</w:t>
      </w:r>
    </w:p>
    <w:p w14:paraId="1FD930FF"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Adira, C., dan Susanto, L. 2020. </w:t>
      </w:r>
      <w:r>
        <w:rPr>
          <w:rFonts w:ascii="Times New Roman" w:hAnsi="Times New Roman" w:cs="Times New Roman"/>
          <w:bCs/>
          <w:i/>
          <w:iCs/>
          <w:sz w:val="24"/>
          <w:szCs w:val="24"/>
          <w:lang w:val="en-GB"/>
        </w:rPr>
        <w:t xml:space="preserve">Pengaruh Leverage, Likuiditas, Ukuran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Perusahaan, dan Perputaran Total Aset Terhadap Profitabilitas</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 xml:space="preserve">Jurnal </w:t>
      </w:r>
      <w:r>
        <w:rPr>
          <w:rFonts w:ascii="Times New Roman" w:hAnsi="Times New Roman" w:cs="Times New Roman"/>
          <w:bCs/>
          <w:sz w:val="24"/>
          <w:szCs w:val="24"/>
          <w:lang w:val="en-GB"/>
        </w:rPr>
        <w:tab/>
        <w:t>Multiparadigma Akuntansi Tarumanagara / Vol.2 : 393-400</w:t>
      </w:r>
    </w:p>
    <w:p w14:paraId="6A397A68"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Sartono, A. 2010. </w:t>
      </w:r>
      <w:r>
        <w:rPr>
          <w:rFonts w:ascii="Times New Roman" w:hAnsi="Times New Roman" w:cs="Times New Roman"/>
          <w:bCs/>
          <w:i/>
          <w:iCs/>
          <w:sz w:val="24"/>
          <w:szCs w:val="24"/>
          <w:lang w:val="en-GB"/>
        </w:rPr>
        <w:t>Manajemen Keuangan Teori dan Aplikasi. Edisi keempat</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Yogyakarta: BPFE.</w:t>
      </w:r>
    </w:p>
    <w:p w14:paraId="3A19C478"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Mboka, A. dan Cahyono, L. 2020. </w:t>
      </w:r>
      <w:r>
        <w:rPr>
          <w:rFonts w:ascii="Times New Roman" w:hAnsi="Times New Roman" w:cs="Times New Roman"/>
          <w:bCs/>
          <w:i/>
          <w:iCs/>
          <w:sz w:val="24"/>
          <w:szCs w:val="24"/>
          <w:lang w:val="en-GB"/>
        </w:rPr>
        <w:t xml:space="preserve">Pengaruh Leverage dan Ukuran Perusahaan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Terhadap Profitabilitas Pada Perusahaan Sub-Sektor Farmasi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Periode 2013-2017</w:t>
      </w:r>
      <w:r>
        <w:rPr>
          <w:rFonts w:ascii="Times New Roman" w:hAnsi="Times New Roman" w:cs="Times New Roman"/>
          <w:bCs/>
          <w:sz w:val="24"/>
          <w:szCs w:val="24"/>
          <w:lang w:val="en-GB"/>
        </w:rPr>
        <w:t>. Jurnal Akuntansi, 7(1), 15-25.</w:t>
      </w:r>
    </w:p>
    <w:p w14:paraId="0992FD86"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Setiadewi, K., A., &amp; Purbawangsa, I. B. 2015. </w:t>
      </w:r>
      <w:r>
        <w:rPr>
          <w:rFonts w:ascii="Times New Roman" w:hAnsi="Times New Roman" w:cs="Times New Roman"/>
          <w:bCs/>
          <w:i/>
          <w:iCs/>
          <w:sz w:val="24"/>
          <w:szCs w:val="24"/>
          <w:lang w:val="en-GB"/>
        </w:rPr>
        <w:t xml:space="preserve">Pengaruh Ukuran Perusahaan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dan Leverage Terhadap Profitabilitas dan Nilai Perusahaan. </w:t>
      </w:r>
      <w:r>
        <w:rPr>
          <w:rFonts w:ascii="Times New Roman" w:hAnsi="Times New Roman" w:cs="Times New Roman"/>
          <w:bCs/>
          <w:sz w:val="24"/>
          <w:szCs w:val="24"/>
          <w:lang w:val="en-GB"/>
        </w:rPr>
        <w:t>E-</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Jurnal Manajemen, 4(2), 596-609.</w:t>
      </w:r>
    </w:p>
    <w:p w14:paraId="6714AD8F"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Rinofah, R., Sari, P., P., &amp; Fatharani, H. 2022. </w:t>
      </w:r>
      <w:r>
        <w:rPr>
          <w:rFonts w:ascii="Times New Roman" w:hAnsi="Times New Roman" w:cs="Times New Roman"/>
          <w:bCs/>
          <w:i/>
          <w:iCs/>
          <w:sz w:val="24"/>
          <w:szCs w:val="24"/>
          <w:lang w:val="en-GB"/>
        </w:rPr>
        <w:t xml:space="preserve">Analisis Pengaruh Likuiditas,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Leverage, dan Ukuran Perusahaan Terhadap Profitabilitas Dengan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Struktur Modal Sebagai Variabel Intervening</w:t>
      </w:r>
      <w:r>
        <w:rPr>
          <w:rFonts w:ascii="Times New Roman" w:hAnsi="Times New Roman" w:cs="Times New Roman"/>
          <w:bCs/>
          <w:sz w:val="24"/>
          <w:szCs w:val="24"/>
          <w:lang w:val="en-GB"/>
        </w:rPr>
        <w:t xml:space="preserve">. Jurnal Manajemen,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14(1), 56-64.</w:t>
      </w:r>
    </w:p>
    <w:p w14:paraId="1F53236A" w14:textId="77777777" w:rsidR="003061A1" w:rsidRPr="002075BE"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Fransisca, E., dan Widjaja, I. 2019. </w:t>
      </w:r>
      <w:r>
        <w:rPr>
          <w:rFonts w:ascii="Times New Roman" w:hAnsi="Times New Roman" w:cs="Times New Roman"/>
          <w:bCs/>
          <w:i/>
          <w:iCs/>
          <w:sz w:val="24"/>
          <w:szCs w:val="24"/>
          <w:lang w:val="en-GB"/>
        </w:rPr>
        <w:t xml:space="preserve">Pengaruh Leverage, Likuiditas,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Pertumbuhan Penjualan dan Ukuran Perusahaan Terhadap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Profitabilitas Perusahaan Manufaktur</w:t>
      </w:r>
      <w:r>
        <w:rPr>
          <w:rFonts w:ascii="Times New Roman" w:hAnsi="Times New Roman" w:cs="Times New Roman"/>
          <w:bCs/>
          <w:sz w:val="24"/>
          <w:szCs w:val="24"/>
          <w:lang w:val="en-GB"/>
        </w:rPr>
        <w:t xml:space="preserve">. Jurnal Manajerial dan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Kewirausahaan. Vol I No. 2: 199-206.</w:t>
      </w:r>
    </w:p>
    <w:p w14:paraId="53825287"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p>
    <w:p w14:paraId="49A4E7A6"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Jensen, M. dan Meckling, H. 1976. </w:t>
      </w:r>
      <w:r>
        <w:rPr>
          <w:rFonts w:ascii="Times New Roman" w:hAnsi="Times New Roman" w:cs="Times New Roman"/>
          <w:bCs/>
          <w:i/>
          <w:iCs/>
          <w:sz w:val="24"/>
          <w:szCs w:val="24"/>
          <w:lang w:val="en-GB"/>
        </w:rPr>
        <w:t xml:space="preserve">Theory of The Firm : Managerial Behavior,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Agency Cost, and Ownership Structure</w:t>
      </w:r>
      <w:r>
        <w:rPr>
          <w:rFonts w:ascii="Times New Roman" w:hAnsi="Times New Roman" w:cs="Times New Roman"/>
          <w:bCs/>
          <w:sz w:val="24"/>
          <w:szCs w:val="24"/>
          <w:lang w:val="en-GB"/>
        </w:rPr>
        <w:t xml:space="preserve">. Journal of Financial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Economics, 3(4), 305-360.</w:t>
      </w:r>
    </w:p>
    <w:p w14:paraId="5657A6A4"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Helfiardi, D., R., dan Suhartini, S. 2021. </w:t>
      </w:r>
      <w:r>
        <w:rPr>
          <w:rFonts w:ascii="Times New Roman" w:hAnsi="Times New Roman" w:cs="Times New Roman"/>
          <w:bCs/>
          <w:i/>
          <w:iCs/>
          <w:sz w:val="24"/>
          <w:szCs w:val="24"/>
          <w:lang w:val="en-GB"/>
        </w:rPr>
        <w:t xml:space="preserve">Pengaruh Leverage dan Ukuran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Perusahaan Terhadap PRofitabilitas Pada Perusahaan Sub Sektor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Barang Makanan dan Minuman yang Terdaftar di Bursa Efek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Indonesia tahun 2015-2020.</w:t>
      </w:r>
      <w:r>
        <w:rPr>
          <w:rFonts w:ascii="Times New Roman" w:hAnsi="Times New Roman" w:cs="Times New Roman"/>
          <w:bCs/>
          <w:sz w:val="24"/>
          <w:szCs w:val="24"/>
          <w:lang w:val="en-GB"/>
        </w:rPr>
        <w:t xml:space="preserve"> Akuntabel, 18(3), 516-523.</w:t>
      </w:r>
    </w:p>
    <w:p w14:paraId="7BA0CB86"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Jensen, M. C. 1986. </w:t>
      </w:r>
      <w:r>
        <w:rPr>
          <w:rFonts w:ascii="Times New Roman" w:hAnsi="Times New Roman" w:cs="Times New Roman"/>
          <w:bCs/>
          <w:i/>
          <w:iCs/>
          <w:sz w:val="24"/>
          <w:szCs w:val="24"/>
          <w:lang w:val="en-GB"/>
        </w:rPr>
        <w:t xml:space="preserve">Agency Cost of Free Cash Flow, Corporate Finance, and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takeovers. </w:t>
      </w:r>
      <w:r>
        <w:rPr>
          <w:rFonts w:ascii="Times New Roman" w:hAnsi="Times New Roman" w:cs="Times New Roman"/>
          <w:bCs/>
          <w:sz w:val="24"/>
          <w:szCs w:val="24"/>
          <w:lang w:val="en-GB"/>
        </w:rPr>
        <w:t>American Economic Riview Vol.76 No.2.</w:t>
      </w:r>
    </w:p>
    <w:p w14:paraId="62ACCDBC"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Sinarti dan Darmajati, J. 2019. </w:t>
      </w:r>
      <w:r>
        <w:rPr>
          <w:rFonts w:ascii="Times New Roman" w:hAnsi="Times New Roman" w:cs="Times New Roman"/>
          <w:bCs/>
          <w:i/>
          <w:iCs/>
          <w:sz w:val="24"/>
          <w:szCs w:val="24"/>
          <w:lang w:val="en-GB"/>
        </w:rPr>
        <w:t xml:space="preserve">Pengaruh Leverage, DIversifikasi Produk dan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Ukuran Perusahaan Terhadap Profitabilitas.</w:t>
      </w:r>
      <w:r>
        <w:rPr>
          <w:rFonts w:ascii="Times New Roman" w:hAnsi="Times New Roman" w:cs="Times New Roman"/>
          <w:bCs/>
          <w:sz w:val="24"/>
          <w:szCs w:val="24"/>
          <w:lang w:val="en-GB"/>
        </w:rPr>
        <w:t xml:space="preserve"> Journal of Applied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Managerial Accounting, 3(1), 97-106.</w:t>
      </w:r>
    </w:p>
    <w:p w14:paraId="1A5DA175"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Kusumadewi, N. R. 2022. </w:t>
      </w:r>
      <w:r>
        <w:rPr>
          <w:rFonts w:ascii="Times New Roman" w:hAnsi="Times New Roman" w:cs="Times New Roman"/>
          <w:bCs/>
          <w:i/>
          <w:iCs/>
          <w:sz w:val="24"/>
          <w:szCs w:val="24"/>
          <w:lang w:val="en-GB"/>
        </w:rPr>
        <w:t xml:space="preserve">Pengaruh Leverage, Pertumbuhan Penjualan dan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Ukuran Perusahaan Terhadap Profitabilitas. </w:t>
      </w:r>
      <w:r>
        <w:rPr>
          <w:rFonts w:ascii="Times New Roman" w:hAnsi="Times New Roman" w:cs="Times New Roman"/>
          <w:bCs/>
          <w:sz w:val="24"/>
          <w:szCs w:val="24"/>
          <w:lang w:val="en-GB"/>
        </w:rPr>
        <w:t xml:space="preserve">Jurnal Akuntansi dan </w:t>
      </w:r>
      <w:r>
        <w:rPr>
          <w:rFonts w:ascii="Times New Roman" w:hAnsi="Times New Roman" w:cs="Times New Roman"/>
          <w:bCs/>
          <w:sz w:val="24"/>
          <w:szCs w:val="24"/>
          <w:lang w:val="en-GB"/>
        </w:rPr>
        <w:tab/>
      </w:r>
      <w:r>
        <w:rPr>
          <w:rFonts w:ascii="Times New Roman" w:hAnsi="Times New Roman" w:cs="Times New Roman"/>
          <w:bCs/>
          <w:sz w:val="24"/>
          <w:szCs w:val="24"/>
          <w:lang w:val="en-GB"/>
        </w:rPr>
        <w:tab/>
        <w:t>Sistem Informasi.</w:t>
      </w:r>
    </w:p>
    <w:p w14:paraId="1507B829"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Nuraini, D. F. dan Suwaidi, A. R. 2022. </w:t>
      </w:r>
      <w:r>
        <w:rPr>
          <w:rFonts w:ascii="Times New Roman" w:hAnsi="Times New Roman" w:cs="Times New Roman"/>
          <w:bCs/>
          <w:i/>
          <w:iCs/>
          <w:sz w:val="24"/>
          <w:szCs w:val="24"/>
          <w:lang w:val="en-GB"/>
        </w:rPr>
        <w:t xml:space="preserve">Pengaruh Leverage, Likuiditas, dan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Ukuran Perusahaan Terhadap Profitabilitas Pada Perusahaan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Textile dan Garment Yang Go Public di Bursa Efek Indonesia.</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Jurnal Ilmu Manajemen, 11(2), 157-166.</w:t>
      </w:r>
    </w:p>
    <w:p w14:paraId="6430A847" w14:textId="77777777" w:rsidR="003061A1" w:rsidRPr="00373948"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Febria, L. R. dan Halmawati. 2104. </w:t>
      </w:r>
      <w:r>
        <w:rPr>
          <w:rFonts w:ascii="Times New Roman" w:hAnsi="Times New Roman" w:cs="Times New Roman"/>
          <w:bCs/>
          <w:i/>
          <w:iCs/>
          <w:sz w:val="24"/>
          <w:szCs w:val="24"/>
          <w:lang w:val="en-GB"/>
        </w:rPr>
        <w:t xml:space="preserve">Pengaruh Leverage dan Ukuran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Perusahaan Terhadap Profitabilitas. </w:t>
      </w:r>
      <w:r>
        <w:rPr>
          <w:rFonts w:ascii="Times New Roman" w:hAnsi="Times New Roman" w:cs="Times New Roman"/>
          <w:bCs/>
          <w:sz w:val="24"/>
          <w:szCs w:val="24"/>
          <w:lang w:val="en-GB"/>
        </w:rPr>
        <w:t>Jurnal WRA, 2(1), No.1.</w:t>
      </w:r>
    </w:p>
    <w:p w14:paraId="39B48C27"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Husnan, S. 2001. </w:t>
      </w:r>
      <w:r>
        <w:rPr>
          <w:rFonts w:ascii="Times New Roman" w:hAnsi="Times New Roman" w:cs="Times New Roman"/>
          <w:bCs/>
          <w:i/>
          <w:iCs/>
          <w:sz w:val="24"/>
          <w:szCs w:val="24"/>
          <w:lang w:val="en-GB"/>
        </w:rPr>
        <w:t>Dasar-dasar Teori Portofolio an Analisis Sekuritas</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Yogyakarta : UPP AMP YKPN.</w:t>
      </w:r>
    </w:p>
    <w:p w14:paraId="5E717E45" w14:textId="77777777" w:rsidR="003061A1" w:rsidRPr="0071472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Sartono, R. 2001. </w:t>
      </w:r>
      <w:r>
        <w:rPr>
          <w:rFonts w:ascii="Times New Roman" w:hAnsi="Times New Roman" w:cs="Times New Roman"/>
          <w:bCs/>
          <w:i/>
          <w:iCs/>
          <w:sz w:val="24"/>
          <w:szCs w:val="24"/>
          <w:lang w:val="en-GB"/>
        </w:rPr>
        <w:t xml:space="preserve">Manajemen Keuangan Teori dan Aplikasi. </w:t>
      </w:r>
      <w:r>
        <w:rPr>
          <w:rFonts w:ascii="Times New Roman" w:hAnsi="Times New Roman" w:cs="Times New Roman"/>
          <w:bCs/>
          <w:sz w:val="24"/>
          <w:szCs w:val="24"/>
          <w:lang w:val="en-GB"/>
        </w:rPr>
        <w:t xml:space="preserve">Yogyakarta :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BPFE-Yogyakarta.</w:t>
      </w:r>
    </w:p>
    <w:p w14:paraId="43060F8F" w14:textId="77777777" w:rsidR="003061A1" w:rsidRPr="00E17A4F"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Munawir, S. 2004. </w:t>
      </w:r>
      <w:r>
        <w:rPr>
          <w:rFonts w:ascii="Times New Roman" w:hAnsi="Times New Roman" w:cs="Times New Roman"/>
          <w:bCs/>
          <w:i/>
          <w:iCs/>
          <w:sz w:val="24"/>
          <w:szCs w:val="24"/>
          <w:lang w:val="en-GB"/>
        </w:rPr>
        <w:t xml:space="preserve">Analisa Laporan Keuangan Edisi Keempa. </w:t>
      </w:r>
      <w:r>
        <w:rPr>
          <w:rFonts w:ascii="Times New Roman" w:hAnsi="Times New Roman" w:cs="Times New Roman"/>
          <w:bCs/>
          <w:sz w:val="24"/>
          <w:szCs w:val="24"/>
          <w:lang w:val="en-GB"/>
        </w:rPr>
        <w:t xml:space="preserve">Yogyakarta :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Liberty.</w:t>
      </w:r>
    </w:p>
    <w:p w14:paraId="5A8FA967"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Harahap, S. 2013. </w:t>
      </w:r>
      <w:r>
        <w:rPr>
          <w:rFonts w:ascii="Times New Roman" w:hAnsi="Times New Roman" w:cs="Times New Roman"/>
          <w:bCs/>
          <w:i/>
          <w:iCs/>
          <w:sz w:val="24"/>
          <w:szCs w:val="24"/>
          <w:lang w:val="en-GB"/>
        </w:rPr>
        <w:t>Analisis Kritis Atas Laporan Keuangan (11 th ed).</w:t>
      </w:r>
      <w:r>
        <w:rPr>
          <w:rFonts w:ascii="Times New Roman" w:hAnsi="Times New Roman" w:cs="Times New Roman"/>
          <w:bCs/>
          <w:sz w:val="24"/>
          <w:szCs w:val="24"/>
          <w:lang w:val="en-GB"/>
        </w:rPr>
        <w:t xml:space="preserve"> Jakarta : </w:t>
      </w:r>
      <w:r>
        <w:rPr>
          <w:rFonts w:ascii="Times New Roman" w:hAnsi="Times New Roman" w:cs="Times New Roman"/>
          <w:bCs/>
          <w:sz w:val="24"/>
          <w:szCs w:val="24"/>
          <w:lang w:val="en-GB"/>
        </w:rPr>
        <w:tab/>
      </w:r>
      <w:r>
        <w:rPr>
          <w:rFonts w:ascii="Times New Roman" w:hAnsi="Times New Roman" w:cs="Times New Roman"/>
          <w:bCs/>
          <w:sz w:val="24"/>
          <w:szCs w:val="24"/>
          <w:lang w:val="en-GB"/>
        </w:rPr>
        <w:tab/>
        <w:t>Rajawali Press.</w:t>
      </w:r>
    </w:p>
    <w:p w14:paraId="5462C70F" w14:textId="77777777" w:rsidR="003061A1" w:rsidRPr="006567F6"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Fahmi, I. 2012. </w:t>
      </w:r>
      <w:r>
        <w:rPr>
          <w:rFonts w:ascii="Times New Roman" w:hAnsi="Times New Roman" w:cs="Times New Roman"/>
          <w:bCs/>
          <w:i/>
          <w:iCs/>
          <w:sz w:val="24"/>
          <w:szCs w:val="24"/>
          <w:lang w:val="en-GB"/>
        </w:rPr>
        <w:t xml:space="preserve">Analisis Kinerja Keuangan. </w:t>
      </w:r>
      <w:r>
        <w:rPr>
          <w:rFonts w:ascii="Times New Roman" w:hAnsi="Times New Roman" w:cs="Times New Roman"/>
          <w:bCs/>
          <w:sz w:val="24"/>
          <w:szCs w:val="24"/>
          <w:lang w:val="en-GB"/>
        </w:rPr>
        <w:t>Bandung : Alfabeta.</w:t>
      </w:r>
    </w:p>
    <w:p w14:paraId="6C7B60D7"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Brigham dan Houston. 2010. </w:t>
      </w:r>
      <w:r>
        <w:rPr>
          <w:rFonts w:ascii="Times New Roman" w:hAnsi="Times New Roman" w:cs="Times New Roman"/>
          <w:bCs/>
          <w:i/>
          <w:iCs/>
          <w:sz w:val="24"/>
          <w:szCs w:val="24"/>
          <w:lang w:val="en-GB"/>
        </w:rPr>
        <w:t xml:space="preserve">Dasar-dasar Manajemen Keuangan Edisi 11.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sz w:val="24"/>
          <w:szCs w:val="24"/>
          <w:lang w:val="en-GB"/>
        </w:rPr>
        <w:t>Jakarta : Salemba Empat.</w:t>
      </w:r>
    </w:p>
    <w:p w14:paraId="543F0281"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Mahendra, DJ. A. 2011. </w:t>
      </w:r>
      <w:r>
        <w:rPr>
          <w:rFonts w:ascii="Times New Roman" w:hAnsi="Times New Roman" w:cs="Times New Roman"/>
          <w:bCs/>
          <w:i/>
          <w:iCs/>
          <w:sz w:val="24"/>
          <w:szCs w:val="24"/>
          <w:lang w:val="en-GB"/>
        </w:rPr>
        <w:t xml:space="preserve">Pengaruh Kinerja Keuangan Terhadao Nilai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Perusahaan (Kebijakan Dividen Sebagai Variabel Moderating)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Pada Perusahaan Manufaktur di Bursa Efek Indonesia. </w:t>
      </w:r>
      <w:r>
        <w:rPr>
          <w:rFonts w:ascii="Times New Roman" w:hAnsi="Times New Roman" w:cs="Times New Roman"/>
          <w:bCs/>
          <w:sz w:val="24"/>
          <w:szCs w:val="24"/>
          <w:lang w:val="en-GB"/>
        </w:rPr>
        <w:t xml:space="preserve">Tesis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diterbitkan. Bali : Universitas Udayana.</w:t>
      </w:r>
    </w:p>
    <w:p w14:paraId="104FE602"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Ghozali, I. 2011. </w:t>
      </w:r>
      <w:r>
        <w:rPr>
          <w:rFonts w:ascii="Times New Roman" w:hAnsi="Times New Roman" w:cs="Times New Roman"/>
          <w:bCs/>
          <w:i/>
          <w:iCs/>
          <w:sz w:val="24"/>
          <w:szCs w:val="24"/>
          <w:lang w:val="en-GB"/>
        </w:rPr>
        <w:t xml:space="preserve">Aplikasi Analisis Multivariate Dengan Program IMB SPSS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19.</w:t>
      </w:r>
      <w:r>
        <w:rPr>
          <w:rFonts w:ascii="Times New Roman" w:hAnsi="Times New Roman" w:cs="Times New Roman"/>
          <w:bCs/>
          <w:sz w:val="24"/>
          <w:szCs w:val="24"/>
          <w:lang w:val="en-GB"/>
        </w:rPr>
        <w:t xml:space="preserve"> Badan Penerbit Universitas Diponegoro. Semarang.</w:t>
      </w:r>
    </w:p>
    <w:p w14:paraId="643797B7"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Ghozali, I. 2016. </w:t>
      </w:r>
      <w:r>
        <w:rPr>
          <w:rFonts w:ascii="Times New Roman" w:hAnsi="Times New Roman" w:cs="Times New Roman"/>
          <w:bCs/>
          <w:i/>
          <w:iCs/>
          <w:sz w:val="24"/>
          <w:szCs w:val="24"/>
          <w:lang w:val="en-GB"/>
        </w:rPr>
        <w:t xml:space="preserve">Analisis Aplikasi Multivariate Dengan Program SPSS. </w:t>
      </w:r>
      <w:r>
        <w:rPr>
          <w:rFonts w:ascii="Times New Roman" w:hAnsi="Times New Roman" w:cs="Times New Roman"/>
          <w:bCs/>
          <w:sz w:val="24"/>
          <w:szCs w:val="24"/>
          <w:lang w:val="en-GB"/>
        </w:rPr>
        <w:t xml:space="preserve">Badan </w:t>
      </w:r>
      <w:r>
        <w:rPr>
          <w:rFonts w:ascii="Times New Roman" w:hAnsi="Times New Roman" w:cs="Times New Roman"/>
          <w:bCs/>
          <w:sz w:val="24"/>
          <w:szCs w:val="24"/>
          <w:lang w:val="en-GB"/>
        </w:rPr>
        <w:tab/>
      </w:r>
      <w:r>
        <w:rPr>
          <w:rFonts w:ascii="Times New Roman" w:hAnsi="Times New Roman" w:cs="Times New Roman"/>
          <w:bCs/>
          <w:sz w:val="24"/>
          <w:szCs w:val="24"/>
          <w:lang w:val="en-GB"/>
        </w:rPr>
        <w:tab/>
        <w:t>Penerbit Universitas Diponegoro. Semarang.</w:t>
      </w:r>
    </w:p>
    <w:p w14:paraId="43C44223"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Sugiyono. 2011. </w:t>
      </w:r>
      <w:r>
        <w:rPr>
          <w:rFonts w:ascii="Times New Roman" w:hAnsi="Times New Roman" w:cs="Times New Roman"/>
          <w:bCs/>
          <w:i/>
          <w:iCs/>
          <w:sz w:val="24"/>
          <w:szCs w:val="24"/>
          <w:lang w:val="en-GB"/>
        </w:rPr>
        <w:t>Metode Penelitian Bisnis.</w:t>
      </w:r>
      <w:r>
        <w:rPr>
          <w:rFonts w:ascii="Times New Roman" w:hAnsi="Times New Roman" w:cs="Times New Roman"/>
          <w:bCs/>
          <w:sz w:val="24"/>
          <w:szCs w:val="24"/>
          <w:lang w:val="en-GB"/>
        </w:rPr>
        <w:t xml:space="preserve"> Alfabeta, CV: Bandung.</w:t>
      </w:r>
    </w:p>
    <w:p w14:paraId="5B2A1FD1"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Sartono, A. 2010. </w:t>
      </w:r>
      <w:r>
        <w:rPr>
          <w:rFonts w:ascii="Times New Roman" w:hAnsi="Times New Roman" w:cs="Times New Roman"/>
          <w:bCs/>
          <w:i/>
          <w:iCs/>
          <w:sz w:val="24"/>
          <w:szCs w:val="24"/>
          <w:lang w:val="en-GB"/>
        </w:rPr>
        <w:t xml:space="preserve">Manajemen Keuangan Teori dan Aplikasi. </w:t>
      </w:r>
      <w:r>
        <w:rPr>
          <w:rFonts w:ascii="Times New Roman" w:hAnsi="Times New Roman" w:cs="Times New Roman"/>
          <w:bCs/>
          <w:sz w:val="24"/>
          <w:szCs w:val="24"/>
          <w:lang w:val="en-GB"/>
        </w:rPr>
        <w:t xml:space="preserve">Edisi Keempat.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Yogyakarta : BPFE</w:t>
      </w:r>
    </w:p>
    <w:p w14:paraId="7A136C5D"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Syafrida, H. 2015. </w:t>
      </w:r>
      <w:r>
        <w:rPr>
          <w:rFonts w:ascii="Times New Roman" w:hAnsi="Times New Roman" w:cs="Times New Roman"/>
          <w:bCs/>
          <w:i/>
          <w:iCs/>
          <w:sz w:val="24"/>
          <w:szCs w:val="24"/>
          <w:lang w:val="en-GB"/>
        </w:rPr>
        <w:t>Teknik Analisa Laporan Keuangan</w:t>
      </w:r>
      <w:r>
        <w:rPr>
          <w:rFonts w:ascii="Times New Roman" w:hAnsi="Times New Roman" w:cs="Times New Roman"/>
          <w:bCs/>
          <w:sz w:val="24"/>
          <w:szCs w:val="24"/>
          <w:lang w:val="en-GB"/>
        </w:rPr>
        <w:t>. Medan : Umsu Press.</w:t>
      </w:r>
    </w:p>
    <w:p w14:paraId="56312B03"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Srftianne dan Handayani. 2015. </w:t>
      </w:r>
      <w:r>
        <w:rPr>
          <w:rFonts w:ascii="Times New Roman" w:hAnsi="Times New Roman" w:cs="Times New Roman"/>
          <w:bCs/>
          <w:i/>
          <w:iCs/>
          <w:sz w:val="24"/>
          <w:szCs w:val="24"/>
          <w:lang w:val="en-GB"/>
        </w:rPr>
        <w:t xml:space="preserve">Faktor-faktor Yang Mempengaruhi Struktur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Modal Pada Perusahaan Publik Sektor Manufaktur.</w:t>
      </w:r>
      <w:r>
        <w:rPr>
          <w:rFonts w:ascii="Times New Roman" w:hAnsi="Times New Roman" w:cs="Times New Roman"/>
          <w:bCs/>
          <w:sz w:val="24"/>
          <w:szCs w:val="24"/>
          <w:lang w:val="en-GB"/>
        </w:rPr>
        <w:t xml:space="preserve"> Jurnal Bisnis </w:t>
      </w:r>
      <w:r>
        <w:rPr>
          <w:rFonts w:ascii="Times New Roman" w:hAnsi="Times New Roman" w:cs="Times New Roman"/>
          <w:bCs/>
          <w:sz w:val="24"/>
          <w:szCs w:val="24"/>
          <w:lang w:val="en-GB"/>
        </w:rPr>
        <w:tab/>
      </w:r>
      <w:r>
        <w:rPr>
          <w:rFonts w:ascii="Times New Roman" w:hAnsi="Times New Roman" w:cs="Times New Roman"/>
          <w:bCs/>
          <w:sz w:val="24"/>
          <w:szCs w:val="24"/>
          <w:lang w:val="en-GB"/>
        </w:rPr>
        <w:tab/>
      </w:r>
      <w:r>
        <w:rPr>
          <w:rFonts w:ascii="Times New Roman" w:hAnsi="Times New Roman" w:cs="Times New Roman"/>
          <w:bCs/>
          <w:sz w:val="24"/>
          <w:szCs w:val="24"/>
          <w:lang w:val="en-GB"/>
        </w:rPr>
        <w:tab/>
        <w:t>dan Akuntansi, 13(1), 39-56.</w:t>
      </w:r>
    </w:p>
    <w:p w14:paraId="374BFC6A" w14:textId="77777777" w:rsidR="003061A1"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Ansoff, I. 1957. </w:t>
      </w:r>
      <w:r>
        <w:rPr>
          <w:rFonts w:ascii="Times New Roman" w:hAnsi="Times New Roman" w:cs="Times New Roman"/>
          <w:bCs/>
          <w:i/>
          <w:iCs/>
          <w:sz w:val="24"/>
          <w:szCs w:val="24"/>
          <w:lang w:val="en-GB"/>
        </w:rPr>
        <w:t>Strategies for diversification.</w:t>
      </w:r>
      <w:r>
        <w:rPr>
          <w:rFonts w:ascii="Times New Roman" w:hAnsi="Times New Roman" w:cs="Times New Roman"/>
          <w:bCs/>
          <w:sz w:val="24"/>
          <w:szCs w:val="24"/>
          <w:lang w:val="en-GB"/>
        </w:rPr>
        <w:t xml:space="preserve"> Havard Business Riview, 35(5), </w:t>
      </w:r>
      <w:r>
        <w:rPr>
          <w:rFonts w:ascii="Times New Roman" w:hAnsi="Times New Roman" w:cs="Times New Roman"/>
          <w:bCs/>
          <w:sz w:val="24"/>
          <w:szCs w:val="24"/>
          <w:lang w:val="en-GB"/>
        </w:rPr>
        <w:tab/>
      </w:r>
      <w:r>
        <w:rPr>
          <w:rFonts w:ascii="Times New Roman" w:hAnsi="Times New Roman" w:cs="Times New Roman"/>
          <w:bCs/>
          <w:sz w:val="24"/>
          <w:szCs w:val="24"/>
          <w:lang w:val="en-GB"/>
        </w:rPr>
        <w:tab/>
        <w:t>113-124.</w:t>
      </w:r>
    </w:p>
    <w:p w14:paraId="791F3EAE" w14:textId="77777777" w:rsidR="003061A1" w:rsidRPr="00117F26" w:rsidRDefault="003061A1" w:rsidP="003061A1">
      <w:pPr>
        <w:pStyle w:val="ListParagraph"/>
        <w:spacing w:line="480" w:lineRule="auto"/>
        <w:ind w:left="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Permawati, S. A. G. I. dan Darma, S., G. 2017. </w:t>
      </w:r>
      <w:r>
        <w:rPr>
          <w:rFonts w:ascii="Times New Roman" w:hAnsi="Times New Roman" w:cs="Times New Roman"/>
          <w:bCs/>
          <w:i/>
          <w:iCs/>
          <w:sz w:val="24"/>
          <w:szCs w:val="24"/>
          <w:lang w:val="en-GB"/>
        </w:rPr>
        <w:t xml:space="preserve">Pengaruh Ukuran Perusahaan,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Pertumbuhan Penjualan, dan Struktur Aktiva, dan Profitabilitas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 xml:space="preserve">terhadap Struktur Moda (Penelitian di Bursa Efek Indonesia </w:t>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r>
      <w:r>
        <w:rPr>
          <w:rFonts w:ascii="Times New Roman" w:hAnsi="Times New Roman" w:cs="Times New Roman"/>
          <w:bCs/>
          <w:i/>
          <w:iCs/>
          <w:sz w:val="24"/>
          <w:szCs w:val="24"/>
          <w:lang w:val="en-GB"/>
        </w:rPr>
        <w:tab/>
        <w:t>periode 2011-2015)</w:t>
      </w:r>
      <w:r>
        <w:rPr>
          <w:rFonts w:ascii="Times New Roman" w:hAnsi="Times New Roman" w:cs="Times New Roman"/>
          <w:bCs/>
          <w:sz w:val="24"/>
          <w:szCs w:val="24"/>
          <w:lang w:val="en-GB"/>
        </w:rPr>
        <w:t>. Jurnal Ilmiah Akuntansi dan Bisnis, 2(2), 272-</w:t>
      </w:r>
      <w:r>
        <w:rPr>
          <w:rFonts w:ascii="Times New Roman" w:hAnsi="Times New Roman" w:cs="Times New Roman"/>
          <w:bCs/>
          <w:sz w:val="24"/>
          <w:szCs w:val="24"/>
          <w:lang w:val="en-GB"/>
        </w:rPr>
        <w:tab/>
      </w:r>
      <w:r>
        <w:rPr>
          <w:rFonts w:ascii="Times New Roman" w:hAnsi="Times New Roman" w:cs="Times New Roman"/>
          <w:bCs/>
          <w:sz w:val="24"/>
          <w:szCs w:val="24"/>
          <w:lang w:val="en-GB"/>
        </w:rPr>
        <w:tab/>
        <w:t>286.</w:t>
      </w:r>
    </w:p>
    <w:p w14:paraId="3A9DFB28" w14:textId="77777777" w:rsidR="003061A1" w:rsidRPr="003061A1" w:rsidRDefault="003061A1" w:rsidP="003061A1">
      <w:pPr>
        <w:pStyle w:val="ListParagraph"/>
        <w:spacing w:line="480" w:lineRule="auto"/>
        <w:ind w:left="0"/>
        <w:jc w:val="both"/>
        <w:rPr>
          <w:rFonts w:ascii="Times New Roman" w:hAnsi="Times New Roman" w:cs="Times New Roman"/>
          <w:bCs/>
          <w:sz w:val="24"/>
          <w:szCs w:val="24"/>
          <w:lang w:val="en-GB"/>
        </w:rPr>
      </w:pPr>
    </w:p>
    <w:p w14:paraId="0F18F584" w14:textId="77777777" w:rsidR="00B77E46" w:rsidRPr="00B77E46" w:rsidRDefault="00B77E46" w:rsidP="00B77E46">
      <w:pPr>
        <w:pStyle w:val="ListParagraph"/>
        <w:spacing w:line="480" w:lineRule="auto"/>
        <w:jc w:val="both"/>
        <w:rPr>
          <w:rFonts w:ascii="Times New Roman" w:hAnsi="Times New Roman" w:cs="Times New Roman"/>
          <w:bCs/>
          <w:sz w:val="24"/>
          <w:szCs w:val="24"/>
          <w:lang w:val="en-GB"/>
        </w:rPr>
      </w:pPr>
    </w:p>
    <w:sectPr w:rsidR="00B77E46" w:rsidRPr="00B77E46" w:rsidSect="00D42A13">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4F1B"/>
    <w:multiLevelType w:val="hybridMultilevel"/>
    <w:tmpl w:val="6A62C00C"/>
    <w:lvl w:ilvl="0" w:tplc="564866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13"/>
    <w:rsid w:val="00083B4E"/>
    <w:rsid w:val="001B1345"/>
    <w:rsid w:val="002744F2"/>
    <w:rsid w:val="003061A1"/>
    <w:rsid w:val="0035679B"/>
    <w:rsid w:val="003B71C2"/>
    <w:rsid w:val="005A7BC4"/>
    <w:rsid w:val="006242AE"/>
    <w:rsid w:val="008020E6"/>
    <w:rsid w:val="00856FFE"/>
    <w:rsid w:val="008D105C"/>
    <w:rsid w:val="00B77E46"/>
    <w:rsid w:val="00D42A13"/>
    <w:rsid w:val="00E10C19"/>
    <w:rsid w:val="00F42D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8EB1"/>
  <w15:chartTrackingRefBased/>
  <w15:docId w15:val="{BD40FB89-F301-4199-A71A-8B9498D7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A13"/>
    <w:rPr>
      <w:color w:val="0563C1" w:themeColor="hyperlink"/>
      <w:u w:val="single"/>
    </w:rPr>
  </w:style>
  <w:style w:type="character" w:styleId="UnresolvedMention">
    <w:name w:val="Unresolved Mention"/>
    <w:basedOn w:val="DefaultParagraphFont"/>
    <w:uiPriority w:val="99"/>
    <w:semiHidden/>
    <w:unhideWhenUsed/>
    <w:rsid w:val="00D42A13"/>
    <w:rPr>
      <w:color w:val="605E5C"/>
      <w:shd w:val="clear" w:color="auto" w:fill="E1DFDD"/>
    </w:rPr>
  </w:style>
  <w:style w:type="paragraph" w:styleId="ListParagraph">
    <w:name w:val="List Paragraph"/>
    <w:basedOn w:val="Normal"/>
    <w:uiPriority w:val="34"/>
    <w:qFormat/>
    <w:rsid w:val="00D42A13"/>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ffendimeganto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Andrianita Christi</dc:creator>
  <cp:keywords/>
  <dc:description/>
  <cp:lastModifiedBy>Andrianita Christi</cp:lastModifiedBy>
  <cp:revision>8</cp:revision>
  <dcterms:created xsi:type="dcterms:W3CDTF">2023-10-09T04:45:00Z</dcterms:created>
  <dcterms:modified xsi:type="dcterms:W3CDTF">2023-10-09T06:23:00Z</dcterms:modified>
</cp:coreProperties>
</file>