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imes New Roman" w:hAnsi="Times New Roman" w:cs="Times New Roman"/>
          <w:b/>
          <w:sz w:val="24"/>
          <w:szCs w:val="24"/>
        </w:rPr>
      </w:pPr>
      <w:r>
        <w:rPr>
          <w:rFonts w:ascii="Times New Roman" w:hAnsi="Times New Roman" w:cs="Times New Roman"/>
          <w:b/>
          <w:sz w:val="24"/>
          <w:szCs w:val="24"/>
        </w:rPr>
        <w:t xml:space="preserve">HUBUNGAN </w:t>
      </w:r>
      <w:r>
        <w:rPr>
          <w:rFonts w:ascii="Times New Roman" w:hAnsi="Times New Roman" w:cs="Times New Roman"/>
          <w:b/>
          <w:i/>
          <w:sz w:val="24"/>
          <w:szCs w:val="24"/>
        </w:rPr>
        <w:t>TRAIT OPENNESS TO EXPERIENCE</w:t>
      </w:r>
      <w:r>
        <w:rPr>
          <w:rFonts w:ascii="Times New Roman" w:hAnsi="Times New Roman" w:cs="Times New Roman"/>
          <w:b/>
          <w:sz w:val="24"/>
          <w:szCs w:val="24"/>
        </w:rPr>
        <w:t xml:space="preserve"> DENGAN ADIKSI INTERNET PADA MAHASISWA TINGKAT AKHIR UNIVERSITAS MERCU BUANA YOGYAKARTA</w:t>
      </w:r>
    </w:p>
    <w:p>
      <w:pPr>
        <w:jc w:val="center"/>
        <w:rPr>
          <w:rFonts w:ascii="Times New Roman" w:hAnsi="Times New Roman" w:cs="Times New Roman"/>
          <w:b/>
          <w:sz w:val="24"/>
          <w:szCs w:val="24"/>
        </w:rPr>
      </w:pPr>
      <w:r>
        <w:rPr>
          <w:rFonts w:ascii="Times New Roman" w:hAnsi="Times New Roman" w:cs="Times New Roman"/>
          <w:b/>
          <w:sz w:val="24"/>
          <w:szCs w:val="24"/>
        </w:rPr>
        <w:t xml:space="preserve">RELATHIONSHIP </w:t>
      </w:r>
      <w:r>
        <w:rPr>
          <w:rFonts w:ascii="Times New Roman" w:hAnsi="Times New Roman" w:cs="Times New Roman"/>
          <w:b/>
          <w:i/>
          <w:iCs/>
          <w:sz w:val="24"/>
          <w:szCs w:val="24"/>
        </w:rPr>
        <w:t xml:space="preserve">BETWEEN TRAIT OPENNESS TO EXPERIENCE </w:t>
      </w:r>
      <w:r>
        <w:rPr>
          <w:rFonts w:ascii="Times New Roman" w:hAnsi="Times New Roman" w:cs="Times New Roman"/>
          <w:b/>
          <w:sz w:val="24"/>
          <w:szCs w:val="24"/>
        </w:rPr>
        <w:t>AND INTERNET ADDICTION IN FINAL YEAR STUDENTS AT MERCUBUANA UNIVERSITY YOGYAKARTA</w:t>
      </w:r>
    </w:p>
    <w:p>
      <w:pPr>
        <w:jc w:val="center"/>
        <w:rPr>
          <w:rFonts w:ascii="Times New Roman" w:hAnsi="Times New Roman" w:cs="Times New Roman"/>
          <w:b/>
        </w:rPr>
      </w:pPr>
      <w:r>
        <w:rPr>
          <w:rFonts w:ascii="Times New Roman" w:hAnsi="Times New Roman" w:cs="Times New Roman"/>
          <w:b/>
        </w:rPr>
        <w:t>Lutfiah</w:t>
      </w:r>
      <w:r>
        <w:rPr>
          <w:rFonts w:ascii="Helvetica" w:hAnsi="Helvetica" w:eastAsia="Helvetica" w:cs="Helvetica"/>
          <w:i w:val="0"/>
          <w:caps w:val="0"/>
          <w:color w:val="000000"/>
          <w:spacing w:val="0"/>
          <w:kern w:val="0"/>
          <w:sz w:val="24"/>
          <w:szCs w:val="24"/>
          <w:u w:val="none"/>
          <w:shd w:val="clear" w:fill="FFFFFF"/>
          <w:lang w:val="en-US" w:eastAsia="zh-CN" w:bidi="ar"/>
        </w:rPr>
        <w:t>¹</w:t>
      </w:r>
      <w:r>
        <w:rPr>
          <w:rFonts w:ascii="Times New Roman" w:hAnsi="Times New Roman" w:cs="Times New Roman"/>
          <w:b/>
          <w:lang w:val="id-ID"/>
        </w:rPr>
        <w:t>Dian Sartika Sari</w:t>
      </w:r>
      <w:r>
        <w:rPr>
          <w:rFonts w:ascii="Helvetica" w:hAnsi="Helvetica" w:eastAsia="Helvetica" w:cs="Helvetica"/>
          <w:i w:val="0"/>
          <w:caps w:val="0"/>
          <w:color w:val="000000"/>
          <w:spacing w:val="0"/>
          <w:kern w:val="0"/>
          <w:sz w:val="24"/>
          <w:szCs w:val="24"/>
          <w:u w:val="none"/>
          <w:shd w:val="clear" w:fill="FFFFFF"/>
          <w:lang w:val="en-US" w:eastAsia="zh-CN" w:bidi="ar"/>
        </w:rPr>
        <w:t>²</w:t>
      </w:r>
      <w:bookmarkStart w:id="2" w:name="_GoBack"/>
      <w:bookmarkEnd w:id="2"/>
    </w:p>
    <w:p>
      <w:pPr>
        <w:spacing w:line="240" w:lineRule="auto"/>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pPr>
        <w:spacing w:line="240" w:lineRule="auto"/>
        <w:jc w:val="center"/>
        <w:rPr>
          <w:rFonts w:ascii="Times New Roman" w:hAnsi="Times New Roman" w:cs="Times New Roman"/>
        </w:rPr>
      </w:pPr>
      <w:r>
        <w:fldChar w:fldCharType="begin"/>
      </w:r>
      <w:r>
        <w:instrText xml:space="preserve"> HYPERLINK "mailto:190810157@student.mercubuana-yogya.ac.id" </w:instrText>
      </w:r>
      <w:r>
        <w:fldChar w:fldCharType="separate"/>
      </w:r>
      <w:r>
        <w:rPr>
          <w:rStyle w:val="6"/>
          <w:rFonts w:ascii="Times New Roman" w:hAnsi="Times New Roman" w:cs="Times New Roman"/>
          <w:sz w:val="20"/>
          <w:szCs w:val="20"/>
        </w:rPr>
        <w:t>190810157@student.mercubuana-yogya.ac.id</w:t>
      </w:r>
      <w:r>
        <w:rPr>
          <w:rStyle w:val="6"/>
          <w:rFonts w:ascii="Times New Roman" w:hAnsi="Times New Roman" w:cs="Times New Roman"/>
          <w:sz w:val="20"/>
          <w:szCs w:val="20"/>
        </w:rPr>
        <w:fldChar w:fldCharType="end"/>
      </w:r>
    </w:p>
    <w:p>
      <w:pPr>
        <w:pStyle w:val="2"/>
        <w:spacing w:line="360" w:lineRule="auto"/>
        <w:jc w:val="center"/>
        <w:rPr>
          <w:rFonts w:ascii="Times New Roman" w:hAnsi="Times New Roman" w:cs="Times New Roman"/>
          <w:b/>
          <w:color w:val="000000" w:themeColor="text1"/>
          <w:sz w:val="24"/>
          <w:lang w:val="id-ID"/>
          <w14:textFill>
            <w14:solidFill>
              <w14:schemeClr w14:val="tx1"/>
            </w14:solidFill>
          </w14:textFill>
        </w:rPr>
      </w:pPr>
      <w:bookmarkStart w:id="0" w:name="_Toc139276614"/>
      <w:r>
        <w:rPr>
          <w:rFonts w:ascii="Times New Roman" w:hAnsi="Times New Roman" w:cs="Times New Roman"/>
          <w:b/>
          <w:color w:val="000000" w:themeColor="text1"/>
          <w:sz w:val="24"/>
          <w:lang w:val="id-ID"/>
          <w14:textFill>
            <w14:solidFill>
              <w14:schemeClr w14:val="tx1"/>
            </w14:solidFill>
          </w14:textFill>
        </w:rPr>
        <w:t>A</w:t>
      </w:r>
      <w:bookmarkEnd w:id="0"/>
      <w:r>
        <w:rPr>
          <w:rFonts w:ascii="Times New Roman" w:hAnsi="Times New Roman" w:cs="Times New Roman"/>
          <w:b/>
          <w:color w:val="000000" w:themeColor="text1"/>
          <w:sz w:val="24"/>
          <w:lang w:val="id-ID"/>
          <w14:textFill>
            <w14:solidFill>
              <w14:schemeClr w14:val="tx1"/>
            </w14:solidFill>
          </w14:textFill>
        </w:rPr>
        <w:t>bstrack</w:t>
      </w:r>
    </w:p>
    <w:p>
      <w:pPr>
        <w:pBdr>
          <w:top w:val="none" w:color="auto" w:sz="0" w:space="0"/>
          <w:left w:val="none" w:color="auto" w:sz="0" w:space="0"/>
          <w:bottom w:val="none" w:color="auto" w:sz="0" w:space="0"/>
          <w:right w:val="none" w:color="auto" w:sz="0" w:space="0"/>
          <w:between w:val="none" w:color="auto" w:sz="0" w:space="0"/>
        </w:pBdr>
        <w:tabs>
          <w:tab w:val="left" w:pos="819"/>
          <w:tab w:val="left" w:pos="820"/>
        </w:tabs>
        <w:spacing w:before="1" w:line="360" w:lineRule="auto"/>
        <w:ind w:left="0" w:leftChars="0" w:right="264" w:firstLine="0" w:firstLineChars="0"/>
        <w:jc w:val="both"/>
        <w:rPr>
          <w:rFonts w:ascii="Times New Roman" w:hAnsi="Times New Roman" w:cs="Times New Roman" w:eastAsiaTheme="minorEastAsia"/>
          <w:lang w:val="en-GB"/>
        </w:rPr>
      </w:pPr>
      <w:r>
        <w:rPr>
          <w:rFonts w:ascii="Times New Roman" w:hAnsi="Times New Roman" w:cs="Times New Roman"/>
          <w:color w:val="000000"/>
        </w:rPr>
        <w:t>Ketika seseorang menjadi mahasiswa dan pada saat tersebut seseorang disibukkan pada masalah-masalah yang berhubungan dengan penyesuaian diri dalam berbagai aspek kehidupan (Hurlock,</w:t>
      </w:r>
      <w:r>
        <w:rPr>
          <w:rFonts w:ascii="Times New Roman" w:hAnsi="Times New Roman" w:cs="Times New Roman"/>
          <w:color w:val="000000"/>
          <w:lang w:val="id-ID"/>
        </w:rPr>
        <w:t xml:space="preserve"> </w:t>
      </w:r>
      <w:r>
        <w:rPr>
          <w:rFonts w:ascii="Times New Roman" w:hAnsi="Times New Roman" w:cs="Times New Roman"/>
          <w:color w:val="000000"/>
        </w:rPr>
        <w:t xml:space="preserve">2002). Tujuan Penelitian untuk mengetahui apakah terdapat hubungan antara </w:t>
      </w:r>
      <w:r>
        <w:rPr>
          <w:rFonts w:ascii="Times New Roman" w:hAnsi="Times New Roman" w:cs="Times New Roman"/>
          <w:i/>
          <w:color w:val="000000"/>
        </w:rPr>
        <w:t>Openness To Experience</w:t>
      </w:r>
      <w:r>
        <w:rPr>
          <w:rFonts w:ascii="Times New Roman" w:hAnsi="Times New Roman" w:cs="Times New Roman"/>
          <w:color w:val="000000"/>
        </w:rPr>
        <w:t xml:space="preserve"> dengan Adiksi Internet pada Mahasiswa Tingkat Akhir Mercubuana Yogyakarta. Semakin tinggi trait openness seseorang maka akan semakin rendah adiksi internet seseorang, sebaliknya jika semakin rendah trait openness to experience maka akan semakin tinggi adiksi internet seseorang. Subjek penelitian ini sebanyak 326 dengan kriteria minimal mahasiwa tingkat akhir dan berusia 18-25 tahun.</w:t>
      </w:r>
      <w:r>
        <w:rPr>
          <w:rFonts w:ascii="Times New Roman" w:hAnsi="Times New Roman" w:cs="Times New Roman"/>
          <w:color w:val="000000"/>
          <w:lang w:val="id-ID"/>
        </w:rPr>
        <w:t xml:space="preserve"> Diperoleh </w:t>
      </w:r>
      <w:r>
        <w:rPr>
          <w:rFonts w:ascii="Times New Roman" w:hAnsi="Times New Roman" w:cs="Times New Roman" w:eastAsiaTheme="minorEastAsia"/>
          <w:lang w:val="en-GB"/>
        </w:rPr>
        <w:t>Koefisien korelasi sebesar (rxy = 0,165 dengan taraf signifikansi p = 0,003 (p&lt;0,050).</w:t>
      </w:r>
    </w:p>
    <w:p>
      <w:pPr>
        <w:pBdr>
          <w:top w:val="none" w:color="auto" w:sz="0" w:space="0"/>
          <w:left w:val="none" w:color="auto" w:sz="0" w:space="0"/>
          <w:bottom w:val="none" w:color="auto" w:sz="0" w:space="0"/>
          <w:right w:val="none" w:color="auto" w:sz="0" w:space="0"/>
          <w:between w:val="none" w:color="auto" w:sz="0" w:space="0"/>
        </w:pBdr>
        <w:tabs>
          <w:tab w:val="left" w:pos="819"/>
          <w:tab w:val="left" w:pos="820"/>
        </w:tabs>
        <w:spacing w:before="1" w:line="360" w:lineRule="auto"/>
        <w:ind w:left="0" w:leftChars="0" w:right="264" w:firstLine="0" w:firstLineChars="0"/>
        <w:jc w:val="both"/>
        <w:rPr>
          <w:rFonts w:ascii="Times New Roman" w:hAnsi="Times New Roman" w:cs="Times New Roman"/>
          <w:i/>
        </w:rPr>
      </w:pPr>
      <w:r>
        <w:rPr>
          <w:rFonts w:ascii="Times New Roman" w:hAnsi="Times New Roman" w:cs="Times New Roman" w:eastAsiaTheme="minorEastAsia"/>
          <w:b/>
        </w:rPr>
        <w:t>Kata kunci</w:t>
      </w:r>
      <w:r>
        <w:rPr>
          <w:rFonts w:eastAsiaTheme="minorEastAsia"/>
          <w:b/>
        </w:rPr>
        <w:t xml:space="preserve"> : </w:t>
      </w:r>
      <w:r>
        <w:rPr>
          <w:rFonts w:ascii="Times New Roman" w:hAnsi="Times New Roman" w:cs="Times New Roman" w:eastAsiaTheme="minorEastAsia"/>
        </w:rPr>
        <w:t xml:space="preserve">Adiksi Internet,  </w:t>
      </w:r>
      <w:r>
        <w:rPr>
          <w:rFonts w:ascii="Times New Roman" w:hAnsi="Times New Roman" w:cs="Times New Roman"/>
          <w:i/>
        </w:rPr>
        <w:t>Intellectual Efficiency</w:t>
      </w:r>
      <w:r>
        <w:rPr>
          <w:rFonts w:ascii="Times New Roman" w:hAnsi="Times New Roman" w:cs="Times New Roman"/>
          <w:i/>
          <w:lang w:val="id-ID"/>
        </w:rPr>
        <w:t xml:space="preserve">, </w:t>
      </w:r>
      <w:r>
        <w:rPr>
          <w:rFonts w:ascii="Times New Roman" w:hAnsi="Times New Roman" w:cs="Times New Roman" w:eastAsiaTheme="minorEastAsia"/>
          <w:i/>
        </w:rPr>
        <w:t>Trait Openness To experience</w:t>
      </w:r>
      <w:r>
        <w:rPr>
          <w:rFonts w:ascii="Times New Roman" w:hAnsi="Times New Roman" w:cs="Times New Roman" w:eastAsiaTheme="minorEastAsia"/>
        </w:rPr>
        <w:t xml:space="preserve">, </w:t>
      </w:r>
    </w:p>
    <w:p>
      <w:pPr>
        <w:pStyle w:val="2"/>
        <w:spacing w:before="60" w:after="60" w:line="360" w:lineRule="auto"/>
        <w:ind w:left="2268" w:right="2268"/>
        <w:jc w:val="center"/>
        <w:rPr>
          <w:rFonts w:ascii="Times New Roman" w:hAnsi="Times New Roman" w:cs="Times New Roman"/>
          <w:b/>
          <w:i/>
          <w:color w:val="000000" w:themeColor="text1"/>
          <w:sz w:val="24"/>
          <w:lang w:val="id-ID"/>
          <w14:textFill>
            <w14:solidFill>
              <w14:schemeClr w14:val="tx1"/>
            </w14:solidFill>
          </w14:textFill>
        </w:rPr>
      </w:pPr>
      <w:bookmarkStart w:id="1" w:name="_Toc139276615"/>
      <w:r>
        <w:rPr>
          <w:rFonts w:ascii="Times New Roman" w:hAnsi="Times New Roman" w:cs="Times New Roman"/>
          <w:b/>
          <w:i/>
          <w:color w:val="000000" w:themeColor="text1"/>
          <w:sz w:val="24"/>
          <w:lang w:val="id-ID"/>
          <w14:textFill>
            <w14:solidFill>
              <w14:schemeClr w14:val="tx1"/>
            </w14:solidFill>
          </w14:textFill>
        </w:rPr>
        <w:t>Abstract</w:t>
      </w:r>
      <w:bookmarkEnd w:id="1"/>
    </w:p>
    <w:p>
      <w:pPr>
        <w:pBdr>
          <w:top w:val="none" w:color="auto" w:sz="0" w:space="0"/>
          <w:left w:val="none" w:color="auto" w:sz="0" w:space="0"/>
          <w:bottom w:val="none" w:color="auto" w:sz="0" w:space="0"/>
          <w:right w:val="none" w:color="auto" w:sz="0" w:space="0"/>
          <w:between w:val="none" w:color="auto" w:sz="0" w:space="0"/>
        </w:pBdr>
        <w:tabs>
          <w:tab w:val="left" w:pos="819"/>
          <w:tab w:val="left" w:pos="820"/>
        </w:tabs>
        <w:spacing w:before="1" w:line="360" w:lineRule="auto"/>
        <w:ind w:left="0" w:leftChars="0" w:right="264" w:firstLine="0" w:firstLineChars="0"/>
        <w:jc w:val="both"/>
        <w:rPr>
          <w:rFonts w:ascii="Times New Roman" w:hAnsi="Times New Roman" w:cs="Times New Roman"/>
        </w:rPr>
      </w:pPr>
      <w:r>
        <w:rPr>
          <w:rFonts w:ascii="Times New Roman" w:hAnsi="Times New Roman" w:cs="Times New Roman"/>
        </w:rPr>
        <w:t>When someone becomes a student and at that time someone is preoccupied with problems related to adjustment in various aspects of life (Hurlock, 2002). The purpose</w:t>
      </w:r>
      <w:r>
        <w:rPr>
          <w:rFonts w:ascii="Times New Roman" w:hAnsi="Times New Roman" w:cs="Times New Roman"/>
          <w:lang w:val="id-ID"/>
        </w:rPr>
        <w:t xml:space="preserve"> </w:t>
      </w:r>
      <w:r>
        <w:rPr>
          <w:rFonts w:ascii="Times New Roman" w:hAnsi="Times New Roman" w:cs="Times New Roman"/>
        </w:rPr>
        <w:t xml:space="preserve">this study was to find out whether there is a relationship between Openness to Experience and Internet Addiction in Final Year Students of Mercubuana Yogyakarta. The higher a person's openness trait, the lower a person's internet addiction, conversely if the lower the openness to experience trait, the higher a person's internet addiction. The subjects of this study were 326 with the minimum criteria being final year students and aged 18-25 years. </w:t>
      </w:r>
      <w:r>
        <w:rPr>
          <w:rFonts w:ascii="Times New Roman" w:hAnsi="Times New Roman" w:cs="Times New Roman"/>
          <w:lang w:val="id-ID"/>
        </w:rPr>
        <w:t xml:space="preserve">Obtained </w:t>
      </w:r>
      <w:r>
        <w:rPr>
          <w:rFonts w:ascii="Times New Roman" w:hAnsi="Times New Roman" w:cs="Times New Roman"/>
        </w:rPr>
        <w:t>The</w:t>
      </w:r>
      <w:r>
        <w:rPr>
          <w:rFonts w:ascii="Times New Roman" w:hAnsi="Times New Roman" w:cs="Times New Roman"/>
          <w:lang w:val="id-ID"/>
        </w:rPr>
        <w:t xml:space="preserve"> </w:t>
      </w:r>
      <w:r>
        <w:rPr>
          <w:rFonts w:ascii="Times New Roman" w:hAnsi="Times New Roman" w:cs="Times New Roman"/>
        </w:rPr>
        <w:t>correlation coefficient is (rxy = 0.165 with a significance level of p = 0.003 (p&lt;0.050).</w:t>
      </w:r>
    </w:p>
    <w:p>
      <w:pPr>
        <w:pBdr>
          <w:top w:val="none" w:color="auto" w:sz="0" w:space="0"/>
          <w:left w:val="none" w:color="auto" w:sz="0" w:space="0"/>
          <w:bottom w:val="none" w:color="auto" w:sz="0" w:space="0"/>
          <w:right w:val="none" w:color="auto" w:sz="0" w:space="0"/>
          <w:between w:val="none" w:color="auto" w:sz="0" w:space="0"/>
        </w:pBdr>
        <w:tabs>
          <w:tab w:val="left" w:pos="819"/>
          <w:tab w:val="left" w:pos="820"/>
        </w:tabs>
        <w:spacing w:before="1" w:line="360" w:lineRule="auto"/>
        <w:ind w:right="264"/>
        <w:rPr>
          <w:rFonts w:ascii="Times New Roman" w:hAnsi="Times New Roman" w:cs="Times New Roman"/>
          <w:b/>
          <w:i/>
        </w:rPr>
      </w:pPr>
      <w:r>
        <w:rPr>
          <w:rFonts w:ascii="Times New Roman" w:hAnsi="Times New Roman" w:cs="Times New Roman"/>
          <w:b/>
        </w:rPr>
        <w:t>Keywords :</w:t>
      </w:r>
      <w:r>
        <w:rPr>
          <w:rFonts w:ascii="Times New Roman" w:hAnsi="Times New Roman" w:cs="Times New Roman"/>
          <w:b/>
          <w:lang w:val="id-ID"/>
        </w:rPr>
        <w:t xml:space="preserve"> </w:t>
      </w:r>
      <w:r>
        <w:rPr>
          <w:rFonts w:ascii="Times New Roman" w:hAnsi="Times New Roman" w:cs="Times New Roman" w:eastAsiaTheme="minorEastAsia"/>
          <w:b/>
          <w:i/>
        </w:rPr>
        <w:t>Internet Addiction</w:t>
      </w:r>
      <w:r>
        <w:rPr>
          <w:rFonts w:ascii="Times New Roman" w:hAnsi="Times New Roman" w:cs="Times New Roman" w:eastAsiaTheme="minorEastAsia"/>
          <w:b/>
        </w:rPr>
        <w:t xml:space="preserve">,  </w:t>
      </w:r>
      <w:r>
        <w:rPr>
          <w:rFonts w:ascii="Times New Roman" w:hAnsi="Times New Roman" w:cs="Times New Roman"/>
          <w:b/>
          <w:i/>
        </w:rPr>
        <w:t>Intellectual Efficiency</w:t>
      </w:r>
      <w:r>
        <w:rPr>
          <w:rFonts w:ascii="Times New Roman" w:hAnsi="Times New Roman" w:cs="Times New Roman"/>
          <w:b/>
          <w:i/>
          <w:lang w:val="id-ID"/>
        </w:rPr>
        <w:t xml:space="preserve">, </w:t>
      </w:r>
      <w:r>
        <w:rPr>
          <w:rFonts w:ascii="Times New Roman" w:hAnsi="Times New Roman" w:cs="Times New Roman" w:eastAsiaTheme="minorEastAsia"/>
          <w:b/>
          <w:i/>
        </w:rPr>
        <w:t>Trait Openness To experience</w:t>
      </w:r>
      <w:r>
        <w:rPr>
          <w:rFonts w:ascii="Times New Roman" w:hAnsi="Times New Roman" w:cs="Times New Roman" w:eastAsiaTheme="minorEastAsia"/>
          <w:b/>
        </w:rPr>
        <w:t>,</w:t>
      </w:r>
    </w:p>
    <w:p>
      <w:pPr>
        <w:pBdr>
          <w:top w:val="none" w:color="auto" w:sz="0" w:space="0"/>
          <w:left w:val="none" w:color="auto" w:sz="0" w:space="0"/>
          <w:bottom w:val="none" w:color="auto" w:sz="0" w:space="0"/>
          <w:right w:val="none" w:color="auto" w:sz="0" w:space="0"/>
          <w:between w:val="none" w:color="auto" w:sz="0" w:space="0"/>
        </w:pBdr>
        <w:tabs>
          <w:tab w:val="left" w:pos="819"/>
          <w:tab w:val="left" w:pos="820"/>
        </w:tabs>
        <w:spacing w:before="1" w:line="360" w:lineRule="auto"/>
        <w:ind w:right="264"/>
        <w:rPr>
          <w:rFonts w:ascii="Times New Roman" w:hAnsi="Times New Roman" w:cs="Times New Roman"/>
          <w:b/>
        </w:rPr>
      </w:pPr>
    </w:p>
    <w:p>
      <w:pPr>
        <w:pBdr>
          <w:top w:val="none" w:color="auto" w:sz="0" w:space="0"/>
          <w:left w:val="none" w:color="auto" w:sz="0" w:space="0"/>
          <w:bottom w:val="none" w:color="auto" w:sz="0" w:space="0"/>
          <w:right w:val="none" w:color="auto" w:sz="0" w:space="0"/>
          <w:between w:val="none" w:color="auto" w:sz="0" w:space="0"/>
        </w:pBdr>
        <w:tabs>
          <w:tab w:val="left" w:pos="819"/>
          <w:tab w:val="left" w:pos="820"/>
        </w:tabs>
        <w:spacing w:before="1" w:line="360" w:lineRule="auto"/>
        <w:ind w:right="264"/>
        <w:rPr>
          <w:rFonts w:ascii="Times New Roman" w:hAnsi="Times New Roman" w:cs="Times New Roman"/>
          <w:b/>
        </w:rPr>
      </w:pPr>
    </w:p>
    <w:p>
      <w:pPr>
        <w:pBdr>
          <w:top w:val="none" w:color="auto" w:sz="0" w:space="0"/>
          <w:left w:val="none" w:color="auto" w:sz="0" w:space="0"/>
          <w:bottom w:val="none" w:color="auto" w:sz="0" w:space="0"/>
          <w:right w:val="none" w:color="auto" w:sz="0" w:space="0"/>
          <w:between w:val="none" w:color="auto" w:sz="0" w:space="0"/>
        </w:pBdr>
        <w:tabs>
          <w:tab w:val="left" w:pos="819"/>
          <w:tab w:val="left" w:pos="820"/>
        </w:tabs>
        <w:spacing w:before="1" w:line="360" w:lineRule="auto"/>
        <w:ind w:right="264"/>
        <w:rPr>
          <w:rFonts w:ascii="Times New Roman" w:hAnsi="Times New Roman" w:cs="Times New Roman"/>
          <w:b/>
        </w:rPr>
      </w:pPr>
    </w:p>
    <w:p>
      <w:pPr>
        <w:pBdr>
          <w:top w:val="none" w:color="auto" w:sz="0" w:space="0"/>
          <w:left w:val="none" w:color="auto" w:sz="0" w:space="0"/>
          <w:bottom w:val="none" w:color="auto" w:sz="0" w:space="0"/>
          <w:right w:val="none" w:color="auto" w:sz="0" w:space="0"/>
          <w:between w:val="none" w:color="auto" w:sz="0" w:space="0"/>
        </w:pBdr>
        <w:tabs>
          <w:tab w:val="left" w:pos="819"/>
          <w:tab w:val="left" w:pos="820"/>
        </w:tabs>
        <w:spacing w:before="1" w:line="360" w:lineRule="auto"/>
        <w:ind w:right="264"/>
        <w:rPr>
          <w:rFonts w:ascii="Times New Roman" w:hAnsi="Times New Roman" w:cs="Times New Roman"/>
          <w:b/>
        </w:rPr>
      </w:pPr>
      <w:r>
        <w:rPr>
          <w:rFonts w:ascii="Times New Roman" w:hAnsi="Times New Roman" w:cs="Times New Roman"/>
          <w:b/>
        </w:rPr>
        <w:t>PENDAHULUAN</w:t>
      </w:r>
    </w:p>
    <w:p>
      <w:pPr>
        <w:pBdr>
          <w:top w:val="none" w:color="auto" w:sz="0" w:space="0"/>
          <w:left w:val="none" w:color="auto" w:sz="0" w:space="0"/>
          <w:bottom w:val="none" w:color="auto" w:sz="0" w:space="0"/>
          <w:right w:val="none" w:color="auto" w:sz="0" w:space="0"/>
          <w:between w:val="none" w:color="auto" w:sz="0" w:space="0"/>
        </w:pBdr>
        <w:spacing w:line="360" w:lineRule="auto"/>
        <w:ind w:left="0" w:leftChars="0" w:right="26" w:firstLine="0" w:firstLineChars="0"/>
        <w:jc w:val="both"/>
        <w:rPr>
          <w:rFonts w:hint="default"/>
          <w:lang w:val="id-ID"/>
        </w:rPr>
      </w:pPr>
      <w:r>
        <w:rPr>
          <w:rFonts w:ascii="Times New Roman" w:hAnsi="Times New Roman" w:cs="Times New Roman"/>
          <w:b/>
          <w:i/>
        </w:rPr>
        <w:tab/>
      </w:r>
      <w:r>
        <w:rPr>
          <w:rFonts w:hint="eastAsia"/>
        </w:rPr>
        <w:t>Mahas</w:t>
      </w:r>
      <w:r>
        <w:rPr>
          <w:rFonts w:hint="default"/>
          <w:lang w:val="id-ID"/>
        </w:rPr>
        <w:t xml:space="preserve">iswa </w:t>
      </w:r>
      <w:r>
        <w:rPr>
          <w:rFonts w:hint="eastAsia"/>
        </w:rPr>
        <w:t>adalah peserta didik yang terdaftar dan belajar pad</w:t>
      </w:r>
      <w:r>
        <w:rPr>
          <w:rFonts w:hint="default"/>
          <w:lang w:val="id-ID"/>
        </w:rPr>
        <w:t xml:space="preserve">a </w:t>
      </w:r>
      <w:r>
        <w:rPr>
          <w:rFonts w:hint="eastAsia"/>
        </w:rPr>
        <w:t>perguruan</w:t>
      </w:r>
      <w:r>
        <w:rPr>
          <w:rFonts w:hint="default"/>
          <w:lang w:val="id-ID"/>
        </w:rPr>
        <w:t xml:space="preserve"> </w:t>
      </w:r>
      <w:r>
        <w:rPr>
          <w:rFonts w:hint="eastAsia"/>
        </w:rPr>
        <w:t>tinggi (Buku Pedoman Universitas Diponegoro Tahun 2004/2005, h. 94)</w:t>
      </w:r>
      <w:r>
        <w:rPr>
          <w:rFonts w:hint="default"/>
          <w:lang w:val="id-ID"/>
        </w:rPr>
        <w:t xml:space="preserve"> </w:t>
      </w:r>
      <w:r>
        <w:rPr>
          <w:rFonts w:hint="eastAsia"/>
        </w:rPr>
        <w:t>Seorang mahasiswa dikategorikan pada tahap perkembangan yang usianya</w:t>
      </w:r>
      <w:r>
        <w:rPr>
          <w:rFonts w:hint="default"/>
          <w:lang w:val="id-ID"/>
        </w:rPr>
        <w:t xml:space="preserve"> </w:t>
      </w:r>
      <w:r>
        <w:rPr>
          <w:rFonts w:hint="eastAsia"/>
        </w:rPr>
        <w:t>18</w:t>
      </w:r>
      <w:r>
        <w:rPr>
          <w:rFonts w:hint="default"/>
          <w:lang w:val="id-ID"/>
        </w:rPr>
        <w:t xml:space="preserve"> </w:t>
      </w:r>
      <w:r>
        <w:rPr>
          <w:rFonts w:hint="eastAsia"/>
        </w:rPr>
        <w:t>sampai 25 tahun. Tahap ini dapat digolongkan pada masa remaja akhir sampai</w:t>
      </w:r>
      <w:r>
        <w:rPr>
          <w:rFonts w:hint="default"/>
          <w:lang w:val="id-ID"/>
        </w:rPr>
        <w:t xml:space="preserve"> </w:t>
      </w:r>
      <w:r>
        <w:rPr>
          <w:rFonts w:hint="eastAsia"/>
        </w:rPr>
        <w:t>masa dewasa awal dan dilihat dari segi perkembangan, tugas perkembangan</w:t>
      </w:r>
      <w:r>
        <w:rPr>
          <w:rFonts w:hint="default"/>
          <w:lang w:val="id-ID"/>
        </w:rPr>
        <w:t xml:space="preserve"> </w:t>
      </w:r>
      <w:r>
        <w:rPr>
          <w:rFonts w:hint="eastAsia"/>
        </w:rPr>
        <w:t>pada usia mahasiswa ini ialah pemantapan pendirian hidup (Yusuf, 2012)</w:t>
      </w:r>
      <w:r>
        <w:rPr>
          <w:rFonts w:hint="default"/>
          <w:lang w:val="id-ID"/>
        </w:rPr>
        <w:t xml:space="preserve">. </w:t>
      </w:r>
      <w:r>
        <w:rPr>
          <w:rFonts w:hint="eastAsia"/>
        </w:rPr>
        <w:t>Menurut Kamus Besar</w:t>
      </w:r>
      <w:r>
        <w:rPr>
          <w:rFonts w:hint="default"/>
          <w:lang w:val="id-ID"/>
        </w:rPr>
        <w:t xml:space="preserve"> </w:t>
      </w:r>
      <w:r>
        <w:rPr>
          <w:rFonts w:hint="eastAsia"/>
        </w:rPr>
        <w:t>Bahasa Indonesia (KBBI), mahasiswa adalah mereka yang sedang belajar di</w:t>
      </w:r>
      <w:r>
        <w:rPr>
          <w:rFonts w:hint="default"/>
          <w:lang w:val="id-ID"/>
        </w:rPr>
        <w:t xml:space="preserve"> </w:t>
      </w:r>
      <w:r>
        <w:rPr>
          <w:rFonts w:hint="eastAsia"/>
        </w:rPr>
        <w:t>perguruan tinggi</w:t>
      </w:r>
      <w:r>
        <w:rPr>
          <w:rFonts w:hint="default"/>
          <w:lang w:val="id-ID"/>
        </w:rPr>
        <w:t xml:space="preserve"> </w:t>
      </w:r>
      <w:r>
        <w:rPr>
          <w:rFonts w:hint="eastAsia"/>
        </w:rPr>
        <w:t>Mahasiswa adalah status yang disandang oleh seseorang karena</w:t>
      </w:r>
      <w:r>
        <w:rPr>
          <w:rFonts w:hint="default"/>
          <w:lang w:val="id-ID"/>
        </w:rPr>
        <w:t xml:space="preserve"> </w:t>
      </w:r>
      <w:r>
        <w:rPr>
          <w:rFonts w:hint="eastAsia"/>
        </w:rPr>
        <w:t>hubungannya dengan perguruan tinggi yang diharapkan dapat menjadi calon-</w:t>
      </w:r>
      <w:r>
        <w:rPr>
          <w:rFonts w:hint="default"/>
          <w:lang w:val="id-ID"/>
        </w:rPr>
        <w:t xml:space="preserve"> </w:t>
      </w:r>
      <w:r>
        <w:rPr>
          <w:rFonts w:hint="eastAsia"/>
        </w:rPr>
        <w:t>calon intelektual atau bisa juga definisi mahasiswa adalah orang yang menuntut</w:t>
      </w:r>
      <w:r>
        <w:rPr>
          <w:rFonts w:hint="default"/>
          <w:lang w:val="id-ID"/>
        </w:rPr>
        <w:t xml:space="preserve"> </w:t>
      </w:r>
      <w:r>
        <w:rPr>
          <w:rFonts w:hint="eastAsia"/>
        </w:rPr>
        <w:t>ilmu atau belajar di perguruan tinggi, baik itu di universitas, institut ataupun</w:t>
      </w:r>
      <w:r>
        <w:rPr>
          <w:rFonts w:hint="default"/>
          <w:lang w:val="id-ID"/>
        </w:rPr>
        <w:t xml:space="preserve"> </w:t>
      </w:r>
      <w:r>
        <w:rPr>
          <w:rFonts w:hint="eastAsia"/>
        </w:rPr>
        <w:t>akademi. Menurut kamus besar bahasa indonesia (2008), definisi mahasiswa</w:t>
      </w:r>
      <w:r>
        <w:rPr>
          <w:rFonts w:hint="default"/>
          <w:lang w:val="id-ID"/>
        </w:rPr>
        <w:t xml:space="preserve"> </w:t>
      </w:r>
      <w:r>
        <w:rPr>
          <w:rFonts w:hint="eastAsia"/>
        </w:rPr>
        <w:t xml:space="preserve">adalah orang yang belajar di perguruan tinggi. </w:t>
      </w:r>
    </w:p>
    <w:p>
      <w:pPr>
        <w:pBdr>
          <w:top w:val="none" w:color="auto" w:sz="0" w:space="0"/>
          <w:left w:val="none" w:color="auto" w:sz="0" w:space="0"/>
          <w:bottom w:val="none" w:color="auto" w:sz="0" w:space="0"/>
          <w:right w:val="none" w:color="auto" w:sz="0" w:space="0"/>
          <w:between w:val="none" w:color="auto" w:sz="0" w:space="0"/>
        </w:pBdr>
        <w:tabs>
          <w:tab w:val="left" w:pos="819"/>
          <w:tab w:val="left" w:pos="820"/>
        </w:tabs>
        <w:spacing w:before="1" w:line="360" w:lineRule="auto"/>
        <w:ind w:right="264"/>
        <w:rPr>
          <w:rFonts w:ascii="Times New Roman" w:hAnsi="Times New Roman" w:cs="Times New Roman"/>
          <w:b/>
          <w:color w:val="000000"/>
        </w:rPr>
      </w:pPr>
      <w:r>
        <w:rPr>
          <w:rFonts w:ascii="Times New Roman" w:hAnsi="Times New Roman" w:cs="Times New Roman"/>
          <w:b/>
          <w:color w:val="000000"/>
        </w:rPr>
        <w:t>METODE</w:t>
      </w:r>
    </w:p>
    <w:p>
      <w:pPr>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rPr>
        <w:t xml:space="preserve">Metode pengumpulan data yang digunakan pada penelitian ini adalah  menggunakan angket yang disusun dengan pemodelan skala likert. </w:t>
      </w:r>
      <w:r>
        <w:rPr>
          <w:rFonts w:ascii="Times New Roman" w:hAnsi="Times New Roman" w:cs="Times New Roman"/>
          <w:color w:val="000000"/>
        </w:rPr>
        <w:t xml:space="preserve">Skala likert merupakan skala yang digunakan untuk mengukur sikap, pendapat dan persepsi seseorang atau sekelompok orang tentang fenomena sosial (Sugiyono, 2014). </w:t>
      </w:r>
      <w:r>
        <w:rPr>
          <w:rFonts w:ascii="Times New Roman" w:hAnsi="Times New Roman" w:cs="Times New Roman"/>
          <w:color w:val="000000" w:themeColor="text1"/>
          <w14:textFill>
            <w14:solidFill>
              <w14:schemeClr w14:val="tx1"/>
            </w14:solidFill>
          </w14:textFill>
        </w:rPr>
        <w:t xml:space="preserve">Pernyataan skala terdiri atas dua macam, yaitu pernyataan </w:t>
      </w:r>
      <w:r>
        <w:rPr>
          <w:rFonts w:ascii="Times New Roman" w:hAnsi="Times New Roman" w:cs="Times New Roman"/>
          <w:i/>
          <w:iCs/>
          <w:color w:val="000000" w:themeColor="text1"/>
          <w14:textFill>
            <w14:solidFill>
              <w14:schemeClr w14:val="tx1"/>
            </w14:solidFill>
          </w14:textFill>
        </w:rPr>
        <w:t xml:space="preserve">favorable </w:t>
      </w:r>
      <w:r>
        <w:rPr>
          <w:rFonts w:ascii="Times New Roman" w:hAnsi="Times New Roman" w:cs="Times New Roman"/>
          <w:color w:val="000000" w:themeColor="text1"/>
          <w14:textFill>
            <w14:solidFill>
              <w14:schemeClr w14:val="tx1"/>
            </w14:solidFill>
          </w14:textFill>
        </w:rPr>
        <w:t>atau yang mendukung atau memihak pada objek sikap dan pernyataan yang mendukung objek sikap (Azwar, 2012</w:t>
      </w:r>
      <w:r>
        <w:rPr>
          <w:rFonts w:ascii="Times New Roman" w:hAnsi="Times New Roman" w:cs="Times New Roman"/>
          <w:color w:val="000000" w:themeColor="text1"/>
          <w:lang w:val="id-ID"/>
          <w14:textFill>
            <w14:solidFill>
              <w14:schemeClr w14:val="tx1"/>
            </w14:solidFill>
          </w14:textFill>
        </w:rPr>
        <w:t xml:space="preserve">). </w:t>
      </w:r>
      <w:r>
        <w:rPr>
          <w:color w:val="000000"/>
          <w:sz w:val="24"/>
          <w:szCs w:val="24"/>
          <w:lang w:val="id-ID"/>
        </w:rPr>
        <w:t xml:space="preserve">Metode pengumpulan data untuk kepribadian </w:t>
      </w:r>
      <w:r>
        <w:rPr>
          <w:i/>
          <w:color w:val="000000"/>
          <w:sz w:val="24"/>
          <w:szCs w:val="24"/>
          <w:lang w:val="id-ID"/>
        </w:rPr>
        <w:t xml:space="preserve">Trait </w:t>
      </w:r>
      <w:r>
        <w:rPr>
          <w:i/>
          <w:color w:val="000000"/>
          <w:sz w:val="24"/>
          <w:szCs w:val="24"/>
          <w:lang w:val="id-ID"/>
        </w:rPr>
        <w:t>Openness To Experience</w:t>
      </w:r>
      <w:r>
        <w:rPr>
          <w:color w:val="000000"/>
          <w:sz w:val="24"/>
          <w:szCs w:val="24"/>
          <w:lang w:val="id-ID"/>
        </w:rPr>
        <w:t xml:space="preserve"> Menggunakan Skala </w:t>
      </w:r>
      <w:r>
        <w:rPr>
          <w:i/>
          <w:color w:val="000000"/>
          <w:sz w:val="24"/>
          <w:szCs w:val="24"/>
          <w:lang w:val="id-ID"/>
        </w:rPr>
        <w:t>Openness To Experience</w:t>
      </w:r>
      <w:r>
        <w:rPr>
          <w:color w:val="000000"/>
          <w:sz w:val="24"/>
          <w:szCs w:val="24"/>
          <w:lang w:val="id-ID"/>
        </w:rPr>
        <w:t xml:space="preserve"> yang disusun oleh</w:t>
      </w:r>
      <w:r>
        <w:rPr>
          <w:color w:val="000000"/>
          <w:sz w:val="24"/>
          <w:szCs w:val="24"/>
          <w:lang w:val="id-ID"/>
        </w:rPr>
        <w:t xml:space="preserve"> Woo (2014) </w:t>
      </w:r>
      <w:r>
        <w:rPr>
          <w:color w:val="000000"/>
          <w:sz w:val="24"/>
          <w:szCs w:val="24"/>
          <w:lang w:val="id-ID"/>
        </w:rPr>
        <w:t xml:space="preserve"> dengan enam aspek yaitu </w:t>
      </w:r>
      <w:r>
        <w:rPr>
          <w:i/>
          <w:color w:val="000000"/>
          <w:sz w:val="24"/>
          <w:szCs w:val="24"/>
          <w:lang w:val="id-ID"/>
        </w:rPr>
        <w:t xml:space="preserve">intellectual efficiency, ingenuity, curiosity, tolerance, aesthetics dan depth. </w:t>
      </w:r>
      <w:r>
        <w:rPr>
          <w:color w:val="000000"/>
          <w:sz w:val="24"/>
          <w:szCs w:val="24"/>
          <w:lang w:val="id-ID"/>
        </w:rPr>
        <w:t>Metode pengumpulan untuk Adiksi Int</w:t>
      </w:r>
      <w:r>
        <w:rPr>
          <w:color w:val="000000"/>
          <w:sz w:val="24"/>
          <w:szCs w:val="24"/>
          <w:lang w:val="id-ID"/>
        </w:rPr>
        <w:t xml:space="preserve">ernet Terdiri dari skala </w:t>
      </w:r>
      <w:r>
        <w:rPr>
          <w:color w:val="000000"/>
          <w:sz w:val="24"/>
          <w:szCs w:val="24"/>
          <w:lang w:val="id-ID"/>
        </w:rPr>
        <w:t xml:space="preserve">IAT atau Internet </w:t>
      </w:r>
      <w:r>
        <w:rPr>
          <w:color w:val="000000"/>
          <w:sz w:val="24"/>
          <w:szCs w:val="24"/>
          <w:lang w:val="id-ID"/>
        </w:rPr>
        <w:t>Addiction Test yang di</w:t>
      </w:r>
      <w:r>
        <w:rPr>
          <w:color w:val="000000"/>
          <w:sz w:val="24"/>
          <w:szCs w:val="24"/>
          <w:lang w:val="id-ID"/>
        </w:rPr>
        <w:t>susun oleh Young</w:t>
      </w:r>
      <w:r>
        <w:rPr>
          <w:color w:val="000000"/>
          <w:sz w:val="24"/>
          <w:szCs w:val="24"/>
          <w:lang w:val="id-ID"/>
        </w:rPr>
        <w:t>.</w:t>
      </w:r>
      <w:r>
        <w:rPr>
          <w:color w:val="000000"/>
          <w:sz w:val="24"/>
          <w:szCs w:val="24"/>
          <w:lang w:val="id-ID"/>
        </w:rPr>
        <w:t xml:space="preserve"> </w:t>
      </w:r>
      <w:r>
        <w:rPr>
          <w:color w:val="000000"/>
          <w:sz w:val="24"/>
          <w:szCs w:val="24"/>
          <w:lang w:val="id-ID"/>
        </w:rPr>
        <w:t>IAT disusun berdasa</w:t>
      </w:r>
      <w:r>
        <w:rPr>
          <w:color w:val="000000"/>
          <w:sz w:val="24"/>
          <w:szCs w:val="24"/>
          <w:lang w:val="id-ID"/>
        </w:rPr>
        <w:t>rkan 6 aspek</w:t>
      </w:r>
      <w:r>
        <w:rPr>
          <w:color w:val="000000"/>
          <w:sz w:val="24"/>
          <w:szCs w:val="24"/>
          <w:lang w:val="id-ID"/>
        </w:rPr>
        <w:t xml:space="preserve">, </w:t>
      </w:r>
      <w:r>
        <w:rPr>
          <w:i/>
          <w:color w:val="000000"/>
          <w:sz w:val="24"/>
          <w:szCs w:val="24"/>
          <w:lang w:val="id-ID"/>
        </w:rPr>
        <w:t xml:space="preserve">Excessive </w:t>
      </w:r>
      <w:r>
        <w:rPr>
          <w:i/>
          <w:color w:val="000000"/>
          <w:sz w:val="24"/>
          <w:szCs w:val="24"/>
          <w:lang w:val="id-ID"/>
        </w:rPr>
        <w:t>use, neglect social life, lack of control, neglect work, anticipation , dan salience</w:t>
      </w:r>
      <w:r>
        <w:rPr>
          <w:i/>
          <w:color w:val="000000"/>
          <w:sz w:val="24"/>
          <w:szCs w:val="24"/>
          <w:lang w:val="id-ID"/>
        </w:rPr>
        <w:t>.</w:t>
      </w:r>
    </w:p>
    <w:p>
      <w:pPr>
        <w:pBdr>
          <w:top w:val="none" w:color="auto" w:sz="0" w:space="0"/>
          <w:left w:val="none" w:color="auto" w:sz="0" w:space="0"/>
          <w:bottom w:val="none" w:color="auto" w:sz="0" w:space="0"/>
          <w:right w:val="none" w:color="auto" w:sz="0" w:space="0"/>
          <w:between w:val="none" w:color="auto" w:sz="0" w:space="0"/>
        </w:pBdr>
        <w:tabs>
          <w:tab w:val="left" w:pos="819"/>
          <w:tab w:val="left" w:pos="820"/>
          <w:tab w:val="left" w:pos="6688"/>
        </w:tabs>
        <w:spacing w:before="1" w:line="360" w:lineRule="auto"/>
        <w:ind w:right="264"/>
        <w:rPr>
          <w:rFonts w:ascii="Times New Roman" w:hAnsi="Times New Roman" w:cs="Times New Roman"/>
          <w:b/>
        </w:rPr>
      </w:pPr>
      <w:r>
        <w:rPr>
          <w:rFonts w:ascii="Times New Roman" w:hAnsi="Times New Roman" w:cs="Times New Roman"/>
          <w:b/>
        </w:rPr>
        <w:t>HASIL DAN PEMBAHASAN</w:t>
      </w:r>
      <w:r>
        <w:rPr>
          <w:rFonts w:ascii="Times New Roman" w:hAnsi="Times New Roman" w:cs="Times New Roman"/>
          <w:b/>
        </w:rPr>
        <w:tab/>
      </w:r>
    </w:p>
    <w:p>
      <w:pPr>
        <w:pBdr>
          <w:top w:val="none" w:color="auto" w:sz="0" w:space="0"/>
          <w:left w:val="none" w:color="auto" w:sz="0" w:space="0"/>
          <w:bottom w:val="none" w:color="auto" w:sz="0" w:space="0"/>
          <w:right w:val="none" w:color="auto" w:sz="0" w:space="0"/>
          <w:between w:val="none" w:color="auto" w:sz="0" w:space="0"/>
        </w:pBdr>
        <w:tabs>
          <w:tab w:val="left" w:pos="819"/>
          <w:tab w:val="left" w:pos="820"/>
        </w:tabs>
        <w:spacing w:before="1" w:line="360" w:lineRule="auto"/>
        <w:ind w:right="264"/>
        <w:jc w:val="both"/>
        <w:rPr>
          <w:rFonts w:ascii="Times New Roman" w:hAnsi="Times New Roman" w:cs="Times New Roman"/>
        </w:rPr>
      </w:pPr>
      <w:r>
        <w:rPr>
          <w:rFonts w:ascii="Times New Roman" w:hAnsi="Times New Roman" w:cs="Times New Roman"/>
        </w:rPr>
        <w:tab/>
      </w:r>
      <w:r>
        <w:rPr>
          <w:rFonts w:ascii="Times New Roman" w:hAnsi="Times New Roman" w:cs="Times New Roman"/>
        </w:rPr>
        <w:t>Data penelitian yang diperoleh dari skala Trait Openness To Experience  dalam penelitian ini dapat digunakan untuk mendeskripsikan hasil penelitian dengan menggunakan skor hipotetik dan juga skor empirik. Data skor hipotetik  dan skor empirik yang dideskripsikan oleh peneliti adalah nilai minimum, nilai maksimum, jarak sebaran data (range), rata-rata (mean), dan standar deviasi. Data-data ini dapat digunakan sebagai dasar pembuatan dalam kategorisasi subjek penelitian.</w:t>
      </w:r>
    </w:p>
    <w:p>
      <w:pPr>
        <w:pBdr>
          <w:top w:val="none" w:color="auto" w:sz="0" w:space="0"/>
          <w:left w:val="none" w:color="auto" w:sz="0" w:space="0"/>
          <w:bottom w:val="none" w:color="auto" w:sz="0" w:space="0"/>
          <w:right w:val="none" w:color="auto" w:sz="0" w:space="0"/>
          <w:between w:val="none" w:color="auto" w:sz="0" w:space="0"/>
        </w:pBdr>
        <w:tabs>
          <w:tab w:val="left" w:pos="819"/>
          <w:tab w:val="left" w:pos="820"/>
        </w:tabs>
        <w:spacing w:before="1" w:line="360" w:lineRule="auto"/>
        <w:ind w:right="264"/>
        <w:jc w:val="both"/>
        <w:rPr>
          <w:rFonts w:ascii="Times New Roman" w:hAnsi="Times New Roman" w:cs="Times New Roman"/>
        </w:rPr>
      </w:pPr>
    </w:p>
    <w:p>
      <w:pPr>
        <w:pBdr>
          <w:top w:val="none" w:color="auto" w:sz="0" w:space="0"/>
          <w:left w:val="none" w:color="auto" w:sz="0" w:space="0"/>
          <w:bottom w:val="none" w:color="auto" w:sz="0" w:space="0"/>
          <w:right w:val="none" w:color="auto" w:sz="0" w:space="0"/>
          <w:between w:val="none" w:color="auto" w:sz="0" w:space="0"/>
        </w:pBdr>
        <w:tabs>
          <w:tab w:val="left" w:pos="819"/>
          <w:tab w:val="left" w:pos="820"/>
        </w:tabs>
        <w:snapToGrid w:val="0"/>
        <w:spacing w:before="1" w:after="0" w:line="240" w:lineRule="auto"/>
        <w:ind w:right="264"/>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Tabel 1.</w:t>
      </w:r>
      <w:r>
        <w:rPr>
          <w:i/>
          <w:color w:val="000000" w:themeColor="text1"/>
          <w:sz w:val="20"/>
          <w:szCs w:val="20"/>
          <w14:textFill>
            <w14:solidFill>
              <w14:schemeClr w14:val="tx1"/>
            </w14:solidFill>
          </w14:textFill>
        </w:rPr>
        <w:t xml:space="preserve"> </w:t>
      </w:r>
      <w:r>
        <w:rPr>
          <w:i/>
          <w:color w:val="000000" w:themeColor="text1"/>
          <w:sz w:val="20"/>
          <w:szCs w:val="20"/>
          <w14:textFill>
            <w14:solidFill>
              <w14:schemeClr w14:val="tx1"/>
            </w14:solidFill>
          </w14:textFill>
        </w:rPr>
        <w:t>Descriptive Statistics</w:t>
      </w:r>
    </w:p>
    <w:tbl>
      <w:tblPr>
        <w:tblStyle w:val="8"/>
        <w:tblW w:w="3781" w:type="pct"/>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0"/>
        <w:gridCol w:w="779"/>
        <w:gridCol w:w="827"/>
        <w:gridCol w:w="611"/>
        <w:gridCol w:w="649"/>
        <w:gridCol w:w="832"/>
        <w:gridCol w:w="718"/>
        <w:gridCol w:w="1093"/>
      </w:tblGrid>
      <w:tr>
        <w:tblPrEx>
          <w:tblLayout w:type="fixed"/>
        </w:tblPrEx>
        <w:tc>
          <w:tcPr>
            <w:tcW w:w="1130" w:type="dxa"/>
            <w:tcBorders>
              <w:top w:val="single" w:color="auto" w:sz="4" w:space="0"/>
              <w:bottom w:val="single" w:color="auto" w:sz="4" w:space="0"/>
            </w:tcBorders>
          </w:tcPr>
          <w:p>
            <w:pPr>
              <w:snapToGrid w:val="0"/>
              <w:spacing w:after="0" w:line="240" w:lineRule="auto"/>
              <w:jc w:val="both"/>
              <w:rPr>
                <w:b/>
                <w:bCs/>
                <w:sz w:val="20"/>
                <w:szCs w:val="20"/>
                <w:lang w:val="en-GB"/>
              </w:rPr>
            </w:pPr>
            <w:r>
              <w:rPr>
                <w:b/>
                <w:bCs/>
                <w:sz w:val="20"/>
                <w:szCs w:val="20"/>
                <w:lang w:val="en-GB"/>
              </w:rPr>
              <w:t>Variabel</w:t>
            </w:r>
          </w:p>
        </w:tc>
        <w:tc>
          <w:tcPr>
            <w:tcW w:w="779" w:type="dxa"/>
            <w:tcBorders>
              <w:top w:val="single" w:color="auto" w:sz="4" w:space="0"/>
              <w:bottom w:val="single" w:color="auto" w:sz="4" w:space="0"/>
            </w:tcBorders>
          </w:tcPr>
          <w:p>
            <w:pPr>
              <w:snapToGrid w:val="0"/>
              <w:spacing w:after="0" w:line="240" w:lineRule="auto"/>
              <w:jc w:val="both"/>
              <w:rPr>
                <w:b/>
                <w:bCs/>
                <w:sz w:val="20"/>
                <w:szCs w:val="20"/>
                <w:lang w:val="en-GB"/>
              </w:rPr>
            </w:pPr>
            <w:r>
              <w:rPr>
                <w:b/>
                <w:bCs/>
                <w:sz w:val="20"/>
                <w:szCs w:val="20"/>
                <w:lang w:val="en-GB"/>
              </w:rPr>
              <w:t>Aitem</w:t>
            </w:r>
          </w:p>
        </w:tc>
        <w:tc>
          <w:tcPr>
            <w:tcW w:w="827" w:type="dxa"/>
            <w:tcBorders>
              <w:top w:val="single" w:color="auto" w:sz="4" w:space="0"/>
              <w:bottom w:val="single" w:color="auto" w:sz="4" w:space="0"/>
            </w:tcBorders>
          </w:tcPr>
          <w:p>
            <w:pPr>
              <w:pStyle w:val="11"/>
              <w:snapToGrid w:val="0"/>
              <w:spacing w:line="240" w:lineRule="auto"/>
              <w:ind w:left="0"/>
              <w:jc w:val="both"/>
              <w:rPr>
                <w:b/>
                <w:bCs/>
                <w:sz w:val="20"/>
                <w:szCs w:val="20"/>
                <w:lang w:val="en-GB"/>
              </w:rPr>
            </w:pPr>
            <w:r>
              <w:rPr>
                <w:b/>
                <w:bCs/>
                <w:sz w:val="20"/>
                <w:szCs w:val="20"/>
                <w:lang w:val="en-GB"/>
              </w:rPr>
              <w:t>Range</w:t>
            </w:r>
          </w:p>
        </w:tc>
        <w:tc>
          <w:tcPr>
            <w:tcW w:w="611" w:type="dxa"/>
            <w:tcBorders>
              <w:top w:val="single" w:color="auto" w:sz="4" w:space="0"/>
              <w:bottom w:val="single" w:color="auto" w:sz="4" w:space="0"/>
            </w:tcBorders>
          </w:tcPr>
          <w:p>
            <w:pPr>
              <w:pStyle w:val="11"/>
              <w:snapToGrid w:val="0"/>
              <w:spacing w:line="240" w:lineRule="auto"/>
              <w:ind w:left="0"/>
              <w:jc w:val="both"/>
              <w:rPr>
                <w:b/>
                <w:bCs/>
                <w:sz w:val="20"/>
                <w:szCs w:val="20"/>
                <w:lang w:val="en-GB"/>
              </w:rPr>
            </w:pPr>
            <w:r>
              <w:rPr>
                <w:b/>
                <w:bCs/>
                <w:sz w:val="20"/>
                <w:szCs w:val="20"/>
                <w:lang w:val="en-GB"/>
              </w:rPr>
              <w:t>Min</w:t>
            </w:r>
          </w:p>
        </w:tc>
        <w:tc>
          <w:tcPr>
            <w:tcW w:w="649" w:type="dxa"/>
            <w:tcBorders>
              <w:top w:val="single" w:color="auto" w:sz="4" w:space="0"/>
              <w:bottom w:val="single" w:color="auto" w:sz="4" w:space="0"/>
            </w:tcBorders>
          </w:tcPr>
          <w:p>
            <w:pPr>
              <w:pStyle w:val="11"/>
              <w:snapToGrid w:val="0"/>
              <w:spacing w:line="240" w:lineRule="auto"/>
              <w:ind w:left="0"/>
              <w:jc w:val="both"/>
              <w:rPr>
                <w:b/>
                <w:bCs/>
                <w:sz w:val="20"/>
                <w:szCs w:val="20"/>
                <w:lang w:val="en-GB"/>
              </w:rPr>
            </w:pPr>
            <w:r>
              <w:rPr>
                <w:b/>
                <w:bCs/>
                <w:sz w:val="20"/>
                <w:szCs w:val="20"/>
                <w:lang w:val="en-GB"/>
              </w:rPr>
              <w:t>Max</w:t>
            </w:r>
          </w:p>
        </w:tc>
        <w:tc>
          <w:tcPr>
            <w:tcW w:w="832" w:type="dxa"/>
            <w:tcBorders>
              <w:top w:val="single" w:color="auto" w:sz="4" w:space="0"/>
              <w:bottom w:val="single" w:color="auto" w:sz="4" w:space="0"/>
            </w:tcBorders>
          </w:tcPr>
          <w:p>
            <w:pPr>
              <w:pStyle w:val="11"/>
              <w:snapToGrid w:val="0"/>
              <w:spacing w:line="240" w:lineRule="auto"/>
              <w:ind w:left="0"/>
              <w:jc w:val="both"/>
              <w:rPr>
                <w:b/>
                <w:bCs/>
                <w:sz w:val="20"/>
                <w:szCs w:val="20"/>
                <w:lang w:val="en-GB"/>
              </w:rPr>
            </w:pPr>
            <w:r>
              <w:rPr>
                <w:b/>
                <w:bCs/>
                <w:sz w:val="20"/>
                <w:szCs w:val="20"/>
                <w:lang w:val="en-GB"/>
              </w:rPr>
              <w:t>Mean</w:t>
            </w:r>
          </w:p>
        </w:tc>
        <w:tc>
          <w:tcPr>
            <w:tcW w:w="718" w:type="dxa"/>
            <w:tcBorders>
              <w:top w:val="single" w:color="auto" w:sz="4" w:space="0"/>
              <w:bottom w:val="single" w:color="auto" w:sz="4" w:space="0"/>
            </w:tcBorders>
          </w:tcPr>
          <w:p>
            <w:pPr>
              <w:pStyle w:val="11"/>
              <w:snapToGrid w:val="0"/>
              <w:spacing w:line="240" w:lineRule="auto"/>
              <w:ind w:left="0"/>
              <w:jc w:val="both"/>
              <w:rPr>
                <w:b/>
                <w:bCs/>
                <w:sz w:val="20"/>
                <w:szCs w:val="20"/>
                <w:lang w:val="en-GB"/>
              </w:rPr>
            </w:pPr>
            <w:r>
              <w:rPr>
                <w:b/>
                <w:bCs/>
                <w:sz w:val="20"/>
                <w:szCs w:val="20"/>
                <w:lang w:val="en-GB"/>
              </w:rPr>
              <w:t>SD</w:t>
            </w:r>
          </w:p>
        </w:tc>
        <w:tc>
          <w:tcPr>
            <w:tcW w:w="1093" w:type="dxa"/>
            <w:tcBorders>
              <w:top w:val="single" w:color="auto" w:sz="4" w:space="0"/>
              <w:bottom w:val="single" w:color="auto" w:sz="4" w:space="0"/>
            </w:tcBorders>
          </w:tcPr>
          <w:p>
            <w:pPr>
              <w:pStyle w:val="11"/>
              <w:snapToGrid w:val="0"/>
              <w:spacing w:line="240" w:lineRule="auto"/>
              <w:ind w:left="0"/>
              <w:jc w:val="both"/>
              <w:rPr>
                <w:b/>
                <w:bCs/>
                <w:sz w:val="20"/>
                <w:szCs w:val="20"/>
                <w:lang w:val="en-GB"/>
              </w:rPr>
            </w:pPr>
            <w:r>
              <w:rPr>
                <w:b/>
                <w:bCs/>
                <w:sz w:val="20"/>
                <w:szCs w:val="20"/>
                <w:lang w:val="en-GB"/>
              </w:rPr>
              <w:t>Variance</w:t>
            </w:r>
          </w:p>
        </w:tc>
      </w:tr>
      <w:tr>
        <w:tblPrEx>
          <w:tblLayout w:type="fixed"/>
        </w:tblPrEx>
        <w:tc>
          <w:tcPr>
            <w:tcW w:w="1130" w:type="dxa"/>
            <w:tcBorders>
              <w:top w:val="single" w:color="auto" w:sz="4" w:space="0"/>
              <w:bottom w:val="single" w:color="auto" w:sz="4" w:space="0"/>
            </w:tcBorders>
          </w:tcPr>
          <w:p>
            <w:pPr>
              <w:pStyle w:val="11"/>
              <w:snapToGrid w:val="0"/>
              <w:spacing w:line="240" w:lineRule="auto"/>
              <w:ind w:left="0"/>
              <w:jc w:val="both"/>
              <w:rPr>
                <w:sz w:val="20"/>
                <w:szCs w:val="20"/>
                <w:lang w:val="en-GB"/>
              </w:rPr>
            </w:pPr>
            <w:r>
              <w:rPr>
                <w:sz w:val="20"/>
                <w:szCs w:val="20"/>
                <w:lang w:val="en-GB"/>
              </w:rPr>
              <w:t>Trait Opennes To Experince</w:t>
            </w:r>
          </w:p>
        </w:tc>
        <w:tc>
          <w:tcPr>
            <w:tcW w:w="779" w:type="dxa"/>
            <w:tcBorders>
              <w:top w:val="single" w:color="auto" w:sz="4" w:space="0"/>
              <w:bottom w:val="single" w:color="auto" w:sz="4" w:space="0"/>
            </w:tcBorders>
          </w:tcPr>
          <w:p>
            <w:pPr>
              <w:pStyle w:val="11"/>
              <w:snapToGrid w:val="0"/>
              <w:spacing w:line="240" w:lineRule="auto"/>
              <w:ind w:left="0"/>
              <w:jc w:val="both"/>
              <w:rPr>
                <w:sz w:val="20"/>
                <w:szCs w:val="20"/>
                <w:lang w:val="en-GB"/>
              </w:rPr>
            </w:pPr>
            <w:r>
              <w:rPr>
                <w:sz w:val="20"/>
                <w:szCs w:val="20"/>
                <w:lang w:val="en-GB"/>
              </w:rPr>
              <w:t>40</w:t>
            </w:r>
          </w:p>
        </w:tc>
        <w:tc>
          <w:tcPr>
            <w:tcW w:w="827" w:type="dxa"/>
            <w:tcBorders>
              <w:top w:val="single" w:color="auto" w:sz="4" w:space="0"/>
              <w:bottom w:val="single" w:color="auto" w:sz="4" w:space="0"/>
            </w:tcBorders>
          </w:tcPr>
          <w:p>
            <w:pPr>
              <w:pStyle w:val="11"/>
              <w:snapToGrid w:val="0"/>
              <w:spacing w:line="240" w:lineRule="auto"/>
              <w:ind w:left="0"/>
              <w:jc w:val="both"/>
              <w:rPr>
                <w:sz w:val="20"/>
                <w:szCs w:val="20"/>
                <w:lang w:val="id-ID"/>
              </w:rPr>
            </w:pPr>
            <w:r>
              <w:rPr>
                <w:sz w:val="20"/>
                <w:szCs w:val="20"/>
                <w:lang w:val="en-GB"/>
              </w:rPr>
              <w:t>2</w:t>
            </w:r>
            <w:r>
              <w:rPr>
                <w:sz w:val="20"/>
                <w:szCs w:val="20"/>
                <w:lang w:val="id-ID"/>
              </w:rPr>
              <w:t>5</w:t>
            </w:r>
          </w:p>
        </w:tc>
        <w:tc>
          <w:tcPr>
            <w:tcW w:w="611" w:type="dxa"/>
            <w:tcBorders>
              <w:top w:val="single" w:color="auto" w:sz="4" w:space="0"/>
              <w:bottom w:val="single" w:color="auto" w:sz="4" w:space="0"/>
            </w:tcBorders>
          </w:tcPr>
          <w:p>
            <w:pPr>
              <w:snapToGrid w:val="0"/>
              <w:spacing w:after="0" w:line="240" w:lineRule="auto"/>
              <w:jc w:val="both"/>
              <w:rPr>
                <w:sz w:val="20"/>
                <w:szCs w:val="20"/>
                <w:lang w:val="en-GB"/>
              </w:rPr>
            </w:pPr>
            <w:r>
              <w:rPr>
                <w:sz w:val="20"/>
                <w:szCs w:val="20"/>
                <w:lang w:val="en-GB"/>
              </w:rPr>
              <w:t>110</w:t>
            </w:r>
          </w:p>
        </w:tc>
        <w:tc>
          <w:tcPr>
            <w:tcW w:w="649" w:type="dxa"/>
            <w:tcBorders>
              <w:top w:val="single" w:color="auto" w:sz="4" w:space="0"/>
              <w:bottom w:val="single" w:color="auto" w:sz="4" w:space="0"/>
            </w:tcBorders>
          </w:tcPr>
          <w:p>
            <w:pPr>
              <w:snapToGrid w:val="0"/>
              <w:spacing w:after="0" w:line="240" w:lineRule="auto"/>
              <w:jc w:val="both"/>
              <w:rPr>
                <w:sz w:val="20"/>
                <w:szCs w:val="20"/>
                <w:lang w:val="en-GB"/>
              </w:rPr>
            </w:pPr>
            <w:r>
              <w:rPr>
                <w:sz w:val="20"/>
                <w:szCs w:val="20"/>
                <w:lang w:val="en-GB"/>
              </w:rPr>
              <w:t>135</w:t>
            </w:r>
          </w:p>
        </w:tc>
        <w:tc>
          <w:tcPr>
            <w:tcW w:w="832" w:type="dxa"/>
            <w:tcBorders>
              <w:top w:val="single" w:color="auto" w:sz="4" w:space="0"/>
              <w:bottom w:val="single" w:color="auto" w:sz="4" w:space="0"/>
            </w:tcBorders>
          </w:tcPr>
          <w:p>
            <w:pPr>
              <w:pStyle w:val="11"/>
              <w:snapToGrid w:val="0"/>
              <w:spacing w:line="240" w:lineRule="auto"/>
              <w:ind w:left="0"/>
              <w:jc w:val="both"/>
              <w:rPr>
                <w:sz w:val="20"/>
                <w:szCs w:val="20"/>
                <w:lang w:val="en-GB"/>
              </w:rPr>
            </w:pPr>
            <w:r>
              <w:rPr>
                <w:sz w:val="20"/>
                <w:szCs w:val="20"/>
                <w:lang w:val="en-GB"/>
              </w:rPr>
              <w:t>122,85</w:t>
            </w:r>
          </w:p>
        </w:tc>
        <w:tc>
          <w:tcPr>
            <w:tcW w:w="718" w:type="dxa"/>
            <w:tcBorders>
              <w:top w:val="single" w:color="auto" w:sz="4" w:space="0"/>
              <w:bottom w:val="single" w:color="auto" w:sz="4" w:space="0"/>
            </w:tcBorders>
          </w:tcPr>
          <w:p>
            <w:pPr>
              <w:pStyle w:val="11"/>
              <w:snapToGrid w:val="0"/>
              <w:spacing w:line="240" w:lineRule="auto"/>
              <w:ind w:left="0"/>
              <w:jc w:val="both"/>
              <w:rPr>
                <w:sz w:val="20"/>
                <w:szCs w:val="20"/>
                <w:lang w:val="en-GB"/>
              </w:rPr>
            </w:pPr>
            <w:r>
              <w:rPr>
                <w:sz w:val="20"/>
                <w:szCs w:val="20"/>
                <w:lang w:val="en-GB"/>
              </w:rPr>
              <w:t>4,803</w:t>
            </w:r>
          </w:p>
        </w:tc>
        <w:tc>
          <w:tcPr>
            <w:tcW w:w="1093" w:type="dxa"/>
            <w:tcBorders>
              <w:top w:val="single" w:color="auto" w:sz="4" w:space="0"/>
              <w:bottom w:val="single" w:color="auto" w:sz="4" w:space="0"/>
            </w:tcBorders>
          </w:tcPr>
          <w:p>
            <w:pPr>
              <w:pStyle w:val="11"/>
              <w:snapToGrid w:val="0"/>
              <w:spacing w:line="240" w:lineRule="auto"/>
              <w:ind w:left="0"/>
              <w:jc w:val="both"/>
              <w:rPr>
                <w:sz w:val="20"/>
                <w:szCs w:val="20"/>
                <w:lang w:val="en-GB"/>
              </w:rPr>
            </w:pPr>
            <w:r>
              <w:rPr>
                <w:sz w:val="20"/>
                <w:szCs w:val="20"/>
                <w:lang w:val="en-GB"/>
              </w:rPr>
              <w:t>23,072</w:t>
            </w:r>
          </w:p>
        </w:tc>
      </w:tr>
      <w:tr>
        <w:tblPrEx>
          <w:tblLayout w:type="fixed"/>
        </w:tblPrEx>
        <w:tc>
          <w:tcPr>
            <w:tcW w:w="1130" w:type="dxa"/>
            <w:tcBorders>
              <w:top w:val="single" w:color="auto" w:sz="4" w:space="0"/>
              <w:bottom w:val="single" w:color="auto" w:sz="4" w:space="0"/>
            </w:tcBorders>
          </w:tcPr>
          <w:p>
            <w:pPr>
              <w:pStyle w:val="11"/>
              <w:snapToGrid w:val="0"/>
              <w:spacing w:line="240" w:lineRule="auto"/>
              <w:ind w:left="0"/>
              <w:jc w:val="both"/>
              <w:rPr>
                <w:sz w:val="20"/>
                <w:szCs w:val="20"/>
                <w:lang w:val="id-ID"/>
              </w:rPr>
            </w:pPr>
            <w:r>
              <w:rPr>
                <w:sz w:val="20"/>
                <w:szCs w:val="20"/>
                <w:lang w:val="id-ID"/>
              </w:rPr>
              <w:t>Adiksi Internet</w:t>
            </w:r>
          </w:p>
        </w:tc>
        <w:tc>
          <w:tcPr>
            <w:tcW w:w="779" w:type="dxa"/>
            <w:tcBorders>
              <w:top w:val="single" w:color="auto" w:sz="4" w:space="0"/>
              <w:bottom w:val="single" w:color="auto" w:sz="4" w:space="0"/>
            </w:tcBorders>
          </w:tcPr>
          <w:p>
            <w:pPr>
              <w:pStyle w:val="11"/>
              <w:snapToGrid w:val="0"/>
              <w:spacing w:line="240" w:lineRule="auto"/>
              <w:ind w:left="0"/>
              <w:jc w:val="both"/>
              <w:rPr>
                <w:sz w:val="20"/>
                <w:szCs w:val="20"/>
                <w:lang w:val="id-ID"/>
              </w:rPr>
            </w:pPr>
            <w:r>
              <w:rPr>
                <w:sz w:val="20"/>
                <w:szCs w:val="20"/>
                <w:lang w:val="id-ID"/>
              </w:rPr>
              <w:t>33</w:t>
            </w:r>
          </w:p>
        </w:tc>
        <w:tc>
          <w:tcPr>
            <w:tcW w:w="827" w:type="dxa"/>
            <w:tcBorders>
              <w:top w:val="single" w:color="auto" w:sz="4" w:space="0"/>
              <w:bottom w:val="single" w:color="auto" w:sz="4" w:space="0"/>
            </w:tcBorders>
          </w:tcPr>
          <w:p>
            <w:pPr>
              <w:pStyle w:val="11"/>
              <w:snapToGrid w:val="0"/>
              <w:spacing w:line="240" w:lineRule="auto"/>
              <w:ind w:left="0"/>
              <w:jc w:val="both"/>
              <w:rPr>
                <w:sz w:val="20"/>
                <w:szCs w:val="20"/>
                <w:lang w:val="en-GB"/>
              </w:rPr>
            </w:pPr>
            <w:r>
              <w:rPr>
                <w:sz w:val="20"/>
                <w:szCs w:val="20"/>
                <w:lang w:val="en-GB"/>
              </w:rPr>
              <w:t>30</w:t>
            </w:r>
          </w:p>
        </w:tc>
        <w:tc>
          <w:tcPr>
            <w:tcW w:w="611" w:type="dxa"/>
            <w:tcBorders>
              <w:top w:val="single" w:color="auto" w:sz="4" w:space="0"/>
              <w:bottom w:val="single" w:color="auto" w:sz="4" w:space="0"/>
            </w:tcBorders>
          </w:tcPr>
          <w:p>
            <w:pPr>
              <w:snapToGrid w:val="0"/>
              <w:spacing w:after="0" w:line="240" w:lineRule="auto"/>
              <w:jc w:val="both"/>
              <w:rPr>
                <w:sz w:val="20"/>
                <w:szCs w:val="20"/>
                <w:lang w:val="id-ID"/>
              </w:rPr>
            </w:pPr>
            <w:r>
              <w:rPr>
                <w:sz w:val="20"/>
                <w:szCs w:val="20"/>
                <w:lang w:val="en-GB"/>
              </w:rPr>
              <w:t>7</w:t>
            </w:r>
            <w:r>
              <w:rPr>
                <w:sz w:val="20"/>
                <w:szCs w:val="20"/>
                <w:lang w:val="id-ID"/>
              </w:rPr>
              <w:t>0</w:t>
            </w:r>
          </w:p>
        </w:tc>
        <w:tc>
          <w:tcPr>
            <w:tcW w:w="649" w:type="dxa"/>
            <w:tcBorders>
              <w:top w:val="single" w:color="auto" w:sz="4" w:space="0"/>
              <w:bottom w:val="single" w:color="auto" w:sz="4" w:space="0"/>
            </w:tcBorders>
          </w:tcPr>
          <w:p>
            <w:pPr>
              <w:snapToGrid w:val="0"/>
              <w:spacing w:after="0" w:line="240" w:lineRule="auto"/>
              <w:jc w:val="both"/>
              <w:rPr>
                <w:sz w:val="20"/>
                <w:szCs w:val="20"/>
                <w:lang w:val="en-GB"/>
              </w:rPr>
            </w:pPr>
            <w:r>
              <w:rPr>
                <w:sz w:val="20"/>
                <w:szCs w:val="20"/>
                <w:lang w:val="en-GB"/>
              </w:rPr>
              <w:t>100</w:t>
            </w:r>
          </w:p>
        </w:tc>
        <w:tc>
          <w:tcPr>
            <w:tcW w:w="832" w:type="dxa"/>
            <w:tcBorders>
              <w:top w:val="single" w:color="auto" w:sz="4" w:space="0"/>
              <w:bottom w:val="single" w:color="auto" w:sz="4" w:space="0"/>
            </w:tcBorders>
          </w:tcPr>
          <w:p>
            <w:pPr>
              <w:pStyle w:val="11"/>
              <w:snapToGrid w:val="0"/>
              <w:spacing w:line="240" w:lineRule="auto"/>
              <w:ind w:left="0"/>
              <w:jc w:val="both"/>
              <w:rPr>
                <w:sz w:val="20"/>
                <w:szCs w:val="20"/>
                <w:lang w:val="en-GB"/>
              </w:rPr>
            </w:pPr>
            <w:r>
              <w:rPr>
                <w:sz w:val="20"/>
                <w:szCs w:val="20"/>
                <w:lang w:val="en-GB"/>
              </w:rPr>
              <w:t>85,91</w:t>
            </w:r>
          </w:p>
        </w:tc>
        <w:tc>
          <w:tcPr>
            <w:tcW w:w="718" w:type="dxa"/>
            <w:tcBorders>
              <w:top w:val="single" w:color="auto" w:sz="4" w:space="0"/>
              <w:bottom w:val="single" w:color="auto" w:sz="4" w:space="0"/>
            </w:tcBorders>
          </w:tcPr>
          <w:p>
            <w:pPr>
              <w:pStyle w:val="11"/>
              <w:snapToGrid w:val="0"/>
              <w:spacing w:line="240" w:lineRule="auto"/>
              <w:ind w:left="0"/>
              <w:jc w:val="both"/>
              <w:rPr>
                <w:sz w:val="20"/>
                <w:szCs w:val="20"/>
                <w:lang w:val="en-GB"/>
              </w:rPr>
            </w:pPr>
            <w:r>
              <w:rPr>
                <w:sz w:val="20"/>
                <w:szCs w:val="20"/>
                <w:lang w:val="en-GB"/>
              </w:rPr>
              <w:t>6,417</w:t>
            </w:r>
          </w:p>
        </w:tc>
        <w:tc>
          <w:tcPr>
            <w:tcW w:w="1093" w:type="dxa"/>
            <w:tcBorders>
              <w:top w:val="single" w:color="auto" w:sz="4" w:space="0"/>
            </w:tcBorders>
          </w:tcPr>
          <w:p>
            <w:pPr>
              <w:pStyle w:val="11"/>
              <w:snapToGrid w:val="0"/>
              <w:spacing w:line="240" w:lineRule="auto"/>
              <w:ind w:left="0"/>
              <w:jc w:val="both"/>
              <w:rPr>
                <w:sz w:val="20"/>
                <w:szCs w:val="20"/>
                <w:lang w:val="en-GB"/>
              </w:rPr>
            </w:pPr>
            <w:r>
              <w:rPr>
                <w:sz w:val="20"/>
                <w:szCs w:val="20"/>
                <w:lang w:val="en-GB"/>
              </w:rPr>
              <w:t>41,177</w:t>
            </w:r>
          </w:p>
        </w:tc>
      </w:tr>
      <w:tr>
        <w:tblPrEx>
          <w:tblLayout w:type="fixed"/>
        </w:tblPrEx>
        <w:tc>
          <w:tcPr>
            <w:tcW w:w="1130" w:type="dxa"/>
            <w:tcBorders>
              <w:top w:val="single" w:color="auto" w:sz="4" w:space="0"/>
              <w:bottom w:val="single" w:color="auto" w:sz="4" w:space="0"/>
            </w:tcBorders>
          </w:tcPr>
          <w:p>
            <w:pPr>
              <w:snapToGrid w:val="0"/>
              <w:spacing w:after="0" w:line="240" w:lineRule="auto"/>
              <w:jc w:val="both"/>
              <w:rPr>
                <w:sz w:val="20"/>
                <w:szCs w:val="20"/>
                <w:lang w:val="en-GB"/>
              </w:rPr>
            </w:pPr>
            <w:r>
              <w:rPr>
                <w:sz w:val="20"/>
                <w:szCs w:val="20"/>
                <w:lang w:val="en-GB"/>
              </w:rPr>
              <w:t>Valid N</w:t>
            </w:r>
          </w:p>
        </w:tc>
        <w:tc>
          <w:tcPr>
            <w:tcW w:w="779" w:type="dxa"/>
            <w:tcBorders>
              <w:top w:val="single" w:color="auto" w:sz="4" w:space="0"/>
              <w:bottom w:val="single" w:color="auto" w:sz="4" w:space="0"/>
            </w:tcBorders>
          </w:tcPr>
          <w:p>
            <w:pPr>
              <w:pStyle w:val="11"/>
              <w:snapToGrid w:val="0"/>
              <w:spacing w:line="240" w:lineRule="auto"/>
              <w:ind w:left="0"/>
              <w:jc w:val="both"/>
              <w:rPr>
                <w:sz w:val="20"/>
                <w:szCs w:val="20"/>
                <w:lang w:val="en-GB"/>
              </w:rPr>
            </w:pPr>
            <w:r>
              <w:rPr>
                <w:sz w:val="20"/>
                <w:szCs w:val="20"/>
                <w:lang w:val="en-GB"/>
              </w:rPr>
              <w:t>41</w:t>
            </w:r>
          </w:p>
        </w:tc>
        <w:tc>
          <w:tcPr>
            <w:tcW w:w="4730" w:type="dxa"/>
            <w:gridSpan w:val="6"/>
            <w:tcBorders>
              <w:top w:val="single" w:color="auto" w:sz="4" w:space="0"/>
              <w:bottom w:val="single" w:color="auto" w:sz="4" w:space="0"/>
            </w:tcBorders>
          </w:tcPr>
          <w:p>
            <w:pPr>
              <w:snapToGrid w:val="0"/>
              <w:spacing w:after="0" w:line="240" w:lineRule="auto"/>
              <w:jc w:val="both"/>
              <w:rPr>
                <w:sz w:val="20"/>
                <w:szCs w:val="20"/>
                <w:lang w:val="en-GB"/>
              </w:rPr>
            </w:pPr>
          </w:p>
        </w:tc>
      </w:tr>
    </w:tbl>
    <w:p>
      <w:pPr>
        <w:pStyle w:val="11"/>
        <w:spacing w:line="360" w:lineRule="auto"/>
        <w:ind w:left="0" w:firstLine="567"/>
        <w:jc w:val="both"/>
        <w:rPr>
          <w:b/>
          <w:bCs/>
          <w:sz w:val="20"/>
          <w:szCs w:val="20"/>
          <w:lang w:val="en-GB"/>
        </w:rPr>
      </w:pPr>
      <w:r>
        <w:rPr>
          <w:b/>
          <w:bCs/>
          <w:sz w:val="20"/>
          <w:szCs w:val="20"/>
          <w:lang w:val="en-GB"/>
        </w:rPr>
        <w:t xml:space="preserve">Keterangan: </w:t>
      </w:r>
    </w:p>
    <w:p>
      <w:pPr>
        <w:pStyle w:val="11"/>
        <w:snapToGrid w:val="0"/>
        <w:spacing w:line="240" w:lineRule="auto"/>
        <w:ind w:left="0" w:firstLine="567"/>
        <w:jc w:val="both"/>
        <w:rPr>
          <w:sz w:val="20"/>
          <w:szCs w:val="20"/>
          <w:lang w:val="en-GB"/>
        </w:rPr>
      </w:pPr>
      <w:r>
        <w:rPr>
          <w:sz w:val="20"/>
          <w:szCs w:val="20"/>
          <w:lang w:val="en-GB"/>
        </w:rPr>
        <w:t>N</w:t>
      </w:r>
      <w:r>
        <w:rPr>
          <w:sz w:val="20"/>
          <w:szCs w:val="20"/>
          <w:lang w:val="en-GB"/>
        </w:rPr>
        <w:tab/>
      </w:r>
      <w:r>
        <w:rPr>
          <w:sz w:val="20"/>
          <w:szCs w:val="20"/>
          <w:lang w:val="id-ID"/>
        </w:rPr>
        <w:tab/>
      </w:r>
      <w:r>
        <w:rPr>
          <w:sz w:val="20"/>
          <w:szCs w:val="20"/>
          <w:lang w:val="en-GB"/>
        </w:rPr>
        <w:t xml:space="preserve">= Jumlah aitem </w:t>
      </w:r>
    </w:p>
    <w:p>
      <w:pPr>
        <w:pStyle w:val="11"/>
        <w:snapToGrid w:val="0"/>
        <w:spacing w:line="240" w:lineRule="auto"/>
        <w:ind w:left="0" w:firstLine="567"/>
        <w:jc w:val="both"/>
        <w:rPr>
          <w:sz w:val="20"/>
          <w:szCs w:val="20"/>
          <w:lang w:val="en-GB"/>
        </w:rPr>
      </w:pPr>
      <w:r>
        <w:rPr>
          <w:sz w:val="20"/>
          <w:szCs w:val="20"/>
          <w:lang w:val="en-GB"/>
        </w:rPr>
        <w:t>Mean</w:t>
      </w:r>
      <w:r>
        <w:rPr>
          <w:sz w:val="20"/>
          <w:szCs w:val="20"/>
          <w:lang w:val="en-GB"/>
        </w:rPr>
        <w:tab/>
      </w:r>
      <w:r>
        <w:rPr>
          <w:sz w:val="20"/>
          <w:szCs w:val="20"/>
          <w:lang w:val="en-GB"/>
        </w:rPr>
        <w:t>= Rerata</w:t>
      </w:r>
    </w:p>
    <w:p>
      <w:pPr>
        <w:pStyle w:val="11"/>
        <w:snapToGrid w:val="0"/>
        <w:spacing w:line="240" w:lineRule="auto"/>
        <w:ind w:left="0" w:firstLine="567"/>
        <w:jc w:val="both"/>
        <w:rPr>
          <w:sz w:val="20"/>
          <w:szCs w:val="20"/>
          <w:lang w:val="en-GB"/>
        </w:rPr>
      </w:pPr>
      <w:r>
        <w:rPr>
          <w:sz w:val="20"/>
          <w:szCs w:val="20"/>
          <w:lang w:val="en-GB"/>
        </w:rPr>
        <w:t>Min</w:t>
      </w:r>
      <w:r>
        <w:rPr>
          <w:sz w:val="20"/>
          <w:szCs w:val="20"/>
          <w:lang w:val="en-GB"/>
        </w:rPr>
        <w:tab/>
      </w:r>
      <w:r>
        <w:rPr>
          <w:sz w:val="20"/>
          <w:szCs w:val="20"/>
          <w:lang w:val="en-GB"/>
        </w:rPr>
        <w:t>= Skor minimal atau terendah</w:t>
      </w:r>
    </w:p>
    <w:p>
      <w:pPr>
        <w:pStyle w:val="11"/>
        <w:snapToGrid w:val="0"/>
        <w:spacing w:line="240" w:lineRule="auto"/>
        <w:ind w:left="0" w:firstLine="567"/>
        <w:jc w:val="both"/>
        <w:rPr>
          <w:sz w:val="20"/>
          <w:szCs w:val="20"/>
          <w:lang w:val="en-GB"/>
        </w:rPr>
      </w:pPr>
      <w:r>
        <w:rPr>
          <w:sz w:val="20"/>
          <w:szCs w:val="20"/>
          <w:lang w:val="en-GB"/>
        </w:rPr>
        <w:t>Max</w:t>
      </w:r>
      <w:r>
        <w:rPr>
          <w:sz w:val="20"/>
          <w:szCs w:val="20"/>
          <w:lang w:val="en-GB"/>
        </w:rPr>
        <w:tab/>
      </w:r>
      <w:r>
        <w:rPr>
          <w:sz w:val="20"/>
          <w:szCs w:val="20"/>
          <w:lang w:val="en-GB"/>
        </w:rPr>
        <w:t>= Skor maksimal atau tertinggi</w:t>
      </w:r>
    </w:p>
    <w:p>
      <w:pPr>
        <w:pBdr>
          <w:top w:val="none" w:color="auto" w:sz="0" w:space="0"/>
          <w:left w:val="none" w:color="auto" w:sz="0" w:space="0"/>
          <w:bottom w:val="none" w:color="auto" w:sz="0" w:space="0"/>
          <w:right w:val="none" w:color="auto" w:sz="0" w:space="0"/>
          <w:between w:val="none" w:color="auto" w:sz="0" w:space="0"/>
        </w:pBdr>
        <w:tabs>
          <w:tab w:val="left" w:pos="820"/>
        </w:tabs>
        <w:snapToGrid w:val="0"/>
        <w:spacing w:before="1" w:line="240" w:lineRule="auto"/>
        <w:ind w:left="0" w:leftChars="0" w:right="264" w:firstLine="0" w:firstLineChars="0"/>
      </w:pPr>
      <w:r>
        <w:rPr>
          <w:sz w:val="20"/>
          <w:szCs w:val="20"/>
          <w:lang w:val="id-ID"/>
        </w:rPr>
        <w:t xml:space="preserve">            </w:t>
      </w:r>
      <w:r>
        <w:rPr>
          <w:sz w:val="20"/>
          <w:szCs w:val="20"/>
          <w:lang w:val="en-GB"/>
        </w:rPr>
        <w:t>SD</w:t>
      </w:r>
      <w:r>
        <w:rPr>
          <w:sz w:val="20"/>
          <w:szCs w:val="20"/>
          <w:lang w:val="en-GB"/>
        </w:rPr>
        <w:tab/>
      </w:r>
      <w:r>
        <w:rPr>
          <w:sz w:val="20"/>
          <w:szCs w:val="20"/>
          <w:lang w:val="id-ID"/>
        </w:rPr>
        <w:tab/>
      </w:r>
      <w:r>
        <w:rPr>
          <w:sz w:val="20"/>
          <w:szCs w:val="20"/>
          <w:lang w:val="en-GB"/>
        </w:rPr>
        <w:t>= Standar Devias</w:t>
      </w:r>
      <w:r>
        <w:rPr>
          <w:sz w:val="20"/>
          <w:szCs w:val="20"/>
        </w:rPr>
        <w:t>i</w:t>
      </w:r>
    </w:p>
    <w:p>
      <w:pPr>
        <w:pBdr>
          <w:top w:val="none" w:color="auto" w:sz="0" w:space="0"/>
          <w:left w:val="none" w:color="auto" w:sz="0" w:space="0"/>
          <w:bottom w:val="none" w:color="auto" w:sz="0" w:space="0"/>
          <w:right w:val="none" w:color="auto" w:sz="0" w:space="0"/>
          <w:between w:val="none" w:color="auto" w:sz="0" w:space="0"/>
        </w:pBdr>
        <w:tabs>
          <w:tab w:val="left" w:pos="820"/>
        </w:tabs>
        <w:spacing w:before="1" w:line="360" w:lineRule="auto"/>
        <w:ind w:right="264"/>
        <w:rPr>
          <w:rFonts w:ascii="Times New Roman" w:hAnsi="Times New Roman" w:cs="Times New Roman"/>
          <w:b/>
        </w:rPr>
      </w:pPr>
      <w:r>
        <w:rPr>
          <w:rFonts w:ascii="Times New Roman" w:hAnsi="Times New Roman" w:cs="Times New Roman"/>
          <w:b/>
        </w:rPr>
        <w:t xml:space="preserve">KESIMPULAN </w:t>
      </w:r>
    </w:p>
    <w:p>
      <w:pPr>
        <w:spacing w:after="100" w:afterAutospacing="1" w:line="360" w:lineRule="auto"/>
        <w:ind w:firstLine="567"/>
        <w:jc w:val="both"/>
        <w:rPr>
          <w:rFonts w:ascii="Times New Roman" w:hAnsi="Times New Roman" w:cs="Times New Roman" w:eastAsiaTheme="minorEastAsia"/>
          <w:lang w:val="en-GB"/>
        </w:rPr>
      </w:pPr>
      <w:r>
        <w:rPr>
          <w:rFonts w:ascii="Times New Roman" w:hAnsi="Times New Roman" w:cs="Times New Roman" w:eastAsiaTheme="minorEastAsia"/>
          <w:lang w:val="en-GB"/>
        </w:rPr>
        <w:t xml:space="preserve">Berdasarkan hasil penelitian dan pembahasan yang telah dilakukan, maka dapat disimpulkan bahwa ada hubungan yang negatif antara </w:t>
      </w:r>
      <w:r>
        <w:rPr>
          <w:rFonts w:ascii="Times New Roman" w:hAnsi="Times New Roman" w:cs="Times New Roman" w:eastAsiaTheme="minorEastAsia"/>
          <w:lang w:val="id-ID"/>
        </w:rPr>
        <w:t>a</w:t>
      </w:r>
      <w:r>
        <w:rPr>
          <w:rFonts w:ascii="Times New Roman" w:hAnsi="Times New Roman" w:cs="Times New Roman" w:eastAsiaTheme="minorEastAsia"/>
          <w:lang w:val="en-GB"/>
        </w:rPr>
        <w:t xml:space="preserve">diksi internet  dengan </w:t>
      </w:r>
      <w:r>
        <w:rPr>
          <w:rFonts w:ascii="Times New Roman" w:hAnsi="Times New Roman" w:cs="Times New Roman" w:eastAsiaTheme="minorEastAsia"/>
          <w:i/>
          <w:iCs/>
          <w:lang w:val="en-GB"/>
        </w:rPr>
        <w:t>trait openness</w:t>
      </w:r>
      <w:r>
        <w:rPr>
          <w:rFonts w:ascii="Times New Roman" w:hAnsi="Times New Roman" w:cs="Times New Roman" w:eastAsiaTheme="minorEastAsia"/>
          <w:i/>
          <w:iCs/>
          <w:lang w:val="id-ID"/>
        </w:rPr>
        <w:t xml:space="preserve"> to experience </w:t>
      </w:r>
      <w:r>
        <w:rPr>
          <w:rFonts w:ascii="Times New Roman" w:hAnsi="Times New Roman" w:cs="Times New Roman" w:eastAsiaTheme="minorEastAsia"/>
          <w:lang w:val="en-GB"/>
        </w:rPr>
        <w:t>pada Mahasiswa Tingkat Akhir Universitas Mercu Buana Yogyakarta. Koefisien korelasi antara trait openness to experience dengan adiksi internet pada Mahasiswa Tingkat Akhir Universitas Mercu Buana Yogyakarta sebesar (rxy= 0,165</w:t>
      </w:r>
      <w:r>
        <w:rPr>
          <w:rFonts w:ascii="Times New Roman" w:hAnsi="Times New Roman" w:cs="Times New Roman" w:eastAsiaTheme="minorEastAsia"/>
          <w:lang w:val="id-ID"/>
        </w:rPr>
        <w:t>)</w:t>
      </w:r>
      <w:r>
        <w:rPr>
          <w:rFonts w:ascii="Times New Roman" w:hAnsi="Times New Roman" w:cs="Times New Roman" w:eastAsiaTheme="minorEastAsia"/>
          <w:lang w:val="en-GB"/>
        </w:rPr>
        <w:t xml:space="preserve"> dengan taraf signifikansi p = 0,003 (p&lt;0,050). Hubungan negatif memiliki arti bahwa jika adiksi internet mengarah ke trait openness to experience maka semakin tinggi adiksi internet, sebaliknya semakin rendah adiksi internet maka semakin tingi trait openness to experience. Variabel adiksi internet memberikan sumbangan efektif (R^2) sebesar 2,7%  sedangkan 97,3% dipengaruhi oleh faktor-faktor lain yang tidak diteliti oleh peneliti.</w:t>
      </w:r>
    </w:p>
    <w:p>
      <w:pPr>
        <w:pBdr>
          <w:top w:val="none" w:color="auto" w:sz="0" w:space="0"/>
          <w:left w:val="none" w:color="auto" w:sz="0" w:space="0"/>
          <w:bottom w:val="none" w:color="auto" w:sz="0" w:space="0"/>
          <w:right w:val="none" w:color="auto" w:sz="0" w:space="0"/>
          <w:between w:val="none" w:color="auto" w:sz="0" w:space="0"/>
        </w:pBdr>
        <w:tabs>
          <w:tab w:val="left" w:pos="820"/>
        </w:tabs>
        <w:spacing w:before="1" w:line="360" w:lineRule="auto"/>
        <w:ind w:right="264"/>
        <w:rPr>
          <w:rFonts w:ascii="Times New Roman" w:hAnsi="Times New Roman" w:cs="Times New Roman"/>
          <w:b/>
        </w:rPr>
      </w:pPr>
      <w:r>
        <w:rPr>
          <w:rFonts w:ascii="Times New Roman" w:hAnsi="Times New Roman" w:cs="Times New Roman"/>
          <w:b/>
        </w:rPr>
        <w:t xml:space="preserve">DAFTAR PUSTAKA </w:t>
      </w:r>
    </w:p>
    <w:p>
      <w:pPr>
        <w:widowControl w:val="0"/>
        <w:shd w:val="clear" w:color="auto" w:fill="FFFFFF" w:themeFill="background1"/>
        <w:autoSpaceDE w:val="0"/>
        <w:autoSpaceDN w:val="0"/>
        <w:adjustRightInd w:val="0"/>
        <w:spacing w:line="240" w:lineRule="auto"/>
        <w:ind w:left="480" w:hanging="480"/>
        <w:jc w:val="both"/>
      </w:pPr>
      <w:r>
        <w:t xml:space="preserve">Amalia, K. N., Ferry, D., &amp; Sastria, E. (2022). Hubungan Perilaku Adiksi Internet Terhadap Minat Mahasiswa Dalam Membaca Referensi Ilmiah Biologi di Jurusan Tadris Biologi IAIN Kerinci. </w:t>
      </w:r>
      <w:r>
        <w:rPr>
          <w:i/>
          <w:iCs/>
        </w:rPr>
        <w:t>Jurnal Pendidikan Dan Konseling</w:t>
      </w:r>
      <w:r>
        <w:t xml:space="preserve">, </w:t>
      </w:r>
      <w:r>
        <w:rPr>
          <w:i/>
          <w:iCs/>
        </w:rPr>
        <w:t>4</w:t>
      </w:r>
      <w:r>
        <w:t>(4), 6231–6237.</w:t>
      </w:r>
    </w:p>
    <w:p>
      <w:pPr>
        <w:widowControl w:val="0"/>
        <w:shd w:val="clear" w:color="auto" w:fill="FFFFFF" w:themeFill="background1"/>
        <w:autoSpaceDE w:val="0"/>
        <w:autoSpaceDN w:val="0"/>
        <w:adjustRightInd w:val="0"/>
        <w:spacing w:line="240" w:lineRule="auto"/>
        <w:ind w:left="480" w:hanging="480"/>
        <w:jc w:val="both"/>
      </w:pPr>
      <w:r>
        <w:t xml:space="preserve">Chastanti, I. (2020). Analisis Adiksi Internet Terhadap Kemampuan Interpersonal Siswa Sma Di Kabupaten Labuhan Batu Utara. </w:t>
      </w:r>
      <w:r>
        <w:rPr>
          <w:i/>
          <w:iCs/>
        </w:rPr>
        <w:t>Sosial Horizon: Jurnal Pendidikan Sosial</w:t>
      </w:r>
      <w:r>
        <w:t xml:space="preserve">, </w:t>
      </w:r>
      <w:r>
        <w:rPr>
          <w:i/>
          <w:iCs/>
        </w:rPr>
        <w:t>7</w:t>
      </w:r>
      <w:r>
        <w:t>(1), 29–36. https://doi.org/10.31571/sosial.v7i1.1618.</w:t>
      </w:r>
    </w:p>
    <w:p>
      <w:pPr>
        <w:widowControl w:val="0"/>
        <w:shd w:val="clear" w:color="auto" w:fill="FFFFFF" w:themeFill="background1"/>
        <w:autoSpaceDE w:val="0"/>
        <w:autoSpaceDN w:val="0"/>
        <w:adjustRightInd w:val="0"/>
        <w:spacing w:line="240" w:lineRule="auto"/>
        <w:ind w:left="480" w:hanging="480"/>
        <w:jc w:val="both"/>
      </w:pPr>
      <w:r>
        <w:t xml:space="preserve">Christensen, A. P., Cotter, K. N., &amp; Silvia, P. J. (2019). Reopening Openness to Experience: A Network Analysis of Four Openness to Experience Inventories. </w:t>
      </w:r>
      <w:r>
        <w:rPr>
          <w:i/>
          <w:iCs/>
        </w:rPr>
        <w:t>Journal of Personality Assessment</w:t>
      </w:r>
      <w:r>
        <w:t xml:space="preserve">, </w:t>
      </w:r>
      <w:r>
        <w:rPr>
          <w:i/>
          <w:iCs/>
        </w:rPr>
        <w:t>101</w:t>
      </w:r>
      <w:r>
        <w:t>(6), 574–588. https://doi.org/10.1080/00223891.2018.1467428.</w:t>
      </w:r>
    </w:p>
    <w:p>
      <w:pPr>
        <w:ind w:firstLine="426"/>
        <w:jc w:val="center"/>
        <w:rPr>
          <w:rFonts w:ascii="Times New Roman" w:hAnsi="Times New Roman" w:cs="Times New Roman"/>
          <w:sz w:val="20"/>
          <w:szCs w:val="20"/>
        </w:rPr>
      </w:pPr>
    </w:p>
    <w:sectPr>
      <w:type w:val="continuous"/>
      <w:pgSz w:w="11907" w:h="16839"/>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00000000" w:usb1="00000000" w:usb2="00000029" w:usb3="00000000" w:csb0="000101FF" w:csb1="00000000"/>
  </w:font>
  <w:font w:name="Google Sans">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ulTrailSpace/>
    <w:doNotBreakWrappedTables/>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9"/>
    <w:qFormat/>
    <w:uiPriority w:val="9"/>
    <w:pPr>
      <w:keepNext/>
      <w:keepLines/>
      <w:spacing w:before="240" w:after="0" w:line="240" w:lineRule="auto"/>
      <w:outlineLvl w:val="0"/>
    </w:pPr>
    <w:rPr>
      <w:rFonts w:asciiTheme="majorHAnsi" w:hAnsiTheme="majorHAnsi" w:eastAsiaTheme="majorEastAsia" w:cstheme="majorBidi"/>
      <w:color w:val="2E75B6" w:themeColor="accent1" w:themeShade="BF"/>
      <w:sz w:val="32"/>
      <w:szCs w:val="32"/>
      <w:lang w:val="zh-CN"/>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513"/>
        <w:tab w:val="right" w:pos="9026"/>
      </w:tabs>
      <w:spacing w:after="0" w:line="240" w:lineRule="auto"/>
    </w:pPr>
    <w:rPr>
      <w:rFonts w:ascii="Times New Roman" w:hAnsi="Times New Roman" w:eastAsia="Times New Roman" w:cs="Times New Roman"/>
      <w:sz w:val="24"/>
      <w:szCs w:val="24"/>
      <w:lang w:val="zh-CN"/>
    </w:rPr>
  </w:style>
  <w:style w:type="paragraph" w:styleId="4">
    <w:name w:val="header"/>
    <w:basedOn w:val="1"/>
    <w:link w:val="13"/>
    <w:unhideWhenUsed/>
    <w:uiPriority w:val="99"/>
    <w:pPr>
      <w:tabs>
        <w:tab w:val="center" w:pos="4513"/>
        <w:tab w:val="right" w:pos="9026"/>
      </w:tabs>
      <w:spacing w:after="0" w:line="240" w:lineRule="auto"/>
    </w:pPr>
  </w:style>
  <w:style w:type="character" w:styleId="6">
    <w:name w:val="Hyperlink"/>
    <w:basedOn w:val="5"/>
    <w:unhideWhenUsed/>
    <w:uiPriority w:val="99"/>
    <w:rPr>
      <w:color w:val="0563C1" w:themeColor="hyperlink"/>
      <w:u w:val="single"/>
      <w14:textFill>
        <w14:solidFill>
          <w14:schemeClr w14:val="hlink"/>
        </w14:solidFill>
      </w14:textFill>
    </w:rPr>
  </w:style>
  <w:style w:type="table" w:styleId="8">
    <w:name w:val="Table Grid"/>
    <w:basedOn w:val="7"/>
    <w:uiPriority w:val="39"/>
    <w:pPr>
      <w:spacing w:after="0" w:line="240" w:lineRule="auto"/>
    </w:pPr>
    <w:rPr>
      <w:sz w:val="24"/>
      <w:szCs w:val="24"/>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ing 1 Char"/>
    <w:basedOn w:val="5"/>
    <w:link w:val="2"/>
    <w:uiPriority w:val="9"/>
    <w:rPr>
      <w:rFonts w:asciiTheme="majorHAnsi" w:hAnsiTheme="majorHAnsi" w:eastAsiaTheme="majorEastAsia" w:cstheme="majorBidi"/>
      <w:color w:val="2E75B6" w:themeColor="accent1" w:themeShade="BF"/>
      <w:sz w:val="32"/>
      <w:szCs w:val="32"/>
      <w:lang w:val="zh-CN"/>
    </w:rPr>
  </w:style>
  <w:style w:type="character" w:customStyle="1" w:styleId="10">
    <w:name w:val="Footer Char"/>
    <w:basedOn w:val="5"/>
    <w:link w:val="3"/>
    <w:uiPriority w:val="99"/>
    <w:rPr>
      <w:rFonts w:ascii="Times New Roman" w:hAnsi="Times New Roman" w:eastAsia="Times New Roman" w:cs="Times New Roman"/>
      <w:sz w:val="24"/>
      <w:szCs w:val="24"/>
      <w:lang w:val="zh-CN"/>
    </w:rPr>
  </w:style>
  <w:style w:type="paragraph" w:customStyle="1" w:styleId="11">
    <w:name w:val="List Paragraph"/>
    <w:basedOn w:val="1"/>
    <w:link w:val="12"/>
    <w:qFormat/>
    <w:uiPriority w:val="34"/>
    <w:pPr>
      <w:widowControl w:val="0"/>
      <w:spacing w:after="0" w:line="240" w:lineRule="auto"/>
      <w:ind w:left="720"/>
      <w:contextualSpacing/>
    </w:pPr>
    <w:rPr>
      <w:rFonts w:ascii="Times New Roman" w:hAnsi="Times New Roman" w:eastAsia="Times New Roman" w:cs="Times New Roman"/>
      <w:lang w:val="id"/>
    </w:rPr>
  </w:style>
  <w:style w:type="character" w:customStyle="1" w:styleId="12">
    <w:name w:val="List Paragraph Char"/>
    <w:basedOn w:val="5"/>
    <w:link w:val="11"/>
    <w:qFormat/>
    <w:uiPriority w:val="34"/>
    <w:rPr>
      <w:rFonts w:ascii="Times New Roman" w:hAnsi="Times New Roman" w:eastAsia="Times New Roman" w:cs="Times New Roman"/>
      <w:lang w:val="id"/>
    </w:rPr>
  </w:style>
  <w:style w:type="character" w:customStyle="1" w:styleId="13">
    <w:name w:val="Header Char"/>
    <w:basedOn w:val="5"/>
    <w:link w:val="4"/>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2067</Words>
  <Characters>11782</Characters>
  <Lines>98</Lines>
  <Paragraphs>27</Paragraphs>
  <ScaleCrop>false</ScaleCrop>
  <LinksUpToDate>false</LinksUpToDate>
  <CharactersWithSpaces>13822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2023-10-30T02:16:00Z</dcterms:created>
  <dc:creator>Windows User</dc:creator>
  <cp:lastModifiedBy>iPad</cp:lastModifiedBy>
  <dcterms:modified xsi:type="dcterms:W3CDTF">2023-11-20T11:41:52Z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E4C4513889A189856CD85A6520ACC429_32</vt:lpwstr>
  </property>
  <property fmtid="{D5CDD505-2E9C-101B-9397-08002B2CF9AE}" pid="3" name="KSOProductBuildVer">
    <vt:lpwstr>3081-11.33.60</vt:lpwstr>
  </property>
</Properties>
</file>