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30"/>
          <w:lang w:val="id-ID"/>
        </w:rPr>
      </w:pPr>
      <w:r>
        <w:rPr>
          <w:rFonts w:ascii="Times New Roman" w:hAnsi="Times New Roman" w:cs="Times New Roman"/>
          <w:sz w:val="28"/>
          <w:szCs w:val="30"/>
        </w:rPr>
        <w:t>HUBUNGAN ANTARA PERSEPSI TENTANG LINGKUNGAN BELAJAR DENGAN MINAT BELAJAR PADA SISWA DI SMA X</w:t>
      </w:r>
    </w:p>
    <w:p>
      <w:pPr>
        <w:jc w:val="center"/>
        <w:rPr>
          <w:rFonts w:ascii="Times New Roman" w:hAnsi="Times New Roman" w:cs="Times New Roman"/>
          <w:i/>
          <w:sz w:val="28"/>
          <w:szCs w:val="30"/>
        </w:rPr>
      </w:pPr>
      <w:r>
        <w:rPr>
          <w:rFonts w:ascii="Times New Roman" w:hAnsi="Times New Roman" w:cs="Times New Roman"/>
          <w:i/>
          <w:sz w:val="28"/>
          <w:szCs w:val="30"/>
        </w:rPr>
        <w:t xml:space="preserve">THE RELATIONSHIP BETWEEN PERCEPTIONS ABOUT THE LEARNING ENVIRONMENT AND LEARNING INTEREST IN STUDENTS AT X SENIOR HIGH SCHOOL </w:t>
      </w:r>
    </w:p>
    <w:p>
      <w:pPr>
        <w:jc w:val="center"/>
        <w:rPr>
          <w:rFonts w:ascii="Times New Roman" w:hAnsi="Times New Roman" w:cs="Times New Roman"/>
          <w:sz w:val="28"/>
          <w:szCs w:val="30"/>
          <w:vertAlign w:val="superscript"/>
        </w:rPr>
      </w:pPr>
      <w:r>
        <w:rPr>
          <w:rFonts w:ascii="Times New Roman" w:hAnsi="Times New Roman" w:cs="Times New Roman"/>
          <w:sz w:val="28"/>
          <w:szCs w:val="30"/>
        </w:rPr>
        <w:t>Gabriela Natalia Watung</w:t>
      </w:r>
      <w:r>
        <w:rPr>
          <w:rFonts w:ascii="Times New Roman" w:hAnsi="Times New Roman" w:cs="Times New Roman"/>
          <w:sz w:val="28"/>
          <w:szCs w:val="30"/>
          <w:vertAlign w:val="superscript"/>
        </w:rPr>
        <w:t>1</w:t>
      </w:r>
      <w:r>
        <w:rPr>
          <w:rFonts w:ascii="Times New Roman" w:hAnsi="Times New Roman" w:cs="Times New Roman"/>
          <w:sz w:val="28"/>
          <w:szCs w:val="30"/>
        </w:rPr>
        <w:t>, Nikmah Sofia Afiati S.Psi., M.Psi., Psikolog</w:t>
      </w:r>
      <w:r>
        <w:rPr>
          <w:rFonts w:ascii="Times New Roman" w:hAnsi="Times New Roman" w:cs="Times New Roman"/>
          <w:sz w:val="28"/>
          <w:szCs w:val="30"/>
          <w:vertAlign w:val="superscript"/>
        </w:rPr>
        <w:t>2</w:t>
      </w:r>
    </w:p>
    <w:p>
      <w:pPr>
        <w:jc w:val="center"/>
        <w:rPr>
          <w:rFonts w:ascii="Times New Roman" w:hAnsi="Times New Roman" w:cs="Times New Roman"/>
          <w:sz w:val="28"/>
          <w:szCs w:val="30"/>
        </w:rPr>
      </w:pPr>
      <w:r>
        <w:rPr>
          <w:rFonts w:ascii="Times New Roman" w:hAnsi="Times New Roman" w:cs="Times New Roman"/>
          <w:sz w:val="28"/>
          <w:szCs w:val="30"/>
        </w:rPr>
        <w:t>Universitas Mercu Buana Yogyakarta</w:t>
      </w:r>
    </w:p>
    <w:p>
      <w:pPr>
        <w:jc w:val="center"/>
        <w:rPr>
          <w:rFonts w:ascii="Times New Roman" w:hAnsi="Times New Roman" w:cs="Times New Roman"/>
          <w:sz w:val="28"/>
          <w:szCs w:val="30"/>
        </w:rPr>
      </w:pPr>
      <w:r>
        <w:fldChar w:fldCharType="begin"/>
      </w:r>
      <w:r>
        <w:instrText xml:space="preserve"> HYPERLINK "mailto:18081918@student.mercubuana-yogya.ac.id" </w:instrText>
      </w:r>
      <w:r>
        <w:fldChar w:fldCharType="separate"/>
      </w:r>
      <w:r>
        <w:rPr>
          <w:rStyle w:val="8"/>
          <w:rFonts w:ascii="Times New Roman" w:hAnsi="Times New Roman" w:cs="Times New Roman"/>
          <w:sz w:val="28"/>
          <w:szCs w:val="30"/>
        </w:rPr>
        <w:t>18081918@student.mercubuana-yogya.ac.id</w:t>
      </w:r>
      <w:r>
        <w:rPr>
          <w:rStyle w:val="8"/>
          <w:rFonts w:ascii="Times New Roman" w:hAnsi="Times New Roman" w:cs="Times New Roman"/>
          <w:sz w:val="28"/>
          <w:szCs w:val="30"/>
        </w:rPr>
        <w:fldChar w:fldCharType="end"/>
      </w:r>
    </w:p>
    <w:p>
      <w:pPr>
        <w:jc w:val="center"/>
        <w:rPr>
          <w:rFonts w:ascii="Times New Roman" w:hAnsi="Times New Roman" w:cs="Times New Roman"/>
          <w:sz w:val="28"/>
          <w:szCs w:val="30"/>
        </w:rPr>
      </w:pPr>
      <w:r>
        <w:rPr>
          <w:rFonts w:ascii="Times New Roman" w:hAnsi="Times New Roman" w:cs="Times New Roman"/>
          <w:sz w:val="28"/>
          <w:szCs w:val="30"/>
        </w:rPr>
        <w:t>082359552048</w:t>
      </w:r>
    </w:p>
    <w:p>
      <w:pPr>
        <w:jc w:val="center"/>
        <w:rPr>
          <w:rFonts w:ascii="Times New Roman" w:hAnsi="Times New Roman" w:cs="Times New Roman"/>
          <w:sz w:val="30"/>
          <w:szCs w:val="30"/>
        </w:rPr>
      </w:pPr>
      <w:r>
        <w:rPr>
          <w:rFonts w:ascii="Times New Roman" w:hAnsi="Times New Roman" w:cs="Times New Roman"/>
          <w:b/>
          <w:sz w:val="30"/>
          <w:szCs w:val="30"/>
        </w:rPr>
        <w:t>Abstrak</w:t>
      </w:r>
    </w:p>
    <w:p>
      <w:pPr>
        <w:jc w:val="both"/>
        <w:rPr>
          <w:rFonts w:ascii="Times New Roman" w:hAnsi="Times New Roman" w:cs="Times New Roman"/>
          <w:sz w:val="24"/>
          <w:szCs w:val="24"/>
        </w:rPr>
      </w:pPr>
      <w:r>
        <w:rPr>
          <w:rFonts w:ascii="Times New Roman" w:hAnsi="Times New Roman" w:cs="Times New Roman"/>
          <w:sz w:val="24"/>
          <w:szCs w:val="24"/>
          <w:lang w:val="id-ID"/>
        </w:rPr>
        <w:t>Siswa SMA merupakan pelajar yang menduduki masa pendidikan formal sebe</w:t>
      </w:r>
      <w:r>
        <w:rPr>
          <w:rFonts w:ascii="Times New Roman" w:hAnsi="Times New Roman" w:cs="Times New Roman"/>
          <w:sz w:val="24"/>
          <w:szCs w:val="24"/>
        </w:rPr>
        <w:t>L</w:t>
      </w:r>
      <w:r>
        <w:rPr>
          <w:rFonts w:ascii="Times New Roman" w:hAnsi="Times New Roman" w:cs="Times New Roman"/>
          <w:sz w:val="24"/>
          <w:szCs w:val="24"/>
          <w:lang w:val="id-ID"/>
        </w:rPr>
        <w:t>um memasuki bangku perkuliahan</w:t>
      </w:r>
      <w:r>
        <w:rPr>
          <w:rFonts w:ascii="Times New Roman" w:hAnsi="Times New Roman" w:cs="Times New Roman"/>
          <w:sz w:val="24"/>
          <w:szCs w:val="24"/>
        </w:rPr>
        <w:t xml:space="preserve">. </w:t>
      </w:r>
      <w:r>
        <w:rPr>
          <w:rFonts w:ascii="Times New Roman" w:hAnsi="Times New Roman" w:cs="Times New Roman"/>
          <w:sz w:val="24"/>
          <w:szCs w:val="24"/>
          <w:lang w:val="id-ID"/>
        </w:rPr>
        <w:t>Dala</w:t>
      </w:r>
      <w:r>
        <w:rPr>
          <w:rFonts w:ascii="Times New Roman" w:hAnsi="Times New Roman" w:cs="Times New Roman"/>
          <w:sz w:val="24"/>
          <w:szCs w:val="24"/>
        </w:rPr>
        <w:t>m k</w:t>
      </w:r>
      <w:r>
        <w:rPr>
          <w:rFonts w:ascii="Times New Roman" w:hAnsi="Times New Roman" w:cs="Times New Roman"/>
          <w:sz w:val="24"/>
          <w:szCs w:val="24"/>
          <w:lang w:val="id-ID"/>
        </w:rPr>
        <w:t>egiatan pembelajaran, sekolah menjadi tempat penunjang dengan sasaran pembelajaran di dalam kelas</w:t>
      </w:r>
      <w:r>
        <w:rPr>
          <w:rFonts w:ascii="Times New Roman" w:hAnsi="Times New Roman" w:cs="Times New Roman"/>
          <w:sz w:val="24"/>
          <w:szCs w:val="24"/>
        </w:rPr>
        <w:t xml:space="preserve">, </w:t>
      </w:r>
      <w:r>
        <w:rPr>
          <w:rFonts w:ascii="Times New Roman" w:hAnsi="Times New Roman" w:cs="Times New Roman"/>
          <w:sz w:val="24"/>
          <w:szCs w:val="24"/>
          <w:lang w:val="id-ID"/>
        </w:rPr>
        <w:t>pada saat kegiatan pembelajaran tidak setiap siswa dapat mengikuti pembelajaran dengan baik seperti siswa tidak memperhatikan guru karena memperhatikan lawan jenisnya, tidak tertarik dengan materi yang diberikan atau malas belajar, tidak berkeinginan untuk belajar dan sebagainya</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Mi</w:t>
      </w:r>
      <w:r>
        <w:rPr>
          <w:rFonts w:ascii="Times New Roman" w:hAnsi="Times New Roman" w:cs="Times New Roman"/>
          <w:sz w:val="24"/>
          <w:szCs w:val="24"/>
          <w:lang w:val="id-ID"/>
        </w:rPr>
        <w:t>nat belajar berhubungan dengan aspek</w:t>
      </w:r>
      <w:r>
        <w:rPr>
          <w:rFonts w:ascii="Times New Roman" w:hAnsi="Times New Roman" w:cs="Times New Roman"/>
          <w:sz w:val="24"/>
          <w:szCs w:val="24"/>
        </w:rPr>
        <w:t>-aspek</w:t>
      </w:r>
      <w:r>
        <w:rPr>
          <w:rFonts w:ascii="Times New Roman" w:hAnsi="Times New Roman" w:cs="Times New Roman"/>
          <w:sz w:val="24"/>
          <w:szCs w:val="24"/>
          <w:lang w:val="id-ID"/>
        </w:rPr>
        <w:t xml:space="preserve"> </w:t>
      </w:r>
      <w:r>
        <w:rPr>
          <w:rFonts w:ascii="Times New Roman" w:hAnsi="Times New Roman" w:cs="Times New Roman"/>
          <w:sz w:val="24"/>
          <w:szCs w:val="24"/>
        </w:rPr>
        <w:t>yang</w:t>
      </w:r>
      <w:r>
        <w:rPr>
          <w:rFonts w:ascii="Times New Roman" w:hAnsi="Times New Roman" w:cs="Times New Roman"/>
          <w:sz w:val="24"/>
          <w:szCs w:val="24"/>
          <w:lang w:val="id-ID"/>
        </w:rPr>
        <w:t xml:space="preserve"> dapat diukur melalui indikator rasa suka atau ketertarikan terhadap hal yang dipelajari, keinginan siswa untuk belajar, perhatian terhadap pembelajaran, keterlibatan siswa atau partisipasi siswa dalam belajar</w:t>
      </w:r>
      <w:r>
        <w:rPr>
          <w:rFonts w:ascii="Times New Roman" w:hAnsi="Times New Roman" w:cs="Times New Roman"/>
          <w:iCs/>
          <w:sz w:val="24"/>
          <w:szCs w:val="24"/>
        </w:rPr>
        <w:t>.</w:t>
      </w:r>
      <w:r>
        <w:rPr>
          <w:rFonts w:ascii="Times New Roman" w:hAnsi="Times New Roman" w:cs="Times New Roman"/>
          <w:bCs/>
          <w:sz w:val="24"/>
          <w:szCs w:val="24"/>
          <w:lang w:val="id-ID"/>
        </w:rPr>
        <w:t xml:space="preserve"> Salah satu faktor yang mempengaruhi minat belajar yaitu lingkungan belajar. </w:t>
      </w:r>
      <w:r>
        <w:rPr>
          <w:rFonts w:ascii="Times New Roman" w:hAnsi="Times New Roman" w:cs="Times New Roman"/>
          <w:bCs/>
          <w:sz w:val="24"/>
          <w:szCs w:val="24"/>
        </w:rPr>
        <w:t xml:space="preserve">Persepsi siswa terhadap lingkungan belajar merupakan suatu penilaian terhadap lingkungan belajar </w:t>
      </w:r>
      <w:r>
        <w:rPr>
          <w:rFonts w:ascii="Times New Roman" w:hAnsi="Times New Roman" w:cs="Times New Roman"/>
          <w:sz w:val="24"/>
          <w:szCs w:val="24"/>
        </w:rPr>
        <w:t xml:space="preserve">tentang seberapa besar pengaruh yang diberikan lingkungan </w:t>
      </w:r>
      <w:r>
        <w:rPr>
          <w:rFonts w:ascii="Times New Roman" w:hAnsi="Times New Roman" w:cs="Times New Roman"/>
          <w:bCs/>
          <w:sz w:val="24"/>
          <w:szCs w:val="24"/>
        </w:rPr>
        <w:t xml:space="preserve">dalam meningkatkan kualitas siswa untuk mencapai hasil pembelajaran yang optimal dan efektif. Tujuan penelitian ini adalah untuk mengetahui Hubungan Antara Persepsi Tentang Lingkungan Belajar dengan Minat Belajar Pada Siswa di SMA X. </w:t>
      </w:r>
      <w:r>
        <w:rPr>
          <w:rFonts w:ascii="Times New Roman" w:hAnsi="Times New Roman" w:cs="Times New Roman"/>
          <w:sz w:val="24"/>
          <w:szCs w:val="24"/>
          <w:lang w:val="id-ID"/>
        </w:rPr>
        <w:t xml:space="preserve">Hipotesis yang diajukan dalam penelitian ini adalah ada hubungan positif antara </w:t>
      </w:r>
      <w:r>
        <w:rPr>
          <w:rFonts w:ascii="Times New Roman" w:hAnsi="Times New Roman" w:cs="Times New Roman"/>
          <w:sz w:val="24"/>
          <w:szCs w:val="24"/>
        </w:rPr>
        <w:t>persepsi</w:t>
      </w:r>
      <w:r>
        <w:rPr>
          <w:rFonts w:ascii="Times New Roman" w:hAnsi="Times New Roman" w:cs="Times New Roman"/>
          <w:sz w:val="24"/>
          <w:szCs w:val="24"/>
          <w:lang w:val="id-ID"/>
        </w:rPr>
        <w:t xml:space="preserve"> tentang lingkungan belajar dengan minat belajar</w:t>
      </w:r>
      <w:r>
        <w:rPr>
          <w:rFonts w:ascii="Times New Roman" w:hAnsi="Times New Roman" w:cs="Times New Roman"/>
          <w:sz w:val="24"/>
          <w:szCs w:val="24"/>
        </w:rPr>
        <w:t xml:space="preserve"> pada siswa SMA di Kabupaten X. Jumlah subjek dalam penelitian ini sebanyak 159 siswa dan siswi SMA Negeri 1 Nubatukan dengan menggunakan skala persepsi lingkungan belajar dan minat belajar. Data dianalisis menggunakan korelasi </w:t>
      </w:r>
      <w:r>
        <w:rPr>
          <w:rFonts w:ascii="Times New Roman" w:hAnsi="Times New Roman" w:cs="Times New Roman"/>
          <w:i/>
          <w:sz w:val="24"/>
          <w:szCs w:val="24"/>
        </w:rPr>
        <w:t>product moment</w:t>
      </w:r>
      <w:r>
        <w:rPr>
          <w:rFonts w:ascii="Times New Roman" w:hAnsi="Times New Roman" w:cs="Times New Roman"/>
          <w:sz w:val="24"/>
          <w:szCs w:val="24"/>
        </w:rPr>
        <w:t xml:space="preserve"> dengan menggunakan SPSS versi 22.0. Berdasarkan hasil analisis, diperoleh nilai korelasi koefisien (rxy) = 0,958 dengan p = &lt;0,001 (p &lt; 0,050), sehingga hipotesis dalam peneltia ini dapat diterima. Hal ini berarti menunjukkan bahwa terdapat hubungan positif yang signifikan antara persepsi lingkungan belajar dan minat belajar pada siswa SMA X.</w:t>
      </w:r>
    </w:p>
    <w:p>
      <w:pPr>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persepsi lingkungan belajar, minat belajar, siswa SMA.</w:t>
      </w:r>
    </w:p>
    <w:p>
      <w:pPr>
        <w:jc w:val="center"/>
        <w:rPr>
          <w:rFonts w:ascii="Times New Roman" w:hAnsi="Times New Roman" w:cs="Times New Roman"/>
          <w:b/>
          <w:i/>
          <w:sz w:val="24"/>
          <w:szCs w:val="24"/>
        </w:rPr>
      </w:pPr>
    </w:p>
    <w:p>
      <w:pPr>
        <w:jc w:val="center"/>
        <w:rPr>
          <w:rFonts w:ascii="Times New Roman" w:hAnsi="Times New Roman" w:cs="Times New Roman"/>
          <w:b/>
          <w:i/>
          <w:sz w:val="24"/>
          <w:szCs w:val="24"/>
        </w:rPr>
      </w:pPr>
      <w:r>
        <w:rPr>
          <w:rFonts w:ascii="Times New Roman" w:hAnsi="Times New Roman" w:cs="Times New Roman"/>
          <w:b/>
          <w:i/>
          <w:sz w:val="24"/>
          <w:szCs w:val="24"/>
        </w:rPr>
        <w:t>Abstrack</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iCs/>
          <w:color w:val="202124"/>
          <w:sz w:val="24"/>
          <w:szCs w:val="24"/>
          <w:lang w:eastAsia="en-US"/>
        </w:rPr>
      </w:pPr>
      <w:r>
        <w:rPr>
          <w:rFonts w:ascii="Times New Roman" w:hAnsi="Times New Roman" w:eastAsia="Times New Roman" w:cs="Times New Roman"/>
          <w:i/>
          <w:iCs/>
          <w:color w:val="202124"/>
          <w:sz w:val="24"/>
          <w:szCs w:val="24"/>
          <w:lang w:eastAsia="en-US"/>
        </w:rPr>
        <w:t>High school students are students who occupy a period of formal education before entering college. In learning activities, the school is a place of support with learning objectives in the classroom, during learning activities not every student can take part in learning properly such as students not paying attention to the teacher because they pay attention to the opposite sex, are not interested in the material provided or are lazy to learn, do not want to study and so on. Interest in learning relates to aspects that can be measured through indicators of liking or interest in what is being learned, students' desire to learn, attention to learning, student involvement or student participation in learning. One of the factors that influence interest in learning is the learning environment. Students' perception of the learning environment is an assessment of the learning environment about how much influence the environment has in improving the quality of students to achieve optimal and effective learning outcomes. The purpose of this study was to determine the relationship between perceptions about the learning environment and learning interest in students at SMA X. The hypothesis proposed in this study was that there was a positive relationship between perceptions about the learning environment and learning interest in high school students in X district. Number of subjects in the study There were 159 students at SMA Negeri 1 Nubatukan  using the perception scale of the learning environment and learning interest. Data were analyzed using product moment correlation using SPSS version 22.0. Based on the results of the analysis, the value of the correlation coefficient (rxy) = 0.958 with p = &lt;0.001 (p &lt;0.050), so that the hypothesis in this research can be accepted. This means that there is a significant positive relationship between perceptions of the learning environment and learning interest in SMA X students.</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iCs/>
          <w:color w:val="202124"/>
          <w:sz w:val="24"/>
          <w:szCs w:val="24"/>
          <w:lang w:val="en" w:eastAsia="en-US"/>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iCs/>
          <w:color w:val="202124"/>
          <w:sz w:val="24"/>
          <w:szCs w:val="24"/>
          <w:lang w:eastAsia="en-US"/>
        </w:rPr>
      </w:pPr>
      <w:r>
        <w:rPr>
          <w:rFonts w:ascii="Times New Roman" w:hAnsi="Times New Roman" w:eastAsia="Times New Roman" w:cs="Times New Roman"/>
          <w:b/>
          <w:i/>
          <w:iCs/>
          <w:color w:val="202124"/>
          <w:sz w:val="24"/>
          <w:szCs w:val="24"/>
          <w:lang w:val="en" w:eastAsia="en-US"/>
        </w:rPr>
        <w:t>Keywords:</w:t>
      </w:r>
      <w:r>
        <w:rPr>
          <w:rFonts w:ascii="Times New Roman" w:hAnsi="Times New Roman" w:eastAsia="Times New Roman" w:cs="Times New Roman"/>
          <w:i/>
          <w:iCs/>
          <w:color w:val="202124"/>
          <w:sz w:val="24"/>
          <w:szCs w:val="24"/>
          <w:lang w:val="en" w:eastAsia="en-US"/>
        </w:rPr>
        <w:t xml:space="preserve"> perceptions of the learning environment, interest in learning, high school students.</w:t>
      </w:r>
    </w:p>
    <w:p>
      <w:pPr>
        <w:rPr>
          <w:rFonts w:ascii="Times New Roman" w:hAnsi="Times New Roman" w:cs="Times New Roman"/>
          <w:b/>
          <w:sz w:val="30"/>
          <w:szCs w:val="30"/>
        </w:rPr>
      </w:pPr>
    </w:p>
    <w:p>
      <w:pPr>
        <w:rPr>
          <w:rFonts w:ascii="Times New Roman" w:hAnsi="Times New Roman" w:cs="Times New Roman"/>
          <w:b/>
          <w:sz w:val="28"/>
          <w:szCs w:val="28"/>
        </w:rPr>
        <w:sectPr>
          <w:pgSz w:w="12240" w:h="15840"/>
          <w:pgMar w:top="2268" w:right="1701" w:bottom="1701" w:left="2268" w:header="720" w:footer="720" w:gutter="0"/>
          <w:cols w:space="720" w:num="1"/>
          <w:docGrid w:linePitch="360" w:charSpace="0"/>
        </w:sectPr>
      </w:pPr>
    </w:p>
    <w:p>
      <w:pPr>
        <w:rPr>
          <w:rFonts w:ascii="Times New Roman" w:hAnsi="Times New Roman" w:cs="Times New Roman"/>
          <w:b/>
          <w:sz w:val="28"/>
          <w:szCs w:val="28"/>
        </w:rPr>
      </w:pPr>
      <w:r>
        <w:rPr>
          <w:rFonts w:ascii="Times New Roman" w:hAnsi="Times New Roman" w:cs="Times New Roman"/>
          <w:b/>
          <w:sz w:val="28"/>
          <w:szCs w:val="28"/>
        </w:rPr>
        <w:t>PENDAHULUAN</w:t>
      </w:r>
    </w:p>
    <w:p>
      <w:pPr>
        <w:spacing w:after="0" w:line="480" w:lineRule="auto"/>
        <w:ind w:firstLine="416"/>
        <w:jc w:val="both"/>
        <w:rPr>
          <w:rFonts w:ascii="Times New Roman" w:hAnsi="Times New Roman" w:cs="Times New Roman"/>
          <w:sz w:val="24"/>
          <w:szCs w:val="24"/>
          <w:lang w:val="id-ID"/>
        </w:rPr>
      </w:pPr>
      <w:r>
        <w:rPr>
          <w:rFonts w:ascii="Times New Roman" w:hAnsi="Times New Roman" w:cs="Times New Roman"/>
          <w:sz w:val="24"/>
          <w:szCs w:val="24"/>
        </w:rPr>
        <w:t>Su</w:t>
      </w:r>
      <w:r>
        <w:rPr>
          <w:rFonts w:ascii="Times New Roman" w:hAnsi="Times New Roman" w:cs="Times New Roman"/>
          <w:sz w:val="24"/>
          <w:szCs w:val="24"/>
          <w:lang w:val="id-ID"/>
        </w:rPr>
        <w:t>mber Daya Manusia (SDM) yang berkualitas merupakan aset berharga dalam sebuah organisasi, karena dapat mengendalikan,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mengelola, mempertahankan serta melaksanakan proses dalam rangka mencapai tujuan yang telah ditetapkan secara efektif dan efisien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{"citationItems":[{"id":"ITEM-1","itemData":{"ISBN":"9795267671","abstract":"Kurikulum pada dasarnya merupakan suatu perencanaan menyeluruh yang mencakup kegiatan dan pengalaman yang perlu disediakan yang memberikan kesempatan secatra luas bagi siswa untuk belajar. Bidang studi proses belajar mengajar semakin meminta perhatian dikalangan peminat dan ahli ilmu pendidikan dan keguruan.Buku ini membahas secara detail mencakup Konsep pengajaran dan kurikulum; Komponen – komponen pengajaran; Implementasi pengajaran; Strategi pengajaran berpusat pada siswa. Kata Kunci : Pengajaran Inkuiri; Pengajaran; Strategi Pembelajaran","author":[{"dropping-particle":"","family":"Hamalik","given":"Oemar","non-dropping-particle":"","parse-names":false,"suffix":""}],"edition":"5","editor":[{"dropping-particle":"","family":"Hamalik","given":"Oemar","non-dropping-particle":"","parse-names":false,"suffix":""}],"id":"ITEM-1","issued":{"date-parts":[["2006"]]},"number-of-pages":"-","publisher":"Bumi Aksara","publisher-place":"Jakarta","title":"Proses belajar mengajar","type":"book"},"uris":["http://www.mendeley.com/documents/?uuid=6fd73526-0f2a-45a6-8633-05d9c9022b08"]}],"mendeley":{"formattedCitation":"(Hamalik, 2006)","plainTextFormattedCitation":"(Hamalik, 2006)","previouslyFormattedCitation":"(Hamalik, 2006)"},"properties":{"noteIndex":0},"schema":"https://github.com/citation-style-language/schema/raw/master/csl-citation.json"}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(Hamalik, 2006)</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Menurut ketentuan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{"citationItems":[{"id":"ITEM-1","itemData":{"author":[{"dropping-particle":"","family":"Badan Pemeriksa Keuangan","given":"Republik Indonesia","non-dropping-particle":"","parse-names":false,"suffix":""}],"container-title":"Pemerintah pusat","id":"ITEM-1","issued":{"date-parts":[["2003"]]},"page":"20","title":"Undang-undang (UU) tentang sistem pendidikan nasional","type":"webpage"},"uris":["http://www.mendeley.com/documents/?uuid=d9450d78-ead5-4e64-b13a-08f4f36ed885"]}],"mendeley":{"formattedCitation":"(Badan Pemeriksa Keuangan, 2003)","manualFormatting":"Undang-undang RI no. 20 (2003)","plainTextFormattedCitation":"(Badan Pemeriksa Keuangan, 2003)","previouslyFormattedCitation":"(Badan Pemeriksa Keuangan, 2003)"},"properties":{"noteIndex":0},"schema":"https://github.com/citation-style-language/schema/raw/master/csl-citation.json"}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Undang-undang RI no. 20 (2003)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tentang sistem pendidikan nasional peserta didik adalah anggota masyarakat yang berusaha mengembangkan potensi diri melalui proses pembelajaran yang tersedia pada jalur, jenjang dan jenis pendidikan tertentu. Peserta didik adalah orang yang mempunyai pilihan untuk menempuh ilmu sesuai dengan cita-cita dan harapan masa depan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{"citationItems":[{"id":"ITEM-1","itemData":{"author":[{"dropping-particle":"","family":"Badan Pemeriksa Keuangan","given":"Republik Indonesia","non-dropping-particle":"","parse-names":false,"suffix":""}],"container-title":"Pemerintah pusat","id":"ITEM-1","issued":{"date-parts":[["2003"]]},"page":"20","title":"Undang-undang (UU) tentang sistem pendidikan nasional","type":"webpage"},"uris":["http://www.mendeley.com/documents/?uuid=d9450d78-ead5-4e64-b13a-08f4f36ed885"]}],"mendeley":{"formattedCitation":"(Badan Pemeriksa Keuangan, 2003)","plainTextFormattedCitation":"(Badan Pemeriksa Keuangan, 2003)","previouslyFormattedCitation":"(Badan Pemeriksa Keuangan, 2003)"},"properties":{"noteIndex":0},"schema":"https://github.com/citation-style-language/schema/raw/master/csl-citation.json"}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(Badan Pemeriksa Keuangan, 2003)</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Salah satu jenjang pendidikan formal yaitu pendidikan menengah berbasis Sekolah Menengah Atas (SMA). Pendidikan Sekolah Menengah Atas (SMA) merupakan sebuah wadah atau fasilitas yang disediakan oleh suatu lembaga untuk menunjang perkembangan dan pertumbuhan secara menyeluruh melalui proses kegiatan belajar. Proses kegiatan belajar melibatkan subjek-subjek penting salah satu diantaranya yaitu subjek penerima sebagai siswa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{"citationItems":[{"id":"ITEM-1","itemData":{"author":[{"dropping-particle":"","family":"Suswoyo","given":"Dwi","non-dropping-particle":"","parse-names":false,"suffix":""}],"id":"ITEM-1","issued":{"date-parts":[["2011"]]},"number-of-pages":"148","publisher":"UNY Press","publisher-place":"Yogyakarta","title":"Ilmu Pendidikan","type":"book"},"uris":["http://www.mendeley.com/documents/?uuid=117427f7-3060-4319-ad30-005f9eaa4a7c"]}],"mendeley":{"formattedCitation":"(Suswoyo, 2011)","plainTextFormattedCitation":"(Suswoyo, 2011)","previouslyFormattedCitation":"(Suswoyo, 2011)"},"properties":{"noteIndex":0},"schema":"https://github.com/citation-style-language/schema/raw/master/csl-citation.json"}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(Suswoyo, 2011)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pPr>
        <w:spacing w:after="0" w:line="480" w:lineRule="auto"/>
        <w:ind w:firstLine="416"/>
        <w:jc w:val="both"/>
        <w:rPr>
          <w:rFonts w:ascii="Times New Roman" w:hAnsi="Times New Roman" w:cs="Times New Roman"/>
          <w:sz w:val="24"/>
          <w:szCs w:val="24"/>
          <w:lang w:val="id-ID"/>
        </w:rPr>
      </w:pPr>
      <w:r>
        <w:rPr>
          <w:rFonts w:ascii="Times New Roman" w:hAnsi="Times New Roman" w:cs="Times New Roman"/>
          <w:sz w:val="24"/>
          <w:szCs w:val="24"/>
          <w:lang w:val="id-ID"/>
        </w:rPr>
        <w:t>Sisw</w:t>
      </w:r>
      <w:r>
        <w:rPr>
          <w:rFonts w:ascii="Times New Roman" w:hAnsi="Times New Roman" w:cs="Times New Roman"/>
          <w:sz w:val="24"/>
          <w:szCs w:val="24"/>
        </w:rPr>
        <w:t xml:space="preserve">a </w:t>
      </w:r>
      <w:r>
        <w:rPr>
          <w:rFonts w:ascii="Times New Roman" w:hAnsi="Times New Roman" w:cs="Times New Roman"/>
          <w:sz w:val="24"/>
          <w:szCs w:val="24"/>
          <w:lang w:val="id-ID"/>
        </w:rPr>
        <w:t xml:space="preserve">SMA kelas XI jika dilihat dari usia, berada pada rentang 14-18 tahun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{"citationItems":[{"id":"ITEM-1","itemData":{"ISBN":"9785984520973","abstract":"Penelitian ini bertujuan untuk menghasilkan produk media pembelajaran Kartu Huruf Jepang yang layak digunakan siswa SMA Negeri 4 Magelang, sebagai media pembelajaran dalam mata pelajaran Bahasa Jepang. Jenis penelitian ini adalah penelitian Research and Development. Penelitian ini merupakan penelitian pengembangan yang diadaptasi dan dimodifikasi dari sepuluh langkah penelitian dan pengembangan Borg dan Gall. Langkah yang ditempuh dalam penelitian pengembangan ini yaitu: 1) penelitian awal dan pengumpulan informasi, 2) perencanaan pengembangan, 3) pengembangan produk awal, 4) uji coba lapangan awal, 5) revisi produk utama, 6) uji coba lapangan utama, 7) revisi produk operasional, 8) uji coba lapangan operasional, dan 9) hasil produk akhir. Instrumen penelitian yang digunakan adalah panduan wawancara, angket, observasi, dan dokumentasi. Kelayakan produk didasarkan pada hasil penilaian ahli materi, ahli media, dan siswa sebagai pengguna kemudian data hasil angket kelayakan media dianalisis dengan konversi skala likert. Penilaian yang didapatkan, meliputi penilaian dari ahli materi pelajaran Bahasa Jepang dengan kriteria sangat baik (4,72), penilaian dari ahli media pembelajaran dengan kriteria sangat baik (4,21), uji coba lapangan awal memperoleh penilaian sangat baik (4,55), uji coba lapangan utama memperoleh penilaian sangat baik (4,68) dan uji coba lapangan operasional memperoleh penilaian sangat baik (4,325). Dilihat dari semua indikator penilaian kelayakan media pembelajaran yang dikembangkan secara keseluruhan, Media Kartu Huruf Jepang dikatakan “Layak” untuk digunakan dalam proses pembelajaran Bahasa Jepang dan memperoleh hasil akhir indikator penilaian yaitu “Sangat Baik” (SB).","author":[{"dropping-particle":"","family":"Nugroho","given":"Dedy Setiyo","non-dropping-particle":"","parse-names":false,"suffix":""}],"container-title":"Pendidikan","id":"ITEM-1","issued":{"date-parts":[["2015"]]},"title":"Pengembangan media kartu huruf Jepang sebagai media pembelajaran bahasa Jepang pada siswa SMA Negeri 4 Magelang","type":"article-journal"},"uris":["http://www.mendeley.com/documents/?uuid=ea54ee9a-78c7-4dcb-9078-f511f5785a2f"]}],"mendeley":{"formattedCitation":"(Nugroho, 2015)","plainTextFormattedCitation":"(Nugroho, 2015)","previouslyFormattedCitation":"(Nugroho, 2015)"},"properties":{"noteIndex":0},"schema":"https://github.com/citation-style-language/schema/raw/master/csl-citation.json"}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(Nugroho,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{"citationItems":[{"id":"ITEM-1","itemData":{"ISBN":"978-602-8730-44-0","abstract":"The highly homologous 40S ribosomal protein S6 kinases (S6K1 and S6K2) play a key role in the regulation of cell growth by controlling the biosynthesis of translational components which make up the protein synthetic apparatus, most notably ribosomal proteins. In the case of S6K1, at least eight phosphorylation sites are believed to mediate kinase activation in a hierarchical fashion. Activation is initiated by phosphatidylinositide-3OH kinase (PI3K)-mediated phosphorylation of key residues in the carboxy- terminus of the kinase, allowing phosphorylation of a critical residue residing in the activation loop of the catalytic domain by phosphoinositide- dependent kinase 1 (PDK1). The kinases responsible for phosphorylating the carboxy-terminal sites have yet to be identified. Additionally, S6 kinases are under the control of the PI3K relative, mammalian Target Of Rapamycin (mTOR), which may serve an additional function as a checkpoint for amino acid availability. In this review we set out to discuss the present state of knowledge regarding upstream signaling components which have been implicated in the control of S6K1 activation and the role of the kinase in controlling cell growth through regulating ribosome biogenesis at the translational level.","author":[{"dropping-particle":"","family":"Jahja","given":"Yudrik","non-dropping-particle":"","parse-names":false,"suffix":""}],"edition":"Pertama","editor":[{"dropping-particle":"","family":"Jahja","given":"Yudrik","non-dropping-particle":"","parse-names":false,"suffix":""}],"id":"ITEM-1","issued":{"date-parts":[["2011"]]},"number-of-pages":"xii, 490","publisher":"Prenada media group","publisher-place":"Kencana","title":"Psikologi perkembangan","type":"book"},"uris":["http://www.mendeley.com/documents/?uuid=9406ff2c-029a-48d4-b8e5-11b301aa431a"]}],"mendeley":{"formattedCitation":"(Jahja, 2011)","manualFormatting":"Jahja (2011)","plainTextFormattedCitation":"(Jahja, 2011)","previouslyFormattedCitation":"(Jahja, 2011)"},"properties":{"noteIndex":0},"schema":"https://github.com/citation-style-language/schema/raw/master/csl-citation.json"}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Jahja (2011)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Pada rentang usia 14-18 tahun merupakan masa peralihan atau perubahan pada akhir masa anak-anak menuju awal masa dewasa yang ditandai dengan adanya pertumbuhan, kematangan dan perkembangan yang dapat disebut masa remaja. Masa remaja yang bertepatan dengan masa usia SMA kelas XI memiliki ciri- ciri</w:t>
      </w:r>
      <w:r>
        <w:rPr>
          <w:rStyle w:val="5"/>
        </w:rPr>
        <w:t xml:space="preserve"> </w:t>
      </w:r>
      <w:r>
        <w:rPr>
          <w:rFonts w:ascii="Times New Roman" w:hAnsi="Times New Roman" w:cs="Times New Roman"/>
          <w:sz w:val="24"/>
          <w:szCs w:val="24"/>
        </w:rPr>
        <w:t>ya</w:t>
      </w:r>
      <w:r>
        <w:rPr>
          <w:rFonts w:ascii="Times New Roman" w:hAnsi="Times New Roman" w:cs="Times New Roman"/>
          <w:sz w:val="24"/>
          <w:szCs w:val="24"/>
          <w:lang w:val="id-ID"/>
        </w:rPr>
        <w:t>ng dapat dilihat dari perubahan terhadap peningkatan emosional yang tejadi secara cepat, perhatian seperti adanya rasa suka terhadap suatu hal dan ketertarikan, sikap sosial, adanya dorongan untuk hidup, kebutuhan akan sesuatu yang dapat dipandang bernilai, dapat dijunjung tinggi serta dipuja-puja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{"citationItems":[{"id":"ITEM-1","itemData":{"ISBN":"978-602-8730-44-0","abstract":"The highly homologous 40S ribosomal protein S6 kinases (S6K1 and S6K2) play a key role in the regulation of cell growth by controlling the biosynthesis of translational components which make up the protein synthetic apparatus, most notably ribosomal proteins. In the case of S6K1, at least eight phosphorylation sites are believed to mediate kinase activation in a hierarchical fashion. Activation is initiated by phosphatidylinositide-3OH kinase (PI3K)-mediated phosphorylation of key residues in the carboxy- terminus of the kinase, allowing phosphorylation of a critical residue residing in the activation loop of the catalytic domain by phosphoinositide- dependent kinase 1 (PDK1). The kinases responsible for phosphorylating the carboxy-terminal sites have yet to be identified. Additionally, S6 kinases are under the control of the PI3K relative, mammalian Target Of Rapamycin (mTOR), which may serve an additional function as a checkpoint for amino acid availability. In this review we set out to discuss the present state of knowledge regarding upstream signaling components which have been implicated in the control of S6K1 activation and the role of the kinase in controlling cell growth through regulating ribosome biogenesis at the translational level.","author":[{"dropping-particle":"","family":"Jahja","given":"Yudrik","non-dropping-particle":"","parse-names":false,"suffix":""}],"edition":"Pertama","editor":[{"dropping-particle":"","family":"Jahja","given":"Yudrik","non-dropping-particle":"","parse-names":false,"suffix":""}],"id":"ITEM-1","issued":{"date-parts":[["2011"]]},"number-of-pages":"xii, 490","publisher":"Prenada media group","publisher-place":"Kencana","title":"Psikologi perkembangan","type":"book"},"uris":["http://www.mendeley.com/documents/?uuid=9406ff2c-029a-48d4-b8e5-11b301aa431a"]}],"mendeley":{"formattedCitation":"(Jahja, 2011)","manualFormatting":"Jahja 2011)","plainTextFormattedCitation":"(Jahja, 2011)","previouslyFormattedCitation":"(Jahja, 2011)"},"properties":{"noteIndex":0},"schema":"https://github.com/citation-style-language/schema/raw/master/csl-citation.json"}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Jahja 2011)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Menuru</w:t>
      </w:r>
      <w:r>
        <w:rPr>
          <w:rFonts w:ascii="Times New Roman" w:hAnsi="Times New Roman" w:cs="Times New Roman"/>
          <w:sz w:val="24"/>
          <w:szCs w:val="24"/>
        </w:rPr>
        <w:t xml:space="preserve">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{"citationItems":[{"id":"ITEM-1","itemData":{"ISBN":"978-602-8730-44-0","abstract":"The highly homologous 40S ribosomal protein S6 kinases (S6K1 and S6K2) play a key role in the regulation of cell growth by controlling the biosynthesis of translational components which make up the protein synthetic apparatus, most notably ribosomal proteins. In the case of S6K1, at least eight phosphorylation sites are believed to mediate kinase activation in a hierarchical fashion. Activation is initiated by phosphatidylinositide-3OH kinase (PI3K)-mediated phosphorylation of key residues in the carboxy- terminus of the kinase, allowing phosphorylation of a critical residue residing in the activation loop of the catalytic domain by phosphoinositide- dependent kinase 1 (PDK1). The kinases responsible for phosphorylating the carboxy-terminal sites have yet to be identified. Additionally, S6 kinases are under the control of the PI3K relative, mammalian Target Of Rapamycin (mTOR), which may serve an additional function as a checkpoint for amino acid availability. In this review we set out to discuss the present state of knowledge regarding upstream signaling components which have been implicated in the control of S6K1 activation and the role of the kinase in controlling cell growth through regulating ribosome biogenesis at the translational level.","author":[{"dropping-particle":"","family":"Jahja","given":"Yudrik","non-dropping-particle":"","parse-names":false,"suffix":""}],"edition":"Pertama","editor":[{"dropping-particle":"","family":"Jahja","given":"Yudrik","non-dropping-particle":"","parse-names":false,"suffix":""}],"id":"ITEM-1","issued":{"date-parts":[["2011"]]},"number-of-pages":"xii, 490","publisher":"Prenada media group","publisher-place":"Kencana","title":"Psikologi perkembangan","type":"book"},"uris":["http://www.mendeley.com/documents/?uuid=9406ff2c-029a-48d4-b8e5-11b301aa431a"]}],"mendeley":{"formattedCitation":"(Jahja, 2011)","manualFormatting":"Jahja (2011)","plainTextFormattedCitation":"(Jahja, 2011)","previouslyFormattedCitation":"(Jahja, 2011)"},"properties":{"noteIndex":0},"schema":"https://github.com/citation-style-language/schema/raw/master/csl-citation.json"}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Jahja (2011)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salah satu tugas perkembangan siswa SMA yaitu berorientasi pada kedewasaan terhadap kematangan kognitif dalam kegiatan-kegiatan yang dilakukan salah satunya yaitu minat.  </w:t>
      </w:r>
    </w:p>
    <w:p>
      <w:pPr>
        <w:spacing w:after="0" w:line="480" w:lineRule="auto"/>
        <w:ind w:firstLine="41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w:t>
      </w:r>
      <w:r>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 xml:space="preserve">ADDIN CSL_CITATION {"citationItems":[{"id":"ITEM-1","itemData":{"abstract":"Permasalahan dalam penelitian ini adalah belum optimalnya hasil belajar siswa. Hal ini ditandai dengan perolehan hasil belajar siswa yang belum mencapai Kriteria Ketuntasan Minimum (KKM) di sekolah. Penelitian ini bertujuan untuk mengetahui pengaruh minat belajar terhadap hasil belajar siswa. Metode yang digunakan dalam penelitian ini adalah metode survey dengan teknik pengumpulan data menggunakan angket model rating scale. Sampel penelitian adalah 58 siswa Kelas X Administrasi Perkantoran Sekolah Menengah Kejuruan (SMK) di Bandung. Pendekatan yang digunakan adalah pendekatan kuantitatif dengan teknik analisis data menggunakan analisis regresi. Indikator yang digunakan untuk mengukur minat belajar adalah ketertarikan untuk belajar, perhatian dalam belajar, motivasi belajar dan pengetahuan. Berdasarkan analisis regresi, diperoleh hasil bahwa minat belajar memiliki pengaruh yang signifikan terhadap hasil belajar. Dengan demikian dapat disimpulkan bahwa hasil belajar siswa dapat ditingkatkan melalui peningkatan minat belajar siswa. Artinya semakin baik minat belajar siswa akan berdampak pada hasil belajar siswa yang semakin baik.","author":[{"dropping-particle":"","family":"Nurhasanah","given":"Siti","non-dropping-particle":"","parse-names":false,"suffix":""},{"dropping-particle":"","family":"Sobandi","given":"A","non-dropping-particle":"","parse-names":false,"suffix":""}],"container-title":"Jurnal Perndidikan Manajemen perkantoran","id":"ITEM-1","issue":"1","issued":{"date-parts":[["2016"]]},"page":"128-135","title":"Minat belajar sebagai determinan hasil belajar siswa","type":"article-journal","volume":"1"},"uris":["http://www.mendeley.com/documents/?uuid=ca1bd435-9bbd-439f-95d4-0aea24c900b6"]}],"mendeley":{"formattedCitation":"(Nurhasanah &amp; Sobandi, 2016)","manualFormatting":"Nurhasanah dan Sobandi (2016)","plainTextFormattedCitation":"(Nurhasanah &amp; Sobandi, 2016)","previouslyFormattedCitation":"(Nurhasanah &amp; Sobandi, 2016)"},"properties":{"noteIndex":0},"schema":"https://github.com/citation-style-language/schema/raw/master/csl-citation.json"}</w:instrText>
      </w:r>
      <w:r>
        <w:rPr>
          <w:rFonts w:ascii="Times New Roman" w:hAnsi="Times New Roman" w:cs="Times New Roman"/>
          <w:bCs/>
          <w:sz w:val="24"/>
          <w:szCs w:val="24"/>
          <w:lang w:val="id-ID"/>
        </w:rPr>
        <w:fldChar w:fldCharType="separate"/>
      </w:r>
      <w:r>
        <w:rPr>
          <w:rFonts w:ascii="Times New Roman" w:hAnsi="Times New Roman" w:cs="Times New Roman"/>
          <w:bCs/>
          <w:sz w:val="24"/>
          <w:szCs w:val="24"/>
          <w:lang w:val="id-ID"/>
        </w:rPr>
        <w:t xml:space="preserve">Nurhasanah dan Sobandi </w:t>
      </w:r>
      <w:r>
        <w:rPr>
          <w:rFonts w:ascii="Times New Roman" w:hAnsi="Times New Roman" w:cs="Times New Roman"/>
          <w:bCs/>
          <w:sz w:val="24"/>
          <w:szCs w:val="24"/>
        </w:rPr>
        <w:t>(</w:t>
      </w:r>
      <w:r>
        <w:rPr>
          <w:rFonts w:ascii="Times New Roman" w:hAnsi="Times New Roman" w:cs="Times New Roman"/>
          <w:bCs/>
          <w:sz w:val="24"/>
          <w:szCs w:val="24"/>
          <w:lang w:val="id-ID"/>
        </w:rPr>
        <w:t>2016)</w:t>
      </w:r>
      <w:r>
        <w:rPr>
          <w:rFonts w:ascii="Times New Roman" w:hAnsi="Times New Roman" w:cs="Times New Roman"/>
          <w:bCs/>
          <w:sz w:val="24"/>
          <w:szCs w:val="24"/>
          <w:lang w:val="id-ID"/>
        </w:rPr>
        <w:fldChar w:fldCharType="end"/>
      </w:r>
      <w:r>
        <w:rPr>
          <w:rFonts w:ascii="Times New Roman" w:hAnsi="Times New Roman" w:cs="Times New Roman"/>
          <w:bCs/>
          <w:sz w:val="24"/>
          <w:szCs w:val="24"/>
        </w:rPr>
        <w:t xml:space="preserve"> minat b</w:t>
      </w:r>
      <w:r>
        <w:rPr>
          <w:rFonts w:ascii="Times New Roman" w:hAnsi="Times New Roman" w:cs="Times New Roman"/>
          <w:bCs/>
          <w:sz w:val="24"/>
          <w:szCs w:val="24"/>
          <w:lang w:val="id-ID"/>
        </w:rPr>
        <w:t>elajar adalah suatu sikap taat pada kegiatan belajar, baik menyangkut perencanaan jadwal belajar maupun inisiatif untuk melakukan suatu usaha.</w:t>
      </w:r>
    </w:p>
    <w:p>
      <w:pPr>
        <w:spacing w:line="480" w:lineRule="auto"/>
        <w:ind w:firstLine="360"/>
        <w:jc w:val="both"/>
        <w:rPr>
          <w:rFonts w:ascii="Times New Roman" w:hAnsi="Times New Roman" w:eastAsia="SimSun" w:cs="Times New Roman"/>
          <w:bCs/>
          <w:sz w:val="24"/>
          <w:szCs w:val="24"/>
        </w:rPr>
      </w:pPr>
      <w:r>
        <w:rPr>
          <w:rFonts w:ascii="Times New Roman" w:hAnsi="Times New Roman" w:eastAsia="SimSun" w:cs="Times New Roman"/>
          <w:bCs/>
          <w:sz w:val="24"/>
          <w:szCs w:val="24"/>
        </w:rPr>
        <w:t xml:space="preserve">Pada aspek yang pertama yaitu proses pembelajaran. Proses </w:t>
      </w:r>
      <w:r>
        <w:rPr>
          <w:rFonts w:ascii="Times New Roman" w:hAnsi="Times New Roman" w:eastAsia="SimSun" w:cs="Times New Roman"/>
          <w:bCs/>
          <w:sz w:val="24"/>
          <w:szCs w:val="24"/>
          <w:lang w:val="id-ID"/>
        </w:rPr>
        <w:t>Pembelajaran merupakan</w:t>
      </w:r>
      <w:r>
        <w:rPr>
          <w:rFonts w:ascii="Times New Roman" w:hAnsi="Times New Roman" w:eastAsia="SimSun" w:cs="Times New Roman"/>
          <w:bCs/>
          <w:sz w:val="24"/>
          <w:szCs w:val="24"/>
        </w:rPr>
        <w:t xml:space="preserve"> persepsi dari siswa terhadap pengajar selama</w:t>
      </w:r>
      <w:r>
        <w:rPr>
          <w:rFonts w:ascii="Times New Roman" w:hAnsi="Times New Roman" w:eastAsia="SimSun" w:cs="Times New Roman"/>
          <w:bCs/>
          <w:sz w:val="24"/>
          <w:szCs w:val="24"/>
          <w:lang w:val="id-ID"/>
        </w:rPr>
        <w:t xml:space="preserve"> proses terjadinya interaksi </w:t>
      </w:r>
      <w:r>
        <w:rPr>
          <w:rFonts w:ascii="Times New Roman" w:hAnsi="Times New Roman" w:eastAsia="SimSun" w:cs="Times New Roman"/>
          <w:bCs/>
          <w:sz w:val="24"/>
          <w:szCs w:val="24"/>
        </w:rPr>
        <w:t>dan</w:t>
      </w:r>
      <w:r>
        <w:rPr>
          <w:rFonts w:ascii="Times New Roman" w:hAnsi="Times New Roman" w:eastAsia="SimSun" w:cs="Times New Roman"/>
          <w:bCs/>
          <w:sz w:val="24"/>
          <w:szCs w:val="24"/>
          <w:lang w:val="id-ID"/>
        </w:rPr>
        <w:t xml:space="preserve"> rangkaian aktivitas pembelajaran di suatu lingkungan belajar tertentu. </w:t>
      </w:r>
      <w:r>
        <w:rPr>
          <w:rFonts w:ascii="Times New Roman" w:hAnsi="Times New Roman" w:eastAsia="SimSun" w:cs="Times New Roman"/>
          <w:bCs/>
          <w:sz w:val="24"/>
          <w:szCs w:val="24"/>
        </w:rPr>
        <w:t>Kegiatan</w:t>
      </w:r>
      <w:r>
        <w:rPr>
          <w:rFonts w:ascii="Times New Roman" w:hAnsi="Times New Roman" w:eastAsia="SimSun" w:cs="Times New Roman"/>
          <w:bCs/>
          <w:sz w:val="24"/>
          <w:szCs w:val="24"/>
          <w:lang w:val="id-ID"/>
        </w:rPr>
        <w:t xml:space="preserve"> dalam proses pembelajaran </w:t>
      </w:r>
      <w:r>
        <w:rPr>
          <w:rFonts w:ascii="Times New Roman" w:hAnsi="Times New Roman" w:eastAsia="SimSun" w:cs="Times New Roman"/>
          <w:bCs/>
          <w:sz w:val="24"/>
          <w:szCs w:val="24"/>
        </w:rPr>
        <w:t xml:space="preserve">merupakan tahapan yang </w:t>
      </w:r>
      <w:r>
        <w:rPr>
          <w:rFonts w:ascii="Times New Roman" w:hAnsi="Times New Roman" w:eastAsia="SimSun" w:cs="Times New Roman"/>
          <w:bCs/>
          <w:sz w:val="24"/>
          <w:szCs w:val="24"/>
          <w:lang w:val="id-ID"/>
        </w:rPr>
        <w:t xml:space="preserve">ditempuh secara sistematis, efektif dan efisien serta di kondisikan dengan baik </w:t>
      </w:r>
      <w:r>
        <w:rPr>
          <w:rFonts w:ascii="Times New Roman" w:hAnsi="Times New Roman" w:eastAsia="SimSun" w:cs="Times New Roman"/>
          <w:bCs/>
          <w:sz w:val="24"/>
          <w:szCs w:val="24"/>
        </w:rPr>
        <w:t xml:space="preserve">demi tercapainya </w:t>
      </w:r>
      <w:r>
        <w:rPr>
          <w:rFonts w:ascii="Times New Roman" w:hAnsi="Times New Roman" w:eastAsia="SimSun" w:cs="Times New Roman"/>
          <w:bCs/>
          <w:sz w:val="24"/>
          <w:szCs w:val="24"/>
          <w:lang w:val="id-ID"/>
        </w:rPr>
        <w:t>semua pelaksanaan proses pembelajaran sesuai dengan yang diharapkan</w:t>
      </w:r>
      <w:r>
        <w:rPr>
          <w:rFonts w:ascii="Times New Roman" w:hAnsi="Times New Roman" w:eastAsia="SimSun" w:cs="Times New Roman"/>
          <w:bCs/>
          <w:sz w:val="24"/>
          <w:szCs w:val="24"/>
        </w:rPr>
        <w:t xml:space="preserve"> (</w:t>
      </w:r>
      <w:r>
        <w:rPr>
          <w:rFonts w:ascii="Times New Roman" w:hAnsi="Times New Roman" w:eastAsia="SimSun" w:cs="Times New Roman"/>
          <w:bCs/>
          <w:sz w:val="24"/>
          <w:szCs w:val="24"/>
          <w:lang w:val="id-ID"/>
        </w:rPr>
        <w:fldChar w:fldCharType="begin" w:fldLock="1"/>
      </w:r>
      <w:r>
        <w:rPr>
          <w:rFonts w:ascii="Times New Roman" w:hAnsi="Times New Roman" w:eastAsia="SimSun" w:cs="Times New Roman"/>
          <w:bCs/>
          <w:sz w:val="24"/>
          <w:szCs w:val="24"/>
          <w:lang w:val="id-ID"/>
        </w:rPr>
        <w:instrText xml:space="preserve">ADDIN CSL_CITATION {"citationItems":[{"id":"ITEM-1","itemData":{"author":[{"dropping-particle":"","family":"Roff","given":"S","non-dropping-particle":"","parse-names":false,"suffix":""}],"container-title":"Medical Teacher","id":"ITEM-1","issue":"4","issued":{"date-parts":[["2005"]]},"page":"322-325","title":"The dundee ready educational environment measure (dreem)- a generic instrument for measuring student's perceptions of undergraduate health professions curricula.","type":"article-journal","volume":"27"},"uris":["http://www.mendeley.com/documents/?uuid=a850a741-550c-4432-b5b8-382787ebb6ce"]}],"mendeley":{"formattedCitation":"(Roff, 2005)","manualFormatting":"Roff 2005)","plainTextFormattedCitation":"(Roff, 2005)","previouslyFormattedCitation":"(Roff, 2005)"},"properties":{"noteIndex":0},"schema":"https://github.com/citation-style-language/schema/raw/master/csl-citation.json"}</w:instrText>
      </w:r>
      <w:r>
        <w:rPr>
          <w:rFonts w:ascii="Times New Roman" w:hAnsi="Times New Roman" w:eastAsia="SimSun" w:cs="Times New Roman"/>
          <w:bCs/>
          <w:sz w:val="24"/>
          <w:szCs w:val="24"/>
          <w:lang w:val="id-ID"/>
        </w:rPr>
        <w:fldChar w:fldCharType="separate"/>
      </w:r>
      <w:r>
        <w:rPr>
          <w:rFonts w:ascii="Times New Roman" w:hAnsi="Times New Roman" w:eastAsia="SimSun" w:cs="Times New Roman"/>
          <w:bCs/>
          <w:sz w:val="24"/>
          <w:szCs w:val="24"/>
          <w:lang w:val="id-ID"/>
        </w:rPr>
        <w:t>Roff 2005)</w:t>
      </w:r>
      <w:r>
        <w:rPr>
          <w:rFonts w:ascii="Times New Roman" w:hAnsi="Times New Roman" w:eastAsia="SimSun" w:cs="Times New Roman"/>
          <w:bCs/>
          <w:sz w:val="24"/>
          <w:szCs w:val="24"/>
          <w:lang w:val="id-ID"/>
        </w:rPr>
        <w:fldChar w:fldCharType="end"/>
      </w:r>
      <w:r>
        <w:rPr>
          <w:rFonts w:ascii="Times New Roman" w:hAnsi="Times New Roman" w:eastAsia="SimSun" w:cs="Times New Roman"/>
          <w:bCs/>
          <w:sz w:val="24"/>
          <w:szCs w:val="24"/>
          <w:lang w:val="id-ID"/>
        </w:rPr>
        <w:t>.</w:t>
      </w:r>
      <w:r>
        <w:rPr>
          <w:rFonts w:ascii="Times New Roman" w:hAnsi="Times New Roman" w:eastAsia="SimSun" w:cs="Times New Roman"/>
          <w:bCs/>
          <w:sz w:val="24"/>
          <w:szCs w:val="24"/>
        </w:rPr>
        <w:t xml:space="preserve"> Persepsi proses pembelajaran yang positif akan meningkatkan siswa dalam minat belajar yang baik.</w:t>
      </w:r>
    </w:p>
    <w:p>
      <w:pPr>
        <w:spacing w:line="480" w:lineRule="auto"/>
        <w:ind w:firstLine="360"/>
        <w:jc w:val="both"/>
        <w:rPr>
          <w:rFonts w:ascii="Times New Roman" w:hAnsi="Times New Roman" w:eastAsia="SimSun" w:cs="Times New Roman"/>
          <w:bCs/>
          <w:sz w:val="24"/>
          <w:szCs w:val="24"/>
        </w:rPr>
      </w:pPr>
      <w:r>
        <w:rPr>
          <w:rFonts w:ascii="Times New Roman" w:hAnsi="Times New Roman" w:eastAsia="SimSun" w:cs="Times New Roman"/>
          <w:bCs/>
          <w:sz w:val="24"/>
          <w:szCs w:val="24"/>
        </w:rPr>
        <w:t xml:space="preserve">Berikutnya aspek yang kedua yaitu pengajar. </w:t>
      </w:r>
      <w:r>
        <w:rPr>
          <w:rFonts w:ascii="Times New Roman" w:hAnsi="Times New Roman" w:eastAsia="SimSun" w:cs="Times New Roman"/>
          <w:bCs/>
          <w:sz w:val="24"/>
          <w:szCs w:val="24"/>
          <w:lang w:val="id-ID"/>
        </w:rPr>
        <w:t xml:space="preserve">Pengajar </w:t>
      </w:r>
      <w:r>
        <w:rPr>
          <w:rFonts w:ascii="Times New Roman" w:hAnsi="Times New Roman" w:eastAsia="SimSun" w:cs="Times New Roman"/>
          <w:bCs/>
          <w:sz w:val="24"/>
          <w:szCs w:val="24"/>
        </w:rPr>
        <w:t>merupakan persepsi siswa terhadap guru</w:t>
      </w:r>
      <w:r>
        <w:rPr>
          <w:rFonts w:ascii="Times New Roman" w:hAnsi="Times New Roman" w:eastAsia="SimSun" w:cs="Times New Roman"/>
          <w:bCs/>
          <w:sz w:val="24"/>
          <w:szCs w:val="24"/>
          <w:lang w:val="id-ID"/>
        </w:rPr>
        <w:t xml:space="preserve"> </w:t>
      </w:r>
      <w:r>
        <w:rPr>
          <w:rFonts w:ascii="Times New Roman" w:hAnsi="Times New Roman" w:eastAsia="SimSun" w:cs="Times New Roman"/>
          <w:bCs/>
          <w:sz w:val="24"/>
          <w:szCs w:val="24"/>
        </w:rPr>
        <w:t>terhadap kelebihan dan kelemahan selama proses</w:t>
      </w:r>
      <w:r>
        <w:rPr>
          <w:rFonts w:ascii="Times New Roman" w:hAnsi="Times New Roman" w:eastAsia="SimSun" w:cs="Times New Roman"/>
          <w:bCs/>
          <w:sz w:val="24"/>
          <w:szCs w:val="24"/>
          <w:lang w:val="id-ID"/>
        </w:rPr>
        <w:t xml:space="preserve"> aktivitas belajar</w:t>
      </w:r>
      <w:r>
        <w:rPr>
          <w:rFonts w:ascii="Times New Roman" w:hAnsi="Times New Roman" w:eastAsia="SimSun" w:cs="Times New Roman"/>
          <w:bCs/>
          <w:sz w:val="24"/>
          <w:szCs w:val="24"/>
        </w:rPr>
        <w:t xml:space="preserve"> yang meliputi </w:t>
      </w:r>
      <w:r>
        <w:rPr>
          <w:rFonts w:ascii="Times New Roman" w:hAnsi="Times New Roman" w:eastAsia="SimSun" w:cs="Times New Roman"/>
          <w:bCs/>
          <w:sz w:val="24"/>
          <w:szCs w:val="24"/>
          <w:lang w:val="id-ID"/>
        </w:rPr>
        <w:t>metode pembelajaran</w:t>
      </w:r>
      <w:r>
        <w:rPr>
          <w:rFonts w:ascii="Times New Roman" w:hAnsi="Times New Roman" w:eastAsia="SimSun" w:cs="Times New Roman"/>
          <w:bCs/>
          <w:sz w:val="24"/>
          <w:szCs w:val="24"/>
        </w:rPr>
        <w:t>,</w:t>
      </w:r>
      <w:r>
        <w:rPr>
          <w:rFonts w:ascii="Times New Roman" w:hAnsi="Times New Roman" w:eastAsia="SimSun" w:cs="Times New Roman"/>
          <w:bCs/>
          <w:sz w:val="24"/>
          <w:szCs w:val="24"/>
          <w:lang w:val="id-ID"/>
        </w:rPr>
        <w:t xml:space="preserve"> teknik yang diberikan terhadap </w:t>
      </w:r>
      <w:r>
        <w:rPr>
          <w:rFonts w:ascii="Times New Roman" w:hAnsi="Times New Roman" w:eastAsia="SimSun" w:cs="Times New Roman"/>
          <w:bCs/>
          <w:sz w:val="24"/>
          <w:szCs w:val="24"/>
        </w:rPr>
        <w:t>siswa agar</w:t>
      </w:r>
      <w:r>
        <w:rPr>
          <w:rFonts w:ascii="Times New Roman" w:hAnsi="Times New Roman" w:eastAsia="SimSun" w:cs="Times New Roman"/>
          <w:bCs/>
          <w:sz w:val="24"/>
          <w:szCs w:val="24"/>
          <w:lang w:val="id-ID"/>
        </w:rPr>
        <w:t xml:space="preserve"> dapat berperan aktif dan mudah memahami pembelajaran yang telah diberikan. </w:t>
      </w:r>
      <w:r>
        <w:rPr>
          <w:rFonts w:ascii="Times New Roman" w:hAnsi="Times New Roman" w:eastAsia="SimSun" w:cs="Times New Roman"/>
          <w:bCs/>
          <w:sz w:val="24"/>
          <w:szCs w:val="24"/>
        </w:rPr>
        <w:t>K</w:t>
      </w:r>
      <w:r>
        <w:rPr>
          <w:rFonts w:ascii="Times New Roman" w:hAnsi="Times New Roman" w:eastAsia="SimSun" w:cs="Times New Roman"/>
          <w:bCs/>
          <w:sz w:val="24"/>
          <w:szCs w:val="24"/>
          <w:lang w:val="id-ID"/>
        </w:rPr>
        <w:t>egiatan belajar mengajar berlangsung dengan baik apabila proses pembelajaran yang dilakukan diiringi dengan kegiatam refleksi di akhir pembelajara</w:t>
      </w:r>
      <w:r>
        <w:rPr>
          <w:rFonts w:ascii="Times New Roman" w:hAnsi="Times New Roman" w:eastAsia="SimSun" w:cs="Times New Roman"/>
          <w:bCs/>
          <w:sz w:val="24"/>
          <w:szCs w:val="24"/>
        </w:rPr>
        <w:t>n (</w:t>
      </w:r>
      <w:r>
        <w:rPr>
          <w:rFonts w:ascii="Times New Roman" w:hAnsi="Times New Roman" w:eastAsia="SimSun" w:cs="Times New Roman"/>
          <w:bCs/>
          <w:sz w:val="24"/>
          <w:szCs w:val="24"/>
          <w:lang w:val="id-ID"/>
        </w:rPr>
        <w:fldChar w:fldCharType="begin" w:fldLock="1"/>
      </w:r>
      <w:r>
        <w:rPr>
          <w:rFonts w:ascii="Times New Roman" w:hAnsi="Times New Roman" w:eastAsia="SimSun" w:cs="Times New Roman"/>
          <w:bCs/>
          <w:sz w:val="24"/>
          <w:szCs w:val="24"/>
          <w:lang w:val="id-ID"/>
        </w:rPr>
        <w:instrText xml:space="preserve">ADDIN CSL_CITATION {"citationItems":[{"id":"ITEM-1","itemData":{"author":[{"dropping-particle":"","family":"Roff","given":"S","non-dropping-particle":"","parse-names":false,"suffix":""}],"container-title":"Medical Teacher","id":"ITEM-1","issue":"4","issued":{"date-parts":[["2005"]]},"page":"322-325","title":"The dundee ready educational environment measure (dreem)- a generic instrument for measuring student's perceptions of undergraduate health professions curricula.","type":"article-journal","volume":"27"},"uris":["http://www.mendeley.com/documents/?uuid=a850a741-550c-4432-b5b8-382787ebb6ce"]}],"mendeley":{"formattedCitation":"(Roff, 2005)","manualFormatting":"Roff 2005)","plainTextFormattedCitation":"(Roff, 2005)","previouslyFormattedCitation":"(Roff, 2005)"},"properties":{"noteIndex":0},"schema":"https://github.com/citation-style-language/schema/raw/master/csl-citation.json"}</w:instrText>
      </w:r>
      <w:r>
        <w:rPr>
          <w:rFonts w:ascii="Times New Roman" w:hAnsi="Times New Roman" w:eastAsia="SimSun" w:cs="Times New Roman"/>
          <w:bCs/>
          <w:sz w:val="24"/>
          <w:szCs w:val="24"/>
          <w:lang w:val="id-ID"/>
        </w:rPr>
        <w:fldChar w:fldCharType="separate"/>
      </w:r>
      <w:r>
        <w:rPr>
          <w:rFonts w:ascii="Times New Roman" w:hAnsi="Times New Roman" w:eastAsia="SimSun" w:cs="Times New Roman"/>
          <w:bCs/>
          <w:sz w:val="24"/>
          <w:szCs w:val="24"/>
          <w:lang w:val="id-ID"/>
        </w:rPr>
        <w:t>Roff 2005)</w:t>
      </w:r>
      <w:r>
        <w:rPr>
          <w:rFonts w:ascii="Times New Roman" w:hAnsi="Times New Roman" w:eastAsia="SimSun" w:cs="Times New Roman"/>
          <w:bCs/>
          <w:sz w:val="24"/>
          <w:szCs w:val="24"/>
          <w:lang w:val="id-ID"/>
        </w:rPr>
        <w:fldChar w:fldCharType="end"/>
      </w:r>
      <w:r>
        <w:rPr>
          <w:rFonts w:ascii="Times New Roman" w:hAnsi="Times New Roman" w:eastAsia="SimSun" w:cs="Times New Roman"/>
          <w:bCs/>
          <w:sz w:val="24"/>
          <w:szCs w:val="24"/>
          <w:lang w:val="id-ID"/>
        </w:rPr>
        <w:t xml:space="preserve">. </w:t>
      </w:r>
      <w:r>
        <w:rPr>
          <w:rFonts w:ascii="Times New Roman" w:hAnsi="Times New Roman" w:eastAsia="SimSun" w:cs="Times New Roman"/>
          <w:bCs/>
          <w:sz w:val="24"/>
          <w:szCs w:val="24"/>
        </w:rPr>
        <w:t>Persepsi terhadap pengajar yang positif akan meningkatkan siswa dalam minat belajar yang baik.</w:t>
      </w:r>
    </w:p>
    <w:p>
      <w:pPr>
        <w:spacing w:line="480" w:lineRule="auto"/>
        <w:ind w:firstLine="360"/>
        <w:jc w:val="both"/>
        <w:rPr>
          <w:rFonts w:ascii="Times New Roman" w:hAnsi="Times New Roman" w:eastAsia="SimSun" w:cs="Times New Roman"/>
          <w:bCs/>
          <w:sz w:val="24"/>
          <w:szCs w:val="24"/>
        </w:rPr>
      </w:pPr>
      <w:r>
        <w:rPr>
          <w:rFonts w:ascii="Times New Roman" w:hAnsi="Times New Roman" w:eastAsia="SimSun" w:cs="Times New Roman"/>
          <w:bCs/>
          <w:sz w:val="24"/>
          <w:szCs w:val="24"/>
        </w:rPr>
        <w:t xml:space="preserve">Aspek yang ketiga yaitu pencapaian akademik. </w:t>
      </w:r>
      <w:r>
        <w:rPr>
          <w:rFonts w:ascii="Times New Roman" w:hAnsi="Times New Roman" w:eastAsia="SimSun" w:cs="Times New Roman"/>
          <w:bCs/>
          <w:sz w:val="24"/>
          <w:szCs w:val="24"/>
          <w:lang w:val="id-ID"/>
        </w:rPr>
        <w:t xml:space="preserve">Pencapaian akademik </w:t>
      </w:r>
      <w:r>
        <w:rPr>
          <w:rFonts w:ascii="Times New Roman" w:hAnsi="Times New Roman" w:eastAsia="SimSun" w:cs="Times New Roman"/>
          <w:bCs/>
          <w:sz w:val="24"/>
          <w:szCs w:val="24"/>
        </w:rPr>
        <w:t>merupakan persepsi siswa terhadap pihak-pihak yang terlibat selama proses belajar mengajar</w:t>
      </w:r>
      <w:r>
        <w:rPr>
          <w:rFonts w:ascii="Times New Roman" w:hAnsi="Times New Roman" w:eastAsia="SimSun" w:cs="Times New Roman"/>
          <w:bCs/>
          <w:sz w:val="24"/>
          <w:szCs w:val="24"/>
          <w:lang w:val="id-ID"/>
        </w:rPr>
        <w:t>. Aspek pencapaian akademik didukung oleh kondisi lingkungan psikologis proses pembelajaran di sekolah yang dipengaruhi oleh pihak-pihak yang terlibat dalam proses pembelajaran seperti siswa, guru dan staf. Lingkungan psikologis dibentuk oleh kondisi emosional dan sosial lembaga. Siswa yang berminat dalam pembelajaran dapat tercapai jika kondisi lingkungan tenang dan mendukung. Hal tersebut bertujuan untuk mengetahui</w:t>
      </w:r>
      <w:r>
        <w:rPr>
          <w:rFonts w:ascii="Times New Roman" w:hAnsi="Times New Roman" w:eastAsia="SimSun" w:cs="Times New Roman"/>
          <w:bCs/>
          <w:sz w:val="24"/>
          <w:szCs w:val="24"/>
        </w:rPr>
        <w:t xml:space="preserve"> penilaian siswa terhadap</w:t>
      </w:r>
      <w:r>
        <w:rPr>
          <w:rFonts w:ascii="Times New Roman" w:hAnsi="Times New Roman" w:eastAsia="SimSun" w:cs="Times New Roman"/>
          <w:bCs/>
          <w:sz w:val="24"/>
          <w:szCs w:val="24"/>
          <w:lang w:val="id-ID"/>
        </w:rPr>
        <w:t xml:space="preserve"> </w:t>
      </w:r>
      <w:r>
        <w:rPr>
          <w:rFonts w:ascii="Times New Roman" w:hAnsi="Times New Roman" w:eastAsia="SimSun" w:cs="Times New Roman"/>
          <w:bCs/>
          <w:sz w:val="24"/>
          <w:szCs w:val="24"/>
        </w:rPr>
        <w:t>pihak-pihak yang terlibat selama proses belajar mengajar seperti siswa, guru dan staf pengajar</w:t>
      </w:r>
      <w:r>
        <w:rPr>
          <w:rFonts w:ascii="Times New Roman" w:hAnsi="Times New Roman" w:eastAsia="SimSun" w:cs="Times New Roman"/>
          <w:bCs/>
          <w:sz w:val="24"/>
          <w:szCs w:val="24"/>
          <w:lang w:val="id-ID"/>
        </w:rPr>
        <w:t>, dengan harapan dapat memperbaiki dan meningkatkan proses pembelajaran selanjutnya.</w:t>
      </w:r>
      <w:r>
        <w:rPr>
          <w:rFonts w:ascii="Times New Roman" w:hAnsi="Times New Roman" w:eastAsia="SimSun" w:cs="Times New Roman"/>
          <w:bCs/>
          <w:sz w:val="24"/>
          <w:szCs w:val="24"/>
        </w:rPr>
        <w:t xml:space="preserve"> </w:t>
      </w:r>
      <w:r>
        <w:rPr>
          <w:rFonts w:ascii="Times New Roman" w:hAnsi="Times New Roman" w:eastAsia="SimSun" w:cs="Times New Roman"/>
          <w:bCs/>
          <w:sz w:val="24"/>
          <w:szCs w:val="24"/>
          <w:lang w:val="id-ID"/>
        </w:rPr>
        <w:t xml:space="preserve">Siswa yang menganggap lingkungan belajar positif mampu berpikir lebih kreatif dalam mencari strategi pembelajaran yang efektif </w:t>
      </w:r>
      <w:r>
        <w:rPr>
          <w:rFonts w:ascii="Times New Roman" w:hAnsi="Times New Roman" w:eastAsia="SimSun" w:cs="Times New Roman"/>
          <w:bCs/>
          <w:sz w:val="24"/>
          <w:szCs w:val="24"/>
        </w:rPr>
        <w:t>(</w:t>
      </w:r>
      <w:r>
        <w:rPr>
          <w:rFonts w:ascii="Times New Roman" w:hAnsi="Times New Roman" w:eastAsia="SimSun" w:cs="Times New Roman"/>
          <w:bCs/>
          <w:sz w:val="24"/>
          <w:szCs w:val="24"/>
          <w:lang w:val="id-ID"/>
        </w:rPr>
        <w:fldChar w:fldCharType="begin" w:fldLock="1"/>
      </w:r>
      <w:r>
        <w:rPr>
          <w:rFonts w:ascii="Times New Roman" w:hAnsi="Times New Roman" w:eastAsia="SimSun" w:cs="Times New Roman"/>
          <w:bCs/>
          <w:sz w:val="24"/>
          <w:szCs w:val="24"/>
          <w:lang w:val="id-ID"/>
        </w:rPr>
        <w:instrText xml:space="preserve">ADDIN CSL_CITATION {"citationItems":[{"id":"ITEM-1","itemData":{"author":[{"dropping-particle":"","family":"Roff","given":"S","non-dropping-particle":"","parse-names":false,"suffix":""}],"container-title":"Medical Teacher","id":"ITEM-1","issue":"4","issued":{"date-parts":[["2005"]]},"page":"322-325","title":"The dundee ready educational environment measure (dreem)- a generic instrument for measuring student's perceptions of undergraduate health professions curricula.","type":"article-journal","volume":"27"},"uris":["http://www.mendeley.com/documents/?uuid=a850a741-550c-4432-b5b8-382787ebb6ce"]}],"mendeley":{"formattedCitation":"(Roff, 2005)","manualFormatting":"Roff 2005)","plainTextFormattedCitation":"(Roff, 2005)","previouslyFormattedCitation":"(Roff, 2005)"},"properties":{"noteIndex":0},"schema":"https://github.com/citation-style-language/schema/raw/master/csl-citation.json"}</w:instrText>
      </w:r>
      <w:r>
        <w:rPr>
          <w:rFonts w:ascii="Times New Roman" w:hAnsi="Times New Roman" w:eastAsia="SimSun" w:cs="Times New Roman"/>
          <w:bCs/>
          <w:sz w:val="24"/>
          <w:szCs w:val="24"/>
          <w:lang w:val="id-ID"/>
        </w:rPr>
        <w:fldChar w:fldCharType="separate"/>
      </w:r>
      <w:r>
        <w:rPr>
          <w:rFonts w:ascii="Times New Roman" w:hAnsi="Times New Roman" w:eastAsia="SimSun" w:cs="Times New Roman"/>
          <w:bCs/>
          <w:sz w:val="24"/>
          <w:szCs w:val="24"/>
          <w:lang w:val="id-ID"/>
        </w:rPr>
        <w:t>Roff 2005)</w:t>
      </w:r>
      <w:r>
        <w:rPr>
          <w:rFonts w:ascii="Times New Roman" w:hAnsi="Times New Roman" w:eastAsia="SimSun" w:cs="Times New Roman"/>
          <w:bCs/>
          <w:sz w:val="24"/>
          <w:szCs w:val="24"/>
          <w:lang w:val="id-ID"/>
        </w:rPr>
        <w:fldChar w:fldCharType="end"/>
      </w:r>
      <w:r>
        <w:rPr>
          <w:rFonts w:ascii="Times New Roman" w:hAnsi="Times New Roman" w:eastAsia="SimSun" w:cs="Times New Roman"/>
          <w:bCs/>
          <w:sz w:val="24"/>
          <w:szCs w:val="24"/>
        </w:rPr>
        <w:t>. Persepsi siswa terhadap pihak-pihak yang terlibat selama proses pembelajaran yang positif akan meningkatkan siswa dalam minat belajar yang baik.</w:t>
      </w:r>
    </w:p>
    <w:p>
      <w:pPr>
        <w:spacing w:line="480" w:lineRule="auto"/>
        <w:ind w:firstLine="360"/>
        <w:jc w:val="both"/>
        <w:rPr>
          <w:rFonts w:ascii="Times New Roman" w:hAnsi="Times New Roman" w:eastAsia="SimSun" w:cs="Times New Roman"/>
          <w:bCs/>
          <w:sz w:val="24"/>
          <w:szCs w:val="24"/>
        </w:rPr>
      </w:pPr>
      <w:r>
        <w:rPr>
          <w:rFonts w:ascii="Times New Roman" w:hAnsi="Times New Roman" w:eastAsia="SimSun" w:cs="Times New Roman"/>
          <w:bCs/>
          <w:sz w:val="24"/>
          <w:szCs w:val="24"/>
        </w:rPr>
        <w:t xml:space="preserve">Berikutnya aspek yang keempat yaitu suasana pembelajaran. </w:t>
      </w:r>
      <w:r>
        <w:rPr>
          <w:rFonts w:ascii="Times New Roman" w:hAnsi="Times New Roman" w:eastAsia="SimSun" w:cs="Times New Roman"/>
          <w:bCs/>
          <w:sz w:val="24"/>
          <w:szCs w:val="24"/>
          <w:lang w:val="id-ID"/>
        </w:rPr>
        <w:t>Suasana pembelajaran</w:t>
      </w:r>
      <w:r>
        <w:rPr>
          <w:rFonts w:ascii="Times New Roman" w:hAnsi="Times New Roman" w:eastAsia="SimSun" w:cs="Times New Roman"/>
          <w:bCs/>
          <w:sz w:val="24"/>
          <w:szCs w:val="24"/>
        </w:rPr>
        <w:t xml:space="preserve"> merupakan penilaian siswa terhadap lingkungan belajar</w:t>
      </w:r>
      <w:r>
        <w:rPr>
          <w:rFonts w:ascii="Times New Roman" w:hAnsi="Times New Roman" w:eastAsia="SimSun" w:cs="Times New Roman"/>
          <w:bCs/>
          <w:sz w:val="24"/>
          <w:szCs w:val="24"/>
          <w:lang w:val="id-ID"/>
        </w:rPr>
        <w:t xml:space="preserve"> yang </w:t>
      </w:r>
      <w:r>
        <w:rPr>
          <w:rFonts w:ascii="Times New Roman" w:hAnsi="Times New Roman" w:eastAsia="SimSun" w:cs="Times New Roman"/>
          <w:bCs/>
          <w:sz w:val="24"/>
          <w:szCs w:val="24"/>
        </w:rPr>
        <w:t xml:space="preserve">telah dilakukan. </w:t>
      </w:r>
      <w:r>
        <w:rPr>
          <w:rFonts w:ascii="Times New Roman" w:hAnsi="Times New Roman" w:eastAsia="SimSun" w:cs="Times New Roman"/>
          <w:bCs/>
          <w:sz w:val="24"/>
          <w:szCs w:val="24"/>
          <w:lang w:val="id-ID"/>
        </w:rPr>
        <w:t>Suasana belajar yang baik bagi siswa perlu diadakan kegiatan evaluasi yang dilakukan guna dapat menjadi bahan pertimbangan untuk menciptakan suasana pembelajaran yang lebih baik. Kondisi ini dapat menunjang dalam proses pembelajaran se</w:t>
      </w:r>
      <w:r>
        <w:rPr>
          <w:rFonts w:ascii="Times New Roman" w:hAnsi="Times New Roman" w:eastAsia="SimSun" w:cs="Times New Roman"/>
          <w:bCs/>
          <w:sz w:val="24"/>
          <w:szCs w:val="24"/>
        </w:rPr>
        <w:t>r</w:t>
      </w:r>
      <w:r>
        <w:rPr>
          <w:rFonts w:ascii="Times New Roman" w:hAnsi="Times New Roman" w:eastAsia="SimSun" w:cs="Times New Roman"/>
          <w:bCs/>
          <w:sz w:val="24"/>
          <w:szCs w:val="24"/>
          <w:lang w:val="id-ID"/>
        </w:rPr>
        <w:t>ta mencapai hasil yang optimal nantinya.</w:t>
      </w:r>
      <w:r>
        <w:rPr>
          <w:rFonts w:ascii="Times New Roman" w:hAnsi="Times New Roman" w:eastAsia="SimSun" w:cs="Times New Roman"/>
          <w:bCs/>
          <w:sz w:val="24"/>
          <w:szCs w:val="24"/>
        </w:rPr>
        <w:t xml:space="preserve"> Perlunya evaluasi dalam menentukan suasana pembelajaran yang dapat mendukung dan situasi tenang sehingga kegiatan belajar mengajar mahasiswa dapat fokus dalam pembelajaran (</w:t>
      </w:r>
      <w:r>
        <w:rPr>
          <w:rFonts w:ascii="Times New Roman" w:hAnsi="Times New Roman" w:eastAsia="SimSun" w:cs="Times New Roman"/>
          <w:bCs/>
          <w:sz w:val="24"/>
          <w:szCs w:val="24"/>
          <w:lang w:val="id-ID"/>
        </w:rPr>
        <w:fldChar w:fldCharType="begin" w:fldLock="1"/>
      </w:r>
      <w:r>
        <w:rPr>
          <w:rFonts w:ascii="Times New Roman" w:hAnsi="Times New Roman" w:eastAsia="SimSun" w:cs="Times New Roman"/>
          <w:bCs/>
          <w:sz w:val="24"/>
          <w:szCs w:val="24"/>
          <w:lang w:val="id-ID"/>
        </w:rPr>
        <w:instrText xml:space="preserve">ADDIN CSL_CITATION {"citationItems":[{"id":"ITEM-1","itemData":{"author":[{"dropping-particle":"","family":"Roff","given":"S","non-dropping-particle":"","parse-names":false,"suffix":""}],"container-title":"Medical Teacher","id":"ITEM-1","issue":"4","issued":{"date-parts":[["2005"]]},"page":"322-325","title":"The dundee ready educational environment measure (dreem)- a generic instrument for measuring student's perceptions of undergraduate health professions curricula.","type":"article-journal","volume":"27"},"uris":["http://www.mendeley.com/documents/?uuid=a850a741-550c-4432-b5b8-382787ebb6ce"]}],"mendeley":{"formattedCitation":"(Roff, 2005)","manualFormatting":"Roff 2005)","plainTextFormattedCitation":"(Roff, 2005)","previouslyFormattedCitation":"(Roff, 2005)"},"properties":{"noteIndex":0},"schema":"https://github.com/citation-style-language/schema/raw/master/csl-citation.json"}</w:instrText>
      </w:r>
      <w:r>
        <w:rPr>
          <w:rFonts w:ascii="Times New Roman" w:hAnsi="Times New Roman" w:eastAsia="SimSun" w:cs="Times New Roman"/>
          <w:bCs/>
          <w:sz w:val="24"/>
          <w:szCs w:val="24"/>
          <w:lang w:val="id-ID"/>
        </w:rPr>
        <w:fldChar w:fldCharType="separate"/>
      </w:r>
      <w:r>
        <w:rPr>
          <w:rFonts w:ascii="Times New Roman" w:hAnsi="Times New Roman" w:eastAsia="SimSun" w:cs="Times New Roman"/>
          <w:bCs/>
          <w:sz w:val="24"/>
          <w:szCs w:val="24"/>
          <w:lang w:val="id-ID"/>
        </w:rPr>
        <w:t>Roff 2005)</w:t>
      </w:r>
      <w:r>
        <w:rPr>
          <w:rFonts w:ascii="Times New Roman" w:hAnsi="Times New Roman" w:eastAsia="SimSun" w:cs="Times New Roman"/>
          <w:bCs/>
          <w:sz w:val="24"/>
          <w:szCs w:val="24"/>
          <w:lang w:val="id-ID"/>
        </w:rPr>
        <w:fldChar w:fldCharType="end"/>
      </w:r>
      <w:r>
        <w:rPr>
          <w:rFonts w:ascii="Times New Roman" w:hAnsi="Times New Roman" w:eastAsia="SimSun" w:cs="Times New Roman"/>
          <w:bCs/>
          <w:sz w:val="24"/>
          <w:szCs w:val="24"/>
        </w:rPr>
        <w:t>. Persepsi siswa terhadap pihak-pihak yang terlibat selama proses pembelajaran yang positif akan meningkatkan siswa dalam minat belajar yang baik.</w:t>
      </w:r>
    </w:p>
    <w:p>
      <w:pPr>
        <w:spacing w:after="0" w:line="480" w:lineRule="auto"/>
        <w:ind w:firstLine="416"/>
        <w:jc w:val="both"/>
        <w:rPr>
          <w:rFonts w:ascii="Times New Roman" w:hAnsi="Times New Roman" w:cs="Times New Roman"/>
          <w:bCs/>
          <w:sz w:val="24"/>
          <w:szCs w:val="24"/>
          <w:lang w:val="id-ID"/>
        </w:rPr>
      </w:pPr>
      <w:r>
        <w:rPr>
          <w:rFonts w:ascii="Times New Roman" w:hAnsi="Times New Roman" w:eastAsia="SimSun" w:cs="Times New Roman"/>
          <w:bCs/>
          <w:sz w:val="24"/>
          <w:szCs w:val="24"/>
        </w:rPr>
        <w:t xml:space="preserve">Aspek yang terakhir atau kelima yaitu lingkungan sosial. </w:t>
      </w:r>
      <w:r>
        <w:rPr>
          <w:rFonts w:ascii="Times New Roman" w:hAnsi="Times New Roman" w:eastAsia="SimSun" w:cs="Times New Roman"/>
          <w:bCs/>
          <w:sz w:val="24"/>
          <w:szCs w:val="24"/>
          <w:lang w:val="id-ID"/>
        </w:rPr>
        <w:t xml:space="preserve">Lingkungan sosial </w:t>
      </w:r>
      <w:r>
        <w:rPr>
          <w:rFonts w:ascii="Times New Roman" w:hAnsi="Times New Roman" w:eastAsia="SimSun" w:cs="Times New Roman"/>
          <w:bCs/>
          <w:sz w:val="24"/>
          <w:szCs w:val="24"/>
        </w:rPr>
        <w:t xml:space="preserve">merupakan persepsi siswa terhadap </w:t>
      </w:r>
      <w:r>
        <w:rPr>
          <w:rFonts w:ascii="Times New Roman" w:hAnsi="Times New Roman" w:eastAsia="SimSun" w:cs="Times New Roman"/>
          <w:bCs/>
          <w:sz w:val="24"/>
          <w:szCs w:val="24"/>
          <w:lang w:val="id-ID"/>
        </w:rPr>
        <w:t xml:space="preserve">antara individu </w:t>
      </w:r>
      <w:r>
        <w:rPr>
          <w:rFonts w:ascii="Times New Roman" w:hAnsi="Times New Roman" w:eastAsia="SimSun" w:cs="Times New Roman"/>
          <w:bCs/>
          <w:sz w:val="24"/>
          <w:szCs w:val="24"/>
        </w:rPr>
        <w:t xml:space="preserve">terhadap kegiatan belajar untuk meningkatkan ketercapaian yang maksimal </w:t>
      </w:r>
      <w:r>
        <w:rPr>
          <w:rFonts w:ascii="Times New Roman" w:hAnsi="Times New Roman" w:eastAsia="SimSun" w:cs="Times New Roman"/>
          <w:bCs/>
          <w:sz w:val="24"/>
          <w:szCs w:val="24"/>
          <w:lang w:val="id-ID"/>
        </w:rPr>
        <w:t>di dalam institusi pendidikan</w:t>
      </w:r>
      <w:r>
        <w:rPr>
          <w:rFonts w:ascii="Times New Roman" w:hAnsi="Times New Roman" w:eastAsia="SimSun" w:cs="Times New Roman"/>
          <w:bCs/>
          <w:sz w:val="24"/>
          <w:szCs w:val="24"/>
        </w:rPr>
        <w:t xml:space="preserve">. </w:t>
      </w:r>
      <w:r>
        <w:rPr>
          <w:rFonts w:ascii="Times New Roman" w:hAnsi="Times New Roman" w:eastAsia="SimSun" w:cs="Times New Roman"/>
          <w:bCs/>
          <w:sz w:val="24"/>
          <w:szCs w:val="24"/>
          <w:lang w:val="id-ID"/>
        </w:rPr>
        <w:t>Lingkungan sosial memberikan pengaruh pada aktivitas belajar yang baik terhadap mahasiswa</w:t>
      </w:r>
      <w:r>
        <w:rPr>
          <w:rFonts w:ascii="Times New Roman" w:hAnsi="Times New Roman" w:eastAsia="SimSun" w:cs="Times New Roman"/>
          <w:bCs/>
          <w:sz w:val="24"/>
          <w:szCs w:val="24"/>
        </w:rPr>
        <w:t xml:space="preserve"> (</w:t>
      </w:r>
      <w:r>
        <w:rPr>
          <w:rFonts w:ascii="Times New Roman" w:hAnsi="Times New Roman" w:eastAsia="SimSun" w:cs="Times New Roman"/>
          <w:bCs/>
          <w:sz w:val="24"/>
          <w:szCs w:val="24"/>
          <w:lang w:val="id-ID"/>
        </w:rPr>
        <w:fldChar w:fldCharType="begin" w:fldLock="1"/>
      </w:r>
      <w:r>
        <w:rPr>
          <w:rFonts w:ascii="Times New Roman" w:hAnsi="Times New Roman" w:eastAsia="SimSun" w:cs="Times New Roman"/>
          <w:bCs/>
          <w:sz w:val="24"/>
          <w:szCs w:val="24"/>
          <w:lang w:val="id-ID"/>
        </w:rPr>
        <w:instrText xml:space="preserve">ADDIN CSL_CITATION {"citationItems":[{"id":"ITEM-1","itemData":{"author":[{"dropping-particle":"","family":"Roff","given":"S","non-dropping-particle":"","parse-names":false,"suffix":""}],"container-title":"Medical Teacher","id":"ITEM-1","issue":"4","issued":{"date-parts":[["2005"]]},"page":"322-325","title":"The dundee ready educational environment measure (dreem)- a generic instrument for measuring student's perceptions of undergraduate health professions curricula.","type":"article-journal","volume":"27"},"uris":["http://www.mendeley.com/documents/?uuid=a850a741-550c-4432-b5b8-382787ebb6ce"]}],"mendeley":{"formattedCitation":"(Roff, 2005)","manualFormatting":"Roff 2005)","plainTextFormattedCitation":"(Roff, 2005)","previouslyFormattedCitation":"(Roff, 2005)"},"properties":{"noteIndex":0},"schema":"https://github.com/citation-style-language/schema/raw/master/csl-citation.json"}</w:instrText>
      </w:r>
      <w:r>
        <w:rPr>
          <w:rFonts w:ascii="Times New Roman" w:hAnsi="Times New Roman" w:eastAsia="SimSun" w:cs="Times New Roman"/>
          <w:bCs/>
          <w:sz w:val="24"/>
          <w:szCs w:val="24"/>
          <w:lang w:val="id-ID"/>
        </w:rPr>
        <w:fldChar w:fldCharType="separate"/>
      </w:r>
      <w:r>
        <w:rPr>
          <w:rFonts w:ascii="Times New Roman" w:hAnsi="Times New Roman" w:eastAsia="SimSun" w:cs="Times New Roman"/>
          <w:bCs/>
          <w:sz w:val="24"/>
          <w:szCs w:val="24"/>
          <w:lang w:val="id-ID"/>
        </w:rPr>
        <w:t>Roff 2005)</w:t>
      </w:r>
      <w:r>
        <w:rPr>
          <w:rFonts w:ascii="Times New Roman" w:hAnsi="Times New Roman" w:eastAsia="SimSun" w:cs="Times New Roman"/>
          <w:bCs/>
          <w:sz w:val="24"/>
          <w:szCs w:val="24"/>
          <w:lang w:val="id-ID"/>
        </w:rPr>
        <w:fldChar w:fldCharType="end"/>
      </w:r>
      <w:r>
        <w:rPr>
          <w:rFonts w:ascii="Times New Roman" w:hAnsi="Times New Roman" w:eastAsia="SimSun" w:cs="Times New Roman"/>
          <w:bCs/>
          <w:sz w:val="24"/>
          <w:szCs w:val="24"/>
          <w:lang w:val="id-ID"/>
        </w:rPr>
        <w:t>.</w:t>
      </w:r>
      <w:r>
        <w:rPr>
          <w:rFonts w:ascii="Times New Roman" w:hAnsi="Times New Roman" w:eastAsia="SimSun" w:cs="Times New Roman"/>
          <w:bCs/>
          <w:sz w:val="24"/>
          <w:szCs w:val="24"/>
        </w:rPr>
        <w:t xml:space="preserve"> Persepsi siswa terhadap pihak-pihak yang terlibat selama proses pembelajaran yang positif akan meningkatkan siswa dalam minat belajar yang baik</w:t>
      </w:r>
    </w:p>
    <w:p>
      <w:pPr>
        <w:jc w:val="both"/>
        <w:rPr>
          <w:rFonts w:ascii="Times New Roman" w:hAnsi="Times New Roman" w:cs="Times New Roman"/>
          <w:b/>
          <w:bCs/>
          <w:sz w:val="24"/>
          <w:szCs w:val="24"/>
        </w:rPr>
      </w:pPr>
      <w:r>
        <w:rPr>
          <w:rFonts w:ascii="Times New Roman" w:hAnsi="Times New Roman" w:cs="Times New Roman"/>
          <w:b/>
          <w:bCs/>
          <w:sz w:val="24"/>
          <w:szCs w:val="24"/>
        </w:rPr>
        <w:t>METODE</w:t>
      </w:r>
    </w:p>
    <w:p>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Variabel terkait pada penelitian ini adalah minat belajar dan variabel bebas pada penelitian ini adalah persepsi lingkungan belajar. Samapel yang digunakan pada penelitian ini adalah siswa-siswi kelas IX SMA Negeri 1 Nubatukan berumur 14-18 tahun. </w:t>
      </w:r>
      <w:r>
        <w:rPr>
          <w:rFonts w:ascii="Times New Roman" w:hAnsi="Times New Roman" w:cs="Times New Roman"/>
          <w:sz w:val="24"/>
          <w:szCs w:val="24"/>
          <w:lang w:val="id-ID"/>
        </w:rPr>
        <w:t xml:space="preserve">Remaja merupakan salah satu </w:t>
      </w:r>
      <w:r>
        <w:rPr>
          <w:rFonts w:ascii="Times New Roman" w:hAnsi="Times New Roman" w:cs="Times New Roman"/>
          <w:sz w:val="24"/>
          <w:szCs w:val="24"/>
        </w:rPr>
        <w:t>f</w:t>
      </w:r>
      <w:r>
        <w:rPr>
          <w:rFonts w:ascii="Times New Roman" w:hAnsi="Times New Roman" w:cs="Times New Roman"/>
          <w:sz w:val="24"/>
          <w:szCs w:val="24"/>
          <w:lang w:val="id-ID"/>
        </w:rPr>
        <w:t>aktor penting dalam suatu interaksi dalam pendidikan sehingga menjadi unsur dasar membentuk aktivitas pendidikan.</w:t>
      </w:r>
      <w:r>
        <w:rPr>
          <w:rFonts w:ascii="Times New Roman" w:hAnsi="Times New Roman" w:cs="Times New Roman"/>
          <w:sz w:val="24"/>
          <w:szCs w:val="24"/>
        </w:rPr>
        <w:t xml:space="preserve"> Metode pengumpulan data yang dipergunakan dalam penelitian ini adalah skala psikologi yaitu skala minat belajar dan skala persepsi lingkungan belajar. Analisis data yang digunakan dalam penelitian ini yaitu menggunakan teknis statistik korelasi </w:t>
      </w:r>
      <w:r>
        <w:rPr>
          <w:rFonts w:ascii="Times New Roman" w:hAnsi="Times New Roman" w:cs="Times New Roman"/>
          <w:i/>
          <w:sz w:val="24"/>
          <w:szCs w:val="24"/>
        </w:rPr>
        <w:t>product moment</w:t>
      </w:r>
      <w:r>
        <w:rPr>
          <w:rFonts w:ascii="Times New Roman" w:hAnsi="Times New Roman" w:cs="Times New Roman"/>
          <w:sz w:val="24"/>
          <w:szCs w:val="24"/>
        </w:rPr>
        <w:t xml:space="preserve"> dari Pearson</w:t>
      </w:r>
      <w:r>
        <w:rPr>
          <w:rFonts w:ascii="Times New Roman" w:hAnsi="Times New Roman" w:cs="Times New Roman"/>
          <w:i/>
          <w:sz w:val="24"/>
          <w:szCs w:val="24"/>
        </w:rPr>
        <w:t xml:space="preserve"> </w:t>
      </w:r>
      <w:r>
        <w:rPr>
          <w:rFonts w:ascii="Times New Roman" w:hAnsi="Times New Roman" w:cs="Times New Roman"/>
          <w:sz w:val="24"/>
          <w:szCs w:val="24"/>
        </w:rPr>
        <w:t xml:space="preserve">untuk mengetahui korelasi antara variabel bebas (X) dengan variabel terikat (Y). Analisis data pada peneltiain ini dilakukan dengan menggunakan bantuan program </w:t>
      </w:r>
      <w:r>
        <w:rPr>
          <w:rFonts w:ascii="Times New Roman" w:hAnsi="Times New Roman" w:cs="Times New Roman"/>
          <w:i/>
          <w:sz w:val="24"/>
          <w:szCs w:val="24"/>
        </w:rPr>
        <w:t>Statistical Package for the Social Science (SPSS) versi 22.0 For Windows.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DAN PEMABAHASAN</w:t>
      </w:r>
    </w:p>
    <w:p>
      <w:pPr>
        <w:spacing w:line="480" w:lineRule="auto"/>
        <w:jc w:val="both"/>
        <w:rPr>
          <w:rFonts w:ascii="Times New Roman" w:hAnsi="Times New Roman" w:eastAsia="SimSun" w:cs="Times New Roman"/>
          <w:color w:val="000000"/>
          <w:sz w:val="24"/>
          <w:szCs w:val="24"/>
          <w:lang w:bidi="ar"/>
        </w:rPr>
      </w:pPr>
      <w:r>
        <w:rPr>
          <w:rFonts w:ascii="Times New Roman" w:hAnsi="Times New Roman" w:cs="Times New Roman"/>
          <w:sz w:val="24"/>
          <w:szCs w:val="24"/>
        </w:rPr>
        <w:t xml:space="preserve">Mengacu pada Azwar (2012) dari hasil perhitungan data hipotetik skor </w:t>
      </w:r>
      <w:r>
        <w:rPr>
          <w:rFonts w:ascii="Times New Roman" w:hAnsi="Times New Roman" w:eastAsia="SimSun" w:cs="Times New Roman"/>
          <w:color w:val="000000"/>
          <w:sz w:val="24"/>
          <w:szCs w:val="24"/>
          <w:lang w:bidi="ar"/>
        </w:rPr>
        <w:t>jumlah item minat belajar ada 22 pada skala yang digunakan dalam penelitian ini, skor terendah adalah 1 dan skor tertinggi adalah 4. Skor minimum hipotetik yang diperoleh adalah 1 x 22 = 22, dan skor maksimum yang diperoleh adalah 4 x 22 = 88. Rerata hipotetiknya (µ), adalah sebesar (22+88):2 =52, dengan devisiasi standar (σ) sebesar (88-22): 6 = 11. Data empirik untuk skor minimum adalah 50 dan skor maksimum empiriknya adalah 82. Rerata empiriknya adalah 64,79 dengan deviasi standar sebesar 6,781.</w:t>
      </w:r>
    </w:p>
    <w:p>
      <w:pPr>
        <w:spacing w:after="0" w:line="480" w:lineRule="auto"/>
        <w:ind w:firstLine="720"/>
        <w:jc w:val="both"/>
        <w:rPr>
          <w:rFonts w:ascii="Times New Roman" w:hAnsi="Times New Roman" w:eastAsia="SimSun" w:cs="Times New Roman"/>
          <w:color w:val="000000"/>
          <w:sz w:val="24"/>
          <w:szCs w:val="24"/>
          <w:lang w:bidi="ar"/>
        </w:rPr>
      </w:pPr>
      <w:r>
        <w:rPr>
          <w:rFonts w:ascii="Times New Roman" w:hAnsi="Times New Roman" w:cs="Times New Roman"/>
          <w:sz w:val="24"/>
          <w:szCs w:val="24"/>
        </w:rPr>
        <w:t xml:space="preserve">Hasil perhitungan data hipotetik skor </w:t>
      </w:r>
      <w:r>
        <w:rPr>
          <w:rFonts w:ascii="Times New Roman" w:hAnsi="Times New Roman" w:eastAsia="SimSun" w:cs="Times New Roman"/>
          <w:color w:val="000000"/>
          <w:sz w:val="24"/>
          <w:szCs w:val="24"/>
          <w:lang w:bidi="ar"/>
        </w:rPr>
        <w:t>jumlah item persepsi tentang lingkungan belajar ada 50 pada skala yang digunakan dalam penelitian ini, skor terendah adalah 1 dan skor tertinggi adalah 4. Skor minimum hipotetik yang diperoleh adalah 1 x 50 = 50, dan skor maksimum yang diperoleh adalah 4 x 50 = 200. Rerata hipotetiknya (µ), adalah sebesar (50+200):2 =125, dengan devisiasi standar (σ) sebesar (200-50):6= 25. Data empirik untuk skor minimum adalah 120 dan skor maksimum empiriknya adalah 182. Rerata empiriknya adalah 167,73 dengan deviasi standar sebesar 7,029.</w:t>
      </w:r>
    </w:p>
    <w:p>
      <w:pPr>
        <w:spacing w:after="0" w:line="480" w:lineRule="auto"/>
        <w:ind w:firstLine="720"/>
        <w:jc w:val="both"/>
        <w:rPr>
          <w:rFonts w:ascii="Times New Roman" w:hAnsi="Times New Roman" w:eastAsia="SimSun" w:cs="Times New Roman"/>
          <w:color w:val="000000"/>
          <w:sz w:val="24"/>
          <w:szCs w:val="24"/>
          <w:lang w:bidi="ar"/>
        </w:rPr>
        <w:sectPr>
          <w:type w:val="continuous"/>
          <w:pgSz w:w="12240" w:h="15840"/>
          <w:pgMar w:top="2268" w:right="1701" w:bottom="1701" w:left="2268" w:header="720" w:footer="720" w:gutter="0"/>
          <w:cols w:space="720" w:num="2"/>
          <w:docGrid w:linePitch="360" w:charSpace="0"/>
        </w:sectPr>
      </w:pPr>
    </w:p>
    <w:p>
      <w:pPr>
        <w:spacing w:after="0" w:line="480" w:lineRule="auto"/>
        <w:ind w:firstLine="720"/>
        <w:jc w:val="both"/>
        <w:rPr>
          <w:rFonts w:ascii="Times New Roman" w:hAnsi="Times New Roman" w:eastAsia="SimSun" w:cs="Times New Roman"/>
          <w:color w:val="000000"/>
          <w:sz w:val="24"/>
          <w:szCs w:val="24"/>
          <w:lang w:bidi="ar"/>
        </w:rPr>
      </w:pPr>
    </w:p>
    <w:p>
      <w:pPr>
        <w:pStyle w:val="2"/>
        <w:jc w:val="center"/>
        <w:rPr>
          <w:rFonts w:ascii="Times New Roman" w:hAnsi="Times New Roman" w:eastAsia="SimSun" w:cs="Times New Roman"/>
          <w:color w:val="auto"/>
          <w:lang w:bidi="ar"/>
        </w:rPr>
      </w:pPr>
      <w:bookmarkStart w:id="0" w:name="_Toc125016705"/>
      <w:r>
        <w:rPr>
          <w:rFonts w:ascii="Times New Roman" w:hAnsi="Times New Roman" w:eastAsia="SimSun" w:cs="Times New Roman"/>
          <w:color w:val="auto"/>
          <w:lang w:bidi="ar"/>
        </w:rPr>
        <w:t>Tabel 1. Deskripsi Minat Belajar dan Persepsi Lingkungan Belajar pada Siswa Kelas XI SMA Negeri 1 Nubatukan</w:t>
      </w:r>
      <w:bookmarkEnd w:id="0"/>
    </w:p>
    <w:tbl>
      <w:tblPr>
        <w:tblStyle w:val="9"/>
        <w:tblW w:w="8038" w:type="dxa"/>
        <w:tblInd w:w="279"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830"/>
        <w:gridCol w:w="580"/>
        <w:gridCol w:w="770"/>
        <w:gridCol w:w="674"/>
        <w:gridCol w:w="661"/>
        <w:gridCol w:w="544"/>
        <w:gridCol w:w="881"/>
        <w:gridCol w:w="674"/>
        <w:gridCol w:w="660"/>
        <w:gridCol w:w="76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17" w:hRule="atLeast"/>
        </w:trPr>
        <w:tc>
          <w:tcPr>
            <w:tcW w:w="1830" w:type="dxa"/>
            <w:vMerge w:val="restart"/>
            <w:tcBorders>
              <w:top w:val="single" w:color="auto" w:sz="4" w:space="0"/>
              <w:left w:val="nil"/>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Variabel</w:t>
            </w:r>
          </w:p>
        </w:tc>
        <w:tc>
          <w:tcPr>
            <w:tcW w:w="580" w:type="dxa"/>
            <w:vMerge w:val="restart"/>
            <w:tcBorders>
              <w:top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N</w:t>
            </w:r>
          </w:p>
        </w:tc>
        <w:tc>
          <w:tcPr>
            <w:tcW w:w="2105" w:type="dxa"/>
            <w:gridSpan w:val="3"/>
            <w:tcBorders>
              <w:top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Data Hipotetik</w:t>
            </w:r>
          </w:p>
        </w:tc>
        <w:tc>
          <w:tcPr>
            <w:tcW w:w="3523" w:type="dxa"/>
            <w:gridSpan w:val="5"/>
            <w:tcBorders>
              <w:top w:val="single" w:color="auto" w:sz="4" w:space="0"/>
              <w:right w:val="nil"/>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Data Empirik</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17" w:hRule="atLeast"/>
        </w:trPr>
        <w:tc>
          <w:tcPr>
            <w:tcW w:w="1830" w:type="dxa"/>
            <w:vMerge w:val="continue"/>
            <w:tcBorders>
              <w:left w:val="nil"/>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580" w:type="dxa"/>
            <w:vMerge w:val="continue"/>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770" w:type="dxa"/>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Mean</w:t>
            </w:r>
          </w:p>
        </w:tc>
        <w:tc>
          <w:tcPr>
            <w:tcW w:w="674" w:type="dxa"/>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Skor</w:t>
            </w:r>
          </w:p>
        </w:tc>
        <w:tc>
          <w:tcPr>
            <w:tcW w:w="661" w:type="dxa"/>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544" w:type="dxa"/>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SD</w:t>
            </w:r>
          </w:p>
        </w:tc>
        <w:tc>
          <w:tcPr>
            <w:tcW w:w="881" w:type="dxa"/>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Mean</w:t>
            </w:r>
          </w:p>
        </w:tc>
        <w:tc>
          <w:tcPr>
            <w:tcW w:w="674" w:type="dxa"/>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Skor</w:t>
            </w:r>
          </w:p>
        </w:tc>
        <w:tc>
          <w:tcPr>
            <w:tcW w:w="660" w:type="dxa"/>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763" w:type="dxa"/>
            <w:tcBorders>
              <w:right w:val="nil"/>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17" w:hRule="atLeast"/>
        </w:trPr>
        <w:tc>
          <w:tcPr>
            <w:tcW w:w="1830" w:type="dxa"/>
            <w:vMerge w:val="continue"/>
            <w:tcBorders>
              <w:left w:val="nil"/>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580" w:type="dxa"/>
            <w:vMerge w:val="continue"/>
            <w:tcBorders>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770" w:type="dxa"/>
            <w:tcBorders>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674" w:type="dxa"/>
            <w:tcBorders>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Min</w:t>
            </w:r>
          </w:p>
        </w:tc>
        <w:tc>
          <w:tcPr>
            <w:tcW w:w="661" w:type="dxa"/>
            <w:tcBorders>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Max</w:t>
            </w:r>
          </w:p>
        </w:tc>
        <w:tc>
          <w:tcPr>
            <w:tcW w:w="544" w:type="dxa"/>
            <w:tcBorders>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881" w:type="dxa"/>
            <w:tcBorders>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p>
        </w:tc>
        <w:tc>
          <w:tcPr>
            <w:tcW w:w="674" w:type="dxa"/>
            <w:tcBorders>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Min</w:t>
            </w:r>
          </w:p>
        </w:tc>
        <w:tc>
          <w:tcPr>
            <w:tcW w:w="660" w:type="dxa"/>
            <w:tcBorders>
              <w:bottom w:val="single" w:color="auto" w:sz="4" w:space="0"/>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Max</w:t>
            </w:r>
          </w:p>
        </w:tc>
        <w:tc>
          <w:tcPr>
            <w:tcW w:w="763" w:type="dxa"/>
            <w:tcBorders>
              <w:bottom w:val="single" w:color="auto" w:sz="4" w:space="0"/>
              <w:right w:val="nil"/>
            </w:tcBorders>
            <w:vAlign w:val="center"/>
          </w:tcPr>
          <w:p>
            <w:pPr>
              <w:pStyle w:val="13"/>
              <w:widowControl w:val="0"/>
              <w:spacing w:after="0" w:line="480" w:lineRule="auto"/>
              <w:ind w:left="0"/>
              <w:jc w:val="center"/>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SD</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17" w:hRule="atLeast"/>
        </w:trPr>
        <w:tc>
          <w:tcPr>
            <w:tcW w:w="1830" w:type="dxa"/>
            <w:tcBorders>
              <w:left w:val="nil"/>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Minat Belajar</w:t>
            </w:r>
          </w:p>
        </w:tc>
        <w:tc>
          <w:tcPr>
            <w:tcW w:w="580" w:type="dxa"/>
            <w:tcBorders>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159</w:t>
            </w:r>
          </w:p>
        </w:tc>
        <w:tc>
          <w:tcPr>
            <w:tcW w:w="770" w:type="dxa"/>
            <w:tcBorders>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52</w:t>
            </w:r>
          </w:p>
        </w:tc>
        <w:tc>
          <w:tcPr>
            <w:tcW w:w="674" w:type="dxa"/>
            <w:tcBorders>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22</w:t>
            </w:r>
          </w:p>
        </w:tc>
        <w:tc>
          <w:tcPr>
            <w:tcW w:w="661" w:type="dxa"/>
            <w:tcBorders>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88</w:t>
            </w:r>
          </w:p>
        </w:tc>
        <w:tc>
          <w:tcPr>
            <w:tcW w:w="544" w:type="dxa"/>
            <w:tcBorders>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11</w:t>
            </w:r>
          </w:p>
        </w:tc>
        <w:tc>
          <w:tcPr>
            <w:tcW w:w="881" w:type="dxa"/>
            <w:tcBorders>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64,79</w:t>
            </w:r>
          </w:p>
        </w:tc>
        <w:tc>
          <w:tcPr>
            <w:tcW w:w="674" w:type="dxa"/>
            <w:tcBorders>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50</w:t>
            </w:r>
          </w:p>
        </w:tc>
        <w:tc>
          <w:tcPr>
            <w:tcW w:w="660" w:type="dxa"/>
            <w:tcBorders>
              <w:bottom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82</w:t>
            </w:r>
          </w:p>
        </w:tc>
        <w:tc>
          <w:tcPr>
            <w:tcW w:w="763" w:type="dxa"/>
            <w:tcBorders>
              <w:bottom w:val="nil"/>
              <w:right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6,781</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17" w:hRule="atLeast"/>
        </w:trPr>
        <w:tc>
          <w:tcPr>
            <w:tcW w:w="1830" w:type="dxa"/>
            <w:tcBorders>
              <w:top w:val="nil"/>
              <w:left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Persepsi Lingkungan Belajar</w:t>
            </w:r>
          </w:p>
        </w:tc>
        <w:tc>
          <w:tcPr>
            <w:tcW w:w="580" w:type="dxa"/>
            <w:tcBorders>
              <w:top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159</w:t>
            </w:r>
          </w:p>
        </w:tc>
        <w:tc>
          <w:tcPr>
            <w:tcW w:w="770" w:type="dxa"/>
            <w:tcBorders>
              <w:top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125</w:t>
            </w:r>
          </w:p>
        </w:tc>
        <w:tc>
          <w:tcPr>
            <w:tcW w:w="674" w:type="dxa"/>
            <w:tcBorders>
              <w:top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50</w:t>
            </w:r>
          </w:p>
        </w:tc>
        <w:tc>
          <w:tcPr>
            <w:tcW w:w="661" w:type="dxa"/>
            <w:tcBorders>
              <w:top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200</w:t>
            </w:r>
          </w:p>
        </w:tc>
        <w:tc>
          <w:tcPr>
            <w:tcW w:w="544" w:type="dxa"/>
            <w:tcBorders>
              <w:top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25</w:t>
            </w:r>
          </w:p>
        </w:tc>
        <w:tc>
          <w:tcPr>
            <w:tcW w:w="881" w:type="dxa"/>
            <w:tcBorders>
              <w:top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167,73</w:t>
            </w:r>
          </w:p>
        </w:tc>
        <w:tc>
          <w:tcPr>
            <w:tcW w:w="674" w:type="dxa"/>
            <w:tcBorders>
              <w:top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152</w:t>
            </w:r>
          </w:p>
        </w:tc>
        <w:tc>
          <w:tcPr>
            <w:tcW w:w="660" w:type="dxa"/>
            <w:tcBorders>
              <w:top w:val="nil"/>
              <w:bottom w:val="single" w:color="auto" w:sz="4" w:space="0"/>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182</w:t>
            </w:r>
          </w:p>
        </w:tc>
        <w:tc>
          <w:tcPr>
            <w:tcW w:w="763" w:type="dxa"/>
            <w:tcBorders>
              <w:top w:val="nil"/>
              <w:bottom w:val="single" w:color="auto" w:sz="4" w:space="0"/>
              <w:right w:val="nil"/>
            </w:tcBorders>
          </w:tcPr>
          <w:p>
            <w:pPr>
              <w:pStyle w:val="13"/>
              <w:widowControl w:val="0"/>
              <w:spacing w:after="0" w:line="480" w:lineRule="auto"/>
              <w:ind w:left="0"/>
              <w:jc w:val="both"/>
              <w:rPr>
                <w:rFonts w:ascii="Times New Roman" w:hAnsi="Times New Roman" w:eastAsia="SimSun" w:cs="Times New Roman"/>
                <w:color w:val="000000"/>
                <w:szCs w:val="24"/>
                <w:lang w:bidi="ar"/>
              </w:rPr>
            </w:pPr>
            <w:r>
              <w:rPr>
                <w:rFonts w:ascii="Times New Roman" w:hAnsi="Times New Roman" w:eastAsia="SimSun" w:cs="Times New Roman"/>
                <w:color w:val="000000"/>
                <w:szCs w:val="24"/>
                <w:lang w:bidi="ar"/>
              </w:rPr>
              <w:t>7,029</w:t>
            </w:r>
          </w:p>
        </w:tc>
      </w:tr>
    </w:tbl>
    <w:p>
      <w:pPr>
        <w:pStyle w:val="13"/>
        <w:spacing w:after="0" w:line="240" w:lineRule="auto"/>
        <w:ind w:firstLine="360"/>
        <w:jc w:val="both"/>
        <w:rPr>
          <w:rFonts w:ascii="Times New Roman" w:hAnsi="Times New Roman" w:eastAsia="SimSun" w:cs="Times New Roman"/>
          <w:color w:val="000000"/>
          <w:sz w:val="24"/>
          <w:szCs w:val="24"/>
          <w:lang w:bidi="ar"/>
        </w:rPr>
      </w:pPr>
      <w:r>
        <w:rPr>
          <w:rFonts w:ascii="Times New Roman" w:hAnsi="Times New Roman" w:eastAsia="SimSun" w:cs="Times New Roman"/>
          <w:color w:val="000000"/>
          <w:sz w:val="24"/>
          <w:szCs w:val="24"/>
          <w:lang w:bidi="ar"/>
        </w:rPr>
        <w:t>Keterangan:</w:t>
      </w:r>
    </w:p>
    <w:p>
      <w:pPr>
        <w:pStyle w:val="13"/>
        <w:spacing w:after="0" w:line="240" w:lineRule="auto"/>
        <w:ind w:firstLine="360"/>
        <w:jc w:val="both"/>
        <w:rPr>
          <w:rFonts w:ascii="Times New Roman" w:hAnsi="Times New Roman" w:eastAsia="SimSun" w:cs="Times New Roman"/>
          <w:color w:val="000000"/>
          <w:sz w:val="24"/>
          <w:szCs w:val="24"/>
          <w:lang w:bidi="ar"/>
        </w:rPr>
      </w:pPr>
      <w:r>
        <w:rPr>
          <w:rFonts w:ascii="Times New Roman" w:hAnsi="Times New Roman" w:eastAsia="SimSun" w:cs="Times New Roman"/>
          <w:color w:val="000000"/>
          <w:sz w:val="24"/>
          <w:szCs w:val="24"/>
          <w:lang w:bidi="ar"/>
        </w:rPr>
        <w:t>Min: Minimal</w:t>
      </w:r>
    </w:p>
    <w:p>
      <w:pPr>
        <w:pStyle w:val="13"/>
        <w:spacing w:after="0" w:line="240" w:lineRule="auto"/>
        <w:ind w:firstLine="360"/>
        <w:jc w:val="both"/>
        <w:rPr>
          <w:rFonts w:ascii="Times New Roman" w:hAnsi="Times New Roman" w:eastAsia="SimSun" w:cs="Times New Roman"/>
          <w:color w:val="000000"/>
          <w:sz w:val="24"/>
          <w:szCs w:val="24"/>
          <w:lang w:bidi="ar"/>
        </w:rPr>
      </w:pPr>
      <w:r>
        <w:rPr>
          <w:rFonts w:ascii="Times New Roman" w:hAnsi="Times New Roman" w:eastAsia="SimSun" w:cs="Times New Roman"/>
          <w:color w:val="000000"/>
          <w:sz w:val="24"/>
          <w:szCs w:val="24"/>
          <w:lang w:bidi="ar"/>
        </w:rPr>
        <w:t>Max: Maksimal</w:t>
      </w:r>
    </w:p>
    <w:p>
      <w:pPr>
        <w:pStyle w:val="13"/>
        <w:spacing w:after="0" w:line="240" w:lineRule="auto"/>
        <w:ind w:firstLine="360"/>
        <w:jc w:val="both"/>
        <w:rPr>
          <w:rFonts w:ascii="Times New Roman" w:hAnsi="Times New Roman" w:eastAsia="SimSun" w:cs="Times New Roman"/>
          <w:color w:val="000000"/>
          <w:sz w:val="24"/>
          <w:szCs w:val="24"/>
          <w:lang w:bidi="ar"/>
        </w:rPr>
      </w:pPr>
      <w:r>
        <w:rPr>
          <w:rFonts w:ascii="Times New Roman" w:hAnsi="Times New Roman" w:eastAsia="SimSun" w:cs="Times New Roman"/>
          <w:color w:val="000000"/>
          <w:sz w:val="24"/>
          <w:szCs w:val="24"/>
          <w:lang w:bidi="ar"/>
        </w:rPr>
        <w:t>M:</w:t>
      </w:r>
      <w:r>
        <w:rPr>
          <w:rFonts w:ascii="Times New Roman" w:hAnsi="Times New Roman" w:eastAsia="SimSun" w:cs="Times New Roman"/>
          <w:color w:val="000000"/>
          <w:sz w:val="24"/>
          <w:szCs w:val="24"/>
          <w:lang w:bidi="ar"/>
        </w:rPr>
        <w:tab/>
      </w:r>
      <w:r>
        <w:rPr>
          <w:rFonts w:ascii="Times New Roman" w:hAnsi="Times New Roman" w:eastAsia="SimSun" w:cs="Times New Roman"/>
          <w:color w:val="000000"/>
          <w:sz w:val="24"/>
          <w:szCs w:val="24"/>
          <w:lang w:bidi="ar"/>
        </w:rPr>
        <w:t>Rerata</w:t>
      </w:r>
    </w:p>
    <w:p>
      <w:pPr>
        <w:pStyle w:val="13"/>
        <w:spacing w:after="0" w:line="480" w:lineRule="auto"/>
        <w:ind w:firstLine="360"/>
        <w:jc w:val="both"/>
        <w:rPr>
          <w:rFonts w:ascii="Times New Roman" w:hAnsi="Times New Roman" w:eastAsia="SimSun" w:cs="Times New Roman"/>
          <w:color w:val="000000"/>
          <w:sz w:val="24"/>
          <w:szCs w:val="24"/>
          <w:lang w:bidi="ar"/>
        </w:rPr>
        <w:sectPr>
          <w:type w:val="continuous"/>
          <w:pgSz w:w="12240" w:h="15840"/>
          <w:pgMar w:top="2268" w:right="1701" w:bottom="1701" w:left="2268" w:header="720" w:footer="720" w:gutter="0"/>
          <w:cols w:space="720" w:num="1"/>
          <w:docGrid w:linePitch="360" w:charSpace="0"/>
        </w:sectPr>
      </w:pPr>
      <w:r>
        <w:rPr>
          <w:rFonts w:ascii="Times New Roman" w:hAnsi="Times New Roman" w:eastAsia="SimSun" w:cs="Times New Roman"/>
          <w:color w:val="000000"/>
          <w:sz w:val="24"/>
          <w:szCs w:val="24"/>
          <w:lang w:bidi="ar"/>
        </w:rPr>
        <w:t>SD: Standar Devisiasi</w:t>
      </w:r>
    </w:p>
    <w:p>
      <w:pPr>
        <w:spacing w:after="0" w:line="480" w:lineRule="auto"/>
        <w:ind w:firstLine="720"/>
        <w:jc w:val="both"/>
        <w:rPr>
          <w:rFonts w:ascii="Times New Roman" w:hAnsi="Times New Roman" w:eastAsia="SimSun" w:cs="Times New Roman"/>
          <w:color w:val="000000"/>
          <w:sz w:val="24"/>
          <w:szCs w:val="24"/>
          <w:lang w:bidi="ar"/>
        </w:rPr>
      </w:pPr>
      <w:r>
        <w:rPr>
          <w:rFonts w:ascii="Times New Roman" w:hAnsi="Times New Roman" w:cs="Times New Roman"/>
          <w:sz w:val="24"/>
          <w:szCs w:val="24"/>
        </w:rPr>
        <w:t xml:space="preserve">Berdasarkan data deskriptif, maka dapat dilakukan pengaktegorian pada dua variabel penelitian. Kategorisasi dalam penelitian ini bertujuan untuk menempatkan individu ke dalam kelompok-kelompok yang posisinya berjenjang menurut suatu kontinum berdasarkan atribut yang diukur (Azwar, 2012). Adapun kategorisasi yang didapatkan yaitu diketahui bahwa hasil kategorisasi skor minat belajar </w:t>
      </w:r>
      <w:r>
        <w:rPr>
          <w:rFonts w:ascii="Times New Roman" w:hAnsi="Times New Roman" w:eastAsia="SimSun" w:cs="Times New Roman"/>
          <w:color w:val="000000"/>
          <w:sz w:val="24"/>
          <w:szCs w:val="24"/>
          <w:lang w:bidi="ar"/>
        </w:rPr>
        <w:t xml:space="preserve">dari 159 responden yang ada diatas terdapat 96 responden (60,4%) memiliki minat yang tinggi, 63 responden (39,6%) memiliki tingkat minat belajar sedang. Sementara itu kategorisasi dari persepsi tentang lingkungan belajar  </w:t>
      </w:r>
      <w:r>
        <w:rPr>
          <w:rFonts w:ascii="Times New Roman" w:hAnsi="Times New Roman" w:eastAsia="SimSun" w:cs="Times New Roman"/>
          <w:b/>
          <w:color w:val="000000"/>
          <w:sz w:val="24"/>
          <w:szCs w:val="24"/>
          <w:lang w:bidi="ar"/>
        </w:rPr>
        <w:t xml:space="preserve"> </w:t>
      </w:r>
      <w:r>
        <w:rPr>
          <w:rFonts w:ascii="Times New Roman" w:hAnsi="Times New Roman" w:eastAsia="SimSun" w:cs="Times New Roman"/>
          <w:color w:val="000000"/>
          <w:sz w:val="24"/>
          <w:szCs w:val="24"/>
          <w:lang w:bidi="ar"/>
        </w:rPr>
        <w:t>Berdasarkan kategorisasi dari 159 responden yang ada diatas terdapat 159 responden (100%) memiliki persepsi tentang lingkungan belajar yang tinggi. Sehingga dapat disimpulkan bahwa subjek memiliki tingkat persepsi lingkungan belajar pada kategori tinggi.</w:t>
      </w:r>
    </w:p>
    <w:p>
      <w:pPr>
        <w:spacing w:after="0" w:line="480" w:lineRule="auto"/>
        <w:ind w:firstLine="720"/>
        <w:jc w:val="both"/>
        <w:rPr>
          <w:rFonts w:ascii="Times New Roman" w:hAnsi="Times New Roman" w:eastAsia="SimSun" w:cs="Times New Roman"/>
          <w:color w:val="000000"/>
          <w:sz w:val="24"/>
          <w:szCs w:val="24"/>
          <w:lang w:bidi="ar"/>
        </w:rPr>
      </w:pPr>
      <w:r>
        <w:rPr>
          <w:rFonts w:ascii="Times New Roman" w:hAnsi="Times New Roman" w:eastAsia="SimSun" w:cs="Times New Roman"/>
          <w:color w:val="000000"/>
          <w:sz w:val="24"/>
          <w:szCs w:val="24"/>
          <w:lang w:bidi="ar"/>
        </w:rPr>
        <w:t>Berdasarkan hasil uji normalitas variabel minat belajar diperoleh KS-Z = 0.065 dengan p (0,065) &gt; 0,005, yang berarti sebaran data variabel minat belajar mengikuti sebaran data yang normal. Kemudian pada variabel persepsi lingkungan belajar diperoleh K-S Z = 0,057 (p &gt; 0,05), yang berarti sebaran data variabel persepsi lingkungan belajar mengikuti sebaran data yang normal.</w:t>
      </w:r>
    </w:p>
    <w:p>
      <w:pPr>
        <w:spacing w:after="0" w:line="480" w:lineRule="auto"/>
        <w:ind w:firstLine="720"/>
        <w:jc w:val="both"/>
        <w:rPr>
          <w:rFonts w:ascii="Times New Roman" w:hAnsi="Times New Roman" w:eastAsia="SimSun" w:cs="Times New Roman"/>
          <w:color w:val="000000"/>
          <w:sz w:val="24"/>
          <w:szCs w:val="24"/>
          <w:lang w:bidi="ar"/>
        </w:rPr>
      </w:pPr>
      <w:r>
        <w:rPr>
          <w:rFonts w:ascii="Times New Roman" w:hAnsi="Times New Roman" w:eastAsia="SimSun" w:cs="Times New Roman"/>
          <w:color w:val="000000"/>
          <w:sz w:val="24"/>
          <w:szCs w:val="24"/>
          <w:lang w:bidi="ar"/>
        </w:rPr>
        <w:t>Hasil uji linieritas antara minat belajar dengan persepsi lingkungan belajar, menggunakan kaidah apabila nilai signifikansi &lt; 0,05 maka hubungan antara variabel bebas dan variabel tergantung merupakan hubungan yang linier. Sebaliknya, apabila nilai signifikansi ≥ 0,05 maka hubungan antara variabel bebas dan variabel tergantung bukan merupakan hubungan yang linnier. Dari uji linieritas antara minat belajar dengan persepsi lingkungan belajar didapatkan nilai F = 3764,018 (p &lt; 0,05), yang berarti hubungan antara persespsi lingkungan belajar dengan minat belajar merupakan hubungan yang linier.</w:t>
      </w:r>
    </w:p>
    <w:p>
      <w:pPr>
        <w:spacing w:after="0" w:line="480" w:lineRule="auto"/>
        <w:ind w:firstLine="720"/>
        <w:jc w:val="both"/>
        <w:rPr>
          <w:rFonts w:ascii="Times New Roman" w:hAnsi="Times New Roman" w:eastAsia="SimSun" w:cs="Times New Roman"/>
          <w:b/>
          <w:color w:val="000000"/>
          <w:sz w:val="24"/>
          <w:szCs w:val="24"/>
          <w:lang w:bidi="ar"/>
        </w:rPr>
        <w:sectPr>
          <w:type w:val="continuous"/>
          <w:pgSz w:w="12240" w:h="15840"/>
          <w:pgMar w:top="2268" w:right="1701" w:bottom="1701" w:left="2268" w:header="720" w:footer="720" w:gutter="0"/>
          <w:cols w:space="720" w:num="2"/>
          <w:docGrid w:linePitch="360" w:charSpace="0"/>
        </w:sectPr>
      </w:pPr>
    </w:p>
    <w:p>
      <w:pPr>
        <w:autoSpaceDE w:val="0"/>
        <w:autoSpaceDN w:val="0"/>
        <w:adjustRightInd w:val="0"/>
        <w:spacing w:after="0" w:line="400" w:lineRule="atLeast"/>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Tabel 2. Uji Linieritas dan Uji Hipotesis</w:t>
      </w:r>
    </w:p>
    <w:p>
      <w:pPr>
        <w:autoSpaceDE w:val="0"/>
        <w:autoSpaceDN w:val="0"/>
        <w:adjustRightInd w:val="0"/>
        <w:spacing w:after="0" w:line="240" w:lineRule="auto"/>
        <w:rPr>
          <w:rFonts w:ascii="Times New Roman" w:hAnsi="Times New Roman" w:cs="Times New Roman" w:eastAsiaTheme="minorHAnsi"/>
          <w:sz w:val="24"/>
          <w:szCs w:val="24"/>
          <w:lang w:eastAsia="en-US"/>
        </w:rPr>
      </w:pPr>
    </w:p>
    <w:tbl>
      <w:tblPr>
        <w:tblStyle w:val="4"/>
        <w:tblW w:w="8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42"/>
        <w:gridCol w:w="1009"/>
        <w:gridCol w:w="1009"/>
        <w:gridCol w:w="1010"/>
        <w:gridCol w:w="1010"/>
        <w:gridCol w:w="1010"/>
        <w:gridCol w:w="10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996" w:type="dxa"/>
            <w:gridSpan w:val="7"/>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b/>
                <w:bCs/>
                <w:color w:val="000000"/>
                <w:sz w:val="18"/>
                <w:szCs w:val="18"/>
                <w:lang w:eastAsia="en-US"/>
              </w:rPr>
              <w:t>Case Processing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42" w:type="dxa"/>
            <w:vMerge w:val="restart"/>
            <w:tcBorders>
              <w:top w:val="single" w:color="000000" w:sz="16" w:space="0"/>
              <w:left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p>
        </w:tc>
        <w:tc>
          <w:tcPr>
            <w:tcW w:w="6054" w:type="dxa"/>
            <w:gridSpan w:val="6"/>
            <w:tcBorders>
              <w:top w:val="single" w:color="000000" w:sz="16" w:space="0"/>
              <w:lef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Cases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42" w:type="dxa"/>
            <w:vMerge w:val="continue"/>
            <w:tcBorders>
              <w:top w:val="single" w:color="000000" w:sz="16" w:space="0"/>
              <w:left w:val="single" w:color="000000" w:sz="16" w:space="0"/>
              <w:bottom w:val="nil"/>
              <w:right w:val="single" w:color="000000" w:sz="16" w:space="0"/>
            </w:tcBorders>
            <w:shd w:val="clear" w:color="auto" w:fill="FFFFFF"/>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2018" w:type="dxa"/>
            <w:gridSpan w:val="2"/>
            <w:tcBorders>
              <w:lef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Included</w:t>
            </w:r>
          </w:p>
        </w:tc>
        <w:tc>
          <w:tcPr>
            <w:tcW w:w="2018" w:type="dxa"/>
            <w:gridSpan w:val="2"/>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Excluded</w:t>
            </w:r>
          </w:p>
        </w:tc>
        <w:tc>
          <w:tcPr>
            <w:tcW w:w="2018" w:type="dxa"/>
            <w:gridSpan w:val="2"/>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Total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42" w:type="dxa"/>
            <w:vMerge w:val="continue"/>
            <w:tcBorders>
              <w:top w:val="single" w:color="000000" w:sz="16" w:space="0"/>
              <w:left w:val="single" w:color="000000" w:sz="16" w:space="0"/>
              <w:bottom w:val="nil"/>
              <w:right w:val="single" w:color="000000" w:sz="16" w:space="0"/>
            </w:tcBorders>
            <w:shd w:val="clear" w:color="auto" w:fill="FFFFFF"/>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1009" w:type="dxa"/>
            <w:tcBorders>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N</w:t>
            </w:r>
          </w:p>
        </w:tc>
        <w:tc>
          <w:tcPr>
            <w:tcW w:w="1009" w:type="dxa"/>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Percent</w:t>
            </w:r>
          </w:p>
        </w:tc>
        <w:tc>
          <w:tcPr>
            <w:tcW w:w="1009" w:type="dxa"/>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N</w:t>
            </w:r>
          </w:p>
        </w:tc>
        <w:tc>
          <w:tcPr>
            <w:tcW w:w="1009" w:type="dxa"/>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Percent</w:t>
            </w:r>
          </w:p>
        </w:tc>
        <w:tc>
          <w:tcPr>
            <w:tcW w:w="1009" w:type="dxa"/>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N</w:t>
            </w:r>
          </w:p>
        </w:tc>
        <w:tc>
          <w:tcPr>
            <w:tcW w:w="1009" w:type="dxa"/>
            <w:tcBorders>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42" w:type="dxa"/>
            <w:tcBorders>
              <w:top w:val="single" w:color="000000" w:sz="16" w:space="0"/>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PERSEPSI  * MINAT</w:t>
            </w:r>
          </w:p>
        </w:tc>
        <w:tc>
          <w:tcPr>
            <w:tcW w:w="1009" w:type="dxa"/>
            <w:tcBorders>
              <w:top w:val="single" w:color="000000" w:sz="16" w:space="0"/>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159</w:t>
            </w:r>
          </w:p>
        </w:tc>
        <w:tc>
          <w:tcPr>
            <w:tcW w:w="1009" w:type="dxa"/>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100.0%</w:t>
            </w:r>
          </w:p>
        </w:tc>
        <w:tc>
          <w:tcPr>
            <w:tcW w:w="1009" w:type="dxa"/>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0</w:t>
            </w:r>
          </w:p>
        </w:tc>
        <w:tc>
          <w:tcPr>
            <w:tcW w:w="1009" w:type="dxa"/>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0.0%</w:t>
            </w:r>
          </w:p>
        </w:tc>
        <w:tc>
          <w:tcPr>
            <w:tcW w:w="1009" w:type="dxa"/>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159</w:t>
            </w:r>
          </w:p>
        </w:tc>
        <w:tc>
          <w:tcPr>
            <w:tcW w:w="1009" w:type="dxa"/>
            <w:tcBorders>
              <w:top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100.0%</w:t>
            </w:r>
          </w:p>
        </w:tc>
      </w:tr>
    </w:tbl>
    <w:p>
      <w:pPr>
        <w:autoSpaceDE w:val="0"/>
        <w:autoSpaceDN w:val="0"/>
        <w:adjustRightInd w:val="0"/>
        <w:spacing w:after="0" w:line="240" w:lineRule="auto"/>
        <w:rPr>
          <w:rFonts w:ascii="Times New Roman" w:hAnsi="Times New Roman" w:cs="Times New Roman" w:eastAsiaTheme="minorHAnsi"/>
          <w:sz w:val="24"/>
          <w:szCs w:val="24"/>
          <w:lang w:eastAsia="en-US"/>
        </w:rPr>
      </w:pPr>
    </w:p>
    <w:tbl>
      <w:tblPr>
        <w:tblStyle w:val="4"/>
        <w:tblW w:w="907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4"/>
        <w:gridCol w:w="1418"/>
        <w:gridCol w:w="1417"/>
        <w:gridCol w:w="1418"/>
        <w:gridCol w:w="851"/>
        <w:gridCol w:w="992"/>
        <w:gridCol w:w="992"/>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072" w:type="dxa"/>
            <w:gridSpan w:val="8"/>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b/>
                <w:bCs/>
                <w:color w:val="000000"/>
                <w:sz w:val="18"/>
                <w:szCs w:val="18"/>
                <w:lang w:eastAsia="en-US"/>
              </w:rPr>
              <w:t>ANOVA Table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969" w:type="dxa"/>
            <w:gridSpan w:val="3"/>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p>
        </w:tc>
        <w:tc>
          <w:tcPr>
            <w:tcW w:w="1418"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Sum of Squares</w:t>
            </w:r>
          </w:p>
        </w:tc>
        <w:tc>
          <w:tcPr>
            <w:tcW w:w="851"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df</w:t>
            </w:r>
          </w:p>
        </w:tc>
        <w:tc>
          <w:tcPr>
            <w:tcW w:w="992"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Mean Square</w:t>
            </w:r>
          </w:p>
        </w:tc>
        <w:tc>
          <w:tcPr>
            <w:tcW w:w="992"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F</w:t>
            </w:r>
          </w:p>
        </w:tc>
        <w:tc>
          <w:tcPr>
            <w:tcW w:w="85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PERSEPSI * MINAT</w:t>
            </w:r>
          </w:p>
        </w:tc>
        <w:tc>
          <w:tcPr>
            <w:tcW w:w="1418" w:type="dxa"/>
            <w:vMerge w:val="restart"/>
            <w:tcBorders>
              <w:top w:val="single" w:color="000000" w:sz="16" w:space="0"/>
              <w:left w:val="nil"/>
              <w:bottom w:val="nil"/>
              <w:right w:val="nil"/>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Between Groups</w:t>
            </w:r>
          </w:p>
        </w:tc>
        <w:tc>
          <w:tcPr>
            <w:tcW w:w="14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(Combined)</w:t>
            </w:r>
          </w:p>
        </w:tc>
        <w:tc>
          <w:tcPr>
            <w:tcW w:w="1418"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7552.950</w:t>
            </w:r>
          </w:p>
        </w:tc>
        <w:tc>
          <w:tcPr>
            <w:tcW w:w="851"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30</w:t>
            </w:r>
          </w:p>
        </w:tc>
        <w:tc>
          <w:tcPr>
            <w:tcW w:w="992"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251.765</w:t>
            </w:r>
          </w:p>
        </w:tc>
        <w:tc>
          <w:tcPr>
            <w:tcW w:w="992"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126.664</w:t>
            </w:r>
          </w:p>
        </w:tc>
        <w:tc>
          <w:tcPr>
            <w:tcW w:w="85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1418" w:type="dxa"/>
            <w:vMerge w:val="continue"/>
            <w:tcBorders>
              <w:top w:val="single" w:color="000000" w:sz="16" w:space="0"/>
              <w:left w:val="nil"/>
              <w:bottom w:val="nil"/>
              <w:right w:val="nil"/>
            </w:tcBorders>
            <w:shd w:val="clear" w:color="auto" w:fill="FFFFFF"/>
            <w:vAlign w:val="center"/>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14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Linearity</w:t>
            </w:r>
          </w:p>
        </w:tc>
        <w:tc>
          <w:tcPr>
            <w:tcW w:w="1418"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7481.603</w:t>
            </w:r>
          </w:p>
        </w:tc>
        <w:tc>
          <w:tcPr>
            <w:tcW w:w="851"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w:t>
            </w:r>
          </w:p>
        </w:tc>
        <w:tc>
          <w:tcPr>
            <w:tcW w:w="99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7481.603</w:t>
            </w:r>
          </w:p>
        </w:tc>
        <w:tc>
          <w:tcPr>
            <w:tcW w:w="99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3764.018</w:t>
            </w:r>
          </w:p>
        </w:tc>
        <w:tc>
          <w:tcPr>
            <w:tcW w:w="85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1418" w:type="dxa"/>
            <w:vMerge w:val="continue"/>
            <w:tcBorders>
              <w:top w:val="single" w:color="000000" w:sz="16" w:space="0"/>
              <w:left w:val="nil"/>
              <w:bottom w:val="nil"/>
              <w:right w:val="nil"/>
            </w:tcBorders>
            <w:shd w:val="clear" w:color="auto" w:fill="FFFFFF"/>
            <w:vAlign w:val="center"/>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14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Deviation from Linearity</w:t>
            </w:r>
          </w:p>
        </w:tc>
        <w:tc>
          <w:tcPr>
            <w:tcW w:w="1418"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71.347</w:t>
            </w:r>
          </w:p>
        </w:tc>
        <w:tc>
          <w:tcPr>
            <w:tcW w:w="851"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29</w:t>
            </w:r>
          </w:p>
        </w:tc>
        <w:tc>
          <w:tcPr>
            <w:tcW w:w="99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2.460</w:t>
            </w:r>
          </w:p>
        </w:tc>
        <w:tc>
          <w:tcPr>
            <w:tcW w:w="99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1.238</w:t>
            </w:r>
          </w:p>
        </w:tc>
        <w:tc>
          <w:tcPr>
            <w:tcW w:w="85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2835" w:type="dxa"/>
            <w:gridSpan w:val="2"/>
            <w:tcBorders>
              <w:top w:val="nil"/>
              <w:left w:val="nil"/>
              <w:bottom w:val="nil"/>
              <w:right w:val="nil"/>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Within Groups</w:t>
            </w:r>
          </w:p>
        </w:tc>
        <w:tc>
          <w:tcPr>
            <w:tcW w:w="1418"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254.421</w:t>
            </w:r>
          </w:p>
        </w:tc>
        <w:tc>
          <w:tcPr>
            <w:tcW w:w="851"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128</w:t>
            </w:r>
          </w:p>
        </w:tc>
        <w:tc>
          <w:tcPr>
            <w:tcW w:w="992"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1.988</w:t>
            </w:r>
          </w:p>
        </w:tc>
        <w:tc>
          <w:tcPr>
            <w:tcW w:w="992" w:type="dxa"/>
            <w:tcBorders>
              <w:top w:val="nil"/>
              <w:bottom w:val="nil"/>
            </w:tcBorders>
            <w:shd w:val="clear" w:color="auto" w:fill="FFFFFF"/>
          </w:tcPr>
          <w:p>
            <w:pPr>
              <w:autoSpaceDE w:val="0"/>
              <w:autoSpaceDN w:val="0"/>
              <w:adjustRightInd w:val="0"/>
              <w:spacing w:after="0" w:line="240" w:lineRule="auto"/>
              <w:rPr>
                <w:rFonts w:ascii="Times New Roman" w:hAnsi="Times New Roman" w:cs="Times New Roman" w:eastAsiaTheme="minorHAnsi"/>
                <w:sz w:val="24"/>
                <w:szCs w:val="24"/>
                <w:lang w:eastAsia="en-US"/>
              </w:rPr>
            </w:pPr>
          </w:p>
        </w:tc>
        <w:tc>
          <w:tcPr>
            <w:tcW w:w="850" w:type="dxa"/>
            <w:tcBorders>
              <w:top w:val="nil"/>
              <w:bottom w:val="nil"/>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eastAsiaTheme="minorHAnsi"/>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eastAsiaTheme="minorHAnsi"/>
                <w:sz w:val="24"/>
                <w:szCs w:val="24"/>
                <w:lang w:eastAsia="en-US"/>
              </w:rPr>
            </w:pPr>
          </w:p>
        </w:tc>
        <w:tc>
          <w:tcPr>
            <w:tcW w:w="2835" w:type="dxa"/>
            <w:gridSpan w:val="2"/>
            <w:tcBorders>
              <w:top w:val="nil"/>
              <w:left w:val="nil"/>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Total</w:t>
            </w:r>
          </w:p>
        </w:tc>
        <w:tc>
          <w:tcPr>
            <w:tcW w:w="1418"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7807.371</w:t>
            </w:r>
          </w:p>
        </w:tc>
        <w:tc>
          <w:tcPr>
            <w:tcW w:w="851"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158</w:t>
            </w:r>
          </w:p>
        </w:tc>
        <w:tc>
          <w:tcPr>
            <w:tcW w:w="992"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eastAsiaTheme="minorHAnsi"/>
                <w:sz w:val="24"/>
                <w:szCs w:val="24"/>
                <w:lang w:eastAsia="en-US"/>
              </w:rPr>
            </w:pPr>
          </w:p>
        </w:tc>
        <w:tc>
          <w:tcPr>
            <w:tcW w:w="992"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eastAsiaTheme="minorHAnsi"/>
                <w:sz w:val="24"/>
                <w:szCs w:val="24"/>
                <w:lang w:eastAsia="en-US"/>
              </w:rPr>
            </w:pPr>
          </w:p>
        </w:tc>
        <w:tc>
          <w:tcPr>
            <w:tcW w:w="85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eastAsiaTheme="minorHAnsi"/>
                <w:sz w:val="24"/>
                <w:szCs w:val="24"/>
                <w:lang w:eastAsia="en-US"/>
              </w:rPr>
            </w:pPr>
          </w:p>
        </w:tc>
      </w:tr>
    </w:tbl>
    <w:p>
      <w:pPr>
        <w:autoSpaceDE w:val="0"/>
        <w:autoSpaceDN w:val="0"/>
        <w:adjustRightInd w:val="0"/>
        <w:spacing w:after="0" w:line="240" w:lineRule="auto"/>
        <w:rPr>
          <w:rFonts w:ascii="Times New Roman" w:hAnsi="Times New Roman" w:cs="Times New Roman" w:eastAsiaTheme="minorHAnsi"/>
          <w:sz w:val="24"/>
          <w:szCs w:val="24"/>
          <w:lang w:eastAsia="en-US"/>
        </w:rPr>
      </w:pPr>
    </w:p>
    <w:tbl>
      <w:tblPr>
        <w:tblStyle w:val="4"/>
        <w:tblW w:w="640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97"/>
        <w:gridCol w:w="1009"/>
        <w:gridCol w:w="1178"/>
        <w:gridCol w:w="1009"/>
        <w:gridCol w:w="13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406" w:type="dxa"/>
            <w:gridSpan w:val="5"/>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b/>
                <w:bCs/>
                <w:color w:val="000000"/>
                <w:sz w:val="18"/>
                <w:szCs w:val="18"/>
                <w:lang w:eastAsia="en-US"/>
              </w:rPr>
              <w:t>Measures of Association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96"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p>
        </w:tc>
        <w:tc>
          <w:tcPr>
            <w:tcW w:w="100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R</w:t>
            </w:r>
          </w:p>
        </w:tc>
        <w:tc>
          <w:tcPr>
            <w:tcW w:w="11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R Squared</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Eta</w:t>
            </w:r>
          </w:p>
        </w:tc>
        <w:tc>
          <w:tcPr>
            <w:tcW w:w="1315"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Eta Squared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96" w:type="dxa"/>
            <w:tcBorders>
              <w:top w:val="single" w:color="000000" w:sz="16" w:space="0"/>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PERSEPSI * MINAT</w:t>
            </w:r>
          </w:p>
        </w:tc>
        <w:tc>
          <w:tcPr>
            <w:tcW w:w="1009" w:type="dxa"/>
            <w:tcBorders>
              <w:top w:val="single" w:color="000000" w:sz="16" w:space="0"/>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.979</w:t>
            </w:r>
          </w:p>
        </w:tc>
        <w:tc>
          <w:tcPr>
            <w:tcW w:w="1177" w:type="dxa"/>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.958</w:t>
            </w:r>
          </w:p>
        </w:tc>
        <w:tc>
          <w:tcPr>
            <w:tcW w:w="1009" w:type="dxa"/>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.984</w:t>
            </w:r>
          </w:p>
        </w:tc>
        <w:tc>
          <w:tcPr>
            <w:tcW w:w="1315" w:type="dxa"/>
            <w:tcBorders>
              <w:top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.967</w:t>
            </w:r>
          </w:p>
        </w:tc>
      </w:tr>
    </w:tbl>
    <w:p>
      <w:pPr>
        <w:autoSpaceDE w:val="0"/>
        <w:autoSpaceDN w:val="0"/>
        <w:adjustRightInd w:val="0"/>
        <w:spacing w:after="0" w:line="400" w:lineRule="atLeast"/>
        <w:rPr>
          <w:rFonts w:ascii="Times New Roman" w:hAnsi="Times New Roman" w:cs="Times New Roman" w:eastAsiaTheme="minorHAnsi"/>
          <w:sz w:val="24"/>
          <w:szCs w:val="24"/>
          <w:lang w:eastAsia="en-US"/>
        </w:rPr>
      </w:pPr>
    </w:p>
    <w:tbl>
      <w:tblPr>
        <w:tblStyle w:val="4"/>
        <w:tblW w:w="731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4"/>
        <w:gridCol w:w="1973"/>
        <w:gridCol w:w="1795"/>
        <w:gridCol w:w="2345"/>
        <w:gridCol w:w="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13" w:type="dxa"/>
            <w:gridSpan w:val="5"/>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b/>
                <w:bCs/>
                <w:color w:val="000000"/>
                <w:sz w:val="18"/>
                <w:szCs w:val="18"/>
                <w:lang w:eastAsia="en-US"/>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Pr>
        <w:tc>
          <w:tcPr>
            <w:tcW w:w="316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p>
        </w:tc>
        <w:tc>
          <w:tcPr>
            <w:tcW w:w="1795"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MINAT</w:t>
            </w:r>
          </w:p>
        </w:tc>
        <w:tc>
          <w:tcPr>
            <w:tcW w:w="2345"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PERSEPSI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Pr>
        <w:tc>
          <w:tcPr>
            <w:tcW w:w="1194" w:type="dxa"/>
            <w:vMerge w:val="restart"/>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MINAT</w:t>
            </w:r>
          </w:p>
        </w:tc>
        <w:tc>
          <w:tcPr>
            <w:tcW w:w="197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Pearson Correlation</w:t>
            </w:r>
          </w:p>
        </w:tc>
        <w:tc>
          <w:tcPr>
            <w:tcW w:w="1795"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w:t>
            </w:r>
          </w:p>
        </w:tc>
        <w:tc>
          <w:tcPr>
            <w:tcW w:w="2345"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w:t>
            </w:r>
            <w:r>
              <w:rPr>
                <w:rFonts w:ascii="Arial" w:hAnsi="Arial" w:cs="Arial" w:eastAsiaTheme="minorHAnsi"/>
                <w:color w:val="000000"/>
                <w:sz w:val="18"/>
                <w:szCs w:val="18"/>
                <w:highlight w:val="cyan"/>
                <w:lang w:eastAsia="en-US"/>
              </w:rPr>
              <w:t>979</w:t>
            </w:r>
            <w:r>
              <w:rPr>
                <w:rFonts w:ascii="Arial" w:hAnsi="Arial" w:cs="Arial" w:eastAsiaTheme="minorHAnsi"/>
                <w:color w:val="000000"/>
                <w:sz w:val="18"/>
                <w:szCs w:val="18"/>
                <w:highlight w:val="cyan"/>
                <w:vertAlign w:val="superscript"/>
                <w:lang w:eastAsia="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Pr>
        <w:tc>
          <w:tcPr>
            <w:tcW w:w="1194" w:type="dxa"/>
            <w:vMerge w:val="continue"/>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197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Sig. (1-tailed)</w:t>
            </w:r>
          </w:p>
        </w:tc>
        <w:tc>
          <w:tcPr>
            <w:tcW w:w="1795" w:type="dxa"/>
            <w:tcBorders>
              <w:top w:val="nil"/>
              <w:left w:val="single" w:color="000000" w:sz="16" w:space="0"/>
              <w:bottom w:val="nil"/>
            </w:tcBorders>
            <w:shd w:val="clear" w:color="auto" w:fill="FFFFFF"/>
          </w:tcPr>
          <w:p>
            <w:pPr>
              <w:autoSpaceDE w:val="0"/>
              <w:autoSpaceDN w:val="0"/>
              <w:adjustRightInd w:val="0"/>
              <w:spacing w:after="0" w:line="240" w:lineRule="auto"/>
              <w:rPr>
                <w:rFonts w:ascii="Times New Roman" w:hAnsi="Times New Roman" w:cs="Times New Roman" w:eastAsiaTheme="minorHAnsi"/>
                <w:sz w:val="24"/>
                <w:szCs w:val="24"/>
                <w:lang w:eastAsia="en-US"/>
              </w:rPr>
            </w:pPr>
          </w:p>
        </w:tc>
        <w:tc>
          <w:tcPr>
            <w:tcW w:w="2345"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Pr>
        <w:tc>
          <w:tcPr>
            <w:tcW w:w="1194" w:type="dxa"/>
            <w:vMerge w:val="continue"/>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197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N</w:t>
            </w:r>
          </w:p>
        </w:tc>
        <w:tc>
          <w:tcPr>
            <w:tcW w:w="179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159</w:t>
            </w:r>
          </w:p>
        </w:tc>
        <w:tc>
          <w:tcPr>
            <w:tcW w:w="2345"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Pr>
        <w:tc>
          <w:tcPr>
            <w:tcW w:w="1194" w:type="dxa"/>
            <w:vMerge w:val="restart"/>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PERSEPSI</w:t>
            </w:r>
          </w:p>
        </w:tc>
        <w:tc>
          <w:tcPr>
            <w:tcW w:w="197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Pearson Correlation</w:t>
            </w:r>
          </w:p>
        </w:tc>
        <w:tc>
          <w:tcPr>
            <w:tcW w:w="179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w:t>
            </w:r>
            <w:r>
              <w:rPr>
                <w:rFonts w:ascii="Arial" w:hAnsi="Arial" w:cs="Arial" w:eastAsiaTheme="minorHAnsi"/>
                <w:color w:val="000000"/>
                <w:sz w:val="18"/>
                <w:szCs w:val="18"/>
                <w:highlight w:val="cyan"/>
                <w:lang w:eastAsia="en-US"/>
              </w:rPr>
              <w:t>979</w:t>
            </w:r>
            <w:r>
              <w:rPr>
                <w:rFonts w:ascii="Arial" w:hAnsi="Arial" w:cs="Arial" w:eastAsiaTheme="minorHAnsi"/>
                <w:color w:val="000000"/>
                <w:sz w:val="18"/>
                <w:szCs w:val="18"/>
                <w:highlight w:val="cyan"/>
                <w:vertAlign w:val="superscript"/>
                <w:lang w:eastAsia="en-US"/>
              </w:rPr>
              <w:t>**</w:t>
            </w:r>
          </w:p>
        </w:tc>
        <w:tc>
          <w:tcPr>
            <w:tcW w:w="2345"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Pr>
        <w:tc>
          <w:tcPr>
            <w:tcW w:w="1194" w:type="dxa"/>
            <w:vMerge w:val="continue"/>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eastAsiaTheme="minorHAnsi"/>
                <w:color w:val="000000"/>
                <w:sz w:val="18"/>
                <w:szCs w:val="18"/>
                <w:lang w:eastAsia="en-US"/>
              </w:rPr>
            </w:pPr>
          </w:p>
        </w:tc>
        <w:tc>
          <w:tcPr>
            <w:tcW w:w="197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Sig. (1-tailed)</w:t>
            </w:r>
          </w:p>
        </w:tc>
        <w:tc>
          <w:tcPr>
            <w:tcW w:w="179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.000</w:t>
            </w:r>
          </w:p>
        </w:tc>
        <w:tc>
          <w:tcPr>
            <w:tcW w:w="2345" w:type="dxa"/>
            <w:tcBorders>
              <w:top w:val="nil"/>
              <w:bottom w:val="nil"/>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eastAsiaTheme="minorHAnsi"/>
                <w:sz w:val="24"/>
                <w:szCs w:val="24"/>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 w:type="dxa"/>
          <w:cantSplit/>
        </w:trPr>
        <w:tc>
          <w:tcPr>
            <w:tcW w:w="1194" w:type="dxa"/>
            <w:vMerge w:val="continue"/>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imes New Roman" w:hAnsi="Times New Roman" w:cs="Times New Roman" w:eastAsiaTheme="minorHAnsi"/>
                <w:sz w:val="24"/>
                <w:szCs w:val="24"/>
                <w:lang w:eastAsia="en-US"/>
              </w:rPr>
            </w:pPr>
          </w:p>
        </w:tc>
        <w:tc>
          <w:tcPr>
            <w:tcW w:w="197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N</w:t>
            </w:r>
          </w:p>
        </w:tc>
        <w:tc>
          <w:tcPr>
            <w:tcW w:w="1795"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159</w:t>
            </w:r>
          </w:p>
        </w:tc>
        <w:tc>
          <w:tcPr>
            <w:tcW w:w="2345" w:type="dxa"/>
            <w:tcBorders>
              <w:top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13" w:type="dxa"/>
            <w:gridSpan w:val="5"/>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eastAsiaTheme="minorHAnsi"/>
                <w:color w:val="000000"/>
                <w:sz w:val="18"/>
                <w:szCs w:val="18"/>
                <w:lang w:eastAsia="en-US"/>
              </w:rPr>
            </w:pPr>
            <w:r>
              <w:rPr>
                <w:rFonts w:ascii="Arial" w:hAnsi="Arial" w:cs="Arial" w:eastAsiaTheme="minorHAnsi"/>
                <w:color w:val="000000"/>
                <w:sz w:val="18"/>
                <w:szCs w:val="18"/>
                <w:lang w:eastAsia="en-US"/>
              </w:rPr>
              <w:t>**. Correlation is significant at the 0.01 level (1-tailed).</w:t>
            </w:r>
          </w:p>
        </w:tc>
      </w:tr>
    </w:tbl>
    <w:p>
      <w:pPr>
        <w:rPr>
          <w:rFonts w:ascii="Times New Roman" w:hAnsi="Times New Roman" w:cs="Times New Roman" w:eastAsiaTheme="minorHAnsi"/>
          <w:sz w:val="24"/>
          <w:szCs w:val="24"/>
          <w:lang w:eastAsia="en-US"/>
        </w:rPr>
        <w:sectPr>
          <w:type w:val="continuous"/>
          <w:pgSz w:w="12240" w:h="15840"/>
          <w:pgMar w:top="2268" w:right="1701" w:bottom="1701" w:left="2268" w:header="720" w:footer="720" w:gutter="0"/>
          <w:cols w:space="720" w:num="1"/>
          <w:docGrid w:linePitch="360" w:charSpace="0"/>
        </w:sectPr>
      </w:pPr>
    </w:p>
    <w:p>
      <w:pPr>
        <w:autoSpaceDE w:val="0"/>
        <w:autoSpaceDN w:val="0"/>
        <w:adjustRightInd w:val="0"/>
        <w:spacing w:after="0" w:line="400" w:lineRule="atLeast"/>
        <w:rPr>
          <w:rFonts w:ascii="Times New Roman" w:hAnsi="Times New Roman" w:cs="Times New Roman" w:eastAsiaTheme="minorHAnsi"/>
          <w:sz w:val="24"/>
          <w:szCs w:val="24"/>
          <w:lang w:eastAsia="en-US"/>
        </w:rPr>
      </w:pPr>
    </w:p>
    <w:p>
      <w:pPr>
        <w:spacing w:line="48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Dari analisis </w:t>
      </w:r>
      <w:r>
        <w:rPr>
          <w:rFonts w:ascii="Times New Roman" w:hAnsi="Times New Roman" w:cs="Times New Roman" w:eastAsiaTheme="minorHAnsi"/>
          <w:i/>
          <w:sz w:val="24"/>
          <w:szCs w:val="24"/>
          <w:lang w:eastAsia="en-US"/>
        </w:rPr>
        <w:t>product moment (pearson correlation)</w:t>
      </w:r>
      <w:r>
        <w:rPr>
          <w:rFonts w:ascii="Times New Roman" w:hAnsi="Times New Roman" w:cs="Times New Roman" w:eastAsiaTheme="minorHAnsi"/>
          <w:sz w:val="24"/>
          <w:szCs w:val="24"/>
          <w:lang w:eastAsia="en-US"/>
        </w:rPr>
        <w:t xml:space="preserve"> diperoleh koefisien korelasi (rxy) = 0,979 dengan p =0,000 maka dapat dikatakan bahwa terdapat hubungan positif antara minat belajar dengan persepsi tentang lingkungan belajar. Hal tersebut menunjukkan bahwa hipotesis dalam penelitian ini diterima.</w:t>
      </w:r>
    </w:p>
    <w:p>
      <w:pPr>
        <w:spacing w:line="48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KESIMPULAN</w:t>
      </w:r>
    </w:p>
    <w:p>
      <w:pPr>
        <w:spacing w:after="0" w:line="480" w:lineRule="auto"/>
        <w:ind w:firstLine="720"/>
        <w:jc w:val="both"/>
        <w:rPr>
          <w:rFonts w:ascii="Times New Roman" w:hAnsi="Times New Roman" w:eastAsia="SimSun" w:cs="Times New Roman"/>
          <w:bCs/>
          <w:sz w:val="24"/>
          <w:szCs w:val="24"/>
        </w:rPr>
      </w:pPr>
      <w:r>
        <w:rPr>
          <w:rFonts w:ascii="Times New Roman" w:hAnsi="Times New Roman" w:eastAsia="SimSun" w:cs="Times New Roman"/>
          <w:bCs/>
          <w:sz w:val="24"/>
          <w:szCs w:val="24"/>
        </w:rPr>
        <w:t>Hasil penelitian ini menunjukkan bahwa hipotesis yang diajukan diterima yaitu terdapat hubungan yang positif antara minat belajar dengan persepsi lingkungan belajar pada siswa/I kelas XI SMA Negeri 1 Nubatukan. Dalam penelitian ini diperoleh koefisien korelasi (r</w:t>
      </w:r>
      <w:r>
        <w:rPr>
          <w:rFonts w:ascii="Times New Roman" w:hAnsi="Times New Roman" w:eastAsia="SimSun" w:cs="Times New Roman"/>
          <w:bCs/>
          <w:sz w:val="24"/>
          <w:szCs w:val="24"/>
          <w:vertAlign w:val="subscript"/>
        </w:rPr>
        <w:t>xy</w:t>
      </w:r>
      <w:r>
        <w:rPr>
          <w:rFonts w:ascii="Times New Roman" w:hAnsi="Times New Roman" w:eastAsia="SimSun" w:cs="Times New Roman"/>
          <w:bCs/>
          <w:sz w:val="24"/>
          <w:szCs w:val="24"/>
        </w:rPr>
        <w:t xml:space="preserve">) sebesar 0,979 dengan taraf signifikansi sebesar p = 0,000 yang berarti ada hubungan positif dan termasuk hubungan yang kuat antara minat belajar dengan persepsi lingkungan belajar. Siswa/i yang memiliki persepsi lingkungan belajar yang baik ditandai dengan adanya proses pembelajaran yang baik, pengajar yang baik, pencapaian akademik yang baik, suasana pembelajaran yang baik dan lingkungan sosial yang baik. Siswa/i yang memiliki minat belajar yang baik ditandai dengan adanya motivasi atau dorongan untuk belajar, partisipasi siswa dalam kegiatan belajar mengajar dan perhatian siswa dalam kegiatan belajar mengajar. Penelitian ini menunjukan variabel persepsi lingkungan belajar memiliki kontribusi sebesar 95,8 % terhadap minat belajar belajar dan sisanya 4,2 % berhubungan dengan faktor yang lain. </w:t>
      </w:r>
      <w:r>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 xml:space="preserve">ADDIN CSL_CITATION {"citationItems":[{"id":"ITEM-1","itemData":{"ISBN":"979-421-044-7","abstract":"Psikologi kepribadian kaya dengan ber macam-macam teori dalam menggambarkan dan menentukan kepribadian individu. Untuk mendapatkan ikhtisarnya,di dalam buku ini dikemukakan penggolongan psikologi kepribadian yg telah ada sampai dewasa ini.Penggolongna tersebut berdasarkan kepada metode yag digunakan, komponen kepribadian yg dipakai sebagai landasan, dan cara pendekatan (approach). Dari ketiga dasar penggolongan tersebut, munculah berbagai teori Spranger, teori kepribadian Ludwig Klages,teori Psikologi individu, teori psikologi Medan,teori Goldstein,teori Biososial,dan masih banyak teori yang lain .Semuanya dijelaskan secara tuntas dalam buku ini.","author":[{"dropping-particle":"","family":"Suryabrata","given":"Sumadi","non-dropping-particle":"","parse-names":false,"suffix":""}],"editor":[{"dropping-particle":"","family":"Perpustakaan STIK","given":"","non-dropping-particle":"","parse-names":false,"suffix":""}],"id":"ITEM-1","issued":{"date-parts":[["2011"]]},"publisher":"Raja Grafindo Persada","publisher-place":"Jakarta","title":"Psikologi perkembangan","type":"book"},"uris":["http://www.mendeley.com/documents/?uuid=5f84f79d-bf00-4f7b-a576-11fd66cb27c0"]}],"mendeley":{"formattedCitation":"(Suryabrata, 2011)","manualFormatting":"Suryabrata (2011)","plainTextFormattedCitation":"(Suryabrata, 2011)","previouslyFormattedCitation":"(Suryabrata, 2011)"},"properties":{"noteIndex":0},"schema":"https://github.com/citation-style-language/schema/raw/master/csl-citation.json"}</w:instrText>
      </w:r>
      <w:r>
        <w:rPr>
          <w:rFonts w:ascii="Times New Roman" w:hAnsi="Times New Roman" w:cs="Times New Roman"/>
          <w:bCs/>
          <w:sz w:val="24"/>
          <w:szCs w:val="24"/>
          <w:lang w:val="id-ID"/>
        </w:rPr>
        <w:fldChar w:fldCharType="separate"/>
      </w:r>
      <w:r>
        <w:rPr>
          <w:rFonts w:ascii="Times New Roman" w:hAnsi="Times New Roman" w:cs="Times New Roman"/>
          <w:bCs/>
          <w:sz w:val="24"/>
          <w:szCs w:val="24"/>
          <w:lang w:val="id-ID"/>
        </w:rPr>
        <w:t xml:space="preserve">Suryabrata </w:t>
      </w:r>
      <w:r>
        <w:rPr>
          <w:rFonts w:ascii="Times New Roman" w:hAnsi="Times New Roman" w:cs="Times New Roman"/>
          <w:bCs/>
          <w:sz w:val="24"/>
          <w:szCs w:val="24"/>
        </w:rPr>
        <w:t>(</w:t>
      </w:r>
      <w:r>
        <w:rPr>
          <w:rFonts w:ascii="Times New Roman" w:hAnsi="Times New Roman" w:cs="Times New Roman"/>
          <w:bCs/>
          <w:sz w:val="24"/>
          <w:szCs w:val="24"/>
          <w:lang w:val="id-ID"/>
        </w:rPr>
        <w:t>2011)</w:t>
      </w:r>
      <w:r>
        <w:rPr>
          <w:rFonts w:ascii="Times New Roman" w:hAnsi="Times New Roman" w:cs="Times New Roman"/>
          <w:bCs/>
          <w:sz w:val="24"/>
          <w:szCs w:val="24"/>
          <w:lang w:val="id-ID"/>
        </w:rPr>
        <w:fldChar w:fldCharType="end"/>
      </w:r>
      <w:r>
        <w:rPr>
          <w:rFonts w:ascii="Times New Roman" w:hAnsi="Times New Roman" w:cs="Times New Roman"/>
          <w:bCs/>
          <w:sz w:val="24"/>
          <w:szCs w:val="24"/>
        </w:rPr>
        <w:t xml:space="preserve">, </w:t>
      </w:r>
      <w:r>
        <w:rPr>
          <w:rFonts w:ascii="Times New Roman" w:hAnsi="Times New Roman" w:cs="Times New Roman"/>
          <w:bCs/>
          <w:sz w:val="24"/>
          <w:szCs w:val="24"/>
          <w:lang w:val="id-ID"/>
        </w:rPr>
        <w:t>terdapat beberapa faktor-faktor yang mempengaruhi minat belajar, yaitu:</w:t>
      </w:r>
      <w:r>
        <w:rPr>
          <w:rFonts w:ascii="Times New Roman" w:hAnsi="Times New Roman" w:cs="Times New Roman"/>
          <w:bCs/>
          <w:sz w:val="24"/>
          <w:szCs w:val="24"/>
        </w:rPr>
        <w:t xml:space="preserve"> faktor internal yang terdiri dari perhatian, keingintahuan, kebutuhan dan motivasi dan faktor eksternal terdiri dari dorongan dari orang tua, dorongan dari guru, sarana dan prasarana dan keadaan lingkungan.</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Andriana. (2019). </w:t>
      </w:r>
      <w:r>
        <w:rPr>
          <w:rFonts w:ascii="Times New Roman" w:hAnsi="Times New Roman" w:cs="Times New Roman"/>
          <w:i/>
          <w:iCs/>
          <w:sz w:val="24"/>
          <w:szCs w:val="24"/>
        </w:rPr>
        <w:t>Pengaruh lingkungan terhadap minat belajar pendidikan agama islam siswa di SMP Negeri 39 Kec. Sangkarrang Kota Makassar</w:t>
      </w:r>
      <w:r>
        <w:rPr>
          <w:rFonts w:ascii="Times New Roman" w:hAnsi="Times New Roman" w:cs="Times New Roman"/>
          <w:sz w:val="24"/>
          <w:szCs w:val="24"/>
        </w:rPr>
        <w:t>. Universitas Muhammadiyah Makassar.</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Asfuriyah, S., &amp; Murbangun, N. (2015). Pengembangan majalah sains berbasis contextual learning pada tema pemanasan global untuk meningkatkan minat belajar siswa. </w:t>
      </w:r>
      <w:r>
        <w:rPr>
          <w:rFonts w:ascii="Times New Roman" w:hAnsi="Times New Roman" w:cs="Times New Roman"/>
          <w:i/>
          <w:iCs/>
          <w:sz w:val="24"/>
          <w:szCs w:val="24"/>
        </w:rPr>
        <w:t>Unnes Science Education Journal</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739–746. https://doi.org/https://doi.org/10.15294/usej.v4i1.4983</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Aziz, J. A. (2019). Komunikasi interpersonal guru dan minat belajar siswa. </w:t>
      </w:r>
      <w:r>
        <w:rPr>
          <w:rFonts w:ascii="Times New Roman" w:hAnsi="Times New Roman" w:cs="Times New Roman"/>
          <w:i/>
          <w:iCs/>
          <w:sz w:val="24"/>
          <w:szCs w:val="24"/>
        </w:rPr>
        <w:t>IQ (Ilmu Al-Qur’an): Jurnal Pendidikan Islam</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(02), 149–165. https://doi.org/10.37542/iq.v2i02.30</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Azwar, S. (2012). </w:t>
      </w:r>
      <w:r>
        <w:rPr>
          <w:rFonts w:ascii="Times New Roman" w:hAnsi="Times New Roman" w:cs="Times New Roman"/>
          <w:i/>
          <w:sz w:val="24"/>
          <w:szCs w:val="24"/>
        </w:rPr>
        <w:t>Penyususnan Skala Psikologi edisi kedua.</w:t>
      </w:r>
      <w:r>
        <w:rPr>
          <w:rFonts w:ascii="Times New Roman" w:hAnsi="Times New Roman" w:cs="Times New Roman"/>
          <w:sz w:val="24"/>
          <w:szCs w:val="24"/>
        </w:rPr>
        <w:t xml:space="preserve"> Pustaka Pelajar</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Azwar, S. (2015). </w:t>
      </w:r>
      <w:r>
        <w:rPr>
          <w:rFonts w:ascii="Times New Roman" w:hAnsi="Times New Roman" w:cs="Times New Roman"/>
          <w:i/>
          <w:iCs/>
          <w:sz w:val="24"/>
          <w:szCs w:val="24"/>
        </w:rPr>
        <w:t>Reliabilitas dan validitas edisi keempat</w:t>
      </w:r>
      <w:r>
        <w:rPr>
          <w:rFonts w:ascii="Times New Roman" w:hAnsi="Times New Roman" w:cs="Times New Roman"/>
          <w:sz w:val="24"/>
          <w:szCs w:val="24"/>
        </w:rPr>
        <w:t>. Pustaka Pelajar.</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Azwar, S. (2017). </w:t>
      </w:r>
      <w:r>
        <w:rPr>
          <w:rFonts w:ascii="Times New Roman" w:hAnsi="Times New Roman" w:cs="Times New Roman"/>
          <w:i/>
          <w:iCs/>
          <w:sz w:val="24"/>
          <w:szCs w:val="24"/>
        </w:rPr>
        <w:t>Metode Penelitian Psikologi</w:t>
      </w:r>
      <w:r>
        <w:rPr>
          <w:rFonts w:ascii="Times New Roman" w:hAnsi="Times New Roman" w:cs="Times New Roman"/>
          <w:sz w:val="24"/>
          <w:szCs w:val="24"/>
        </w:rPr>
        <w:t>. Pustaka Pelajar.</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Badan Pemeriksa Keuangan, R. I. (2003). </w:t>
      </w:r>
      <w:r>
        <w:rPr>
          <w:rFonts w:ascii="Times New Roman" w:hAnsi="Times New Roman" w:cs="Times New Roman"/>
          <w:i/>
          <w:iCs/>
          <w:sz w:val="24"/>
          <w:szCs w:val="24"/>
        </w:rPr>
        <w:t>Undang-undang (UU) tentang sistem pendidikan nasional</w:t>
      </w:r>
      <w:r>
        <w:rPr>
          <w:rFonts w:ascii="Times New Roman" w:hAnsi="Times New Roman" w:cs="Times New Roman"/>
          <w:sz w:val="24"/>
          <w:szCs w:val="24"/>
        </w:rPr>
        <w:t>. Pemerintah Pusat.</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BPS, S. I. (2021). </w:t>
      </w:r>
      <w:r>
        <w:rPr>
          <w:rFonts w:ascii="Times New Roman" w:hAnsi="Times New Roman" w:cs="Times New Roman"/>
          <w:i/>
          <w:iCs/>
          <w:sz w:val="24"/>
          <w:szCs w:val="24"/>
        </w:rPr>
        <w:t>Jumlah sekolah, guru dan murid Sekolah Menengah Atas (SMA) di bawah kementerian pendidikan, kebudayaan, riset dan teknologi menurut provinsi 2021/2022</w:t>
      </w:r>
      <w:r>
        <w:rPr>
          <w:rFonts w:ascii="Times New Roman" w:hAnsi="Times New Roman" w:cs="Times New Roman"/>
          <w:sz w:val="24"/>
          <w:szCs w:val="24"/>
        </w:rPr>
        <w:t>. Badan Pusat Statistik.</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Caerani, A. P. (2020). </w:t>
      </w:r>
      <w:r>
        <w:rPr>
          <w:rFonts w:ascii="Times New Roman" w:hAnsi="Times New Roman" w:cs="Times New Roman"/>
          <w:i/>
          <w:iCs/>
          <w:sz w:val="24"/>
          <w:szCs w:val="24"/>
        </w:rPr>
        <w:t>Hubungan antara presepsi terhadap lingkungan belajar dengan motivasi belajar pada warga belajar paket c di Sanggar KBKBJT</w:t>
      </w:r>
      <w:r>
        <w:rPr>
          <w:rFonts w:ascii="Times New Roman" w:hAnsi="Times New Roman" w:cs="Times New Roman"/>
          <w:sz w:val="24"/>
          <w:szCs w:val="24"/>
        </w:rPr>
        <w:t xml:space="preserve"> [Universitas Islam Sultan Agung Semarang]. http://repository.unissula.ac.id/17877/</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Hamalik, O. (2006). </w:t>
      </w:r>
      <w:r>
        <w:rPr>
          <w:rFonts w:ascii="Times New Roman" w:hAnsi="Times New Roman" w:cs="Times New Roman"/>
          <w:i/>
          <w:iCs/>
          <w:sz w:val="24"/>
          <w:szCs w:val="24"/>
        </w:rPr>
        <w:t>Proses belajar mengajar</w:t>
      </w:r>
      <w:r>
        <w:rPr>
          <w:rFonts w:ascii="Times New Roman" w:hAnsi="Times New Roman" w:cs="Times New Roman"/>
          <w:sz w:val="24"/>
          <w:szCs w:val="24"/>
        </w:rPr>
        <w:t xml:space="preserve"> (O. Hamalik (ed.); 5th ed.). Bumi Aksara. http://senayan.iain-palangkaraya.ac.id/index.php?p=show_detail&amp;id=4107&amp;keywords=</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Handayani, A., Taiyeb, M., &amp; Hartono. (2016). </w:t>
      </w:r>
      <w:r>
        <w:rPr>
          <w:rFonts w:ascii="Times New Roman" w:hAnsi="Times New Roman" w:cs="Times New Roman"/>
          <w:i/>
          <w:iCs/>
          <w:sz w:val="24"/>
          <w:szCs w:val="24"/>
        </w:rPr>
        <w:t>Pengaruh persepsi tentang lingkungan belajar, minat belajar dan motivasi belajar terhadap hasil belajar IPA pada siswa SMP Negeri di Kabupaten Luwu</w:t>
      </w:r>
      <w:r>
        <w:rPr>
          <w:rFonts w:ascii="Times New Roman" w:hAnsi="Times New Roman" w:cs="Times New Roman"/>
          <w:sz w:val="24"/>
          <w:szCs w:val="24"/>
        </w:rPr>
        <w:t>. http://eprints.unm.ac.id/id/eprint/7408</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Hasibuan, D. (2019). Hubungan minat belajar pendidikan agama islam dengan lingkungan belajar di madrasah tsanawiyah al- bukhary rantauprapat. </w:t>
      </w:r>
      <w:r>
        <w:rPr>
          <w:rFonts w:ascii="Times New Roman" w:hAnsi="Times New Roman" w:cs="Times New Roman"/>
          <w:i/>
          <w:iCs/>
          <w:sz w:val="24"/>
          <w:szCs w:val="24"/>
        </w:rPr>
        <w:t>Journal Pendidikan Agama Dan Sains</w:t>
      </w:r>
      <w:r>
        <w:rPr>
          <w:rFonts w:ascii="Times New Roman" w:hAnsi="Times New Roman" w:cs="Times New Roman"/>
          <w:sz w:val="24"/>
          <w:szCs w:val="24"/>
        </w:rPr>
        <w:t xml:space="preserve">, </w:t>
      </w:r>
      <w:r>
        <w:rPr>
          <w:rFonts w:ascii="Times New Roman" w:hAnsi="Times New Roman" w:cs="Times New Roman"/>
          <w:i/>
          <w:iCs/>
          <w:sz w:val="24"/>
          <w:szCs w:val="24"/>
        </w:rPr>
        <w:t>III</w:t>
      </w:r>
      <w:r>
        <w:rPr>
          <w:rFonts w:ascii="Times New Roman" w:hAnsi="Times New Roman" w:cs="Times New Roman"/>
          <w:sz w:val="24"/>
          <w:szCs w:val="24"/>
        </w:rPr>
        <w:t>(1), 58–62. https://doi.org/2019. P ISSN 2599-2945</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Hatane, S. E., &amp; Setiawan, F. F. (2019). Persepsi lingkungan belajar dan keinginan untuk meningkatkan pengetahuan terhadap niat memilih karier akuntansi. </w:t>
      </w:r>
      <w:r>
        <w:rPr>
          <w:rFonts w:ascii="Times New Roman" w:hAnsi="Times New Roman" w:cs="Times New Roman"/>
          <w:i/>
          <w:iCs/>
          <w:sz w:val="24"/>
          <w:szCs w:val="24"/>
        </w:rPr>
        <w:t>Ekuitas: Jurnal Pendidikan Ekonomi</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 122–129. https://doi.org/10.23887/ekuitas.v7i2.17986</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Jahja, Y. (2011). </w:t>
      </w:r>
      <w:r>
        <w:rPr>
          <w:rFonts w:ascii="Times New Roman" w:hAnsi="Times New Roman" w:cs="Times New Roman"/>
          <w:i/>
          <w:iCs/>
          <w:sz w:val="24"/>
          <w:szCs w:val="24"/>
        </w:rPr>
        <w:t>Psikologi perkembangan</w:t>
      </w:r>
      <w:r>
        <w:rPr>
          <w:rFonts w:ascii="Times New Roman" w:hAnsi="Times New Roman" w:cs="Times New Roman"/>
          <w:sz w:val="24"/>
          <w:szCs w:val="24"/>
        </w:rPr>
        <w:t xml:space="preserve"> (Y. Jahja (ed.); Pertama). Prenada media group.</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Kementerian pendidikan, kebudayaan,  riset dan teknologi. (2022). </w:t>
      </w:r>
      <w:r>
        <w:rPr>
          <w:rFonts w:ascii="Times New Roman" w:hAnsi="Times New Roman" w:cs="Times New Roman"/>
          <w:i/>
          <w:iCs/>
          <w:sz w:val="24"/>
          <w:szCs w:val="24"/>
        </w:rPr>
        <w:t>Data Pokok Pendidikan</w:t>
      </w:r>
      <w:r>
        <w:rPr>
          <w:rFonts w:ascii="Times New Roman" w:hAnsi="Times New Roman" w:cs="Times New Roman"/>
          <w:sz w:val="24"/>
          <w:szCs w:val="24"/>
        </w:rPr>
        <w:t>. Direktorat Jendral Pendidikan Anak Usia Dini, Pendidikan Dasar Dan Pendidikan Menengah.</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Krapp, A. (2002). </w:t>
      </w:r>
      <w:r>
        <w:rPr>
          <w:rFonts w:ascii="Times New Roman" w:hAnsi="Times New Roman" w:cs="Times New Roman"/>
          <w:i/>
          <w:iCs/>
          <w:sz w:val="24"/>
          <w:szCs w:val="24"/>
        </w:rPr>
        <w:t>Structural and Dynamic Aspects of Interest Development: Theoretical Considerations From an Ontogenetic Perspective</w:t>
      </w:r>
      <w:r>
        <w:rPr>
          <w:rFonts w:ascii="Times New Roman" w:hAnsi="Times New Roman" w:cs="Times New Roman"/>
          <w:sz w:val="24"/>
          <w:szCs w:val="24"/>
        </w:rPr>
        <w:t>. Learning and Instruction.</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Kurniawan, B. (2019). </w:t>
      </w:r>
      <w:r>
        <w:rPr>
          <w:rFonts w:ascii="Times New Roman" w:hAnsi="Times New Roman" w:cs="Times New Roman"/>
          <w:i/>
          <w:iCs/>
          <w:sz w:val="24"/>
          <w:szCs w:val="24"/>
        </w:rPr>
        <w:t>Gambaran persepsi mahasiswa tentang lingkungan belajar akademik keperawatan fakultas keperawatan universitas jember</w:t>
      </w:r>
      <w:r>
        <w:rPr>
          <w:rFonts w:ascii="Times New Roman" w:hAnsi="Times New Roman" w:cs="Times New Roman"/>
          <w:sz w:val="24"/>
          <w:szCs w:val="24"/>
        </w:rPr>
        <w:t>. JEMBER.</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Larasati, H. D., Rapani, &amp; Darsono. (2015). Hubungan minat belajar, persepsi peserta didik tentang lingkugan belajar di sekolah, hasil belajar. </w:t>
      </w:r>
      <w:r>
        <w:rPr>
          <w:rFonts w:ascii="Times New Roman" w:hAnsi="Times New Roman" w:cs="Times New Roman"/>
          <w:i/>
          <w:iCs/>
          <w:sz w:val="24"/>
          <w:szCs w:val="24"/>
        </w:rPr>
        <w:t>Jurnal Pendidikan Dasasr</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(11), 1–12. http://jurnal.fkip.unila.ac.id/index.php/pgsd/article/view/19396</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Makmun, K. H. (2014). </w:t>
      </w:r>
      <w:r>
        <w:rPr>
          <w:rFonts w:ascii="Times New Roman" w:hAnsi="Times New Roman" w:cs="Times New Roman"/>
          <w:i/>
          <w:iCs/>
          <w:sz w:val="24"/>
          <w:szCs w:val="24"/>
        </w:rPr>
        <w:t>Psikologi belajar</w:t>
      </w:r>
      <w:r>
        <w:rPr>
          <w:rFonts w:ascii="Times New Roman" w:hAnsi="Times New Roman" w:cs="Times New Roman"/>
          <w:sz w:val="24"/>
          <w:szCs w:val="24"/>
        </w:rPr>
        <w:t xml:space="preserve"> (cet. II). aswaja pressindo.</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Nugroho, D. S. (2015). Pengembangan media kartu huruf Jepang sebagai media pembelajaran bahasa Jepang pada siswa SMA Negeri 4 Magelang. </w:t>
      </w:r>
      <w:r>
        <w:rPr>
          <w:rFonts w:ascii="Times New Roman" w:hAnsi="Times New Roman" w:cs="Times New Roman"/>
          <w:i/>
          <w:iCs/>
          <w:sz w:val="24"/>
          <w:szCs w:val="24"/>
        </w:rPr>
        <w:t>Pendidikan</w:t>
      </w:r>
      <w:r>
        <w:rPr>
          <w:rFonts w:ascii="Times New Roman" w:hAnsi="Times New Roman" w:cs="Times New Roman"/>
          <w:sz w:val="24"/>
          <w:szCs w:val="24"/>
        </w:rPr>
        <w:t>.</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Nurhasanah, S., &amp; Sobandi, A. (2016). Minat belajar sebagai determinan hasil belajar siswa. </w:t>
      </w:r>
      <w:r>
        <w:rPr>
          <w:rFonts w:ascii="Times New Roman" w:hAnsi="Times New Roman" w:cs="Times New Roman"/>
          <w:i/>
          <w:iCs/>
          <w:sz w:val="24"/>
          <w:szCs w:val="24"/>
        </w:rPr>
        <w:t>Jurnal Perndidikan Manajemen Perkantoran</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 128–135.</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Pangestuti, D. A. (2012). </w:t>
      </w:r>
      <w:r>
        <w:rPr>
          <w:rFonts w:ascii="Times New Roman" w:hAnsi="Times New Roman" w:cs="Times New Roman"/>
          <w:i/>
          <w:iCs/>
          <w:sz w:val="24"/>
          <w:szCs w:val="24"/>
        </w:rPr>
        <w:t>Pengaruh minat belajar dan disiplin belajar terhadap hasil belajar akuntansi pada komptensi dasar menyusun laporan keuangan perusahaan dagang pada siswa kelas X program keahlian akuntansi di SMK Sultan Fattah Dmeka</w:t>
      </w:r>
      <w:r>
        <w:rPr>
          <w:rFonts w:ascii="Times New Roman" w:hAnsi="Times New Roman" w:cs="Times New Roman"/>
          <w:sz w:val="24"/>
          <w:szCs w:val="24"/>
        </w:rPr>
        <w:t>. Negeri Semarang.</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Pardosi, O. (2014). Efektivitas metode ceramah terhadap motivasi belajar pada mata pelajaran pendidikan agama kristen kelas XI SMA Nasrani 3 Medan [Universitas HKBP Nomensen]. In </w:t>
      </w:r>
      <w:r>
        <w:rPr>
          <w:rFonts w:ascii="Times New Roman" w:hAnsi="Times New Roman" w:cs="Times New Roman"/>
          <w:i/>
          <w:iCs/>
          <w:sz w:val="24"/>
          <w:szCs w:val="24"/>
        </w:rPr>
        <w:t>REPOSITORI UHN</w:t>
      </w:r>
      <w:r>
        <w:rPr>
          <w:rFonts w:ascii="Times New Roman" w:hAnsi="Times New Roman" w:cs="Times New Roman"/>
          <w:sz w:val="24"/>
          <w:szCs w:val="24"/>
        </w:rPr>
        <w:t xml:space="preserve"> (Issue 2014). http://repository.uhn.ac.id/handle/123456789/164</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Pratiwi, N. K. (2015). Pengaruh tingkat pendidikan, perhatian orang tua, dan minat belajar siswa terhadap prestasi belajar bahasa Indonesia siswa SMK kesehatan di kota Tangerang. </w:t>
      </w:r>
      <w:r>
        <w:rPr>
          <w:rFonts w:ascii="Times New Roman" w:hAnsi="Times New Roman" w:cs="Times New Roman"/>
          <w:i/>
          <w:iCs/>
          <w:sz w:val="24"/>
          <w:szCs w:val="24"/>
        </w:rPr>
        <w:t>Pujangga: Jurnal Bahasa Dan Sastra</w:t>
      </w:r>
      <w:r>
        <w:rPr>
          <w:rFonts w:ascii="Times New Roman" w:hAnsi="Times New Roman" w:cs="Times New Roman"/>
          <w:sz w:val="24"/>
          <w:szCs w:val="24"/>
        </w:rPr>
        <w:t xml:space="preserve">, </w:t>
      </w:r>
      <w:r>
        <w:rPr>
          <w:rFonts w:ascii="Times New Roman" w:hAnsi="Times New Roman" w:cs="Times New Roman"/>
          <w:i/>
          <w:iCs/>
          <w:sz w:val="24"/>
          <w:szCs w:val="24"/>
        </w:rPr>
        <w:t>I</w:t>
      </w:r>
      <w:r>
        <w:rPr>
          <w:rFonts w:ascii="Times New Roman" w:hAnsi="Times New Roman" w:cs="Times New Roman"/>
          <w:sz w:val="24"/>
          <w:szCs w:val="24"/>
        </w:rPr>
        <w:t>(1), 2. https://doi.org/http://dx.doi.org/10.47313/pujangga.v1i2.320</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Purwaningsih, W. (2019). </w:t>
      </w:r>
      <w:r>
        <w:rPr>
          <w:rFonts w:ascii="Times New Roman" w:hAnsi="Times New Roman" w:cs="Times New Roman"/>
          <w:i/>
          <w:iCs/>
          <w:sz w:val="24"/>
          <w:szCs w:val="24"/>
        </w:rPr>
        <w:t>Hubungan gaya mengajar pendidikan PAI dengan minat belajar peserta didik SMAN 1 Purbolingi</w:t>
      </w:r>
      <w:r>
        <w:rPr>
          <w:rFonts w:ascii="Times New Roman" w:hAnsi="Times New Roman" w:cs="Times New Roman"/>
          <w:sz w:val="24"/>
          <w:szCs w:val="24"/>
        </w:rPr>
        <w:t>. IAIN METRO.</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Roff, S. (2005). The dundee ready educational environment measure (dreem)- a generic instrument for measuring student’s perceptions of undergraduate health professions curricula. </w:t>
      </w:r>
      <w:r>
        <w:rPr>
          <w:rFonts w:ascii="Times New Roman" w:hAnsi="Times New Roman" w:cs="Times New Roman"/>
          <w:i/>
          <w:iCs/>
          <w:sz w:val="24"/>
          <w:szCs w:val="24"/>
        </w:rPr>
        <w:t>Medical Teacher</w:t>
      </w:r>
      <w:r>
        <w:rPr>
          <w:rFonts w:ascii="Times New Roman" w:hAnsi="Times New Roman" w:cs="Times New Roman"/>
          <w:sz w:val="24"/>
          <w:szCs w:val="24"/>
        </w:rPr>
        <w:t xml:space="preserve">, </w:t>
      </w:r>
      <w:r>
        <w:rPr>
          <w:rFonts w:ascii="Times New Roman" w:hAnsi="Times New Roman" w:cs="Times New Roman"/>
          <w:i/>
          <w:iCs/>
          <w:sz w:val="24"/>
          <w:szCs w:val="24"/>
        </w:rPr>
        <w:t>27</w:t>
      </w:r>
      <w:r>
        <w:rPr>
          <w:rFonts w:ascii="Times New Roman" w:hAnsi="Times New Roman" w:cs="Times New Roman"/>
          <w:sz w:val="24"/>
          <w:szCs w:val="24"/>
        </w:rPr>
        <w:t>(4), 322–325.</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Rohmah, C. A. (2017). </w:t>
      </w:r>
      <w:r>
        <w:rPr>
          <w:rFonts w:ascii="Times New Roman" w:hAnsi="Times New Roman" w:cs="Times New Roman"/>
          <w:i/>
          <w:iCs/>
          <w:sz w:val="24"/>
          <w:szCs w:val="24"/>
        </w:rPr>
        <w:t>Pengaruh penggunaan gadget dan lingkungan belajar terhadap minat belajar siswa kelas xi kompetensi keahlian administrasi perkantoran smk muhammadiyah 2 Yogyakarta</w:t>
      </w:r>
      <w:r>
        <w:rPr>
          <w:rFonts w:ascii="Times New Roman" w:hAnsi="Times New Roman" w:cs="Times New Roman"/>
          <w:sz w:val="24"/>
          <w:szCs w:val="24"/>
        </w:rPr>
        <w:t>. Universitas Negeri Yogyakarta.</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Simbolon, N. (2014). Faktor-faktor yang mempengaruhi minat belajar peserta didik. </w:t>
      </w:r>
      <w:r>
        <w:rPr>
          <w:rFonts w:ascii="Times New Roman" w:hAnsi="Times New Roman" w:cs="Times New Roman"/>
          <w:i/>
          <w:iCs/>
          <w:sz w:val="24"/>
          <w:szCs w:val="24"/>
        </w:rPr>
        <w:t>Elementary School Journal Pgsd Fip Unimed</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14–19. https://doi.org/https://doi.org/10.24114/esjpgsd.v1i2.1323</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Sitepu, D. R. A., &amp; Isnayanti, D. (2021). Hubungan persepsi mahasiswa tentang lingkungan belajar terhadap prestasi akademik di fakultas kedokteran Universitas Muhammadiyah Sumatera Utara. </w:t>
      </w:r>
      <w:r>
        <w:rPr>
          <w:rFonts w:ascii="Times New Roman" w:hAnsi="Times New Roman" w:cs="Times New Roman"/>
          <w:i/>
          <w:iCs/>
          <w:sz w:val="24"/>
          <w:szCs w:val="24"/>
        </w:rPr>
        <w:t>Jurnal Ilmiah …</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(1), 12–17. https://makarioz.sciencemakarioz.org/index.php/JIM/article/download/224/215</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Slameto. (2013). </w:t>
      </w:r>
      <w:r>
        <w:rPr>
          <w:rFonts w:ascii="Times New Roman" w:hAnsi="Times New Roman" w:cs="Times New Roman"/>
          <w:i/>
          <w:iCs/>
          <w:sz w:val="24"/>
          <w:szCs w:val="24"/>
        </w:rPr>
        <w:t>Belajar dan faktor-faktor yang mempengaruhinya</w:t>
      </w:r>
      <w:r>
        <w:rPr>
          <w:rFonts w:ascii="Times New Roman" w:hAnsi="Times New Roman" w:cs="Times New Roman"/>
          <w:sz w:val="24"/>
          <w:szCs w:val="24"/>
        </w:rPr>
        <w:t xml:space="preserve"> (ed. rev. c). PT. Rineka Cipta.</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Sugiyono. (2005). </w:t>
      </w:r>
      <w:r>
        <w:rPr>
          <w:rFonts w:ascii="Times New Roman" w:hAnsi="Times New Roman" w:cs="Times New Roman"/>
          <w:i/>
          <w:iCs/>
          <w:sz w:val="24"/>
          <w:szCs w:val="24"/>
        </w:rPr>
        <w:t>Statistik Untuk Penelitian. Bandung</w:t>
      </w:r>
      <w:r>
        <w:rPr>
          <w:rFonts w:ascii="Times New Roman" w:hAnsi="Times New Roman" w:cs="Times New Roman"/>
          <w:sz w:val="24"/>
          <w:szCs w:val="24"/>
        </w:rPr>
        <w:t>. CV. Alfabeta.</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Supatminingsih, T., Hasan, M., &amp; Sudirman. (2020). </w:t>
      </w:r>
      <w:r>
        <w:rPr>
          <w:rFonts w:ascii="Times New Roman" w:hAnsi="Times New Roman" w:cs="Times New Roman"/>
          <w:i/>
          <w:iCs/>
          <w:sz w:val="24"/>
          <w:szCs w:val="24"/>
        </w:rPr>
        <w:t>Belajar dan pembelajaran</w:t>
      </w:r>
      <w:r>
        <w:rPr>
          <w:rFonts w:ascii="Times New Roman" w:hAnsi="Times New Roman" w:cs="Times New Roman"/>
          <w:sz w:val="24"/>
          <w:szCs w:val="24"/>
        </w:rPr>
        <w:t xml:space="preserve"> (R. R. Rerung (ed.)). Media Sains Indonesia.</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Suryabrata, S. (2006). </w:t>
      </w:r>
      <w:r>
        <w:rPr>
          <w:rFonts w:ascii="Times New Roman" w:hAnsi="Times New Roman" w:cs="Times New Roman"/>
          <w:i/>
          <w:iCs/>
          <w:sz w:val="24"/>
          <w:szCs w:val="24"/>
        </w:rPr>
        <w:t>Psikologi Pendidikan</w:t>
      </w:r>
      <w:r>
        <w:rPr>
          <w:rFonts w:ascii="Times New Roman" w:hAnsi="Times New Roman" w:cs="Times New Roman"/>
          <w:sz w:val="24"/>
          <w:szCs w:val="24"/>
        </w:rPr>
        <w:t>. PT. Raja Grafindo Persada.</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Suryabrata, S. (2011). </w:t>
      </w:r>
      <w:r>
        <w:rPr>
          <w:rFonts w:ascii="Times New Roman" w:hAnsi="Times New Roman" w:cs="Times New Roman"/>
          <w:i/>
          <w:iCs/>
          <w:sz w:val="24"/>
          <w:szCs w:val="24"/>
        </w:rPr>
        <w:t>Psikologi perkembangan</w:t>
      </w:r>
      <w:r>
        <w:rPr>
          <w:rFonts w:ascii="Times New Roman" w:hAnsi="Times New Roman" w:cs="Times New Roman"/>
          <w:sz w:val="24"/>
          <w:szCs w:val="24"/>
        </w:rPr>
        <w:t xml:space="preserve"> (Perpustakaan STIK (ed.)). Raja Grafindo Persada.</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Suswoyo, D. (2011). </w:t>
      </w:r>
      <w:r>
        <w:rPr>
          <w:rFonts w:ascii="Times New Roman" w:hAnsi="Times New Roman" w:cs="Times New Roman"/>
          <w:i/>
          <w:iCs/>
          <w:sz w:val="24"/>
          <w:szCs w:val="24"/>
        </w:rPr>
        <w:t>Ilmu Pendidikan</w:t>
      </w:r>
      <w:r>
        <w:rPr>
          <w:rFonts w:ascii="Times New Roman" w:hAnsi="Times New Roman" w:cs="Times New Roman"/>
          <w:sz w:val="24"/>
          <w:szCs w:val="24"/>
        </w:rPr>
        <w:t>. UNY Press.</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Tompodung, L. M. (2017). Persepsi mahasiswa terhadap lingkungan pembelajaran di Universitas Sam Ratulaangi Manado. </w:t>
      </w:r>
      <w:r>
        <w:rPr>
          <w:rFonts w:ascii="Times New Roman" w:hAnsi="Times New Roman" w:cs="Times New Roman"/>
          <w:i/>
          <w:iCs/>
          <w:sz w:val="24"/>
          <w:szCs w:val="24"/>
        </w:rPr>
        <w:t>Jurnal E-Biomedik</w:t>
      </w:r>
      <w:r>
        <w:rPr>
          <w:rFonts w:ascii="Times New Roman" w:hAnsi="Times New Roman" w:cs="Times New Roman"/>
          <w:sz w:val="24"/>
          <w:szCs w:val="24"/>
        </w:rPr>
        <w:t>.</w:t>
      </w:r>
    </w:p>
    <w:p>
      <w:pPr>
        <w:widowControl w:val="0"/>
        <w:autoSpaceDE w:val="0"/>
        <w:autoSpaceDN w:val="0"/>
        <w:adjustRightInd w:val="0"/>
        <w:spacing w:before="240" w:after="0" w:line="24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Yahya, M. F. S. M. (2021). </w:t>
      </w:r>
      <w:r>
        <w:rPr>
          <w:rFonts w:ascii="Times New Roman" w:hAnsi="Times New Roman" w:cs="Times New Roman"/>
          <w:i/>
          <w:iCs/>
          <w:sz w:val="24"/>
          <w:szCs w:val="24"/>
        </w:rPr>
        <w:t>Pengaruh pembelajaran menggunakan video youtube terhadap minat dan hasil belajar siswa biologi kelas xi pada materi sistem peredaran darah di sma mhammadiyah Kediri</w:t>
      </w:r>
      <w:r>
        <w:rPr>
          <w:rFonts w:ascii="Times New Roman" w:hAnsi="Times New Roman" w:cs="Times New Roman"/>
          <w:sz w:val="24"/>
          <w:szCs w:val="24"/>
        </w:rPr>
        <w:t xml:space="preserve"> [IAIN Tulungagung]. http://repo.uinsatu.ac.id/19330/</w:t>
      </w:r>
    </w:p>
    <w:p>
      <w:pPr>
        <w:widowControl w:val="0"/>
        <w:autoSpaceDE w:val="0"/>
        <w:autoSpaceDN w:val="0"/>
        <w:adjustRightInd w:val="0"/>
        <w:spacing w:before="240" w:after="0" w:line="240" w:lineRule="auto"/>
        <w:ind w:hanging="480"/>
        <w:jc w:val="both"/>
        <w:rPr>
          <w:rFonts w:ascii="Times New Roman" w:hAnsi="Times New Roman" w:cs="Times New Roman"/>
          <w:sz w:val="24"/>
        </w:rPr>
      </w:pPr>
      <w:r>
        <w:rPr>
          <w:rFonts w:ascii="Times New Roman" w:hAnsi="Times New Roman" w:cs="Times New Roman"/>
          <w:sz w:val="24"/>
          <w:szCs w:val="24"/>
        </w:rPr>
        <w:t xml:space="preserve">Zanikhan. (2008). Pengertian Minat Belajar. </w:t>
      </w:r>
      <w:r>
        <w:rPr>
          <w:rFonts w:ascii="Times New Roman" w:hAnsi="Times New Roman" w:cs="Times New Roman"/>
          <w:i/>
          <w:iCs/>
          <w:sz w:val="24"/>
          <w:szCs w:val="24"/>
        </w:rPr>
        <w:t>Journal Pendidikan</w:t>
      </w:r>
      <w:r>
        <w:rPr>
          <w:rFonts w:ascii="Times New Roman" w:hAnsi="Times New Roman" w:cs="Times New Roman"/>
          <w:sz w:val="24"/>
          <w:szCs w:val="24"/>
        </w:rPr>
        <w:t>.</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fldChar w:fldCharType="end"/>
      </w:r>
      <w:bookmarkStart w:id="1" w:name="_GoBack"/>
      <w:bookmarkEnd w:id="1"/>
    </w:p>
    <w:sectPr>
      <w:type w:val="continuous"/>
      <w:pgSz w:w="12240" w:h="15840"/>
      <w:pgMar w:top="2268" w:right="1701" w:bottom="1701" w:left="2268"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F5"/>
    <w:rsid w:val="000044AC"/>
    <w:rsid w:val="000F5369"/>
    <w:rsid w:val="001339FF"/>
    <w:rsid w:val="001B6DE4"/>
    <w:rsid w:val="001D0872"/>
    <w:rsid w:val="00245775"/>
    <w:rsid w:val="002D2B4E"/>
    <w:rsid w:val="003A0840"/>
    <w:rsid w:val="004A623B"/>
    <w:rsid w:val="005B6A96"/>
    <w:rsid w:val="00681016"/>
    <w:rsid w:val="00760B35"/>
    <w:rsid w:val="00933059"/>
    <w:rsid w:val="009F2C60"/>
    <w:rsid w:val="00CF22F5"/>
    <w:rsid w:val="00D73F27"/>
    <w:rsid w:val="00D840D8"/>
    <w:rsid w:val="00D91157"/>
    <w:rsid w:val="00E75A93"/>
    <w:rsid w:val="385364AF"/>
    <w:rsid w:val="7543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0"/>
      <w:szCs w:val="20"/>
      <w:lang w:val="en-US" w:eastAsia="zh-CN" w:bidi="ar-SA"/>
    </w:rPr>
  </w:style>
  <w:style w:type="paragraph" w:styleId="2">
    <w:name w:val="heading 3"/>
    <w:basedOn w:val="1"/>
    <w:next w:val="1"/>
    <w:link w:val="15"/>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otnote reference"/>
    <w:basedOn w:val="3"/>
    <w:semiHidden/>
    <w:unhideWhenUsed/>
    <w:qFormat/>
    <w:uiPriority w:val="99"/>
    <w:rPr>
      <w:vertAlign w:val="superscript"/>
    </w:rPr>
  </w:style>
  <w:style w:type="paragraph" w:styleId="7">
    <w:name w:val="HTML Preformatted"/>
    <w:basedOn w:val="1"/>
    <w:link w:val="1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lang w:eastAsia="en-US"/>
    </w:rPr>
  </w:style>
  <w:style w:type="character" w:styleId="8">
    <w:name w:val="Hyperlink"/>
    <w:basedOn w:val="3"/>
    <w:unhideWhenUsed/>
    <w:qFormat/>
    <w:uiPriority w:val="99"/>
    <w:rPr>
      <w:color w:val="0563C1" w:themeColor="hyperlink"/>
      <w:u w:val="single"/>
      <w14:textFill>
        <w14:solidFill>
          <w14:schemeClr w14:val="hlink"/>
        </w14:solidFill>
      </w14:textFill>
    </w:rPr>
  </w:style>
  <w:style w:type="table" w:styleId="9">
    <w:name w:val="Table Grid"/>
    <w:basedOn w:val="4"/>
    <w:qFormat/>
    <w:uiPriority w:val="39"/>
    <w:pPr>
      <w:widowControl w:val="0"/>
      <w:jc w:val="both"/>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Unresolved Mention"/>
    <w:basedOn w:val="3"/>
    <w:semiHidden/>
    <w:unhideWhenUsed/>
    <w:qFormat/>
    <w:uiPriority w:val="99"/>
    <w:rPr>
      <w:color w:val="808080"/>
      <w:shd w:val="clear" w:color="auto" w:fill="E6E6E6"/>
    </w:rPr>
  </w:style>
  <w:style w:type="character" w:customStyle="1" w:styleId="11">
    <w:name w:val="HTML Preformatted Char"/>
    <w:basedOn w:val="3"/>
    <w:link w:val="7"/>
    <w:semiHidden/>
    <w:qFormat/>
    <w:uiPriority w:val="99"/>
    <w:rPr>
      <w:rFonts w:ascii="Courier New" w:hAnsi="Courier New" w:eastAsia="Times New Roman" w:cs="Courier New"/>
      <w:sz w:val="20"/>
      <w:szCs w:val="20"/>
    </w:rPr>
  </w:style>
  <w:style w:type="character" w:customStyle="1" w:styleId="12">
    <w:name w:val="y2iqfc"/>
    <w:basedOn w:val="3"/>
    <w:qFormat/>
    <w:uiPriority w:val="0"/>
  </w:style>
  <w:style w:type="paragraph" w:styleId="13">
    <w:name w:val="List Paragraph"/>
    <w:basedOn w:val="1"/>
    <w:link w:val="14"/>
    <w:qFormat/>
    <w:uiPriority w:val="34"/>
    <w:pPr>
      <w:ind w:left="720"/>
      <w:contextualSpacing/>
    </w:pPr>
  </w:style>
  <w:style w:type="character" w:customStyle="1" w:styleId="14">
    <w:name w:val="List Paragraph Char"/>
    <w:link w:val="13"/>
    <w:qFormat/>
    <w:locked/>
    <w:uiPriority w:val="34"/>
    <w:rPr>
      <w:rFonts w:eastAsiaTheme="minorEastAsia"/>
      <w:sz w:val="20"/>
      <w:szCs w:val="20"/>
      <w:lang w:eastAsia="zh-CN"/>
    </w:rPr>
  </w:style>
  <w:style w:type="character" w:customStyle="1" w:styleId="15">
    <w:name w:val="Heading 3 Char"/>
    <w:basedOn w:val="3"/>
    <w:link w:val="2"/>
    <w:qFormat/>
    <w:uiPriority w:val="9"/>
    <w:rPr>
      <w:rFonts w:asciiTheme="majorHAnsi" w:hAnsiTheme="majorHAnsi" w:eastAsiaTheme="majorEastAsia" w:cstheme="majorBidi"/>
      <w:color w:val="203864" w:themeColor="accent1" w:themeShade="80"/>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A8BA-5112-4E5A-BFF8-8683811A6476}">
  <ds:schemaRefs/>
</ds:datastoreItem>
</file>

<file path=docProps/app.xml><?xml version="1.0" encoding="utf-8"?>
<Properties xmlns="http://schemas.openxmlformats.org/officeDocument/2006/extended-properties" xmlns:vt="http://schemas.openxmlformats.org/officeDocument/2006/docPropsVTypes">
  <Template>Normal</Template>
  <Pages>14</Pages>
  <Words>6678</Words>
  <Characters>38068</Characters>
  <Lines>317</Lines>
  <Paragraphs>89</Paragraphs>
  <TotalTime>2</TotalTime>
  <ScaleCrop>false</ScaleCrop>
  <LinksUpToDate>false</LinksUpToDate>
  <CharactersWithSpaces>44657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2023-01-19T03:38:00Z</dcterms:created>
  <dc:creator>ACER</dc:creator>
  <cp:lastModifiedBy>ACER</cp:lastModifiedBy>
  <dcterms:modified xsi:type="dcterms:W3CDTF">2023-05-22T05:25:05Z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9A03E1A128384EE78A9C68A5D6E812D2</vt:lpwstr>
  </property>
</Properties>
</file>