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0" w:lineRule="auto" w:before="62"/>
        <w:ind w:left="352" w:right="232" w:firstLine="0"/>
        <w:jc w:val="center"/>
        <w:rPr>
          <w:b/>
          <w:sz w:val="24"/>
        </w:rPr>
      </w:pPr>
      <w:bookmarkStart w:name="HUBUNGAN ANTARA KONTROL DIRI DENGAN KECA" w:id="1"/>
      <w:bookmarkEnd w:id="1"/>
      <w:r>
        <w:rPr/>
      </w:r>
      <w:r>
        <w:rPr>
          <w:b/>
          <w:sz w:val="24"/>
        </w:rPr>
        <w:t>HUBUNGAN ANTARA KONTROL DIRI DENGAN KECANDUAN GAME ONLINE PADA DEWASA AWAL</w:t>
      </w:r>
    </w:p>
    <w:p>
      <w:pPr>
        <w:pStyle w:val="BodyText"/>
        <w:spacing w:before="3"/>
        <w:rPr>
          <w:b/>
          <w:sz w:val="24"/>
        </w:rPr>
      </w:pPr>
    </w:p>
    <w:p>
      <w:pPr>
        <w:spacing w:line="480" w:lineRule="auto" w:before="1"/>
        <w:ind w:left="352" w:right="232" w:firstLine="0"/>
        <w:jc w:val="center"/>
        <w:rPr>
          <w:b/>
          <w:i/>
          <w:sz w:val="24"/>
        </w:rPr>
      </w:pPr>
      <w:bookmarkStart w:name="THE RELATIONSHIP BETWEEN SELF CONTROL AN" w:id="2"/>
      <w:bookmarkEnd w:id="2"/>
      <w:r>
        <w:rPr/>
      </w:r>
      <w:r>
        <w:rPr>
          <w:b/>
          <w:i/>
          <w:sz w:val="24"/>
        </w:rPr>
        <w:t>THE RELATIONSHIP BETWEEN SELF CONTROL AND ONLINE ADDICTION </w:t>
      </w:r>
      <w:r>
        <w:rPr>
          <w:b/>
          <w:i/>
          <w:sz w:val="24"/>
        </w:rPr>
        <w:t>IN EARLY ADULTHOOD</w:t>
      </w:r>
    </w:p>
    <w:p>
      <w:pPr>
        <w:pStyle w:val="BodyText"/>
        <w:spacing w:before="7"/>
        <w:rPr>
          <w:b/>
          <w:i/>
          <w:sz w:val="21"/>
        </w:rPr>
      </w:pPr>
    </w:p>
    <w:p>
      <w:pPr>
        <w:pStyle w:val="Heading3"/>
        <w:spacing w:before="1"/>
        <w:ind w:left="232" w:right="232"/>
        <w:jc w:val="center"/>
      </w:pPr>
      <w:bookmarkStart w:name="MUHAMAD REDHO AJI P" w:id="3"/>
      <w:bookmarkEnd w:id="3"/>
      <w:r>
        <w:rPr>
          <w:b w:val="0"/>
        </w:rPr>
      </w:r>
      <w:r>
        <w:rPr/>
        <w:t>MUHAMAD REDHO AJI P</w:t>
      </w:r>
    </w:p>
    <w:p>
      <w:pPr>
        <w:spacing w:line="292" w:lineRule="auto" w:before="29"/>
        <w:ind w:left="3020" w:right="3023" w:firstLine="0"/>
        <w:jc w:val="center"/>
        <w:rPr>
          <w:sz w:val="24"/>
        </w:rPr>
      </w:pPr>
      <w:r>
        <w:rPr>
          <w:sz w:val="20"/>
        </w:rPr>
        <w:t>Universitas Mercubuana Yogyakarta </w:t>
      </w:r>
      <w:hyperlink r:id="rId6">
        <w:r>
          <w:rPr>
            <w:color w:val="0000FF"/>
            <w:sz w:val="20"/>
          </w:rPr>
          <w:t>3doaji@gmail.com</w:t>
        </w:r>
      </w:hyperlink>
      <w:r>
        <w:rPr>
          <w:color w:val="0000FF"/>
          <w:sz w:val="20"/>
        </w:rPr>
        <w:t> </w:t>
      </w:r>
      <w:r>
        <w:rPr>
          <w:sz w:val="24"/>
        </w:rPr>
        <w:t>089508802682</w:t>
      </w:r>
    </w:p>
    <w:p>
      <w:pPr>
        <w:pStyle w:val="BodyText"/>
        <w:spacing w:before="10"/>
        <w:rPr>
          <w:sz w:val="33"/>
        </w:rPr>
      </w:pPr>
    </w:p>
    <w:p>
      <w:pPr>
        <w:spacing w:line="226" w:lineRule="exact" w:before="0"/>
        <w:ind w:left="233" w:right="232" w:firstLine="0"/>
        <w:jc w:val="center"/>
        <w:rPr>
          <w:b/>
          <w:sz w:val="20"/>
        </w:rPr>
      </w:pPr>
      <w:bookmarkStart w:name="Abstrak" w:id="4"/>
      <w:bookmarkEnd w:id="4"/>
      <w:r>
        <w:rPr/>
      </w:r>
      <w:r>
        <w:rPr>
          <w:b/>
          <w:sz w:val="20"/>
        </w:rPr>
        <w:t>Abstrak</w:t>
      </w:r>
    </w:p>
    <w:p>
      <w:pPr>
        <w:pStyle w:val="Heading2"/>
        <w:ind w:firstLine="0"/>
      </w:pPr>
      <w:r>
        <w:rPr/>
        <w:t>Penelitian ini bertujuan untuk mengetahui hubungan antara kontrol diri dengan kecanduan game online pada dewasa awal .Hipotesis yang diajukan dalam penelitian ini adalah adanya hubungan yang negatif antara kontrol diri dengan kecanduan game online pada dewasa awal. Semakin tinggi kontrol diri maka semakin rendah pula kecanduan game online, begitu pula sebaliknya semakin rendah kontrol diri maka semakin tinggi kecanduan game onlie pada dewasa awal.. Jumlah subjek penelitian ini sebanyak 100 mahasiswa, yang terdiri dari 49 orang laki-laki (49%) dan 51 orang perempuan (51%). Pengambilan data penelitian ini menggunakan skala kontrol diri dan skala kecanduan game online. Teknik analisa data </w:t>
      </w:r>
      <w:r>
        <w:rPr>
          <w:spacing w:val="-3"/>
        </w:rPr>
        <w:t>yang </w:t>
      </w:r>
      <w:r>
        <w:rPr/>
        <w:t>digunakan adalah korelasi </w:t>
      </w:r>
      <w:r>
        <w:rPr>
          <w:i/>
        </w:rPr>
        <w:t>product moment. </w:t>
      </w:r>
      <w:r>
        <w:rPr/>
        <w:t>Berdasarkan hasil analisis data diperoleh koefisien korelasi (rxy) = -0.861 (p &lt; 0,01). Hasil penelitian menunjukkan bahwa terdapat hubungan negatif antara </w:t>
      </w:r>
      <w:r>
        <w:rPr>
          <w:i/>
        </w:rPr>
        <w:t>kontrol diri </w:t>
      </w:r>
      <w:r>
        <w:rPr/>
        <w:t>dengan kecanduan game online. Dari hasil perhitungan nilai determinasi (R</w:t>
      </w:r>
      <w:r>
        <w:rPr>
          <w:sz w:val="18"/>
        </w:rPr>
        <w:t>2</w:t>
      </w:r>
      <w:r>
        <w:rPr/>
        <w:t>) diketahui kontribusi kontrol diri terhadap kecanduan game online yakni sebesar 74.13%. Sedangkan 25.87% </w:t>
      </w:r>
      <w:r>
        <w:rPr>
          <w:spacing w:val="-3"/>
        </w:rPr>
        <w:t>yang </w:t>
      </w:r>
      <w:r>
        <w:rPr/>
        <w:t>mempengaruhi kecanduan game online pada deawasa</w:t>
      </w:r>
      <w:r>
        <w:rPr>
          <w:spacing w:val="-6"/>
        </w:rPr>
        <w:t> </w:t>
      </w:r>
      <w:r>
        <w:rPr/>
        <w:t>awal.</w:t>
      </w:r>
    </w:p>
    <w:p>
      <w:pPr>
        <w:pStyle w:val="BodyText"/>
        <w:spacing w:before="11"/>
        <w:rPr>
          <w:sz w:val="23"/>
        </w:rPr>
      </w:pPr>
    </w:p>
    <w:p>
      <w:pPr>
        <w:spacing w:before="0"/>
        <w:ind w:left="119" w:right="0" w:firstLine="0"/>
        <w:jc w:val="both"/>
        <w:rPr>
          <w:sz w:val="24"/>
        </w:rPr>
      </w:pPr>
      <w:r>
        <w:rPr>
          <w:b/>
          <w:sz w:val="24"/>
        </w:rPr>
        <w:t>Kata kunci: </w:t>
      </w:r>
      <w:r>
        <w:rPr>
          <w:sz w:val="24"/>
        </w:rPr>
        <w:t>kontrol diri, kecanduan game</w:t>
      </w:r>
      <w:r>
        <w:rPr>
          <w:spacing w:val="-19"/>
          <w:sz w:val="24"/>
        </w:rPr>
        <w:t> </w:t>
      </w:r>
      <w:r>
        <w:rPr>
          <w:sz w:val="24"/>
        </w:rPr>
        <w:t>online</w:t>
      </w:r>
    </w:p>
    <w:p>
      <w:pPr>
        <w:pStyle w:val="BodyText"/>
        <w:rPr>
          <w:sz w:val="26"/>
        </w:rPr>
      </w:pPr>
    </w:p>
    <w:p>
      <w:pPr>
        <w:spacing w:line="226" w:lineRule="exact" w:before="173"/>
        <w:ind w:left="234" w:right="232" w:firstLine="0"/>
        <w:jc w:val="center"/>
        <w:rPr>
          <w:b/>
          <w:i/>
          <w:sz w:val="20"/>
        </w:rPr>
      </w:pPr>
      <w:r>
        <w:rPr>
          <w:b/>
          <w:i/>
          <w:sz w:val="20"/>
        </w:rPr>
        <w:t>Abstract</w:t>
      </w:r>
    </w:p>
    <w:p>
      <w:pPr>
        <w:spacing w:line="240" w:lineRule="auto" w:before="0"/>
        <w:ind w:left="119" w:right="108" w:firstLine="0"/>
        <w:jc w:val="both"/>
        <w:rPr>
          <w:i/>
          <w:sz w:val="24"/>
        </w:rPr>
      </w:pPr>
      <w:r>
        <w:rPr>
          <w:i/>
          <w:sz w:val="24"/>
        </w:rPr>
        <w:t>This study aims to determine the relationship between self-control and online game </w:t>
      </w:r>
      <w:r>
        <w:rPr>
          <w:i/>
          <w:sz w:val="24"/>
        </w:rPr>
        <w:t>addiction in early adulthood. The hypothesis put forward in this study is that there is a negative relationship between self-control and online game addiction in early adulthood. The higher the self-control, the lower the addiction to online games, and vice versa, the lower the self-control, the higher the addiction </w:t>
      </w:r>
      <w:r>
        <w:rPr>
          <w:i/>
          <w:spacing w:val="-3"/>
          <w:sz w:val="24"/>
        </w:rPr>
        <w:t>to </w:t>
      </w:r>
      <w:r>
        <w:rPr>
          <w:i/>
          <w:sz w:val="24"/>
        </w:rPr>
        <w:t>online games in early adulthood. The number of subjects in this study </w:t>
      </w:r>
      <w:r>
        <w:rPr>
          <w:i/>
          <w:spacing w:val="-4"/>
          <w:sz w:val="24"/>
        </w:rPr>
        <w:t>were </w:t>
      </w:r>
      <w:r>
        <w:rPr>
          <w:i/>
          <w:sz w:val="24"/>
        </w:rPr>
        <w:t>100 students, consisting of 49 men (49%) and 51 women (51%). Retrieval of data in this study using a scale of self-control and addiction to online games. The data analysis technique used is product moment correlation. Based on the results </w:t>
      </w:r>
      <w:r>
        <w:rPr>
          <w:i/>
          <w:spacing w:val="-3"/>
          <w:sz w:val="24"/>
        </w:rPr>
        <w:t>of </w:t>
      </w:r>
      <w:r>
        <w:rPr>
          <w:i/>
          <w:sz w:val="24"/>
        </w:rPr>
        <w:t>data analysis, the correlation coefficient (rxy) = -0.861 (p &lt;0.01) </w:t>
      </w:r>
      <w:r>
        <w:rPr>
          <w:i/>
          <w:spacing w:val="-3"/>
          <w:sz w:val="24"/>
        </w:rPr>
        <w:t>was</w:t>
      </w:r>
      <w:r>
        <w:rPr>
          <w:i/>
          <w:spacing w:val="54"/>
          <w:sz w:val="24"/>
        </w:rPr>
        <w:t> </w:t>
      </w:r>
      <w:r>
        <w:rPr>
          <w:i/>
          <w:sz w:val="24"/>
        </w:rPr>
        <w:t>obtained. The results of the study show that there is a negative relationship between </w:t>
      </w:r>
      <w:r>
        <w:rPr>
          <w:i/>
          <w:spacing w:val="3"/>
          <w:sz w:val="24"/>
        </w:rPr>
        <w:t>self- </w:t>
      </w:r>
      <w:r>
        <w:rPr>
          <w:i/>
          <w:sz w:val="24"/>
        </w:rPr>
        <w:t>control and online game addiction. From the results of calculating the value </w:t>
      </w:r>
      <w:r>
        <w:rPr>
          <w:i/>
          <w:spacing w:val="-3"/>
          <w:sz w:val="24"/>
        </w:rPr>
        <w:t>of </w:t>
      </w:r>
      <w:r>
        <w:rPr>
          <w:i/>
          <w:sz w:val="24"/>
        </w:rPr>
        <w:t>determination (R2) it is known that the contribution </w:t>
      </w:r>
      <w:r>
        <w:rPr>
          <w:i/>
          <w:spacing w:val="-3"/>
          <w:sz w:val="24"/>
        </w:rPr>
        <w:t>of </w:t>
      </w:r>
      <w:r>
        <w:rPr>
          <w:i/>
          <w:sz w:val="24"/>
        </w:rPr>
        <w:t>self-control to online game addiction is 74.13%. Meanwhile, 25.87% influenced online game addiction in early adulthood.</w:t>
      </w:r>
    </w:p>
    <w:p>
      <w:pPr>
        <w:pStyle w:val="BodyText"/>
        <w:rPr>
          <w:i/>
          <w:sz w:val="24"/>
        </w:rPr>
      </w:pPr>
    </w:p>
    <w:p>
      <w:pPr>
        <w:tabs>
          <w:tab w:pos="2189" w:val="left" w:leader="none"/>
          <w:tab w:pos="3725" w:val="left" w:leader="none"/>
          <w:tab w:pos="4949" w:val="left" w:leader="none"/>
          <w:tab w:pos="6736" w:val="left" w:leader="none"/>
          <w:tab w:pos="8421" w:val="left" w:leader="none"/>
        </w:tabs>
        <w:spacing w:before="0"/>
        <w:ind w:left="119" w:right="0" w:firstLine="0"/>
        <w:jc w:val="both"/>
        <w:rPr>
          <w:i/>
          <w:sz w:val="24"/>
        </w:rPr>
      </w:pPr>
      <w:r>
        <w:rPr>
          <w:b/>
          <w:i/>
          <w:sz w:val="24"/>
        </w:rPr>
        <w:t>Keywords:</w:t>
        <w:tab/>
      </w:r>
      <w:r>
        <w:rPr>
          <w:i/>
          <w:sz w:val="24"/>
        </w:rPr>
        <w:t>locus</w:t>
        <w:tab/>
        <w:t>of</w:t>
        <w:tab/>
        <w:t>control,</w:t>
        <w:tab/>
        <w:t>coping</w:t>
        <w:tab/>
        <w:t>stres</w:t>
      </w:r>
    </w:p>
    <w:p>
      <w:pPr>
        <w:spacing w:after="0"/>
        <w:jc w:val="both"/>
        <w:rPr>
          <w:sz w:val="24"/>
        </w:rPr>
        <w:sectPr>
          <w:footerReference w:type="default" r:id="rId5"/>
          <w:type w:val="continuous"/>
          <w:pgSz w:w="11910" w:h="16840"/>
          <w:pgMar w:footer="770" w:top="1500" w:bottom="960" w:left="1460" w:right="1460"/>
        </w:sectPr>
      </w:pPr>
    </w:p>
    <w:p>
      <w:pPr>
        <w:pStyle w:val="BodyText"/>
        <w:spacing w:before="4"/>
        <w:rPr>
          <w:i/>
          <w:sz w:val="17"/>
        </w:rPr>
      </w:pPr>
    </w:p>
    <w:p>
      <w:pPr>
        <w:spacing w:after="0"/>
        <w:rPr>
          <w:sz w:val="17"/>
        </w:rPr>
        <w:sectPr>
          <w:footerReference w:type="default" r:id="rId7"/>
          <w:pgSz w:w="11910" w:h="16840"/>
          <w:pgMar w:footer="0" w:header="0" w:top="1580" w:bottom="280" w:left="1460" w:right="1460"/>
        </w:sectPr>
      </w:pPr>
    </w:p>
    <w:p>
      <w:pPr>
        <w:pStyle w:val="Heading3"/>
        <w:spacing w:line="251" w:lineRule="exact" w:before="83"/>
        <w:ind w:left="119"/>
      </w:pPr>
      <w:bookmarkStart w:name="PENDAHULUAN" w:id="5"/>
      <w:bookmarkEnd w:id="5"/>
      <w:r>
        <w:rPr>
          <w:b w:val="0"/>
        </w:rPr>
      </w:r>
      <w:r>
        <w:rPr/>
        <w:t>PENDAHULUAN</w:t>
      </w:r>
    </w:p>
    <w:p>
      <w:pPr>
        <w:pStyle w:val="BodyText"/>
        <w:spacing w:line="360" w:lineRule="auto"/>
        <w:ind w:left="119" w:right="115" w:firstLine="720"/>
        <w:jc w:val="both"/>
      </w:pPr>
      <w:r>
        <w:rPr/>
        <w:t>Seiring dengan berkembangnya ilmu pengetahuan dan teknologi internet memiliki ketertarikan tersendiri bagi individu dalam mencari informasi terbaru dan menjalin hubungan dengan orang lain di virtual (Masluchah, 2013). akan tetapi diluar pemanfaatan untuk kemudahan untuk dapat mengakses informasi dalam bidang akademis, </w:t>
      </w:r>
      <w:r>
        <w:rPr>
          <w:spacing w:val="-3"/>
        </w:rPr>
        <w:t>juga </w:t>
      </w:r>
      <w:r>
        <w:rPr/>
        <w:t>dimanfaatkan oleh sebagian dewasa awal untuk mengakses sarana hiburan dengan bermain game online (Young &amp; </w:t>
      </w:r>
      <w:r>
        <w:rPr>
          <w:spacing w:val="-3"/>
        </w:rPr>
        <w:t>de </w:t>
      </w:r>
      <w:r>
        <w:rPr/>
        <w:t>Abreu, 2017). Tugas perkembangan harus dilewati tiap-tiap individu agar kehidupan menjadi bahagia dan mampu menyelesaikan konflik konflik sosial secara baik, termasuk masa </w:t>
      </w:r>
      <w:r>
        <w:rPr>
          <w:spacing w:val="-3"/>
        </w:rPr>
        <w:t>ketika </w:t>
      </w:r>
      <w:r>
        <w:rPr/>
        <w:t>remaja berakhir individu akan memulai tahap menjadi dewasa</w:t>
      </w:r>
      <w:r>
        <w:rPr>
          <w:spacing w:val="4"/>
        </w:rPr>
        <w:t> </w:t>
      </w:r>
      <w:r>
        <w:rPr/>
        <w:t>awal.</w:t>
      </w:r>
    </w:p>
    <w:p>
      <w:pPr>
        <w:pStyle w:val="BodyText"/>
        <w:spacing w:before="1"/>
        <w:rPr>
          <w:sz w:val="33"/>
        </w:rPr>
      </w:pPr>
    </w:p>
    <w:p>
      <w:pPr>
        <w:pStyle w:val="BodyText"/>
        <w:spacing w:line="360" w:lineRule="auto"/>
        <w:ind w:left="119" w:right="113" w:firstLine="720"/>
        <w:jc w:val="both"/>
      </w:pPr>
      <w:r>
        <w:rPr/>
        <w:t>Peneliti menggunakan usia dewasa awal, </w:t>
      </w:r>
      <w:r>
        <w:rPr>
          <w:spacing w:val="-3"/>
        </w:rPr>
        <w:t>karena </w:t>
      </w:r>
      <w:r>
        <w:rPr/>
        <w:t>pada usia tersebut individu telah mengalami eksplorasi identitas (relasi romantis dan pekerjaan), terlibat dalam kewajiban sosial, melakukan tugas dan berkomitmen terhadap orang lain, kemandirian ekonomi, dan bertanggung jawab atas konsekuensi dari tindakannya sendiri (Arnett, 2011). Pada masa dewasa awal, individu telah menjadi seorang mahasiswa, mulai mencari pekerjaan atau telah memiliki pekerjaan, bahkan telah mempunyai pasangan hidup, sehingga beban yang dialami dari hari ke hari semakin bertambah. Biasanya individu tersebut memilih suatu kegiatan untuk dijadikan sebagai selingan atau pelarian ketika merasa lelah atau sangat tertekan akibat dari pekerjaannya, salah satu </w:t>
      </w:r>
      <w:r>
        <w:rPr>
          <w:spacing w:val="-3"/>
        </w:rPr>
        <w:t>jenis </w:t>
      </w:r>
      <w:r>
        <w:rPr/>
        <w:t>selingannya adalah dengan bermain </w:t>
      </w:r>
      <w:r>
        <w:rPr>
          <w:i/>
        </w:rPr>
        <w:t>game online</w:t>
      </w:r>
      <w:r>
        <w:rPr/>
        <w:t>. </w:t>
      </w:r>
      <w:r>
        <w:rPr>
          <w:i/>
          <w:spacing w:val="-3"/>
        </w:rPr>
        <w:t>Game </w:t>
      </w:r>
      <w:r>
        <w:rPr>
          <w:i/>
        </w:rPr>
        <w:t>online </w:t>
      </w:r>
      <w:r>
        <w:rPr/>
        <w:t>dapat memiliki sisi positif bila dimanfaatkan untuk kesenangan (Adams, 2013), dimana </w:t>
      </w:r>
      <w:r>
        <w:rPr>
          <w:spacing w:val="-3"/>
        </w:rPr>
        <w:t>kita </w:t>
      </w:r>
      <w:r>
        <w:rPr/>
        <w:t>ketahui pada masa masa penat dan setres dapat dikurangi dengan bermain suatu permainan (Russoniello, O’Brien, &amp; Parks, 2009). akan tetapi yang terjadi saat </w:t>
      </w:r>
      <w:r>
        <w:rPr>
          <w:spacing w:val="-4"/>
        </w:rPr>
        <w:t>ini, </w:t>
      </w:r>
      <w:r>
        <w:rPr/>
        <w:t>game online banyak dimainkan secara berlebihan dan digunakan sebagai tempat untuk melarikan diri dari realitas kehidupan sehingga yang terjadi adalah kecanduan game online (Hussain &amp; Griffiths,</w:t>
      </w:r>
      <w:r>
        <w:rPr>
          <w:spacing w:val="-4"/>
        </w:rPr>
        <w:t> </w:t>
      </w:r>
      <w:r>
        <w:rPr/>
        <w:t>2009).</w:t>
      </w:r>
    </w:p>
    <w:p>
      <w:pPr>
        <w:pStyle w:val="BodyText"/>
        <w:spacing w:before="10"/>
        <w:rPr>
          <w:sz w:val="32"/>
        </w:rPr>
      </w:pPr>
    </w:p>
    <w:p>
      <w:pPr>
        <w:pStyle w:val="BodyText"/>
        <w:spacing w:line="360" w:lineRule="auto"/>
        <w:ind w:left="119" w:right="109" w:firstLine="720"/>
        <w:jc w:val="both"/>
      </w:pPr>
      <w:r>
        <w:rPr/>
        <w:t>Kecanduan game online diartikan sebagai penggunaan permainan game online secara terus menerus yang mengakibatkan munculnya tanda-tanda gangguan kognitif, emosi, dan perilaku termasuk didalamnya adalah kehilangan kontrol terhadap permainan, toleransi, dan menarik diri (Griffiths, Davies, &amp; Chappell, 2004). Game disorder resmi dikategorikan sebagai gangguan mental oleh </w:t>
      </w:r>
      <w:r>
        <w:rPr>
          <w:i/>
        </w:rPr>
        <w:t>World Health Organization </w:t>
      </w:r>
      <w:r>
        <w:rPr/>
        <w:t>(WHO). Kecanduan game masuk dalam </w:t>
      </w:r>
      <w:r>
        <w:rPr>
          <w:i/>
        </w:rPr>
        <w:t>International </w:t>
      </w:r>
      <w:r>
        <w:rPr>
          <w:i/>
        </w:rPr>
        <w:t>Statistical Classification </w:t>
      </w:r>
      <w:r>
        <w:rPr>
          <w:i/>
          <w:spacing w:val="-3"/>
        </w:rPr>
        <w:t>of </w:t>
      </w:r>
      <w:r>
        <w:rPr>
          <w:i/>
        </w:rPr>
        <w:t>Diseases </w:t>
      </w:r>
      <w:r>
        <w:rPr/>
        <w:t>and </w:t>
      </w:r>
      <w:r>
        <w:rPr>
          <w:i/>
        </w:rPr>
        <w:t>Related Health Problems </w:t>
      </w:r>
      <w:r>
        <w:rPr/>
        <w:t>(</w:t>
      </w:r>
      <w:r>
        <w:rPr>
          <w:i/>
        </w:rPr>
        <w:t>ICD) </w:t>
      </w:r>
      <w:r>
        <w:rPr/>
        <w:t>yang merupakan suatu sistem klasifikasi penyakit. Dalam ICD dikatakan, game disorder atau kecanduan game online ditandai dengan seseorang yang tidak bisa lagi mengendalikan diri dengan bermain game online. Misalnya, orang yang mengalami game disorder </w:t>
      </w:r>
      <w:r>
        <w:rPr>
          <w:spacing w:val="-3"/>
        </w:rPr>
        <w:t>dia </w:t>
      </w:r>
      <w:r>
        <w:rPr/>
        <w:t>tidak bisa mengendalikan waktu bermain game. Gejala lainnya adalah individu akan memainkan permainan online sebagai prioritas dalam hidup dan melupakan aktivitas </w:t>
      </w:r>
      <w:r>
        <w:rPr>
          <w:spacing w:val="-3"/>
        </w:rPr>
        <w:t>lain, </w:t>
      </w:r>
      <w:r>
        <w:rPr/>
        <w:t>bahkan level kecanduan game online akan meningkat meskipun penderita mengetahui dampak negatifnya. Kecanduan bermain game ini telah menyebabkan kehidupan pribadi dan sosial penderita penyakit ini akan terganggu</w:t>
      </w:r>
      <w:r>
        <w:rPr>
          <w:spacing w:val="14"/>
        </w:rPr>
        <w:t> </w:t>
      </w:r>
      <w:r>
        <w:rPr/>
        <w:t>(Kementerian</w:t>
      </w:r>
    </w:p>
    <w:p>
      <w:pPr>
        <w:spacing w:after="0" w:line="360" w:lineRule="auto"/>
        <w:jc w:val="both"/>
        <w:sectPr>
          <w:footerReference w:type="default" r:id="rId8"/>
          <w:pgSz w:w="11910" w:h="16840"/>
          <w:pgMar w:footer="710" w:header="0" w:top="1580" w:bottom="900" w:left="1460" w:right="1460"/>
          <w:pgNumType w:start="3"/>
        </w:sectPr>
      </w:pPr>
    </w:p>
    <w:p>
      <w:pPr>
        <w:pStyle w:val="BodyText"/>
        <w:spacing w:line="360" w:lineRule="auto" w:before="77"/>
        <w:ind w:left="119" w:right="332"/>
      </w:pPr>
      <w:r>
        <w:rPr/>
        <w:t>Kesehatan, 2018). Seseorang yang terdampak kecanduan game online pada umumnya menghabiskan waktu bermain game online 14 jam sehari (Chou, 2005).</w:t>
      </w:r>
    </w:p>
    <w:p>
      <w:pPr>
        <w:pStyle w:val="BodyText"/>
        <w:rPr>
          <w:sz w:val="33"/>
        </w:rPr>
      </w:pPr>
    </w:p>
    <w:p>
      <w:pPr>
        <w:pStyle w:val="BodyText"/>
        <w:spacing w:line="360" w:lineRule="auto"/>
        <w:ind w:left="119" w:right="111" w:firstLine="720"/>
        <w:jc w:val="both"/>
      </w:pPr>
      <w:r>
        <w:rPr/>
        <w:t>Peneliti melakukan pengamatan dan wawancara awal pada 10 subjek berusia 21-27 tahun yang merupakan mahasiswa di Yogyakarta. Berdasarkan pada pengamatan dan hasil wawancara awal kepada 10 subjek, didapatkan bahwa untuk mengisi waktu luangnya subjek bermain game online. 9 dari 10 subjek merasa panik dan gelisah, apabila tidak membawa </w:t>
      </w:r>
      <w:r>
        <w:rPr>
          <w:i/>
        </w:rPr>
        <w:t>handphone </w:t>
      </w:r>
      <w:r>
        <w:rPr/>
        <w:t>ketika sedang tidak ada kegiatan maupun sedang berada diluar berkumpul bersama teman-temannya yang juga seorang pemain game online. Ketika sedang bermain game subjek akan mudah marah saat diganggu,hingga lupa makan dan mengabaikan kegiatan lain yang menjadi prioritas. Dalam penelitian yang dilakukan oleh Griffiths (2009), individu yang mengalami kecanduan game online banyak mengorbankan aktivitas lain untuk dapat bermain game. Iindividu mengorbankan waktu dan minat lainnya, mengorbankan waktu untuk tidur, bekerja atau belajar. Berdasarkan fenomena tersebut, individu tidak dapat mengontrol perilakunya untuk tidak bermain game, sehingga ketika melihat </w:t>
      </w:r>
      <w:r>
        <w:rPr>
          <w:i/>
        </w:rPr>
        <w:t>handphone </w:t>
      </w:r>
      <w:r>
        <w:rPr/>
        <w:t>dan laptop, individu yang sudah kecanduan game online tersebut langsung memiliki keinginan untuk bermain game. Jika tidak terpenuhi, individu tersebut akan cepat gelisah dan marah.</w:t>
      </w:r>
    </w:p>
    <w:p>
      <w:pPr>
        <w:pStyle w:val="BodyText"/>
        <w:rPr>
          <w:sz w:val="24"/>
        </w:rPr>
      </w:pPr>
    </w:p>
    <w:p>
      <w:pPr>
        <w:pStyle w:val="BodyText"/>
        <w:spacing w:before="6"/>
        <w:rPr>
          <w:sz w:val="27"/>
        </w:rPr>
      </w:pPr>
    </w:p>
    <w:p>
      <w:pPr>
        <w:pStyle w:val="Heading3"/>
      </w:pPr>
      <w:bookmarkStart w:name="METODE" w:id="6"/>
      <w:bookmarkEnd w:id="6"/>
      <w:r>
        <w:rPr>
          <w:b w:val="0"/>
        </w:rPr>
      </w:r>
      <w:r>
        <w:rPr/>
        <w:t>METODE</w:t>
      </w:r>
    </w:p>
    <w:p>
      <w:pPr>
        <w:spacing w:line="360" w:lineRule="auto" w:before="116"/>
        <w:ind w:left="239" w:right="230" w:firstLine="720"/>
        <w:jc w:val="both"/>
        <w:rPr>
          <w:sz w:val="20"/>
        </w:rPr>
      </w:pPr>
      <w:r>
        <w:rPr>
          <w:sz w:val="20"/>
        </w:rPr>
        <w:t>Metode pengumpulan data yang digunakan dalam penelitian ini adalah metode skala. Skala merupakan alat ukur berupa pernyataan-pernyataan yang digunakan untuk mengungkap aspek psikologis dan secara tidak langsung mengungkap indikator perilaku. Respon subjek terhadap skala tidak diklasifikasikan sebagai jawaban benar atau salah (Azwar, 2015). Skala yang digunakan dalam penelitian ini adalah Skala Likert. Skala Likert adalah skala yang dapat digunakan untuk mengukur pendapat, persepsi dan sikap individu terhadap suatu fenomena (Sugiyono, 2016).Penelitian ini menggunakan metode kuantitatif. Metode ini menggunakan skala-skala alat ukur dan mengacu pada teori yang sesuai dengan tujuan penelitian. Pada penelitian ini menggunakanskala kontrol dir</w:t>
      </w:r>
      <w:r>
        <w:rPr>
          <w:i/>
          <w:sz w:val="20"/>
        </w:rPr>
        <w:t>i </w:t>
      </w:r>
      <w:r>
        <w:rPr>
          <w:sz w:val="20"/>
        </w:rPr>
        <w:t>dan kecanduan game online. Penyusunan skala psikologi ini menggunakan format respon untuk item.</w:t>
      </w:r>
    </w:p>
    <w:p>
      <w:pPr>
        <w:spacing w:after="0" w:line="360" w:lineRule="auto"/>
        <w:jc w:val="both"/>
        <w:rPr>
          <w:sz w:val="20"/>
        </w:rPr>
        <w:sectPr>
          <w:pgSz w:w="11910" w:h="16840"/>
          <w:pgMar w:header="0" w:footer="710" w:top="1480" w:bottom="920" w:left="1460" w:right="1460"/>
        </w:sectPr>
      </w:pPr>
    </w:p>
    <w:p>
      <w:pPr>
        <w:pStyle w:val="Heading3"/>
        <w:spacing w:before="62"/>
      </w:pPr>
      <w:bookmarkStart w:name="HASIL DAN PEMBAHASAN" w:id="7"/>
      <w:bookmarkEnd w:id="7"/>
      <w:r>
        <w:rPr>
          <w:b w:val="0"/>
        </w:rPr>
      </w:r>
      <w:r>
        <w:rPr/>
        <w:t>HASIL DAN PEMBAHASAN</w:t>
      </w:r>
    </w:p>
    <w:p>
      <w:pPr>
        <w:pStyle w:val="BodyText"/>
        <w:rPr>
          <w:b/>
          <w:sz w:val="24"/>
        </w:rPr>
      </w:pPr>
    </w:p>
    <w:p>
      <w:pPr>
        <w:pStyle w:val="BodyText"/>
        <w:spacing w:before="2"/>
        <w:rPr>
          <w:b/>
          <w:sz w:val="19"/>
        </w:rPr>
      </w:pPr>
    </w:p>
    <w:p>
      <w:pPr>
        <w:pStyle w:val="BodyText"/>
        <w:ind w:left="231" w:right="232"/>
        <w:jc w:val="center"/>
      </w:pPr>
      <w:r>
        <w:rPr/>
        <w:t>Tabel 6. Deskripsi Statistik Data Penelitian</w:t>
      </w:r>
    </w:p>
    <w:p>
      <w:pPr>
        <w:pStyle w:val="BodyText"/>
        <w:rPr>
          <w:sz w:val="23"/>
        </w:rPr>
      </w:pPr>
    </w:p>
    <w:tbl>
      <w:tblPr>
        <w:tblW w:w="0" w:type="auto"/>
        <w:jc w:val="left"/>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3"/>
        <w:gridCol w:w="817"/>
        <w:gridCol w:w="719"/>
        <w:gridCol w:w="750"/>
        <w:gridCol w:w="667"/>
        <w:gridCol w:w="587"/>
        <w:gridCol w:w="648"/>
        <w:gridCol w:w="753"/>
        <w:gridCol w:w="898"/>
        <w:gridCol w:w="1279"/>
      </w:tblGrid>
      <w:tr>
        <w:trPr>
          <w:trHeight w:val="503" w:hRule="atLeast"/>
        </w:trPr>
        <w:tc>
          <w:tcPr>
            <w:tcW w:w="8081" w:type="dxa"/>
            <w:gridSpan w:val="10"/>
            <w:tcBorders>
              <w:top w:val="single" w:sz="4" w:space="0" w:color="000000"/>
              <w:bottom w:val="single" w:sz="4" w:space="0" w:color="000000"/>
            </w:tcBorders>
          </w:tcPr>
          <w:p>
            <w:pPr>
              <w:pStyle w:val="TableParagraph"/>
              <w:tabs>
                <w:tab w:pos="2894" w:val="left" w:leader="none"/>
              </w:tabs>
              <w:spacing w:line="244" w:lineRule="exact"/>
              <w:rPr>
                <w:sz w:val="22"/>
              </w:rPr>
            </w:pPr>
            <w:r>
              <w:rPr>
                <w:sz w:val="22"/>
              </w:rPr>
              <w:t>Data</w:t>
            </w:r>
            <w:r>
              <w:rPr>
                <w:spacing w:val="-3"/>
                <w:sz w:val="22"/>
              </w:rPr>
              <w:t> </w:t>
            </w:r>
            <w:r>
              <w:rPr>
                <w:sz w:val="22"/>
              </w:rPr>
              <w:t>Hipotetik</w:t>
              <w:tab/>
              <w:t>Data Empirik</w:t>
            </w:r>
          </w:p>
        </w:tc>
      </w:tr>
      <w:tr>
        <w:trPr>
          <w:trHeight w:val="376" w:hRule="atLeast"/>
        </w:trPr>
        <w:tc>
          <w:tcPr>
            <w:tcW w:w="963" w:type="dxa"/>
            <w:tcBorders>
              <w:top w:val="single" w:sz="4" w:space="0" w:color="000000"/>
            </w:tcBorders>
          </w:tcPr>
          <w:p>
            <w:pPr>
              <w:pStyle w:val="TableParagraph"/>
              <w:spacing w:line="244" w:lineRule="exact"/>
              <w:ind w:left="193" w:right="240"/>
              <w:rPr>
                <w:sz w:val="22"/>
              </w:rPr>
            </w:pPr>
            <w:r>
              <w:rPr>
                <w:sz w:val="22"/>
              </w:rPr>
              <w:t>Skala</w:t>
            </w:r>
          </w:p>
        </w:tc>
        <w:tc>
          <w:tcPr>
            <w:tcW w:w="817" w:type="dxa"/>
            <w:tcBorders>
              <w:top w:val="single" w:sz="4" w:space="0" w:color="000000"/>
            </w:tcBorders>
          </w:tcPr>
          <w:p>
            <w:pPr>
              <w:pStyle w:val="TableParagraph"/>
              <w:spacing w:line="244" w:lineRule="exact"/>
              <w:ind w:left="42"/>
              <w:rPr>
                <w:sz w:val="22"/>
              </w:rPr>
            </w:pPr>
            <w:r>
              <w:rPr>
                <w:w w:val="100"/>
                <w:sz w:val="22"/>
              </w:rPr>
              <w:t>N</w:t>
            </w:r>
          </w:p>
        </w:tc>
        <w:tc>
          <w:tcPr>
            <w:tcW w:w="719" w:type="dxa"/>
            <w:tcBorders>
              <w:top w:val="single" w:sz="4" w:space="0" w:color="000000"/>
            </w:tcBorders>
          </w:tcPr>
          <w:p>
            <w:pPr>
              <w:pStyle w:val="TableParagraph"/>
              <w:spacing w:line="244" w:lineRule="exact"/>
              <w:ind w:right="127"/>
              <w:jc w:val="right"/>
              <w:rPr>
                <w:sz w:val="22"/>
              </w:rPr>
            </w:pPr>
            <w:r>
              <w:rPr>
                <w:sz w:val="22"/>
              </w:rPr>
              <w:t>Min</w:t>
            </w:r>
          </w:p>
        </w:tc>
        <w:tc>
          <w:tcPr>
            <w:tcW w:w="750" w:type="dxa"/>
            <w:tcBorders>
              <w:top w:val="single" w:sz="4" w:space="0" w:color="000000"/>
            </w:tcBorders>
          </w:tcPr>
          <w:p>
            <w:pPr>
              <w:pStyle w:val="TableParagraph"/>
              <w:spacing w:line="244" w:lineRule="exact"/>
              <w:ind w:left="114" w:right="106"/>
              <w:rPr>
                <w:sz w:val="22"/>
              </w:rPr>
            </w:pPr>
            <w:r>
              <w:rPr>
                <w:sz w:val="22"/>
              </w:rPr>
              <w:t>Maks</w:t>
            </w:r>
          </w:p>
        </w:tc>
        <w:tc>
          <w:tcPr>
            <w:tcW w:w="667" w:type="dxa"/>
            <w:tcBorders>
              <w:top w:val="single" w:sz="4" w:space="0" w:color="000000"/>
            </w:tcBorders>
          </w:tcPr>
          <w:p>
            <w:pPr>
              <w:pStyle w:val="TableParagraph"/>
              <w:spacing w:line="244" w:lineRule="exact"/>
              <w:ind w:right="18"/>
              <w:rPr>
                <w:sz w:val="22"/>
              </w:rPr>
            </w:pPr>
            <w:r>
              <w:rPr>
                <w:w w:val="100"/>
                <w:sz w:val="22"/>
              </w:rPr>
              <w:t>M</w:t>
            </w:r>
          </w:p>
        </w:tc>
        <w:tc>
          <w:tcPr>
            <w:tcW w:w="587" w:type="dxa"/>
            <w:tcBorders>
              <w:top w:val="single" w:sz="4" w:space="0" w:color="000000"/>
            </w:tcBorders>
          </w:tcPr>
          <w:p>
            <w:pPr>
              <w:pStyle w:val="TableParagraph"/>
              <w:spacing w:line="244" w:lineRule="exact"/>
              <w:ind w:left="135" w:right="129"/>
              <w:rPr>
                <w:sz w:val="22"/>
              </w:rPr>
            </w:pPr>
            <w:r>
              <w:rPr>
                <w:sz w:val="22"/>
              </w:rPr>
              <w:t>SD</w:t>
            </w:r>
          </w:p>
        </w:tc>
        <w:tc>
          <w:tcPr>
            <w:tcW w:w="648" w:type="dxa"/>
            <w:tcBorders>
              <w:top w:val="single" w:sz="4" w:space="0" w:color="000000"/>
            </w:tcBorders>
          </w:tcPr>
          <w:p>
            <w:pPr>
              <w:pStyle w:val="TableParagraph"/>
              <w:spacing w:line="244" w:lineRule="exact"/>
              <w:ind w:left="136" w:right="105"/>
              <w:rPr>
                <w:sz w:val="22"/>
              </w:rPr>
            </w:pPr>
            <w:r>
              <w:rPr>
                <w:sz w:val="22"/>
              </w:rPr>
              <w:t>Min</w:t>
            </w:r>
          </w:p>
        </w:tc>
        <w:tc>
          <w:tcPr>
            <w:tcW w:w="753" w:type="dxa"/>
            <w:tcBorders>
              <w:top w:val="single" w:sz="4" w:space="0" w:color="000000"/>
            </w:tcBorders>
          </w:tcPr>
          <w:p>
            <w:pPr>
              <w:pStyle w:val="TableParagraph"/>
              <w:spacing w:line="244" w:lineRule="exact"/>
              <w:ind w:left="117" w:right="106"/>
              <w:rPr>
                <w:sz w:val="22"/>
              </w:rPr>
            </w:pPr>
            <w:r>
              <w:rPr>
                <w:sz w:val="22"/>
              </w:rPr>
              <w:t>Maks</w:t>
            </w:r>
          </w:p>
        </w:tc>
        <w:tc>
          <w:tcPr>
            <w:tcW w:w="898" w:type="dxa"/>
            <w:tcBorders>
              <w:top w:val="single" w:sz="4" w:space="0" w:color="000000"/>
            </w:tcBorders>
          </w:tcPr>
          <w:p>
            <w:pPr>
              <w:pStyle w:val="TableParagraph"/>
              <w:spacing w:line="244" w:lineRule="exact"/>
              <w:ind w:right="123"/>
              <w:rPr>
                <w:sz w:val="22"/>
              </w:rPr>
            </w:pPr>
            <w:r>
              <w:rPr>
                <w:w w:val="100"/>
                <w:sz w:val="22"/>
              </w:rPr>
              <w:t>M</w:t>
            </w:r>
          </w:p>
        </w:tc>
        <w:tc>
          <w:tcPr>
            <w:tcW w:w="1279" w:type="dxa"/>
            <w:tcBorders>
              <w:top w:val="single" w:sz="4" w:space="0" w:color="000000"/>
            </w:tcBorders>
          </w:tcPr>
          <w:p>
            <w:pPr>
              <w:pStyle w:val="TableParagraph"/>
              <w:spacing w:line="244" w:lineRule="exact"/>
              <w:ind w:left="257" w:right="374"/>
              <w:rPr>
                <w:sz w:val="22"/>
              </w:rPr>
            </w:pPr>
            <w:r>
              <w:rPr>
                <w:sz w:val="22"/>
              </w:rPr>
              <w:t>SD</w:t>
            </w:r>
          </w:p>
        </w:tc>
      </w:tr>
      <w:tr>
        <w:trPr>
          <w:trHeight w:val="506" w:hRule="atLeast"/>
        </w:trPr>
        <w:tc>
          <w:tcPr>
            <w:tcW w:w="963" w:type="dxa"/>
          </w:tcPr>
          <w:p>
            <w:pPr>
              <w:pStyle w:val="TableParagraph"/>
              <w:spacing w:before="123"/>
              <w:ind w:left="193" w:right="232"/>
              <w:rPr>
                <w:sz w:val="22"/>
              </w:rPr>
            </w:pPr>
            <w:r>
              <w:rPr>
                <w:sz w:val="22"/>
              </w:rPr>
              <w:t>KGO</w:t>
            </w:r>
          </w:p>
        </w:tc>
        <w:tc>
          <w:tcPr>
            <w:tcW w:w="817" w:type="dxa"/>
          </w:tcPr>
          <w:p>
            <w:pPr>
              <w:pStyle w:val="TableParagraph"/>
              <w:spacing w:before="123"/>
              <w:ind w:left="244" w:right="203"/>
              <w:rPr>
                <w:sz w:val="22"/>
              </w:rPr>
            </w:pPr>
            <w:r>
              <w:rPr>
                <w:sz w:val="22"/>
              </w:rPr>
              <w:t>100</w:t>
            </w:r>
          </w:p>
        </w:tc>
        <w:tc>
          <w:tcPr>
            <w:tcW w:w="719" w:type="dxa"/>
          </w:tcPr>
          <w:p>
            <w:pPr>
              <w:pStyle w:val="TableParagraph"/>
              <w:spacing w:before="123"/>
              <w:ind w:right="199"/>
              <w:jc w:val="right"/>
              <w:rPr>
                <w:sz w:val="22"/>
              </w:rPr>
            </w:pPr>
            <w:r>
              <w:rPr>
                <w:sz w:val="22"/>
              </w:rPr>
              <w:t>19</w:t>
            </w:r>
          </w:p>
        </w:tc>
        <w:tc>
          <w:tcPr>
            <w:tcW w:w="750" w:type="dxa"/>
          </w:tcPr>
          <w:p>
            <w:pPr>
              <w:pStyle w:val="TableParagraph"/>
              <w:spacing w:before="123"/>
              <w:ind w:left="114" w:right="105"/>
              <w:rPr>
                <w:sz w:val="22"/>
              </w:rPr>
            </w:pPr>
            <w:r>
              <w:rPr>
                <w:sz w:val="22"/>
              </w:rPr>
              <w:t>76</w:t>
            </w:r>
          </w:p>
        </w:tc>
        <w:tc>
          <w:tcPr>
            <w:tcW w:w="667" w:type="dxa"/>
          </w:tcPr>
          <w:p>
            <w:pPr>
              <w:pStyle w:val="TableParagraph"/>
              <w:spacing w:before="123"/>
              <w:ind w:left="116" w:right="125"/>
              <w:rPr>
                <w:sz w:val="22"/>
              </w:rPr>
            </w:pPr>
            <w:r>
              <w:rPr>
                <w:sz w:val="22"/>
              </w:rPr>
              <w:t>47.5</w:t>
            </w:r>
          </w:p>
        </w:tc>
        <w:tc>
          <w:tcPr>
            <w:tcW w:w="587" w:type="dxa"/>
          </w:tcPr>
          <w:p>
            <w:pPr>
              <w:pStyle w:val="TableParagraph"/>
              <w:spacing w:before="123"/>
              <w:ind w:left="135" w:right="128"/>
              <w:rPr>
                <w:sz w:val="22"/>
              </w:rPr>
            </w:pPr>
            <w:r>
              <w:rPr>
                <w:sz w:val="22"/>
              </w:rPr>
              <w:t>9.5</w:t>
            </w:r>
          </w:p>
        </w:tc>
        <w:tc>
          <w:tcPr>
            <w:tcW w:w="648" w:type="dxa"/>
          </w:tcPr>
          <w:p>
            <w:pPr>
              <w:pStyle w:val="TableParagraph"/>
              <w:spacing w:before="123"/>
              <w:ind w:left="136" w:right="105"/>
              <w:rPr>
                <w:sz w:val="22"/>
              </w:rPr>
            </w:pPr>
            <w:r>
              <w:rPr>
                <w:sz w:val="22"/>
              </w:rPr>
              <w:t>19</w:t>
            </w:r>
          </w:p>
        </w:tc>
        <w:tc>
          <w:tcPr>
            <w:tcW w:w="753" w:type="dxa"/>
          </w:tcPr>
          <w:p>
            <w:pPr>
              <w:pStyle w:val="TableParagraph"/>
              <w:spacing w:before="123"/>
              <w:ind w:left="117" w:right="105"/>
              <w:rPr>
                <w:sz w:val="22"/>
              </w:rPr>
            </w:pPr>
            <w:r>
              <w:rPr>
                <w:sz w:val="22"/>
              </w:rPr>
              <w:t>76</w:t>
            </w:r>
          </w:p>
        </w:tc>
        <w:tc>
          <w:tcPr>
            <w:tcW w:w="898" w:type="dxa"/>
          </w:tcPr>
          <w:p>
            <w:pPr>
              <w:pStyle w:val="TableParagraph"/>
              <w:spacing w:before="123"/>
              <w:ind w:left="122" w:right="240"/>
              <w:rPr>
                <w:sz w:val="22"/>
              </w:rPr>
            </w:pPr>
            <w:r>
              <w:rPr>
                <w:sz w:val="22"/>
              </w:rPr>
              <w:t>47.32</w:t>
            </w:r>
          </w:p>
        </w:tc>
        <w:tc>
          <w:tcPr>
            <w:tcW w:w="1279" w:type="dxa"/>
          </w:tcPr>
          <w:p>
            <w:pPr>
              <w:pStyle w:val="TableParagraph"/>
              <w:spacing w:before="123"/>
              <w:ind w:left="257" w:right="377"/>
              <w:rPr>
                <w:sz w:val="22"/>
              </w:rPr>
            </w:pPr>
            <w:r>
              <w:rPr>
                <w:sz w:val="22"/>
              </w:rPr>
              <w:t>15.569</w:t>
            </w:r>
          </w:p>
        </w:tc>
      </w:tr>
      <w:tr>
        <w:trPr>
          <w:trHeight w:val="638" w:hRule="atLeast"/>
        </w:trPr>
        <w:tc>
          <w:tcPr>
            <w:tcW w:w="963" w:type="dxa"/>
            <w:tcBorders>
              <w:bottom w:val="single" w:sz="4" w:space="0" w:color="000000"/>
            </w:tcBorders>
          </w:tcPr>
          <w:p>
            <w:pPr>
              <w:pStyle w:val="TableParagraph"/>
              <w:spacing w:before="121"/>
              <w:ind w:left="193" w:right="237"/>
              <w:rPr>
                <w:sz w:val="22"/>
              </w:rPr>
            </w:pPr>
            <w:r>
              <w:rPr>
                <w:sz w:val="22"/>
              </w:rPr>
              <w:t>KD</w:t>
            </w:r>
          </w:p>
        </w:tc>
        <w:tc>
          <w:tcPr>
            <w:tcW w:w="817" w:type="dxa"/>
            <w:tcBorders>
              <w:bottom w:val="single" w:sz="4" w:space="0" w:color="000000"/>
            </w:tcBorders>
          </w:tcPr>
          <w:p>
            <w:pPr>
              <w:pStyle w:val="TableParagraph"/>
              <w:spacing w:before="121"/>
              <w:ind w:left="244" w:right="203"/>
              <w:rPr>
                <w:sz w:val="22"/>
              </w:rPr>
            </w:pPr>
            <w:r>
              <w:rPr>
                <w:sz w:val="22"/>
              </w:rPr>
              <w:t>100</w:t>
            </w:r>
          </w:p>
        </w:tc>
        <w:tc>
          <w:tcPr>
            <w:tcW w:w="719" w:type="dxa"/>
            <w:tcBorders>
              <w:bottom w:val="single" w:sz="4" w:space="0" w:color="000000"/>
            </w:tcBorders>
          </w:tcPr>
          <w:p>
            <w:pPr>
              <w:pStyle w:val="TableParagraph"/>
              <w:spacing w:before="121"/>
              <w:ind w:right="199"/>
              <w:jc w:val="right"/>
              <w:rPr>
                <w:sz w:val="22"/>
              </w:rPr>
            </w:pPr>
            <w:r>
              <w:rPr>
                <w:sz w:val="22"/>
              </w:rPr>
              <w:t>30</w:t>
            </w:r>
          </w:p>
        </w:tc>
        <w:tc>
          <w:tcPr>
            <w:tcW w:w="750" w:type="dxa"/>
            <w:tcBorders>
              <w:bottom w:val="single" w:sz="4" w:space="0" w:color="000000"/>
            </w:tcBorders>
          </w:tcPr>
          <w:p>
            <w:pPr>
              <w:pStyle w:val="TableParagraph"/>
              <w:spacing w:before="121"/>
              <w:ind w:left="114" w:right="100"/>
              <w:rPr>
                <w:sz w:val="22"/>
              </w:rPr>
            </w:pPr>
            <w:r>
              <w:rPr>
                <w:sz w:val="22"/>
              </w:rPr>
              <w:t>120</w:t>
            </w:r>
          </w:p>
        </w:tc>
        <w:tc>
          <w:tcPr>
            <w:tcW w:w="667" w:type="dxa"/>
            <w:tcBorders>
              <w:bottom w:val="single" w:sz="4" w:space="0" w:color="000000"/>
            </w:tcBorders>
          </w:tcPr>
          <w:p>
            <w:pPr>
              <w:pStyle w:val="TableParagraph"/>
              <w:spacing w:before="121"/>
              <w:ind w:left="113" w:right="125"/>
              <w:rPr>
                <w:sz w:val="22"/>
              </w:rPr>
            </w:pPr>
            <w:r>
              <w:rPr>
                <w:sz w:val="22"/>
              </w:rPr>
              <w:t>75</w:t>
            </w:r>
          </w:p>
        </w:tc>
        <w:tc>
          <w:tcPr>
            <w:tcW w:w="587" w:type="dxa"/>
            <w:tcBorders>
              <w:bottom w:val="single" w:sz="4" w:space="0" w:color="000000"/>
            </w:tcBorders>
          </w:tcPr>
          <w:p>
            <w:pPr>
              <w:pStyle w:val="TableParagraph"/>
              <w:spacing w:before="121"/>
              <w:ind w:left="135" w:right="128"/>
              <w:rPr>
                <w:sz w:val="22"/>
              </w:rPr>
            </w:pPr>
            <w:r>
              <w:rPr>
                <w:sz w:val="22"/>
              </w:rPr>
              <w:t>15</w:t>
            </w:r>
          </w:p>
        </w:tc>
        <w:tc>
          <w:tcPr>
            <w:tcW w:w="648" w:type="dxa"/>
            <w:tcBorders>
              <w:bottom w:val="single" w:sz="4" w:space="0" w:color="000000"/>
            </w:tcBorders>
          </w:tcPr>
          <w:p>
            <w:pPr>
              <w:pStyle w:val="TableParagraph"/>
              <w:spacing w:before="121"/>
              <w:ind w:left="136" w:right="105"/>
              <w:rPr>
                <w:sz w:val="22"/>
              </w:rPr>
            </w:pPr>
            <w:r>
              <w:rPr>
                <w:sz w:val="22"/>
              </w:rPr>
              <w:t>49</w:t>
            </w:r>
          </w:p>
        </w:tc>
        <w:tc>
          <w:tcPr>
            <w:tcW w:w="753" w:type="dxa"/>
            <w:tcBorders>
              <w:bottom w:val="single" w:sz="4" w:space="0" w:color="000000"/>
            </w:tcBorders>
          </w:tcPr>
          <w:p>
            <w:pPr>
              <w:pStyle w:val="TableParagraph"/>
              <w:spacing w:before="121"/>
              <w:ind w:left="117" w:right="100"/>
              <w:rPr>
                <w:sz w:val="22"/>
              </w:rPr>
            </w:pPr>
            <w:r>
              <w:rPr>
                <w:sz w:val="22"/>
              </w:rPr>
              <w:t>119</w:t>
            </w:r>
          </w:p>
        </w:tc>
        <w:tc>
          <w:tcPr>
            <w:tcW w:w="898" w:type="dxa"/>
            <w:tcBorders>
              <w:bottom w:val="single" w:sz="4" w:space="0" w:color="000000"/>
            </w:tcBorders>
          </w:tcPr>
          <w:p>
            <w:pPr>
              <w:pStyle w:val="TableParagraph"/>
              <w:spacing w:before="121"/>
              <w:ind w:left="122" w:right="240"/>
              <w:rPr>
                <w:sz w:val="22"/>
              </w:rPr>
            </w:pPr>
            <w:r>
              <w:rPr>
                <w:sz w:val="22"/>
              </w:rPr>
              <w:t>81.51</w:t>
            </w:r>
          </w:p>
        </w:tc>
        <w:tc>
          <w:tcPr>
            <w:tcW w:w="1279" w:type="dxa"/>
            <w:tcBorders>
              <w:bottom w:val="single" w:sz="4" w:space="0" w:color="000000"/>
            </w:tcBorders>
          </w:tcPr>
          <w:p>
            <w:pPr>
              <w:pStyle w:val="TableParagraph"/>
              <w:spacing w:before="121"/>
              <w:ind w:left="257" w:right="377"/>
              <w:rPr>
                <w:sz w:val="22"/>
              </w:rPr>
            </w:pPr>
            <w:r>
              <w:rPr>
                <w:sz w:val="22"/>
              </w:rPr>
              <w:t>16.839</w:t>
            </w:r>
          </w:p>
        </w:tc>
      </w:tr>
    </w:tbl>
    <w:p>
      <w:pPr>
        <w:pStyle w:val="BodyText"/>
        <w:rPr>
          <w:sz w:val="24"/>
        </w:rPr>
      </w:pPr>
    </w:p>
    <w:p>
      <w:pPr>
        <w:pStyle w:val="BodyText"/>
        <w:spacing w:before="2"/>
        <w:rPr>
          <w:sz w:val="23"/>
        </w:rPr>
      </w:pPr>
    </w:p>
    <w:p>
      <w:pPr>
        <w:spacing w:before="0"/>
        <w:ind w:left="667" w:right="0" w:firstLine="0"/>
        <w:jc w:val="left"/>
        <w:rPr>
          <w:sz w:val="20"/>
        </w:rPr>
      </w:pPr>
      <w:r>
        <w:rPr>
          <w:sz w:val="20"/>
        </w:rPr>
        <w:t>Keterangan:</w:t>
      </w:r>
    </w:p>
    <w:p>
      <w:pPr>
        <w:pStyle w:val="BodyText"/>
        <w:spacing w:before="3"/>
      </w:pPr>
    </w:p>
    <w:p>
      <w:pPr>
        <w:pStyle w:val="BodyText"/>
        <w:tabs>
          <w:tab w:pos="2280" w:val="left" w:leader="none"/>
        </w:tabs>
        <w:ind w:left="840"/>
      </w:pPr>
      <w:r>
        <w:rPr/>
        <w:t>KGO</w:t>
        <w:tab/>
        <w:t>: Kecanduan Game</w:t>
      </w:r>
      <w:r>
        <w:rPr>
          <w:spacing w:val="-10"/>
        </w:rPr>
        <w:t> </w:t>
      </w:r>
      <w:r>
        <w:rPr/>
        <w:t>Online</w:t>
      </w:r>
    </w:p>
    <w:p>
      <w:pPr>
        <w:pStyle w:val="BodyText"/>
        <w:tabs>
          <w:tab w:pos="2280" w:val="left" w:leader="none"/>
        </w:tabs>
        <w:spacing w:line="251" w:lineRule="exact" w:before="2"/>
        <w:ind w:left="840"/>
      </w:pPr>
      <w:r>
        <w:rPr/>
        <w:t>KD</w:t>
        <w:tab/>
        <w:t>: Kontrol</w:t>
      </w:r>
      <w:r>
        <w:rPr>
          <w:spacing w:val="-5"/>
        </w:rPr>
        <w:t> </w:t>
      </w:r>
      <w:r>
        <w:rPr/>
        <w:t>Diri</w:t>
      </w:r>
    </w:p>
    <w:p>
      <w:pPr>
        <w:pStyle w:val="BodyText"/>
        <w:tabs>
          <w:tab w:pos="2280" w:val="left" w:leader="none"/>
        </w:tabs>
        <w:spacing w:line="251" w:lineRule="exact"/>
        <w:ind w:left="840"/>
      </w:pPr>
      <w:r>
        <w:rPr/>
        <w:t>N</w:t>
        <w:tab/>
        <w:t>: Jumlah</w:t>
      </w:r>
      <w:r>
        <w:rPr>
          <w:spacing w:val="-6"/>
        </w:rPr>
        <w:t> </w:t>
      </w:r>
      <w:r>
        <w:rPr/>
        <w:t>Subjek</w:t>
      </w:r>
    </w:p>
    <w:p>
      <w:pPr>
        <w:pStyle w:val="BodyText"/>
        <w:tabs>
          <w:tab w:pos="2280" w:val="left" w:leader="none"/>
        </w:tabs>
        <w:spacing w:before="1"/>
        <w:ind w:left="840"/>
      </w:pPr>
      <w:r>
        <w:rPr/>
        <w:t>Min</w:t>
        <w:tab/>
        <w:t>: Skor</w:t>
      </w:r>
      <w:r>
        <w:rPr>
          <w:spacing w:val="2"/>
        </w:rPr>
        <w:t> </w:t>
      </w:r>
      <w:r>
        <w:rPr/>
        <w:t>Minimal</w:t>
      </w:r>
    </w:p>
    <w:p>
      <w:pPr>
        <w:pStyle w:val="BodyText"/>
        <w:tabs>
          <w:tab w:pos="2280" w:val="left" w:leader="none"/>
        </w:tabs>
        <w:spacing w:line="251" w:lineRule="exact" w:before="1"/>
        <w:ind w:left="840"/>
      </w:pPr>
      <w:r>
        <w:rPr/>
        <w:t>Maks</w:t>
        <w:tab/>
        <w:t>: Skor</w:t>
      </w:r>
      <w:r>
        <w:rPr>
          <w:spacing w:val="2"/>
        </w:rPr>
        <w:t> </w:t>
      </w:r>
      <w:r>
        <w:rPr/>
        <w:t>Maksimal</w:t>
      </w:r>
    </w:p>
    <w:p>
      <w:pPr>
        <w:pStyle w:val="BodyText"/>
        <w:tabs>
          <w:tab w:pos="2280" w:val="left" w:leader="none"/>
        </w:tabs>
        <w:spacing w:line="251" w:lineRule="exact"/>
        <w:ind w:left="840"/>
      </w:pPr>
      <w:r>
        <w:rPr/>
        <w:t>M</w:t>
        <w:tab/>
        <w:t>: Mean</w:t>
      </w:r>
      <w:r>
        <w:rPr>
          <w:spacing w:val="-5"/>
        </w:rPr>
        <w:t> </w:t>
      </w:r>
      <w:r>
        <w:rPr/>
        <w:t>(Rata-Rata)</w:t>
      </w:r>
    </w:p>
    <w:p>
      <w:pPr>
        <w:pStyle w:val="BodyText"/>
        <w:tabs>
          <w:tab w:pos="2280" w:val="left" w:leader="none"/>
        </w:tabs>
        <w:spacing w:before="2"/>
        <w:ind w:left="840"/>
      </w:pPr>
      <w:r>
        <w:rPr/>
        <w:t>SD</w:t>
        <w:tab/>
        <w:t>: Standar</w:t>
      </w:r>
      <w:r>
        <w:rPr>
          <w:spacing w:val="2"/>
        </w:rPr>
        <w:t> </w:t>
      </w:r>
      <w:r>
        <w:rPr/>
        <w:t>Deviasi</w:t>
      </w:r>
    </w:p>
    <w:p>
      <w:pPr>
        <w:pStyle w:val="BodyText"/>
        <w:rPr>
          <w:sz w:val="24"/>
        </w:rPr>
      </w:pPr>
    </w:p>
    <w:p>
      <w:pPr>
        <w:pStyle w:val="BodyText"/>
        <w:rPr>
          <w:sz w:val="24"/>
        </w:rPr>
      </w:pPr>
    </w:p>
    <w:p>
      <w:pPr>
        <w:pStyle w:val="BodyText"/>
        <w:rPr>
          <w:sz w:val="24"/>
        </w:rPr>
      </w:pPr>
    </w:p>
    <w:p>
      <w:pPr>
        <w:pStyle w:val="BodyText"/>
        <w:spacing w:before="7"/>
        <w:rPr>
          <w:sz w:val="19"/>
        </w:rPr>
      </w:pPr>
    </w:p>
    <w:p>
      <w:pPr>
        <w:pStyle w:val="Heading2"/>
      </w:pPr>
      <w:r>
        <w:rPr/>
        <w:t>Berdasarkan hasil penelitian menunjukkan bahwa pada skala kecanduan game online skor minimal yang didapat pada skor empirik sebesar 19 dan untuk skor minimal yang didapat pada skor hipotetik sebesar 19. Pada skala kecanduan game online skor maksimal yang didapat pada skor empirik sebesar 76 dan untuk skor maksimal yang didapat pada skor hipotetik sebesar 76. Untuk skor </w:t>
      </w:r>
      <w:r>
        <w:rPr>
          <w:i/>
        </w:rPr>
        <w:t>mean </w:t>
      </w:r>
      <w:r>
        <w:rPr/>
        <w:t>empirik pada skala kecanduan game online sebesar 47.32 dan skor </w:t>
      </w:r>
      <w:r>
        <w:rPr>
          <w:i/>
        </w:rPr>
        <w:t>mean </w:t>
      </w:r>
      <w:r>
        <w:rPr/>
        <w:t>hipotetik sebesar 47.5. Standar deviasi empirik pada skala kecanduan game online yaitu sebesar 15.569 dan standar deviasi hipotetik yaitu sebesar 9.5. Pada skala kontrol diri skor minimal yang didapat pada skor empirik sebesar 49 dan untuk skor minimal yang didapat pada skor hipotetik sebesar 30. Pada skala kontrol diri skor maksimal yang didapat pada skor empirik sebesar 119 dan skor maksimal hipotetik sebesar 120. Untuk skor </w:t>
      </w:r>
      <w:r>
        <w:rPr>
          <w:i/>
        </w:rPr>
        <w:t>mean </w:t>
      </w:r>
      <w:r>
        <w:rPr/>
        <w:t>empirik pada skala kontrol diri sebesar 81.51 dan skor </w:t>
      </w:r>
      <w:r>
        <w:rPr>
          <w:i/>
        </w:rPr>
        <w:t>mean </w:t>
      </w:r>
      <w:r>
        <w:rPr/>
        <w:t>hipotetik sebesar 75. Standar deviasi empirik pada skala kontrol diri yaitu sebesar 16.839 dan standar deviasi hipotetik yaitu sebesar 15.</w:t>
      </w:r>
    </w:p>
    <w:p>
      <w:pPr>
        <w:spacing w:after="0"/>
        <w:sectPr>
          <w:pgSz w:w="11910" w:h="16840"/>
          <w:pgMar w:header="0" w:footer="710" w:top="1500" w:bottom="960" w:left="1460" w:right="1460"/>
        </w:sectPr>
      </w:pPr>
    </w:p>
    <w:p>
      <w:pPr>
        <w:tabs>
          <w:tab w:pos="2227" w:val="left" w:leader="none"/>
        </w:tabs>
        <w:spacing w:before="73"/>
        <w:ind w:left="667" w:right="0" w:firstLine="0"/>
        <w:jc w:val="left"/>
        <w:rPr>
          <w:sz w:val="20"/>
        </w:rPr>
      </w:pPr>
      <w:r>
        <w:rPr>
          <w:sz w:val="20"/>
        </w:rPr>
        <w:t>Skor hipotetik</w:t>
        <w:tab/>
        <w:t>= </w:t>
      </w:r>
      <w:r>
        <w:rPr>
          <w:spacing w:val="-3"/>
          <w:sz w:val="20"/>
        </w:rPr>
        <w:t>Skor </w:t>
      </w:r>
      <w:r>
        <w:rPr>
          <w:sz w:val="20"/>
        </w:rPr>
        <w:t>yang diperkirakan diperoleh oleh</w:t>
      </w:r>
      <w:r>
        <w:rPr>
          <w:spacing w:val="12"/>
          <w:sz w:val="20"/>
        </w:rPr>
        <w:t> </w:t>
      </w:r>
      <w:r>
        <w:rPr>
          <w:spacing w:val="-3"/>
          <w:sz w:val="20"/>
        </w:rPr>
        <w:t>subjek</w:t>
      </w:r>
    </w:p>
    <w:p>
      <w:pPr>
        <w:tabs>
          <w:tab w:pos="2227" w:val="left" w:leader="none"/>
        </w:tabs>
        <w:spacing w:before="0"/>
        <w:ind w:left="667" w:right="0" w:firstLine="0"/>
        <w:jc w:val="left"/>
        <w:rPr>
          <w:sz w:val="20"/>
        </w:rPr>
      </w:pPr>
      <w:r>
        <w:rPr>
          <w:sz w:val="20"/>
        </w:rPr>
        <w:t>Skor</w:t>
      </w:r>
      <w:r>
        <w:rPr>
          <w:spacing w:val="10"/>
          <w:sz w:val="20"/>
        </w:rPr>
        <w:t> </w:t>
      </w:r>
      <w:r>
        <w:rPr>
          <w:sz w:val="20"/>
        </w:rPr>
        <w:t>empirik</w:t>
        <w:tab/>
        <w:t>= Skor yang sebenarnya diperoleh dari hasil</w:t>
      </w:r>
      <w:r>
        <w:rPr>
          <w:spacing w:val="-10"/>
          <w:sz w:val="20"/>
        </w:rPr>
        <w:t> </w:t>
      </w:r>
      <w:r>
        <w:rPr>
          <w:sz w:val="20"/>
        </w:rPr>
        <w:t>penelitian</w:t>
      </w:r>
    </w:p>
    <w:p>
      <w:pPr>
        <w:pStyle w:val="BodyText"/>
        <w:spacing w:before="1"/>
        <w:rPr>
          <w:sz w:val="20"/>
        </w:rPr>
      </w:pPr>
    </w:p>
    <w:p>
      <w:pPr>
        <w:spacing w:before="0"/>
        <w:ind w:left="1089" w:right="230" w:firstLine="566"/>
        <w:jc w:val="both"/>
        <w:rPr>
          <w:sz w:val="20"/>
        </w:rPr>
      </w:pPr>
      <w:r>
        <w:rPr>
          <w:sz w:val="20"/>
        </w:rPr>
        <w:t>Klasifikasi hasil dilakukan dengan mengasumsikan bahwa skor populasi subjek mempunyai distribusi normal, sehingga skor hipotetik terdistribusi normal (Azwar, 2010). Kategorisasi skor subjek pada penelitian ini dikelompokkan menjadi 3 kategori, yaitu : tinggi, sedang, dan rendah. Hasil kategorisasi pada skor </w:t>
      </w:r>
      <w:r>
        <w:rPr>
          <w:i/>
          <w:sz w:val="20"/>
        </w:rPr>
        <w:t>workplace well-being </w:t>
      </w:r>
      <w:r>
        <w:rPr>
          <w:sz w:val="20"/>
        </w:rPr>
        <w:t>dan </w:t>
      </w:r>
      <w:r>
        <w:rPr>
          <w:i/>
          <w:sz w:val="20"/>
        </w:rPr>
        <w:t>job crafting </w:t>
      </w:r>
      <w:r>
        <w:rPr>
          <w:sz w:val="20"/>
        </w:rPr>
        <w:t>dapat dilihat pada tabel berikut ini.</w:t>
      </w:r>
    </w:p>
    <w:p>
      <w:pPr>
        <w:pStyle w:val="BodyText"/>
        <w:spacing w:before="10"/>
        <w:rPr>
          <w:sz w:val="19"/>
        </w:rPr>
      </w:pPr>
    </w:p>
    <w:p>
      <w:pPr>
        <w:pStyle w:val="BodyText"/>
        <w:ind w:left="231" w:right="232"/>
        <w:jc w:val="center"/>
      </w:pPr>
      <w:r>
        <w:rPr/>
        <w:t>Tabel 7. Kategorisasi skor skala kecanduan game online</w:t>
      </w:r>
    </w:p>
    <w:p>
      <w:pPr>
        <w:pStyle w:val="BodyText"/>
        <w:spacing w:after="1"/>
        <w:rPr>
          <w:sz w:val="23"/>
        </w:rPr>
      </w:pPr>
    </w:p>
    <w:tbl>
      <w:tblPr>
        <w:tblW w:w="0" w:type="auto"/>
        <w:jc w:val="left"/>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5"/>
        <w:gridCol w:w="1374"/>
        <w:gridCol w:w="1450"/>
        <w:gridCol w:w="1186"/>
        <w:gridCol w:w="1872"/>
      </w:tblGrid>
      <w:tr>
        <w:trPr>
          <w:trHeight w:val="1012" w:hRule="atLeast"/>
        </w:trPr>
        <w:tc>
          <w:tcPr>
            <w:tcW w:w="2355" w:type="dxa"/>
            <w:tcBorders>
              <w:top w:val="single" w:sz="4" w:space="0" w:color="000000"/>
              <w:bottom w:val="single" w:sz="4" w:space="0" w:color="000000"/>
            </w:tcBorders>
          </w:tcPr>
          <w:p>
            <w:pPr>
              <w:pStyle w:val="TableParagraph"/>
              <w:spacing w:line="244" w:lineRule="exact"/>
              <w:ind w:left="780"/>
              <w:jc w:val="left"/>
              <w:rPr>
                <w:sz w:val="22"/>
              </w:rPr>
            </w:pPr>
            <w:r>
              <w:rPr>
                <w:sz w:val="22"/>
              </w:rPr>
              <w:t>Pedoman</w:t>
            </w:r>
          </w:p>
        </w:tc>
        <w:tc>
          <w:tcPr>
            <w:tcW w:w="1374" w:type="dxa"/>
            <w:tcBorders>
              <w:top w:val="single" w:sz="4" w:space="0" w:color="000000"/>
              <w:bottom w:val="single" w:sz="4" w:space="0" w:color="000000"/>
            </w:tcBorders>
          </w:tcPr>
          <w:p>
            <w:pPr>
              <w:pStyle w:val="TableParagraph"/>
              <w:spacing w:line="244" w:lineRule="exact"/>
              <w:ind w:left="155" w:right="156"/>
              <w:rPr>
                <w:sz w:val="22"/>
              </w:rPr>
            </w:pPr>
            <w:r>
              <w:rPr>
                <w:sz w:val="22"/>
              </w:rPr>
              <w:t>Skor</w:t>
            </w:r>
          </w:p>
        </w:tc>
        <w:tc>
          <w:tcPr>
            <w:tcW w:w="1450" w:type="dxa"/>
            <w:tcBorders>
              <w:top w:val="single" w:sz="4" w:space="0" w:color="000000"/>
              <w:bottom w:val="single" w:sz="4" w:space="0" w:color="000000"/>
            </w:tcBorders>
          </w:tcPr>
          <w:p>
            <w:pPr>
              <w:pStyle w:val="TableParagraph"/>
              <w:spacing w:line="244" w:lineRule="exact"/>
              <w:ind w:left="152" w:right="158"/>
              <w:rPr>
                <w:sz w:val="22"/>
              </w:rPr>
            </w:pPr>
            <w:r>
              <w:rPr>
                <w:sz w:val="22"/>
              </w:rPr>
              <w:t>Kategorisasi</w:t>
            </w:r>
          </w:p>
        </w:tc>
        <w:tc>
          <w:tcPr>
            <w:tcW w:w="1186" w:type="dxa"/>
            <w:tcBorders>
              <w:top w:val="single" w:sz="4" w:space="0" w:color="000000"/>
              <w:bottom w:val="single" w:sz="4" w:space="0" w:color="000000"/>
            </w:tcBorders>
          </w:tcPr>
          <w:p>
            <w:pPr>
              <w:pStyle w:val="TableParagraph"/>
              <w:spacing w:line="244" w:lineRule="exact"/>
              <w:ind w:left="157" w:right="353"/>
              <w:rPr>
                <w:sz w:val="22"/>
              </w:rPr>
            </w:pPr>
            <w:r>
              <w:rPr>
                <w:sz w:val="22"/>
              </w:rPr>
              <w:t>Jumlah</w:t>
            </w:r>
          </w:p>
        </w:tc>
        <w:tc>
          <w:tcPr>
            <w:tcW w:w="1872" w:type="dxa"/>
            <w:tcBorders>
              <w:top w:val="single" w:sz="4" w:space="0" w:color="000000"/>
              <w:bottom w:val="single" w:sz="4" w:space="0" w:color="000000"/>
            </w:tcBorders>
          </w:tcPr>
          <w:p>
            <w:pPr>
              <w:pStyle w:val="TableParagraph"/>
              <w:spacing w:line="244" w:lineRule="exact"/>
              <w:ind w:left="349" w:right="553"/>
              <w:rPr>
                <w:sz w:val="22"/>
              </w:rPr>
            </w:pPr>
            <w:r>
              <w:rPr>
                <w:sz w:val="22"/>
              </w:rPr>
              <w:t>Presentase</w:t>
            </w:r>
          </w:p>
        </w:tc>
      </w:tr>
      <w:tr>
        <w:trPr>
          <w:trHeight w:val="374" w:hRule="atLeast"/>
        </w:trPr>
        <w:tc>
          <w:tcPr>
            <w:tcW w:w="2355" w:type="dxa"/>
            <w:tcBorders>
              <w:top w:val="single" w:sz="4" w:space="0" w:color="000000"/>
            </w:tcBorders>
          </w:tcPr>
          <w:p>
            <w:pPr>
              <w:pStyle w:val="TableParagraph"/>
              <w:spacing w:line="244" w:lineRule="exact"/>
              <w:ind w:left="117"/>
              <w:jc w:val="left"/>
              <w:rPr>
                <w:sz w:val="22"/>
              </w:rPr>
            </w:pPr>
            <w:r>
              <w:rPr>
                <w:sz w:val="22"/>
              </w:rPr>
              <w:t>X &lt; (µ - 1σ)</w:t>
            </w:r>
          </w:p>
        </w:tc>
        <w:tc>
          <w:tcPr>
            <w:tcW w:w="1374" w:type="dxa"/>
            <w:tcBorders>
              <w:top w:val="single" w:sz="4" w:space="0" w:color="000000"/>
            </w:tcBorders>
          </w:tcPr>
          <w:p>
            <w:pPr>
              <w:pStyle w:val="TableParagraph"/>
              <w:spacing w:line="244" w:lineRule="exact"/>
              <w:ind w:left="169" w:right="156"/>
              <w:rPr>
                <w:sz w:val="22"/>
              </w:rPr>
            </w:pPr>
            <w:r>
              <w:rPr>
                <w:sz w:val="22"/>
              </w:rPr>
              <w:t>X&lt; 38</w:t>
            </w:r>
          </w:p>
        </w:tc>
        <w:tc>
          <w:tcPr>
            <w:tcW w:w="1450" w:type="dxa"/>
            <w:tcBorders>
              <w:top w:val="single" w:sz="4" w:space="0" w:color="000000"/>
            </w:tcBorders>
          </w:tcPr>
          <w:p>
            <w:pPr>
              <w:pStyle w:val="TableParagraph"/>
              <w:spacing w:line="244" w:lineRule="exact"/>
              <w:ind w:left="152" w:right="153"/>
              <w:rPr>
                <w:sz w:val="22"/>
              </w:rPr>
            </w:pPr>
            <w:r>
              <w:rPr>
                <w:sz w:val="22"/>
              </w:rPr>
              <w:t>Rendah</w:t>
            </w:r>
          </w:p>
        </w:tc>
        <w:tc>
          <w:tcPr>
            <w:tcW w:w="1186" w:type="dxa"/>
            <w:tcBorders>
              <w:top w:val="single" w:sz="4" w:space="0" w:color="000000"/>
            </w:tcBorders>
          </w:tcPr>
          <w:p>
            <w:pPr>
              <w:pStyle w:val="TableParagraph"/>
              <w:spacing w:line="244" w:lineRule="exact"/>
              <w:ind w:left="157" w:right="352"/>
              <w:rPr>
                <w:sz w:val="22"/>
              </w:rPr>
            </w:pPr>
            <w:r>
              <w:rPr>
                <w:sz w:val="22"/>
              </w:rPr>
              <w:t>27</w:t>
            </w:r>
          </w:p>
        </w:tc>
        <w:tc>
          <w:tcPr>
            <w:tcW w:w="1872" w:type="dxa"/>
            <w:tcBorders>
              <w:top w:val="single" w:sz="4" w:space="0" w:color="000000"/>
            </w:tcBorders>
          </w:tcPr>
          <w:p>
            <w:pPr>
              <w:pStyle w:val="TableParagraph"/>
              <w:spacing w:line="244" w:lineRule="exact"/>
              <w:ind w:left="344" w:right="553"/>
              <w:rPr>
                <w:sz w:val="22"/>
              </w:rPr>
            </w:pPr>
            <w:r>
              <w:rPr>
                <w:sz w:val="22"/>
              </w:rPr>
              <w:t>27%</w:t>
            </w:r>
          </w:p>
        </w:tc>
      </w:tr>
      <w:tr>
        <w:trPr>
          <w:trHeight w:val="506" w:hRule="atLeast"/>
        </w:trPr>
        <w:tc>
          <w:tcPr>
            <w:tcW w:w="2355" w:type="dxa"/>
          </w:tcPr>
          <w:p>
            <w:pPr>
              <w:pStyle w:val="TableParagraph"/>
              <w:spacing w:before="121"/>
              <w:ind w:left="117"/>
              <w:jc w:val="left"/>
              <w:rPr>
                <w:sz w:val="22"/>
              </w:rPr>
            </w:pPr>
            <w:r>
              <w:rPr>
                <w:sz w:val="22"/>
              </w:rPr>
              <w:t>(µ - 1σ) ≤ X &lt; (µ + 1σ)</w:t>
            </w:r>
          </w:p>
        </w:tc>
        <w:tc>
          <w:tcPr>
            <w:tcW w:w="1374" w:type="dxa"/>
          </w:tcPr>
          <w:p>
            <w:pPr>
              <w:pStyle w:val="TableParagraph"/>
              <w:spacing w:before="121"/>
              <w:ind w:left="169" w:right="156"/>
              <w:rPr>
                <w:sz w:val="22"/>
              </w:rPr>
            </w:pPr>
            <w:r>
              <w:rPr>
                <w:sz w:val="22"/>
              </w:rPr>
              <w:t>38≤ X &lt; 57</w:t>
            </w:r>
          </w:p>
        </w:tc>
        <w:tc>
          <w:tcPr>
            <w:tcW w:w="1450" w:type="dxa"/>
          </w:tcPr>
          <w:p>
            <w:pPr>
              <w:pStyle w:val="TableParagraph"/>
              <w:spacing w:before="121"/>
              <w:ind w:left="152" w:right="156"/>
              <w:rPr>
                <w:sz w:val="22"/>
              </w:rPr>
            </w:pPr>
            <w:r>
              <w:rPr>
                <w:sz w:val="22"/>
              </w:rPr>
              <w:t>Sedang</w:t>
            </w:r>
          </w:p>
        </w:tc>
        <w:tc>
          <w:tcPr>
            <w:tcW w:w="1186" w:type="dxa"/>
          </w:tcPr>
          <w:p>
            <w:pPr>
              <w:pStyle w:val="TableParagraph"/>
              <w:spacing w:before="121"/>
              <w:ind w:left="157" w:right="352"/>
              <w:rPr>
                <w:sz w:val="22"/>
              </w:rPr>
            </w:pPr>
            <w:r>
              <w:rPr>
                <w:sz w:val="22"/>
              </w:rPr>
              <w:t>42</w:t>
            </w:r>
          </w:p>
        </w:tc>
        <w:tc>
          <w:tcPr>
            <w:tcW w:w="1872" w:type="dxa"/>
          </w:tcPr>
          <w:p>
            <w:pPr>
              <w:pStyle w:val="TableParagraph"/>
              <w:spacing w:before="121"/>
              <w:ind w:left="344" w:right="553"/>
              <w:rPr>
                <w:sz w:val="22"/>
              </w:rPr>
            </w:pPr>
            <w:r>
              <w:rPr>
                <w:sz w:val="22"/>
              </w:rPr>
              <w:t>42%</w:t>
            </w:r>
          </w:p>
        </w:tc>
      </w:tr>
      <w:tr>
        <w:trPr>
          <w:trHeight w:val="635" w:hRule="atLeast"/>
        </w:trPr>
        <w:tc>
          <w:tcPr>
            <w:tcW w:w="2355" w:type="dxa"/>
            <w:tcBorders>
              <w:bottom w:val="single" w:sz="4" w:space="0" w:color="000000"/>
            </w:tcBorders>
          </w:tcPr>
          <w:p>
            <w:pPr>
              <w:pStyle w:val="TableParagraph"/>
              <w:spacing w:before="123"/>
              <w:ind w:left="117"/>
              <w:jc w:val="left"/>
              <w:rPr>
                <w:sz w:val="22"/>
              </w:rPr>
            </w:pPr>
            <w:r>
              <w:rPr>
                <w:sz w:val="22"/>
              </w:rPr>
              <w:t>X ≥ (µ + 1σ)</w:t>
            </w:r>
          </w:p>
        </w:tc>
        <w:tc>
          <w:tcPr>
            <w:tcW w:w="1374" w:type="dxa"/>
            <w:tcBorders>
              <w:bottom w:val="single" w:sz="4" w:space="0" w:color="000000"/>
            </w:tcBorders>
          </w:tcPr>
          <w:p>
            <w:pPr>
              <w:pStyle w:val="TableParagraph"/>
              <w:spacing w:before="123"/>
              <w:ind w:left="164" w:right="156"/>
              <w:rPr>
                <w:sz w:val="22"/>
              </w:rPr>
            </w:pPr>
            <w:r>
              <w:rPr>
                <w:sz w:val="22"/>
              </w:rPr>
              <w:t>X ≥ 57</w:t>
            </w:r>
          </w:p>
        </w:tc>
        <w:tc>
          <w:tcPr>
            <w:tcW w:w="1450" w:type="dxa"/>
            <w:tcBorders>
              <w:bottom w:val="single" w:sz="4" w:space="0" w:color="000000"/>
            </w:tcBorders>
          </w:tcPr>
          <w:p>
            <w:pPr>
              <w:pStyle w:val="TableParagraph"/>
              <w:spacing w:before="123"/>
              <w:ind w:left="152" w:right="152"/>
              <w:rPr>
                <w:sz w:val="22"/>
              </w:rPr>
            </w:pPr>
            <w:r>
              <w:rPr>
                <w:sz w:val="22"/>
              </w:rPr>
              <w:t>Tinggi</w:t>
            </w:r>
          </w:p>
        </w:tc>
        <w:tc>
          <w:tcPr>
            <w:tcW w:w="1186" w:type="dxa"/>
            <w:tcBorders>
              <w:bottom w:val="single" w:sz="4" w:space="0" w:color="000000"/>
            </w:tcBorders>
          </w:tcPr>
          <w:p>
            <w:pPr>
              <w:pStyle w:val="TableParagraph"/>
              <w:spacing w:before="123"/>
              <w:ind w:left="157" w:right="352"/>
              <w:rPr>
                <w:sz w:val="22"/>
              </w:rPr>
            </w:pPr>
            <w:r>
              <w:rPr>
                <w:sz w:val="22"/>
              </w:rPr>
              <w:t>31</w:t>
            </w:r>
          </w:p>
        </w:tc>
        <w:tc>
          <w:tcPr>
            <w:tcW w:w="1872" w:type="dxa"/>
            <w:tcBorders>
              <w:bottom w:val="single" w:sz="4" w:space="0" w:color="000000"/>
            </w:tcBorders>
          </w:tcPr>
          <w:p>
            <w:pPr>
              <w:pStyle w:val="TableParagraph"/>
              <w:spacing w:before="123"/>
              <w:ind w:left="344" w:right="553"/>
              <w:rPr>
                <w:sz w:val="22"/>
              </w:rPr>
            </w:pPr>
            <w:r>
              <w:rPr>
                <w:sz w:val="22"/>
              </w:rPr>
              <w:t>31%</w:t>
            </w:r>
          </w:p>
        </w:tc>
      </w:tr>
      <w:tr>
        <w:trPr>
          <w:trHeight w:val="508" w:hRule="atLeast"/>
        </w:trPr>
        <w:tc>
          <w:tcPr>
            <w:tcW w:w="2355" w:type="dxa"/>
            <w:tcBorders>
              <w:top w:val="single" w:sz="4" w:space="0" w:color="000000"/>
              <w:bottom w:val="single" w:sz="4" w:space="0" w:color="000000"/>
            </w:tcBorders>
          </w:tcPr>
          <w:p>
            <w:pPr>
              <w:pStyle w:val="TableParagraph"/>
              <w:spacing w:line="244" w:lineRule="exact"/>
              <w:ind w:left="939" w:right="911"/>
              <w:rPr>
                <w:sz w:val="22"/>
              </w:rPr>
            </w:pPr>
            <w:r>
              <w:rPr>
                <w:sz w:val="22"/>
              </w:rPr>
              <w:t>Total</w:t>
            </w:r>
          </w:p>
        </w:tc>
        <w:tc>
          <w:tcPr>
            <w:tcW w:w="1374" w:type="dxa"/>
            <w:tcBorders>
              <w:top w:val="single" w:sz="4" w:space="0" w:color="000000"/>
              <w:bottom w:val="single" w:sz="4" w:space="0" w:color="000000"/>
            </w:tcBorders>
          </w:tcPr>
          <w:p>
            <w:pPr>
              <w:pStyle w:val="TableParagraph"/>
              <w:jc w:val="left"/>
              <w:rPr>
                <w:sz w:val="22"/>
              </w:rPr>
            </w:pPr>
          </w:p>
        </w:tc>
        <w:tc>
          <w:tcPr>
            <w:tcW w:w="1450" w:type="dxa"/>
            <w:tcBorders>
              <w:top w:val="single" w:sz="4" w:space="0" w:color="000000"/>
              <w:bottom w:val="single" w:sz="4" w:space="0" w:color="000000"/>
            </w:tcBorders>
          </w:tcPr>
          <w:p>
            <w:pPr>
              <w:pStyle w:val="TableParagraph"/>
              <w:jc w:val="left"/>
              <w:rPr>
                <w:sz w:val="22"/>
              </w:rPr>
            </w:pPr>
          </w:p>
        </w:tc>
        <w:tc>
          <w:tcPr>
            <w:tcW w:w="1186" w:type="dxa"/>
            <w:tcBorders>
              <w:top w:val="single" w:sz="4" w:space="0" w:color="000000"/>
              <w:bottom w:val="single" w:sz="4" w:space="0" w:color="000000"/>
            </w:tcBorders>
          </w:tcPr>
          <w:p>
            <w:pPr>
              <w:pStyle w:val="TableParagraph"/>
              <w:spacing w:line="244" w:lineRule="exact"/>
              <w:ind w:left="157" w:right="348"/>
              <w:rPr>
                <w:sz w:val="22"/>
              </w:rPr>
            </w:pPr>
            <w:r>
              <w:rPr>
                <w:sz w:val="22"/>
              </w:rPr>
              <w:t>100</w:t>
            </w:r>
          </w:p>
        </w:tc>
        <w:tc>
          <w:tcPr>
            <w:tcW w:w="1872" w:type="dxa"/>
            <w:tcBorders>
              <w:top w:val="single" w:sz="4" w:space="0" w:color="000000"/>
              <w:bottom w:val="single" w:sz="4" w:space="0" w:color="000000"/>
            </w:tcBorders>
          </w:tcPr>
          <w:p>
            <w:pPr>
              <w:pStyle w:val="TableParagraph"/>
              <w:spacing w:line="244" w:lineRule="exact"/>
              <w:ind w:left="349" w:right="552"/>
              <w:rPr>
                <w:sz w:val="22"/>
              </w:rPr>
            </w:pPr>
            <w:r>
              <w:rPr>
                <w:sz w:val="22"/>
              </w:rPr>
              <w:t>100%</w:t>
            </w:r>
          </w:p>
        </w:tc>
      </w:tr>
    </w:tbl>
    <w:p>
      <w:pPr>
        <w:pStyle w:val="BodyText"/>
        <w:rPr>
          <w:sz w:val="24"/>
        </w:rPr>
      </w:pPr>
    </w:p>
    <w:p>
      <w:pPr>
        <w:pStyle w:val="BodyText"/>
        <w:spacing w:before="6"/>
        <w:rPr>
          <w:sz w:val="19"/>
        </w:rPr>
      </w:pPr>
    </w:p>
    <w:p>
      <w:pPr>
        <w:pStyle w:val="Heading3"/>
        <w:ind w:left="119"/>
      </w:pPr>
      <w:bookmarkStart w:name="Keterangan tabel:" w:id="8"/>
      <w:bookmarkEnd w:id="8"/>
      <w:r>
        <w:rPr>
          <w:b w:val="0"/>
        </w:rPr>
      </w:r>
      <w:r>
        <w:rPr/>
        <w:t>Keterangan tabel:</w:t>
      </w:r>
    </w:p>
    <w:p>
      <w:pPr>
        <w:pStyle w:val="BodyText"/>
        <w:spacing w:before="9"/>
        <w:rPr>
          <w:b/>
          <w:sz w:val="21"/>
        </w:rPr>
      </w:pPr>
    </w:p>
    <w:p>
      <w:pPr>
        <w:pStyle w:val="BodyText"/>
        <w:ind w:left="840"/>
      </w:pPr>
      <w:r>
        <w:rPr/>
        <w:t>X = Skor subjek</w:t>
      </w:r>
    </w:p>
    <w:p>
      <w:pPr>
        <w:pStyle w:val="BodyText"/>
        <w:spacing w:before="2"/>
        <w:ind w:left="840" w:right="5375"/>
      </w:pPr>
      <w:r>
        <w:rPr/>
        <w:t>µ = Mean atau rerata hipotetik σ = Standar deviasi hipotetik</w:t>
      </w:r>
    </w:p>
    <w:p>
      <w:pPr>
        <w:pStyle w:val="BodyText"/>
        <w:rPr>
          <w:sz w:val="24"/>
        </w:rPr>
      </w:pPr>
    </w:p>
    <w:p>
      <w:pPr>
        <w:pStyle w:val="BodyText"/>
        <w:spacing w:before="10"/>
        <w:rPr>
          <w:sz w:val="23"/>
        </w:rPr>
      </w:pPr>
    </w:p>
    <w:p>
      <w:pPr>
        <w:pStyle w:val="Heading2"/>
        <w:ind w:right="119"/>
      </w:pPr>
      <w:r>
        <w:rPr/>
        <w:t>Berdasarkan hasil kategorisasi subjek dapat diketahui bahwa tingkat kecanduan game online pada dewasa awal dengan kategori kecanduan game online rendah sebanyak 27 subjek (27%), kategori kecanduan game online sedang sebanyak 42 subjek (42%), dan kategori kecanduan game online tinggi sebanyak 31 subjek (31%). Sehingga dari hasil kategorisasi subjek berdasarkan skor skala kecanduan game online yang diperoleh dapat disimpulkan bahwa, sebagian subjek memiliki kecanduan game online yang cenderung sedang dan tinggi .</w:t>
      </w:r>
    </w:p>
    <w:p>
      <w:pPr>
        <w:pStyle w:val="BodyText"/>
        <w:spacing w:before="7"/>
        <w:rPr>
          <w:sz w:val="23"/>
        </w:rPr>
      </w:pPr>
    </w:p>
    <w:p>
      <w:pPr>
        <w:pStyle w:val="BodyText"/>
        <w:ind w:left="3140"/>
      </w:pPr>
      <w:r>
        <w:rPr/>
        <w:t>Tabel 8. Kategorisasi skala kontrol diri</w:t>
      </w:r>
    </w:p>
    <w:p>
      <w:pPr>
        <w:pStyle w:val="BodyText"/>
        <w:rPr>
          <w:sz w:val="23"/>
        </w:rPr>
      </w:pPr>
    </w:p>
    <w:tbl>
      <w:tblPr>
        <w:tblW w:w="0" w:type="auto"/>
        <w:jc w:val="left"/>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2"/>
        <w:gridCol w:w="1498"/>
        <w:gridCol w:w="1490"/>
        <w:gridCol w:w="1046"/>
        <w:gridCol w:w="1374"/>
      </w:tblGrid>
      <w:tr>
        <w:trPr>
          <w:trHeight w:val="1012" w:hRule="atLeast"/>
        </w:trPr>
        <w:tc>
          <w:tcPr>
            <w:tcW w:w="2402" w:type="dxa"/>
            <w:tcBorders>
              <w:top w:val="single" w:sz="4" w:space="0" w:color="000000"/>
              <w:bottom w:val="single" w:sz="4" w:space="0" w:color="000000"/>
            </w:tcBorders>
          </w:tcPr>
          <w:p>
            <w:pPr>
              <w:pStyle w:val="TableParagraph"/>
              <w:spacing w:line="245" w:lineRule="exact"/>
              <w:ind w:left="832"/>
              <w:jc w:val="left"/>
              <w:rPr>
                <w:sz w:val="22"/>
              </w:rPr>
            </w:pPr>
            <w:r>
              <w:rPr>
                <w:sz w:val="22"/>
              </w:rPr>
              <w:t>Pedoman</w:t>
            </w:r>
          </w:p>
        </w:tc>
        <w:tc>
          <w:tcPr>
            <w:tcW w:w="1498" w:type="dxa"/>
            <w:tcBorders>
              <w:top w:val="single" w:sz="4" w:space="0" w:color="000000"/>
              <w:bottom w:val="single" w:sz="4" w:space="0" w:color="000000"/>
            </w:tcBorders>
          </w:tcPr>
          <w:p>
            <w:pPr>
              <w:pStyle w:val="TableParagraph"/>
              <w:spacing w:line="245" w:lineRule="exact"/>
              <w:ind w:left="212" w:right="175"/>
              <w:rPr>
                <w:sz w:val="22"/>
              </w:rPr>
            </w:pPr>
            <w:r>
              <w:rPr>
                <w:sz w:val="22"/>
              </w:rPr>
              <w:t>Skor</w:t>
            </w:r>
          </w:p>
        </w:tc>
        <w:tc>
          <w:tcPr>
            <w:tcW w:w="1490" w:type="dxa"/>
            <w:tcBorders>
              <w:top w:val="single" w:sz="4" w:space="0" w:color="000000"/>
              <w:bottom w:val="single" w:sz="4" w:space="0" w:color="000000"/>
            </w:tcBorders>
          </w:tcPr>
          <w:p>
            <w:pPr>
              <w:pStyle w:val="TableParagraph"/>
              <w:spacing w:line="245" w:lineRule="exact"/>
              <w:ind w:left="173" w:right="177"/>
              <w:rPr>
                <w:sz w:val="22"/>
              </w:rPr>
            </w:pPr>
            <w:r>
              <w:rPr>
                <w:sz w:val="22"/>
              </w:rPr>
              <w:t>Kategorisasi</w:t>
            </w:r>
          </w:p>
        </w:tc>
        <w:tc>
          <w:tcPr>
            <w:tcW w:w="1046" w:type="dxa"/>
            <w:tcBorders>
              <w:top w:val="single" w:sz="4" w:space="0" w:color="000000"/>
              <w:bottom w:val="single" w:sz="4" w:space="0" w:color="000000"/>
            </w:tcBorders>
          </w:tcPr>
          <w:p>
            <w:pPr>
              <w:pStyle w:val="TableParagraph"/>
              <w:spacing w:line="245" w:lineRule="exact"/>
              <w:ind w:left="181" w:right="188"/>
              <w:rPr>
                <w:sz w:val="22"/>
              </w:rPr>
            </w:pPr>
            <w:r>
              <w:rPr>
                <w:sz w:val="22"/>
              </w:rPr>
              <w:t>Jumlah</w:t>
            </w:r>
          </w:p>
        </w:tc>
        <w:tc>
          <w:tcPr>
            <w:tcW w:w="1374" w:type="dxa"/>
            <w:tcBorders>
              <w:top w:val="single" w:sz="4" w:space="0" w:color="000000"/>
              <w:bottom w:val="single" w:sz="4" w:space="0" w:color="000000"/>
            </w:tcBorders>
          </w:tcPr>
          <w:p>
            <w:pPr>
              <w:pStyle w:val="TableParagraph"/>
              <w:spacing w:line="245" w:lineRule="exact"/>
              <w:ind w:left="136" w:right="156"/>
              <w:rPr>
                <w:sz w:val="22"/>
              </w:rPr>
            </w:pPr>
            <w:r>
              <w:rPr>
                <w:sz w:val="22"/>
              </w:rPr>
              <w:t>Presentase</w:t>
            </w:r>
          </w:p>
        </w:tc>
      </w:tr>
      <w:tr>
        <w:trPr>
          <w:trHeight w:val="374" w:hRule="atLeast"/>
        </w:trPr>
        <w:tc>
          <w:tcPr>
            <w:tcW w:w="2402" w:type="dxa"/>
            <w:tcBorders>
              <w:top w:val="single" w:sz="4" w:space="0" w:color="000000"/>
            </w:tcBorders>
          </w:tcPr>
          <w:p>
            <w:pPr>
              <w:pStyle w:val="TableParagraph"/>
              <w:spacing w:line="244" w:lineRule="exact"/>
              <w:ind w:left="117"/>
              <w:jc w:val="left"/>
              <w:rPr>
                <w:sz w:val="22"/>
              </w:rPr>
            </w:pPr>
            <w:r>
              <w:rPr>
                <w:sz w:val="22"/>
              </w:rPr>
              <w:t>X &lt; (µ - 1σ)</w:t>
            </w:r>
          </w:p>
        </w:tc>
        <w:tc>
          <w:tcPr>
            <w:tcW w:w="1498" w:type="dxa"/>
            <w:tcBorders>
              <w:top w:val="single" w:sz="4" w:space="0" w:color="000000"/>
            </w:tcBorders>
          </w:tcPr>
          <w:p>
            <w:pPr>
              <w:pStyle w:val="TableParagraph"/>
              <w:spacing w:line="244" w:lineRule="exact"/>
              <w:ind w:left="219" w:right="174"/>
              <w:rPr>
                <w:sz w:val="22"/>
              </w:rPr>
            </w:pPr>
            <w:r>
              <w:rPr>
                <w:sz w:val="22"/>
              </w:rPr>
              <w:t>X&lt; 60</w:t>
            </w:r>
          </w:p>
        </w:tc>
        <w:tc>
          <w:tcPr>
            <w:tcW w:w="1490" w:type="dxa"/>
            <w:tcBorders>
              <w:top w:val="single" w:sz="4" w:space="0" w:color="000000"/>
            </w:tcBorders>
          </w:tcPr>
          <w:p>
            <w:pPr>
              <w:pStyle w:val="TableParagraph"/>
              <w:spacing w:line="244" w:lineRule="exact"/>
              <w:ind w:left="170" w:right="177"/>
              <w:rPr>
                <w:sz w:val="22"/>
              </w:rPr>
            </w:pPr>
            <w:r>
              <w:rPr>
                <w:sz w:val="22"/>
              </w:rPr>
              <w:t>Rendah</w:t>
            </w:r>
          </w:p>
        </w:tc>
        <w:tc>
          <w:tcPr>
            <w:tcW w:w="1046" w:type="dxa"/>
            <w:tcBorders>
              <w:top w:val="single" w:sz="4" w:space="0" w:color="000000"/>
            </w:tcBorders>
          </w:tcPr>
          <w:p>
            <w:pPr>
              <w:pStyle w:val="TableParagraph"/>
              <w:spacing w:line="244" w:lineRule="exact"/>
              <w:ind w:left="181" w:right="187"/>
              <w:rPr>
                <w:sz w:val="22"/>
              </w:rPr>
            </w:pPr>
            <w:r>
              <w:rPr>
                <w:sz w:val="22"/>
              </w:rPr>
              <w:t>12</w:t>
            </w:r>
          </w:p>
        </w:tc>
        <w:tc>
          <w:tcPr>
            <w:tcW w:w="1374" w:type="dxa"/>
            <w:tcBorders>
              <w:top w:val="single" w:sz="4" w:space="0" w:color="000000"/>
            </w:tcBorders>
          </w:tcPr>
          <w:p>
            <w:pPr>
              <w:pStyle w:val="TableParagraph"/>
              <w:spacing w:line="244" w:lineRule="exact"/>
              <w:ind w:left="132" w:right="156"/>
              <w:rPr>
                <w:sz w:val="22"/>
              </w:rPr>
            </w:pPr>
            <w:r>
              <w:rPr>
                <w:sz w:val="22"/>
              </w:rPr>
              <w:t>12%</w:t>
            </w:r>
          </w:p>
        </w:tc>
      </w:tr>
      <w:tr>
        <w:trPr>
          <w:trHeight w:val="506" w:hRule="atLeast"/>
        </w:trPr>
        <w:tc>
          <w:tcPr>
            <w:tcW w:w="2402" w:type="dxa"/>
          </w:tcPr>
          <w:p>
            <w:pPr>
              <w:pStyle w:val="TableParagraph"/>
              <w:spacing w:before="121"/>
              <w:ind w:left="117"/>
              <w:jc w:val="left"/>
              <w:rPr>
                <w:sz w:val="22"/>
              </w:rPr>
            </w:pPr>
            <w:r>
              <w:rPr>
                <w:sz w:val="22"/>
              </w:rPr>
              <w:t>(µ - 1σ) ≤ X &lt; (µ + 1σ)</w:t>
            </w:r>
          </w:p>
        </w:tc>
        <w:tc>
          <w:tcPr>
            <w:tcW w:w="1498" w:type="dxa"/>
          </w:tcPr>
          <w:p>
            <w:pPr>
              <w:pStyle w:val="TableParagraph"/>
              <w:spacing w:before="121"/>
              <w:ind w:left="219" w:right="175"/>
              <w:rPr>
                <w:sz w:val="22"/>
              </w:rPr>
            </w:pPr>
            <w:r>
              <w:rPr>
                <w:sz w:val="22"/>
              </w:rPr>
              <w:t>60 ≤ X &lt; 90</w:t>
            </w:r>
          </w:p>
        </w:tc>
        <w:tc>
          <w:tcPr>
            <w:tcW w:w="1490" w:type="dxa"/>
          </w:tcPr>
          <w:p>
            <w:pPr>
              <w:pStyle w:val="TableParagraph"/>
              <w:spacing w:before="121"/>
              <w:ind w:left="173" w:right="175"/>
              <w:rPr>
                <w:sz w:val="22"/>
              </w:rPr>
            </w:pPr>
            <w:r>
              <w:rPr>
                <w:sz w:val="22"/>
              </w:rPr>
              <w:t>Sedang</w:t>
            </w:r>
          </w:p>
        </w:tc>
        <w:tc>
          <w:tcPr>
            <w:tcW w:w="1046" w:type="dxa"/>
          </w:tcPr>
          <w:p>
            <w:pPr>
              <w:pStyle w:val="TableParagraph"/>
              <w:spacing w:before="121"/>
              <w:ind w:left="181" w:right="187"/>
              <w:rPr>
                <w:sz w:val="22"/>
              </w:rPr>
            </w:pPr>
            <w:r>
              <w:rPr>
                <w:sz w:val="22"/>
              </w:rPr>
              <w:t>53</w:t>
            </w:r>
          </w:p>
        </w:tc>
        <w:tc>
          <w:tcPr>
            <w:tcW w:w="1374" w:type="dxa"/>
          </w:tcPr>
          <w:p>
            <w:pPr>
              <w:pStyle w:val="TableParagraph"/>
              <w:spacing w:before="121"/>
              <w:ind w:left="132" w:right="156"/>
              <w:rPr>
                <w:sz w:val="22"/>
              </w:rPr>
            </w:pPr>
            <w:r>
              <w:rPr>
                <w:sz w:val="22"/>
              </w:rPr>
              <w:t>53%</w:t>
            </w:r>
          </w:p>
        </w:tc>
      </w:tr>
      <w:tr>
        <w:trPr>
          <w:trHeight w:val="636" w:hRule="atLeast"/>
        </w:trPr>
        <w:tc>
          <w:tcPr>
            <w:tcW w:w="2402" w:type="dxa"/>
            <w:tcBorders>
              <w:bottom w:val="single" w:sz="4" w:space="0" w:color="000000"/>
            </w:tcBorders>
          </w:tcPr>
          <w:p>
            <w:pPr>
              <w:pStyle w:val="TableParagraph"/>
              <w:spacing w:before="124"/>
              <w:ind w:left="117"/>
              <w:jc w:val="left"/>
              <w:rPr>
                <w:sz w:val="22"/>
              </w:rPr>
            </w:pPr>
            <w:r>
              <w:rPr>
                <w:sz w:val="22"/>
              </w:rPr>
              <w:t>X ≥ (µ + 1σ)</w:t>
            </w:r>
          </w:p>
        </w:tc>
        <w:tc>
          <w:tcPr>
            <w:tcW w:w="1498" w:type="dxa"/>
            <w:tcBorders>
              <w:bottom w:val="single" w:sz="4" w:space="0" w:color="000000"/>
            </w:tcBorders>
          </w:tcPr>
          <w:p>
            <w:pPr>
              <w:pStyle w:val="TableParagraph"/>
              <w:spacing w:before="124"/>
              <w:ind w:left="219" w:right="169"/>
              <w:rPr>
                <w:sz w:val="22"/>
              </w:rPr>
            </w:pPr>
            <w:r>
              <w:rPr>
                <w:sz w:val="22"/>
              </w:rPr>
              <w:t>X ≥ 90</w:t>
            </w:r>
          </w:p>
        </w:tc>
        <w:tc>
          <w:tcPr>
            <w:tcW w:w="1490" w:type="dxa"/>
            <w:tcBorders>
              <w:bottom w:val="single" w:sz="4" w:space="0" w:color="000000"/>
            </w:tcBorders>
          </w:tcPr>
          <w:p>
            <w:pPr>
              <w:pStyle w:val="TableParagraph"/>
              <w:spacing w:before="124"/>
              <w:ind w:left="169" w:right="177"/>
              <w:rPr>
                <w:sz w:val="22"/>
              </w:rPr>
            </w:pPr>
            <w:r>
              <w:rPr>
                <w:sz w:val="22"/>
              </w:rPr>
              <w:t>Tinggi</w:t>
            </w:r>
          </w:p>
        </w:tc>
        <w:tc>
          <w:tcPr>
            <w:tcW w:w="1046" w:type="dxa"/>
            <w:tcBorders>
              <w:bottom w:val="single" w:sz="4" w:space="0" w:color="000000"/>
            </w:tcBorders>
          </w:tcPr>
          <w:p>
            <w:pPr>
              <w:pStyle w:val="TableParagraph"/>
              <w:spacing w:before="124"/>
              <w:ind w:left="181" w:right="187"/>
              <w:rPr>
                <w:sz w:val="22"/>
              </w:rPr>
            </w:pPr>
            <w:r>
              <w:rPr>
                <w:sz w:val="22"/>
              </w:rPr>
              <w:t>35</w:t>
            </w:r>
          </w:p>
        </w:tc>
        <w:tc>
          <w:tcPr>
            <w:tcW w:w="1374" w:type="dxa"/>
            <w:tcBorders>
              <w:bottom w:val="single" w:sz="4" w:space="0" w:color="000000"/>
            </w:tcBorders>
          </w:tcPr>
          <w:p>
            <w:pPr>
              <w:pStyle w:val="TableParagraph"/>
              <w:spacing w:before="124"/>
              <w:ind w:left="132" w:right="156"/>
              <w:rPr>
                <w:sz w:val="22"/>
              </w:rPr>
            </w:pPr>
            <w:r>
              <w:rPr>
                <w:sz w:val="22"/>
              </w:rPr>
              <w:t>35%</w:t>
            </w:r>
          </w:p>
        </w:tc>
      </w:tr>
      <w:tr>
        <w:trPr>
          <w:trHeight w:val="508" w:hRule="atLeast"/>
        </w:trPr>
        <w:tc>
          <w:tcPr>
            <w:tcW w:w="2402" w:type="dxa"/>
            <w:tcBorders>
              <w:top w:val="single" w:sz="4" w:space="0" w:color="000000"/>
              <w:bottom w:val="single" w:sz="4" w:space="0" w:color="000000"/>
            </w:tcBorders>
          </w:tcPr>
          <w:p>
            <w:pPr>
              <w:pStyle w:val="TableParagraph"/>
              <w:spacing w:line="244" w:lineRule="exact"/>
              <w:ind w:left="992" w:right="904"/>
              <w:rPr>
                <w:sz w:val="22"/>
              </w:rPr>
            </w:pPr>
            <w:r>
              <w:rPr>
                <w:sz w:val="22"/>
              </w:rPr>
              <w:t>Total</w:t>
            </w:r>
          </w:p>
        </w:tc>
        <w:tc>
          <w:tcPr>
            <w:tcW w:w="1498" w:type="dxa"/>
            <w:tcBorders>
              <w:top w:val="single" w:sz="4" w:space="0" w:color="000000"/>
              <w:bottom w:val="single" w:sz="4" w:space="0" w:color="000000"/>
            </w:tcBorders>
          </w:tcPr>
          <w:p>
            <w:pPr>
              <w:pStyle w:val="TableParagraph"/>
              <w:jc w:val="left"/>
              <w:rPr>
                <w:sz w:val="22"/>
              </w:rPr>
            </w:pPr>
          </w:p>
        </w:tc>
        <w:tc>
          <w:tcPr>
            <w:tcW w:w="1490" w:type="dxa"/>
            <w:tcBorders>
              <w:top w:val="single" w:sz="4" w:space="0" w:color="000000"/>
              <w:bottom w:val="single" w:sz="4" w:space="0" w:color="000000"/>
            </w:tcBorders>
          </w:tcPr>
          <w:p>
            <w:pPr>
              <w:pStyle w:val="TableParagraph"/>
              <w:jc w:val="left"/>
              <w:rPr>
                <w:sz w:val="22"/>
              </w:rPr>
            </w:pPr>
          </w:p>
        </w:tc>
        <w:tc>
          <w:tcPr>
            <w:tcW w:w="1046" w:type="dxa"/>
            <w:tcBorders>
              <w:top w:val="single" w:sz="4" w:space="0" w:color="000000"/>
              <w:bottom w:val="single" w:sz="4" w:space="0" w:color="000000"/>
            </w:tcBorders>
          </w:tcPr>
          <w:p>
            <w:pPr>
              <w:pStyle w:val="TableParagraph"/>
              <w:spacing w:line="244" w:lineRule="exact"/>
              <w:ind w:left="181" w:right="182"/>
              <w:rPr>
                <w:sz w:val="22"/>
              </w:rPr>
            </w:pPr>
            <w:r>
              <w:rPr>
                <w:sz w:val="22"/>
              </w:rPr>
              <w:t>100</w:t>
            </w:r>
          </w:p>
        </w:tc>
        <w:tc>
          <w:tcPr>
            <w:tcW w:w="1374" w:type="dxa"/>
            <w:tcBorders>
              <w:top w:val="single" w:sz="4" w:space="0" w:color="000000"/>
              <w:bottom w:val="single" w:sz="4" w:space="0" w:color="000000"/>
            </w:tcBorders>
          </w:tcPr>
          <w:p>
            <w:pPr>
              <w:pStyle w:val="TableParagraph"/>
              <w:spacing w:line="244" w:lineRule="exact"/>
              <w:ind w:left="137" w:right="156"/>
              <w:rPr>
                <w:sz w:val="22"/>
              </w:rPr>
            </w:pPr>
            <w:r>
              <w:rPr>
                <w:sz w:val="22"/>
              </w:rPr>
              <w:t>100%</w:t>
            </w:r>
          </w:p>
        </w:tc>
      </w:tr>
    </w:tbl>
    <w:p>
      <w:pPr>
        <w:spacing w:after="0" w:line="244" w:lineRule="exact"/>
        <w:rPr>
          <w:sz w:val="22"/>
        </w:rPr>
        <w:sectPr>
          <w:pgSz w:w="11910" w:h="16840"/>
          <w:pgMar w:header="0" w:footer="710" w:top="1580" w:bottom="920" w:left="1460" w:right="1460"/>
        </w:sectPr>
      </w:pPr>
    </w:p>
    <w:p>
      <w:pPr>
        <w:pStyle w:val="Heading3"/>
        <w:spacing w:before="77"/>
        <w:ind w:left="840"/>
      </w:pPr>
      <w:bookmarkStart w:name="Keterangan tabel: (1)" w:id="9"/>
      <w:bookmarkEnd w:id="9"/>
      <w:r>
        <w:rPr>
          <w:b w:val="0"/>
        </w:rPr>
      </w:r>
      <w:r>
        <w:rPr/>
        <w:t>Keterangan tabel:</w:t>
      </w:r>
    </w:p>
    <w:p>
      <w:pPr>
        <w:pStyle w:val="BodyText"/>
        <w:spacing w:before="9"/>
        <w:rPr>
          <w:b/>
          <w:sz w:val="21"/>
        </w:rPr>
      </w:pPr>
    </w:p>
    <w:p>
      <w:pPr>
        <w:pStyle w:val="BodyText"/>
        <w:spacing w:before="1"/>
        <w:ind w:left="1560"/>
      </w:pPr>
      <w:r>
        <w:rPr/>
        <w:t>X = Skor subjek</w:t>
      </w:r>
    </w:p>
    <w:p>
      <w:pPr>
        <w:pStyle w:val="BodyText"/>
        <w:spacing w:before="2"/>
        <w:ind w:left="1560" w:right="4655"/>
      </w:pPr>
      <w:r>
        <w:rPr/>
        <w:t>µ = Mean atau rerata hipotetik σ = Standar deviasi hipotetik</w:t>
      </w:r>
    </w:p>
    <w:p>
      <w:pPr>
        <w:pStyle w:val="BodyText"/>
        <w:spacing w:before="6"/>
        <w:rPr>
          <w:sz w:val="21"/>
        </w:rPr>
      </w:pPr>
    </w:p>
    <w:p>
      <w:pPr>
        <w:pStyle w:val="Heading2"/>
        <w:ind w:right="117" w:firstLine="360"/>
      </w:pPr>
      <w:r>
        <w:rPr/>
        <w:t>Berdasarkan hasil kategorisasi subjek dapat diketahui bahwa tingkat kontrol diri pada dewasa awal dengan kategori kontrol diri rendah sebanyak 12 subjek (12%), kategori kontrol diri sedang sebanyak 53 subjek (53%), dan kategori kontrol diri tinggi sebanyak 35 subjek (35%). Sehingga dari hasil kategorisasi subjek berdasarkan skor skala kontrol diri yang diperoleh dapat disimpulkan bahwa sebagian subjek memiliki kontrol diri yang cenderung sedang dan tinggi.</w:t>
      </w:r>
    </w:p>
    <w:p>
      <w:pPr>
        <w:spacing w:after="0"/>
        <w:sectPr>
          <w:pgSz w:w="11910" w:h="16840"/>
          <w:pgMar w:header="0" w:footer="710" w:top="1480" w:bottom="960" w:left="1460" w:right="1460"/>
        </w:sectPr>
      </w:pPr>
    </w:p>
    <w:p>
      <w:pPr>
        <w:pStyle w:val="BodyText"/>
        <w:rPr>
          <w:sz w:val="20"/>
        </w:rPr>
      </w:pPr>
    </w:p>
    <w:p>
      <w:pPr>
        <w:pStyle w:val="BodyText"/>
        <w:spacing w:before="3"/>
      </w:pPr>
    </w:p>
    <w:p>
      <w:pPr>
        <w:pStyle w:val="Heading3"/>
        <w:numPr>
          <w:ilvl w:val="0"/>
          <w:numId w:val="1"/>
        </w:numPr>
        <w:tabs>
          <w:tab w:pos="961" w:val="left" w:leader="none"/>
        </w:tabs>
        <w:spacing w:line="240" w:lineRule="auto" w:before="0" w:after="0"/>
        <w:ind w:left="960" w:right="0" w:hanging="361"/>
        <w:jc w:val="left"/>
      </w:pPr>
      <w:bookmarkStart w:name="1. Uji Normalitas" w:id="10"/>
      <w:bookmarkEnd w:id="10"/>
      <w:r>
        <w:rPr>
          <w:b w:val="0"/>
        </w:rPr>
      </w:r>
      <w:bookmarkStart w:name="1. Uji Normalitas" w:id="11"/>
      <w:bookmarkEnd w:id="11"/>
      <w:r>
        <w:rPr/>
        <w:t>U</w:t>
      </w:r>
      <w:r>
        <w:rPr/>
        <w:t>ji</w:t>
      </w:r>
      <w:r>
        <w:rPr>
          <w:spacing w:val="-7"/>
        </w:rPr>
        <w:t> </w:t>
      </w:r>
      <w:r>
        <w:rPr/>
        <w:t>Normalitas</w:t>
      </w:r>
    </w:p>
    <w:p>
      <w:pPr>
        <w:pStyle w:val="BodyText"/>
        <w:spacing w:before="5"/>
        <w:rPr>
          <w:b/>
          <w:sz w:val="21"/>
        </w:rPr>
      </w:pPr>
    </w:p>
    <w:p>
      <w:pPr>
        <w:spacing w:before="0"/>
        <w:ind w:left="1089" w:right="238" w:firstLine="566"/>
        <w:jc w:val="both"/>
        <w:rPr>
          <w:sz w:val="20"/>
        </w:rPr>
      </w:pPr>
      <w:r>
        <w:rPr>
          <w:sz w:val="20"/>
        </w:rPr>
        <w:t>Uji normalitas digunakan untuk mengetahui apakah model regresi berdistribusi normal atau tidak dengan menggunakan Kolmogorov Smirnof yaitu dengan membandingkan nilai probabilitas dengan nilai yaitu 0,01.</w:t>
      </w:r>
    </w:p>
    <w:p>
      <w:pPr>
        <w:pStyle w:val="BodyText"/>
      </w:pPr>
    </w:p>
    <w:p>
      <w:pPr>
        <w:pStyle w:val="BodyText"/>
        <w:spacing w:before="6"/>
        <w:rPr>
          <w:sz w:val="18"/>
        </w:rPr>
      </w:pPr>
    </w:p>
    <w:p>
      <w:pPr>
        <w:spacing w:before="1"/>
        <w:ind w:left="940" w:right="232" w:firstLine="0"/>
        <w:jc w:val="center"/>
        <w:rPr>
          <w:sz w:val="20"/>
        </w:rPr>
      </w:pPr>
      <w:r>
        <w:rPr>
          <w:sz w:val="20"/>
        </w:rPr>
        <w:t>Hasil Uji Kolmogorov Smi</w:t>
      </w:r>
    </w:p>
    <w:p>
      <w:pPr>
        <w:pStyle w:val="BodyText"/>
        <w:spacing w:before="3"/>
        <w:rPr>
          <w:sz w:val="19"/>
        </w:rPr>
      </w:pPr>
    </w:p>
    <w:p>
      <w:pPr>
        <w:pStyle w:val="BodyText"/>
        <w:ind w:left="998" w:right="114" w:firstLine="720"/>
        <w:jc w:val="both"/>
      </w:pPr>
      <w:r>
        <w:rPr/>
        <w:t>Uji normalitas digunakan untuk mengetahui apakah sebaran data dari masing- masing variabel merupakan sebaran data yang terdistribusi normal. Kaidah untuk uji normalitas adalah apabila nilai signifikansi dari uji Kolmogorov-Smirnov &gt; 0,050 maka sebaran data mengikuti distribusi normal. Apabila nilai signifikansi dari uji Kolmogorov Smirnov &lt; 0,050 maka sebaran data tidak mengikuti distribusi normal. Dari hasil uji Kolmogorov-Smirnov untuk variabel kecanduan game online diperoleh K-S Z = 0.113 dengan p = 0.003 maka sebaran data variabel kecanduan game online t terdistribusi normal. Dari hasil uji Kolmogorov-Smirnov untuk variabel kontrol diri diperoleh K-S Z</w:t>
      </w:r>
    </w:p>
    <w:p>
      <w:pPr>
        <w:pStyle w:val="BodyText"/>
        <w:spacing w:line="274" w:lineRule="exact"/>
        <w:ind w:left="998"/>
        <w:jc w:val="both"/>
        <w:rPr>
          <w:sz w:val="24"/>
        </w:rPr>
      </w:pPr>
      <w:r>
        <w:rPr/>
        <w:t>= 0.102 dengan p = 0.012, maka sebaran data variabel kontrol diri terdistribusi normal</w:t>
      </w:r>
      <w:r>
        <w:rPr>
          <w:sz w:val="24"/>
        </w:rPr>
        <w:t>.</w:t>
      </w:r>
    </w:p>
    <w:p>
      <w:pPr>
        <w:pStyle w:val="BodyText"/>
        <w:rPr>
          <w:sz w:val="26"/>
        </w:rPr>
      </w:pPr>
    </w:p>
    <w:p>
      <w:pPr>
        <w:pStyle w:val="Heading3"/>
        <w:numPr>
          <w:ilvl w:val="0"/>
          <w:numId w:val="1"/>
        </w:numPr>
        <w:tabs>
          <w:tab w:pos="961" w:val="left" w:leader="none"/>
        </w:tabs>
        <w:spacing w:line="240" w:lineRule="auto" w:before="222" w:after="0"/>
        <w:ind w:left="960" w:right="0" w:hanging="361"/>
        <w:jc w:val="left"/>
      </w:pPr>
      <w:bookmarkStart w:name="2. Uji Linearitas" w:id="12"/>
      <w:bookmarkEnd w:id="12"/>
      <w:r>
        <w:rPr>
          <w:b w:val="0"/>
        </w:rPr>
      </w:r>
      <w:bookmarkStart w:name="2. Uji Linearitas" w:id="13"/>
      <w:bookmarkEnd w:id="13"/>
      <w:r>
        <w:rPr/>
        <w:t>U</w:t>
      </w:r>
      <w:r>
        <w:rPr/>
        <w:t>ji</w:t>
      </w:r>
      <w:r>
        <w:rPr>
          <w:spacing w:val="-12"/>
        </w:rPr>
        <w:t> </w:t>
      </w:r>
      <w:r>
        <w:rPr/>
        <w:t>Linearitas</w:t>
      </w:r>
    </w:p>
    <w:p>
      <w:pPr>
        <w:pStyle w:val="BodyText"/>
        <w:spacing w:before="5"/>
        <w:rPr>
          <w:b/>
          <w:sz w:val="28"/>
        </w:rPr>
      </w:pPr>
    </w:p>
    <w:p>
      <w:pPr>
        <w:spacing w:before="0"/>
        <w:ind w:left="1089" w:right="248" w:firstLine="566"/>
        <w:jc w:val="both"/>
        <w:rPr>
          <w:sz w:val="20"/>
        </w:rPr>
      </w:pPr>
      <w:r>
        <w:rPr>
          <w:sz w:val="20"/>
        </w:rPr>
        <w:t>Pedoman yang digunakan untuk menguji linearitas adalah dengan menguji signifikasi nilai F. Adapun hasil uji linearitas hubungan dapat dilihat pada tabel berikut ini:</w:t>
      </w:r>
    </w:p>
    <w:p>
      <w:pPr>
        <w:spacing w:line="228" w:lineRule="exact" w:before="6"/>
        <w:ind w:left="956" w:right="232" w:firstLine="0"/>
        <w:jc w:val="center"/>
        <w:rPr>
          <w:b/>
          <w:sz w:val="20"/>
        </w:rPr>
      </w:pPr>
      <w:bookmarkStart w:name="Tabel 3.5" w:id="14"/>
      <w:bookmarkEnd w:id="14"/>
      <w:r>
        <w:rPr/>
      </w:r>
      <w:r>
        <w:rPr>
          <w:b/>
          <w:sz w:val="20"/>
        </w:rPr>
        <w:t>Tabel 3.5</w:t>
      </w:r>
    </w:p>
    <w:p>
      <w:pPr>
        <w:spacing w:line="228" w:lineRule="exact" w:before="0"/>
        <w:ind w:left="943" w:right="232" w:firstLine="0"/>
        <w:jc w:val="center"/>
        <w:rPr>
          <w:sz w:val="20"/>
        </w:rPr>
      </w:pPr>
      <w:r>
        <w:rPr>
          <w:sz w:val="20"/>
        </w:rPr>
        <w:t>Hasil Uji Linearitas</w:t>
      </w:r>
    </w:p>
    <w:p>
      <w:pPr>
        <w:pStyle w:val="BodyText"/>
        <w:spacing w:before="5"/>
        <w:rPr>
          <w:sz w:val="20"/>
        </w:rPr>
      </w:pPr>
    </w:p>
    <w:tbl>
      <w:tblPr>
        <w:tblW w:w="0" w:type="auto"/>
        <w:jc w:val="left"/>
        <w:tblInd w:w="1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6"/>
        <w:gridCol w:w="1014"/>
        <w:gridCol w:w="925"/>
        <w:gridCol w:w="1453"/>
      </w:tblGrid>
      <w:tr>
        <w:trPr>
          <w:trHeight w:val="230" w:hRule="atLeast"/>
        </w:trPr>
        <w:tc>
          <w:tcPr>
            <w:tcW w:w="2986" w:type="dxa"/>
            <w:tcBorders>
              <w:top w:val="single" w:sz="4" w:space="0" w:color="000000"/>
              <w:bottom w:val="single" w:sz="4" w:space="0" w:color="000000"/>
            </w:tcBorders>
          </w:tcPr>
          <w:p>
            <w:pPr>
              <w:pStyle w:val="TableParagraph"/>
              <w:spacing w:line="210" w:lineRule="exact"/>
              <w:ind w:left="98" w:right="249"/>
              <w:rPr>
                <w:sz w:val="20"/>
              </w:rPr>
            </w:pPr>
            <w:r>
              <w:rPr>
                <w:sz w:val="20"/>
              </w:rPr>
              <w:t>Hubungan</w:t>
            </w:r>
          </w:p>
        </w:tc>
        <w:tc>
          <w:tcPr>
            <w:tcW w:w="1014" w:type="dxa"/>
            <w:tcBorders>
              <w:top w:val="single" w:sz="4" w:space="0" w:color="000000"/>
              <w:bottom w:val="single" w:sz="4" w:space="0" w:color="000000"/>
            </w:tcBorders>
          </w:tcPr>
          <w:p>
            <w:pPr>
              <w:pStyle w:val="TableParagraph"/>
              <w:spacing w:line="210" w:lineRule="exact"/>
              <w:ind w:right="216"/>
              <w:rPr>
                <w:sz w:val="20"/>
              </w:rPr>
            </w:pPr>
            <w:r>
              <w:rPr>
                <w:w w:val="100"/>
                <w:sz w:val="20"/>
              </w:rPr>
              <w:t>F</w:t>
            </w:r>
          </w:p>
        </w:tc>
        <w:tc>
          <w:tcPr>
            <w:tcW w:w="925" w:type="dxa"/>
            <w:tcBorders>
              <w:top w:val="single" w:sz="4" w:space="0" w:color="000000"/>
              <w:bottom w:val="single" w:sz="4" w:space="0" w:color="000000"/>
            </w:tcBorders>
          </w:tcPr>
          <w:p>
            <w:pPr>
              <w:pStyle w:val="TableParagraph"/>
              <w:spacing w:line="210" w:lineRule="exact"/>
              <w:ind w:right="101"/>
              <w:rPr>
                <w:sz w:val="20"/>
              </w:rPr>
            </w:pPr>
            <w:r>
              <w:rPr>
                <w:w w:val="100"/>
                <w:sz w:val="20"/>
              </w:rPr>
              <w:t>p</w:t>
            </w:r>
          </w:p>
        </w:tc>
        <w:tc>
          <w:tcPr>
            <w:tcW w:w="1453" w:type="dxa"/>
            <w:tcBorders>
              <w:top w:val="single" w:sz="4" w:space="0" w:color="000000"/>
              <w:bottom w:val="single" w:sz="4" w:space="0" w:color="000000"/>
            </w:tcBorders>
          </w:tcPr>
          <w:p>
            <w:pPr>
              <w:pStyle w:val="TableParagraph"/>
              <w:spacing w:line="210" w:lineRule="exact"/>
              <w:ind w:left="251"/>
              <w:jc w:val="left"/>
              <w:rPr>
                <w:sz w:val="20"/>
              </w:rPr>
            </w:pPr>
            <w:r>
              <w:rPr>
                <w:sz w:val="20"/>
              </w:rPr>
              <w:t>Keterangan</w:t>
            </w:r>
          </w:p>
        </w:tc>
      </w:tr>
      <w:tr>
        <w:trPr>
          <w:trHeight w:val="442" w:hRule="atLeast"/>
        </w:trPr>
        <w:tc>
          <w:tcPr>
            <w:tcW w:w="2986" w:type="dxa"/>
            <w:tcBorders>
              <w:top w:val="single" w:sz="4" w:space="0" w:color="000000"/>
            </w:tcBorders>
          </w:tcPr>
          <w:p>
            <w:pPr>
              <w:pStyle w:val="TableParagraph"/>
              <w:spacing w:line="219" w:lineRule="exact"/>
              <w:ind w:left="7" w:right="35"/>
              <w:rPr>
                <w:sz w:val="20"/>
              </w:rPr>
            </w:pPr>
            <w:r>
              <w:rPr>
                <w:sz w:val="20"/>
              </w:rPr>
              <w:t>Kontrol diri dan Kecanduan game</w:t>
            </w:r>
          </w:p>
          <w:p>
            <w:pPr>
              <w:pStyle w:val="TableParagraph"/>
              <w:tabs>
                <w:tab w:pos="2948" w:val="left" w:leader="none"/>
              </w:tabs>
              <w:spacing w:line="204" w:lineRule="exact"/>
              <w:ind w:left="-1" w:right="35"/>
              <w:rPr>
                <w:sz w:val="20"/>
              </w:rPr>
            </w:pPr>
            <w:r>
              <w:rPr>
                <w:w w:val="100"/>
                <w:sz w:val="20"/>
                <w:u w:val="single"/>
              </w:rPr>
              <w:t> </w:t>
            </w:r>
            <w:r>
              <w:rPr>
                <w:spacing w:val="19"/>
                <w:sz w:val="20"/>
                <w:u w:val="single"/>
              </w:rPr>
              <w:t> </w:t>
            </w:r>
            <w:r>
              <w:rPr>
                <w:spacing w:val="-19"/>
                <w:sz w:val="20"/>
                <w:u w:val="single"/>
              </w:rPr>
              <w:t>online</w:t>
              <w:tab/>
            </w:r>
          </w:p>
        </w:tc>
        <w:tc>
          <w:tcPr>
            <w:tcW w:w="1014" w:type="dxa"/>
            <w:tcBorders>
              <w:top w:val="single" w:sz="4" w:space="0" w:color="000000"/>
            </w:tcBorders>
          </w:tcPr>
          <w:p>
            <w:pPr>
              <w:pStyle w:val="TableParagraph"/>
              <w:spacing w:before="106"/>
              <w:ind w:left="144"/>
              <w:jc w:val="left"/>
              <w:rPr>
                <w:sz w:val="20"/>
              </w:rPr>
            </w:pPr>
            <w:r>
              <w:rPr>
                <w:sz w:val="20"/>
              </w:rPr>
              <w:t>307.940</w:t>
            </w:r>
          </w:p>
        </w:tc>
        <w:tc>
          <w:tcPr>
            <w:tcW w:w="925" w:type="dxa"/>
            <w:tcBorders>
              <w:top w:val="single" w:sz="4" w:space="0" w:color="000000"/>
            </w:tcBorders>
          </w:tcPr>
          <w:p>
            <w:pPr>
              <w:pStyle w:val="TableParagraph"/>
              <w:spacing w:before="106"/>
              <w:ind w:left="200" w:right="234"/>
              <w:rPr>
                <w:sz w:val="20"/>
              </w:rPr>
            </w:pPr>
            <w:r>
              <w:rPr>
                <w:sz w:val="20"/>
              </w:rPr>
              <w:t>0,005</w:t>
            </w:r>
          </w:p>
        </w:tc>
        <w:tc>
          <w:tcPr>
            <w:tcW w:w="1453" w:type="dxa"/>
            <w:tcBorders>
              <w:top w:val="single" w:sz="4" w:space="0" w:color="000000"/>
            </w:tcBorders>
          </w:tcPr>
          <w:p>
            <w:pPr>
              <w:pStyle w:val="TableParagraph"/>
              <w:spacing w:before="106"/>
              <w:ind w:left="395"/>
              <w:jc w:val="left"/>
              <w:rPr>
                <w:sz w:val="20"/>
              </w:rPr>
            </w:pPr>
            <w:r>
              <w:rPr>
                <w:sz w:val="20"/>
              </w:rPr>
              <w:t>Linear</w:t>
            </w:r>
          </w:p>
        </w:tc>
      </w:tr>
    </w:tbl>
    <w:p>
      <w:pPr>
        <w:pStyle w:val="BodyText"/>
        <w:spacing w:before="8"/>
        <w:rPr>
          <w:sz w:val="21"/>
        </w:rPr>
      </w:pPr>
    </w:p>
    <w:p>
      <w:pPr>
        <w:spacing w:before="0"/>
        <w:ind w:left="1089" w:right="230" w:firstLine="566"/>
        <w:jc w:val="both"/>
        <w:rPr>
          <w:sz w:val="20"/>
        </w:rPr>
      </w:pPr>
      <w:r>
        <w:rPr>
          <w:sz w:val="20"/>
        </w:rPr>
        <w:t>Uji linearitas dilakukan untuk mengetahui apakah variabel yang dianalisis korelasinya mempunyai hubungan yang linear. Berdasarkan hasil uji linearitas diperoleh hasil bahwa ada hubungan yang linear antara variabel workplace well-being dengan job crafting dengan nilai F sebesar 8,895 dan p = 0,005 (p &lt; 0,05).</w:t>
      </w:r>
    </w:p>
    <w:p>
      <w:pPr>
        <w:pStyle w:val="BodyText"/>
      </w:pPr>
    </w:p>
    <w:p>
      <w:pPr>
        <w:pStyle w:val="BodyText"/>
        <w:spacing w:before="4"/>
        <w:rPr>
          <w:sz w:val="25"/>
        </w:rPr>
      </w:pPr>
    </w:p>
    <w:p>
      <w:pPr>
        <w:pStyle w:val="Heading3"/>
        <w:numPr>
          <w:ilvl w:val="0"/>
          <w:numId w:val="1"/>
        </w:numPr>
        <w:tabs>
          <w:tab w:pos="961" w:val="left" w:leader="none"/>
        </w:tabs>
        <w:spacing w:line="240" w:lineRule="auto" w:before="1" w:after="0"/>
        <w:ind w:left="960" w:right="0" w:hanging="361"/>
        <w:jc w:val="left"/>
      </w:pPr>
      <w:bookmarkStart w:name="3. Uji Hipotesis" w:id="15"/>
      <w:bookmarkEnd w:id="15"/>
      <w:r>
        <w:rPr>
          <w:b w:val="0"/>
        </w:rPr>
      </w:r>
      <w:bookmarkStart w:name="3. Uji Hipotesis" w:id="16"/>
      <w:bookmarkEnd w:id="16"/>
      <w:r>
        <w:rPr/>
        <w:t>U</w:t>
      </w:r>
      <w:r>
        <w:rPr/>
        <w:t>ji</w:t>
      </w:r>
      <w:r>
        <w:rPr>
          <w:spacing w:val="-17"/>
        </w:rPr>
        <w:t> </w:t>
      </w:r>
      <w:r>
        <w:rPr/>
        <w:t>Hipotesis</w:t>
      </w:r>
    </w:p>
    <w:p>
      <w:pPr>
        <w:pStyle w:val="BodyText"/>
        <w:spacing w:before="5"/>
        <w:rPr>
          <w:b/>
          <w:sz w:val="23"/>
        </w:rPr>
      </w:pPr>
    </w:p>
    <w:p>
      <w:pPr>
        <w:pStyle w:val="BodyText"/>
        <w:ind w:left="998" w:right="115" w:firstLine="360"/>
        <w:jc w:val="both"/>
      </w:pPr>
      <w:r>
        <w:rPr/>
        <w:t>Setelah hasil uji asumsi terpenuhi, </w:t>
      </w:r>
      <w:r>
        <w:rPr>
          <w:spacing w:val="-3"/>
        </w:rPr>
        <w:t>maka </w:t>
      </w:r>
      <w:r>
        <w:rPr/>
        <w:t>selanjutnya yaitu melakukan uji hipotesis dengan menggunakan teknik analisis korelasi </w:t>
      </w:r>
      <w:r>
        <w:rPr>
          <w:i/>
        </w:rPr>
        <w:t>product moment </w:t>
      </w:r>
      <w:r>
        <w:rPr/>
        <w:t>yang digunakan untuk mengetahui korelasi antara variabel bebas dan variabel terikat. Kaidah untuk uji  hipotesis adalah apabila </w:t>
      </w:r>
      <w:r>
        <w:rPr>
          <w:spacing w:val="-3"/>
        </w:rPr>
        <w:t>nilai </w:t>
      </w:r>
      <w:r>
        <w:rPr/>
        <w:t>signifikansi &lt; 0,050 berarti ada korelasi dan apabila nilai signifikansi &gt; 0,050 </w:t>
      </w:r>
      <w:r>
        <w:rPr>
          <w:spacing w:val="-3"/>
        </w:rPr>
        <w:t>maka </w:t>
      </w:r>
      <w:r>
        <w:rPr/>
        <w:t>tidak ada korelasi. Korelasi antara kontrol diri dengan kecanduan game online dengan r = -0.861 dan p &lt; 0.01, berarti ada korelasi yang negatif antara kontrol diri dengan kecandun game online. Semakin tinggi kontrol diri maka semakin rendah kecanduan game online, begitu pula sebaliknya semakin rendah kontrol diri </w:t>
      </w:r>
      <w:r>
        <w:rPr>
          <w:spacing w:val="-3"/>
        </w:rPr>
        <w:t>maka </w:t>
      </w:r>
      <w:r>
        <w:rPr/>
        <w:t>semakin tinggi kecanduan gaeonline pada dewasa awal, sehingga hipotesis dalam penelitian ini dapat</w:t>
      </w:r>
      <w:r>
        <w:rPr>
          <w:spacing w:val="-10"/>
        </w:rPr>
        <w:t> </w:t>
      </w:r>
      <w:r>
        <w:rPr/>
        <w:t>diterima.</w:t>
      </w:r>
    </w:p>
    <w:p>
      <w:pPr>
        <w:spacing w:after="0"/>
        <w:jc w:val="both"/>
        <w:sectPr>
          <w:pgSz w:w="11910" w:h="16840"/>
          <w:pgMar w:header="0" w:footer="710" w:top="1580" w:bottom="920" w:left="1460" w:right="1460"/>
        </w:sectPr>
      </w:pPr>
    </w:p>
    <w:p>
      <w:pPr>
        <w:pStyle w:val="Heading3"/>
        <w:spacing w:before="62"/>
      </w:pPr>
      <w:bookmarkStart w:name="KESIMPULAN" w:id="17"/>
      <w:bookmarkEnd w:id="17"/>
      <w:r>
        <w:rPr>
          <w:b w:val="0"/>
        </w:rPr>
      </w:r>
      <w:r>
        <w:rPr/>
        <w:t>KESIMPULAN</w:t>
      </w:r>
    </w:p>
    <w:p>
      <w:pPr>
        <w:pStyle w:val="BodyText"/>
        <w:spacing w:before="5"/>
        <w:rPr>
          <w:b/>
          <w:sz w:val="21"/>
        </w:rPr>
      </w:pPr>
    </w:p>
    <w:p>
      <w:pPr>
        <w:spacing w:line="360" w:lineRule="auto" w:before="0"/>
        <w:ind w:left="119" w:right="124" w:firstLine="720"/>
        <w:jc w:val="both"/>
        <w:rPr>
          <w:sz w:val="24"/>
        </w:rPr>
      </w:pPr>
      <w:r>
        <w:rPr>
          <w:sz w:val="24"/>
        </w:rPr>
        <w:t>Berdasarkan hasil penelitian dan pembahasan yang telah dilakukan dapat disimpulkan bahwa terdapat hubungan yang negatif antara kontrol diri dengan kecanduan game online pada dewasa awal. Dimana semakin tinggi kontrol diri yang dimiliki oleh dewasa awal maka semakin rendah terjadinya kecanduan game online</w:t>
      </w:r>
    </w:p>
    <w:p>
      <w:pPr>
        <w:spacing w:after="0" w:line="360" w:lineRule="auto"/>
        <w:jc w:val="both"/>
        <w:rPr>
          <w:sz w:val="24"/>
        </w:rPr>
        <w:sectPr>
          <w:pgSz w:w="11910" w:h="16840"/>
          <w:pgMar w:header="0" w:footer="710" w:top="1500" w:bottom="960" w:left="1460" w:right="1460"/>
        </w:sectPr>
      </w:pPr>
    </w:p>
    <w:p>
      <w:pPr>
        <w:spacing w:before="116"/>
        <w:ind w:left="239" w:right="0" w:firstLine="0"/>
        <w:jc w:val="left"/>
        <w:rPr>
          <w:b/>
          <w:sz w:val="22"/>
        </w:rPr>
      </w:pPr>
      <w:bookmarkStart w:name="DAFTAR PUSTAKA" w:id="18"/>
      <w:bookmarkEnd w:id="18"/>
      <w:r>
        <w:rPr/>
      </w:r>
      <w:r>
        <w:rPr>
          <w:b/>
          <w:sz w:val="22"/>
        </w:rPr>
        <w:t>DAFTAR PUSTAKA</w:t>
      </w:r>
    </w:p>
    <w:p>
      <w:pPr>
        <w:pStyle w:val="BodyText"/>
        <w:rPr>
          <w:b/>
          <w:sz w:val="24"/>
        </w:rPr>
      </w:pPr>
    </w:p>
    <w:p>
      <w:pPr>
        <w:pStyle w:val="BodyText"/>
        <w:rPr>
          <w:b/>
          <w:sz w:val="24"/>
        </w:rPr>
      </w:pPr>
    </w:p>
    <w:p>
      <w:pPr>
        <w:pStyle w:val="BodyText"/>
        <w:spacing w:before="10"/>
        <w:rPr>
          <w:b/>
          <w:sz w:val="27"/>
        </w:rPr>
      </w:pPr>
    </w:p>
    <w:p>
      <w:pPr>
        <w:spacing w:before="0"/>
        <w:ind w:left="206" w:right="0" w:firstLine="0"/>
        <w:jc w:val="left"/>
        <w:rPr>
          <w:i/>
          <w:sz w:val="26"/>
        </w:rPr>
      </w:pPr>
      <w:r>
        <w:rPr>
          <w:sz w:val="26"/>
        </w:rPr>
        <w:t>Chen, C.Y. &amp; Chang, S.L. 2008. </w:t>
      </w:r>
      <w:r>
        <w:rPr>
          <w:i/>
          <w:sz w:val="26"/>
        </w:rPr>
        <w:t>An exploration of tendency to online game</w:t>
      </w:r>
    </w:p>
    <w:p>
      <w:pPr>
        <w:pStyle w:val="BodyText"/>
        <w:rPr>
          <w:i/>
          <w:sz w:val="28"/>
        </w:rPr>
      </w:pPr>
    </w:p>
    <w:p>
      <w:pPr>
        <w:pStyle w:val="BodyText"/>
        <w:rPr>
          <w:i/>
          <w:sz w:val="24"/>
        </w:rPr>
      </w:pPr>
    </w:p>
    <w:p>
      <w:pPr>
        <w:spacing w:before="0"/>
        <w:ind w:left="921" w:right="332" w:hanging="716"/>
        <w:jc w:val="left"/>
        <w:rPr>
          <w:sz w:val="26"/>
        </w:rPr>
      </w:pPr>
      <w:r>
        <w:rPr>
          <w:sz w:val="26"/>
        </w:rPr>
        <w:t>Chin-Sheng, Wan, &amp; Chiou, Wen Bin. (2007). </w:t>
      </w:r>
      <w:r>
        <w:rPr>
          <w:i/>
          <w:sz w:val="26"/>
        </w:rPr>
        <w:t>The motivations of adolescents </w:t>
      </w:r>
      <w:r>
        <w:rPr>
          <w:i/>
          <w:sz w:val="26"/>
        </w:rPr>
        <w:t>who are addicted to online games: A cognitive perspective</w:t>
      </w:r>
      <w:r>
        <w:rPr>
          <w:sz w:val="26"/>
        </w:rPr>
        <w:t>. Adolescence,</w:t>
      </w:r>
    </w:p>
    <w:p>
      <w:pPr>
        <w:pStyle w:val="Heading1"/>
        <w:spacing w:before="3"/>
      </w:pPr>
      <w:r>
        <w:rPr/>
        <w:t>42(165), 179.</w:t>
      </w:r>
    </w:p>
    <w:p>
      <w:pPr>
        <w:pStyle w:val="BodyText"/>
        <w:rPr>
          <w:sz w:val="28"/>
        </w:rPr>
      </w:pPr>
    </w:p>
    <w:p>
      <w:pPr>
        <w:pStyle w:val="BodyText"/>
        <w:rPr>
          <w:sz w:val="28"/>
        </w:rPr>
      </w:pPr>
    </w:p>
    <w:p>
      <w:pPr>
        <w:spacing w:line="240" w:lineRule="auto" w:before="204"/>
        <w:ind w:left="744" w:right="226" w:hanging="539"/>
        <w:jc w:val="both"/>
        <w:rPr>
          <w:sz w:val="26"/>
        </w:rPr>
      </w:pPr>
      <w:r>
        <w:rPr>
          <w:sz w:val="26"/>
        </w:rPr>
        <w:t>Cooper, P., Osborn, M., Gath, D. (2010). Addiction Due To User’s Liking Of Design Features. </w:t>
      </w:r>
      <w:r>
        <w:rPr>
          <w:i/>
          <w:sz w:val="26"/>
        </w:rPr>
        <w:t>Asian journal of Health and Information Sciences. </w:t>
      </w:r>
      <w:r>
        <w:rPr>
          <w:sz w:val="26"/>
        </w:rPr>
        <w:t>Vol 3. No 1-4. Taiwan.</w:t>
      </w:r>
    </w:p>
    <w:p>
      <w:pPr>
        <w:pStyle w:val="BodyText"/>
        <w:rPr>
          <w:sz w:val="28"/>
        </w:rPr>
      </w:pPr>
    </w:p>
    <w:p>
      <w:pPr>
        <w:pStyle w:val="BodyText"/>
        <w:spacing w:before="3"/>
        <w:rPr>
          <w:sz w:val="24"/>
        </w:rPr>
      </w:pPr>
    </w:p>
    <w:p>
      <w:pPr>
        <w:tabs>
          <w:tab w:pos="2370" w:val="left" w:leader="none"/>
        </w:tabs>
        <w:spacing w:before="0"/>
        <w:ind w:left="729" w:right="235" w:hanging="524"/>
        <w:jc w:val="both"/>
        <w:rPr>
          <w:sz w:val="26"/>
        </w:rPr>
      </w:pPr>
      <w:r>
        <w:rPr>
          <w:sz w:val="26"/>
        </w:rPr>
        <w:t>Erlangga.</w:t>
      </w:r>
      <w:r>
        <w:rPr>
          <w:sz w:val="26"/>
          <w:u w:val="single"/>
        </w:rPr>
        <w:t> </w:t>
        <w:tab/>
      </w:r>
      <w:r>
        <w:rPr>
          <w:sz w:val="26"/>
        </w:rPr>
        <w:t>. 2004. </w:t>
      </w:r>
      <w:r>
        <w:rPr>
          <w:i/>
          <w:sz w:val="26"/>
        </w:rPr>
        <w:t>Psikologi perkembangan: Suatu </w:t>
      </w:r>
      <w:r>
        <w:rPr>
          <w:i/>
          <w:spacing w:val="-3"/>
          <w:sz w:val="26"/>
        </w:rPr>
        <w:t>Pendekatan </w:t>
      </w:r>
      <w:r>
        <w:rPr>
          <w:i/>
          <w:sz w:val="26"/>
        </w:rPr>
        <w:t>Sepanjang Rentang Kehidupan </w:t>
      </w:r>
      <w:r>
        <w:rPr>
          <w:sz w:val="26"/>
        </w:rPr>
        <w:t>(Fifth ed</w:t>
      </w:r>
      <w:r>
        <w:rPr>
          <w:i/>
          <w:sz w:val="26"/>
        </w:rPr>
        <w:t>)</w:t>
      </w:r>
      <w:r>
        <w:rPr>
          <w:sz w:val="26"/>
        </w:rPr>
        <w:t>. Alih bahsa oleh Istieidayanti dan Soedjarwo.</w:t>
      </w:r>
      <w:r>
        <w:rPr>
          <w:spacing w:val="2"/>
          <w:sz w:val="26"/>
        </w:rPr>
        <w:t> </w:t>
      </w:r>
      <w:r>
        <w:rPr>
          <w:sz w:val="26"/>
        </w:rPr>
        <w:t>Jakarta:</w:t>
      </w:r>
    </w:p>
    <w:p>
      <w:pPr>
        <w:pStyle w:val="BodyText"/>
        <w:rPr>
          <w:sz w:val="20"/>
        </w:rPr>
      </w:pPr>
    </w:p>
    <w:p>
      <w:pPr>
        <w:pStyle w:val="BodyText"/>
        <w:spacing w:before="2"/>
        <w:rPr>
          <w:sz w:val="24"/>
        </w:rPr>
      </w:pPr>
    </w:p>
    <w:p>
      <w:pPr>
        <w:tabs>
          <w:tab w:pos="2202" w:val="left" w:leader="none"/>
        </w:tabs>
        <w:spacing w:line="298" w:lineRule="exact" w:before="89"/>
        <w:ind w:left="206" w:right="0" w:firstLine="0"/>
        <w:jc w:val="left"/>
        <w:rPr>
          <w:sz w:val="26"/>
        </w:rPr>
      </w:pPr>
      <w:r>
        <w:rPr>
          <w:sz w:val="26"/>
        </w:rPr>
        <w:t>Erlangga.</w:t>
      </w:r>
      <w:r>
        <w:rPr>
          <w:sz w:val="26"/>
          <w:u w:val="single"/>
        </w:rPr>
        <w:t> </w:t>
        <w:tab/>
      </w:r>
      <w:r>
        <w:rPr>
          <w:sz w:val="26"/>
        </w:rPr>
        <w:t>.</w:t>
      </w:r>
      <w:r>
        <w:rPr>
          <w:spacing w:val="25"/>
          <w:sz w:val="26"/>
        </w:rPr>
        <w:t> </w:t>
      </w:r>
      <w:r>
        <w:rPr>
          <w:sz w:val="26"/>
        </w:rPr>
        <w:t>2005.</w:t>
      </w:r>
      <w:r>
        <w:rPr>
          <w:spacing w:val="28"/>
          <w:sz w:val="26"/>
        </w:rPr>
        <w:t> </w:t>
      </w:r>
      <w:r>
        <w:rPr>
          <w:i/>
          <w:sz w:val="26"/>
        </w:rPr>
        <w:t>Psikologi</w:t>
      </w:r>
      <w:r>
        <w:rPr>
          <w:i/>
          <w:spacing w:val="23"/>
          <w:sz w:val="26"/>
        </w:rPr>
        <w:t> </w:t>
      </w:r>
      <w:r>
        <w:rPr>
          <w:i/>
          <w:sz w:val="26"/>
        </w:rPr>
        <w:t>perkembangan</w:t>
      </w:r>
      <w:r>
        <w:rPr>
          <w:i/>
          <w:spacing w:val="22"/>
          <w:sz w:val="26"/>
        </w:rPr>
        <w:t> </w:t>
      </w:r>
      <w:r>
        <w:rPr>
          <w:i/>
          <w:sz w:val="26"/>
        </w:rPr>
        <w:t>anak</w:t>
      </w:r>
      <w:r>
        <w:rPr>
          <w:i/>
          <w:spacing w:val="23"/>
          <w:sz w:val="26"/>
        </w:rPr>
        <w:t> </w:t>
      </w:r>
      <w:r>
        <w:rPr>
          <w:i/>
          <w:sz w:val="26"/>
        </w:rPr>
        <w:t>jilid</w:t>
      </w:r>
      <w:r>
        <w:rPr>
          <w:i/>
          <w:spacing w:val="22"/>
          <w:sz w:val="26"/>
        </w:rPr>
        <w:t> </w:t>
      </w:r>
      <w:r>
        <w:rPr>
          <w:i/>
          <w:sz w:val="26"/>
        </w:rPr>
        <w:t>1</w:t>
      </w:r>
      <w:r>
        <w:rPr>
          <w:i/>
          <w:spacing w:val="26"/>
          <w:sz w:val="26"/>
        </w:rPr>
        <w:t> </w:t>
      </w:r>
      <w:r>
        <w:rPr>
          <w:sz w:val="26"/>
        </w:rPr>
        <w:t>(edisi</w:t>
      </w:r>
      <w:r>
        <w:rPr>
          <w:spacing w:val="22"/>
          <w:sz w:val="26"/>
        </w:rPr>
        <w:t> </w:t>
      </w:r>
      <w:r>
        <w:rPr>
          <w:sz w:val="26"/>
        </w:rPr>
        <w:t>keenam.).</w:t>
      </w:r>
    </w:p>
    <w:p>
      <w:pPr>
        <w:pStyle w:val="Heading1"/>
        <w:spacing w:line="298" w:lineRule="exact"/>
      </w:pPr>
      <w:r>
        <w:rPr/>
        <w:t>Jakarta: Erlangga.</w:t>
      </w:r>
    </w:p>
    <w:p>
      <w:pPr>
        <w:spacing w:before="4"/>
        <w:ind w:left="119" w:right="0" w:firstLine="0"/>
        <w:jc w:val="left"/>
        <w:rPr>
          <w:sz w:val="26"/>
        </w:rPr>
      </w:pPr>
      <w:r>
        <w:rPr>
          <w:w w:val="99"/>
          <w:sz w:val="26"/>
        </w:rPr>
        <w:t>.</w:t>
      </w:r>
    </w:p>
    <w:p>
      <w:pPr>
        <w:pStyle w:val="BodyText"/>
        <w:rPr>
          <w:sz w:val="18"/>
        </w:rPr>
      </w:pPr>
    </w:p>
    <w:p>
      <w:pPr>
        <w:spacing w:before="89"/>
        <w:ind w:left="729" w:right="233" w:hanging="524"/>
        <w:jc w:val="both"/>
        <w:rPr>
          <w:sz w:val="26"/>
        </w:rPr>
      </w:pPr>
      <w:r>
        <w:rPr>
          <w:sz w:val="26"/>
        </w:rPr>
        <w:t>Feggetter, G. 1982. </w:t>
      </w:r>
      <w:r>
        <w:rPr>
          <w:i/>
          <w:sz w:val="26"/>
        </w:rPr>
        <w:t>Evaluation of a modified self-report measure of social </w:t>
      </w:r>
      <w:r>
        <w:rPr>
          <w:i/>
          <w:sz w:val="26"/>
        </w:rPr>
        <w:t>adjustment</w:t>
      </w:r>
      <w:r>
        <w:rPr>
          <w:sz w:val="26"/>
        </w:rPr>
        <w:t>. Brit.J.Psychiat, 141, 68-75.</w:t>
      </w:r>
    </w:p>
    <w:p>
      <w:pPr>
        <w:pStyle w:val="BodyText"/>
        <w:rPr>
          <w:sz w:val="26"/>
        </w:rPr>
      </w:pPr>
    </w:p>
    <w:p>
      <w:pPr>
        <w:spacing w:before="1"/>
        <w:ind w:left="729" w:right="233" w:hanging="457"/>
        <w:jc w:val="both"/>
        <w:rPr>
          <w:sz w:val="26"/>
        </w:rPr>
      </w:pPr>
      <w:r>
        <w:rPr>
          <w:sz w:val="26"/>
        </w:rPr>
        <w:t>Fitri, Ahyani. R &amp; Widiningsih Y (2016). </w:t>
      </w:r>
      <w:r>
        <w:rPr>
          <w:i/>
          <w:sz w:val="26"/>
        </w:rPr>
        <w:t>Psikologi adiktif. pekanbaru : </w:t>
      </w:r>
      <w:r>
        <w:rPr>
          <w:i/>
          <w:sz w:val="26"/>
        </w:rPr>
        <w:t>almujtahadah press</w:t>
      </w:r>
      <w:r>
        <w:rPr>
          <w:sz w:val="26"/>
        </w:rPr>
        <w:t>.</w:t>
      </w:r>
    </w:p>
    <w:p>
      <w:pPr>
        <w:spacing w:before="2"/>
        <w:ind w:left="729" w:right="233" w:hanging="457"/>
        <w:jc w:val="both"/>
        <w:rPr>
          <w:i/>
          <w:sz w:val="26"/>
        </w:rPr>
      </w:pPr>
      <w:r>
        <w:rPr>
          <w:sz w:val="26"/>
        </w:rPr>
        <w:t>Fitiriah, Aziza. 2013. </w:t>
      </w:r>
      <w:r>
        <w:rPr>
          <w:i/>
          <w:sz w:val="26"/>
        </w:rPr>
        <w:t>Hubungan kepercayaan diri dengan penyesuaian sosial </w:t>
      </w:r>
      <w:r>
        <w:rPr>
          <w:i/>
          <w:sz w:val="26"/>
        </w:rPr>
        <w:t>pada remaja di kelas II SMP</w:t>
      </w:r>
    </w:p>
    <w:p>
      <w:pPr>
        <w:pStyle w:val="BodyText"/>
        <w:rPr>
          <w:i/>
          <w:sz w:val="28"/>
        </w:rPr>
      </w:pPr>
    </w:p>
    <w:p>
      <w:pPr>
        <w:pStyle w:val="BodyText"/>
        <w:rPr>
          <w:i/>
          <w:sz w:val="24"/>
        </w:rPr>
      </w:pPr>
    </w:p>
    <w:p>
      <w:pPr>
        <w:spacing w:before="0"/>
        <w:ind w:left="729" w:right="233" w:hanging="524"/>
        <w:jc w:val="both"/>
        <w:rPr>
          <w:sz w:val="26"/>
        </w:rPr>
      </w:pPr>
      <w:r>
        <w:rPr>
          <w:sz w:val="26"/>
        </w:rPr>
        <w:t>Gentile, D. A, dkk. 2011. </w:t>
      </w:r>
      <w:r>
        <w:rPr>
          <w:i/>
          <w:sz w:val="26"/>
        </w:rPr>
        <w:t>The effects of violent video game habits on adolescent </w:t>
      </w:r>
      <w:r>
        <w:rPr>
          <w:i/>
          <w:sz w:val="26"/>
        </w:rPr>
        <w:t>aggressive attitudes and behaviors</w:t>
      </w:r>
      <w:r>
        <w:rPr>
          <w:sz w:val="26"/>
        </w:rPr>
        <w:t>. Journal of psikology</w:t>
      </w:r>
    </w:p>
    <w:p>
      <w:pPr>
        <w:pStyle w:val="BodyText"/>
        <w:rPr>
          <w:sz w:val="28"/>
        </w:rPr>
      </w:pPr>
    </w:p>
    <w:p>
      <w:pPr>
        <w:pStyle w:val="BodyText"/>
        <w:spacing w:before="11"/>
        <w:rPr>
          <w:sz w:val="23"/>
        </w:rPr>
      </w:pPr>
    </w:p>
    <w:p>
      <w:pPr>
        <w:spacing w:before="0"/>
        <w:ind w:left="859" w:right="228" w:hanging="654"/>
        <w:jc w:val="both"/>
        <w:rPr>
          <w:sz w:val="26"/>
        </w:rPr>
      </w:pPr>
      <w:r>
        <w:rPr>
          <w:sz w:val="26"/>
        </w:rPr>
        <w:t>Griffiths, Mark D., Davies, Mark N. O., &amp; Chappell, Darren. (2004). </w:t>
      </w:r>
      <w:r>
        <w:rPr>
          <w:i/>
          <w:sz w:val="26"/>
        </w:rPr>
        <w:t>Online </w:t>
      </w:r>
      <w:r>
        <w:rPr>
          <w:i/>
          <w:sz w:val="26"/>
        </w:rPr>
        <w:t>computer gaming: a comparison of adolescent and adult gamers</w:t>
      </w:r>
      <w:r>
        <w:rPr>
          <w:sz w:val="26"/>
        </w:rPr>
        <w:t>. Journal of Adolescence, </w:t>
      </w:r>
      <w:r>
        <w:rPr>
          <w:i/>
          <w:sz w:val="26"/>
        </w:rPr>
        <w:t>27</w:t>
      </w:r>
      <w:r>
        <w:rPr>
          <w:sz w:val="26"/>
        </w:rPr>
        <w:t>(1),</w:t>
      </w:r>
      <w:r>
        <w:rPr>
          <w:spacing w:val="11"/>
          <w:sz w:val="26"/>
        </w:rPr>
        <w:t> </w:t>
      </w:r>
      <w:r>
        <w:rPr>
          <w:sz w:val="26"/>
        </w:rPr>
        <w:t>87–96.</w:t>
      </w:r>
    </w:p>
    <w:p>
      <w:pPr>
        <w:pStyle w:val="BodyText"/>
        <w:rPr>
          <w:sz w:val="28"/>
        </w:rPr>
      </w:pPr>
    </w:p>
    <w:p>
      <w:pPr>
        <w:pStyle w:val="BodyText"/>
        <w:spacing w:before="9"/>
        <w:rPr>
          <w:sz w:val="23"/>
        </w:rPr>
      </w:pPr>
    </w:p>
    <w:p>
      <w:pPr>
        <w:spacing w:line="242" w:lineRule="auto" w:before="1"/>
        <w:ind w:left="729" w:right="236" w:hanging="524"/>
        <w:jc w:val="both"/>
        <w:rPr>
          <w:i/>
          <w:sz w:val="26"/>
        </w:rPr>
      </w:pPr>
      <w:r>
        <w:rPr>
          <w:sz w:val="26"/>
        </w:rPr>
        <w:t>Hurlock, E. B. (1994). </w:t>
      </w:r>
      <w:r>
        <w:rPr>
          <w:i/>
          <w:sz w:val="26"/>
        </w:rPr>
        <w:t>Psikologi perkembangan: Suatu Pendekatan Sepanjang </w:t>
      </w:r>
      <w:r>
        <w:rPr>
          <w:i/>
          <w:sz w:val="26"/>
        </w:rPr>
        <w:t>Rentang</w:t>
      </w:r>
    </w:p>
    <w:p>
      <w:pPr>
        <w:spacing w:after="0" w:line="242" w:lineRule="auto"/>
        <w:jc w:val="both"/>
        <w:rPr>
          <w:sz w:val="26"/>
        </w:rPr>
        <w:sectPr>
          <w:pgSz w:w="11910" w:h="16840"/>
          <w:pgMar w:header="0" w:footer="710" w:top="1580" w:bottom="920" w:left="1460" w:right="1460"/>
        </w:sectPr>
      </w:pPr>
    </w:p>
    <w:p>
      <w:pPr>
        <w:pStyle w:val="BodyText"/>
        <w:rPr>
          <w:i/>
          <w:sz w:val="20"/>
        </w:rPr>
      </w:pPr>
    </w:p>
    <w:p>
      <w:pPr>
        <w:pStyle w:val="BodyText"/>
        <w:spacing w:before="2"/>
        <w:rPr>
          <w:i/>
        </w:rPr>
      </w:pPr>
    </w:p>
    <w:p>
      <w:pPr>
        <w:spacing w:before="88"/>
        <w:ind w:left="729" w:right="236" w:hanging="524"/>
        <w:jc w:val="both"/>
        <w:rPr>
          <w:sz w:val="26"/>
        </w:rPr>
      </w:pPr>
      <w:r>
        <w:rPr>
          <w:sz w:val="26"/>
        </w:rPr>
        <w:t>Hurlock, E. B. (2002). </w:t>
      </w:r>
      <w:r>
        <w:rPr>
          <w:i/>
          <w:sz w:val="26"/>
        </w:rPr>
        <w:t>Psikologi Perkembangan: Suatu Pendekatan Sepanjang </w:t>
      </w:r>
      <w:r>
        <w:rPr>
          <w:i/>
          <w:sz w:val="26"/>
        </w:rPr>
        <w:t>Rentang Kehidupan</w:t>
      </w:r>
      <w:r>
        <w:rPr>
          <w:sz w:val="26"/>
        </w:rPr>
        <w:t>.</w:t>
      </w:r>
    </w:p>
    <w:p>
      <w:pPr>
        <w:pStyle w:val="BodyText"/>
        <w:rPr>
          <w:sz w:val="28"/>
        </w:rPr>
      </w:pPr>
    </w:p>
    <w:p>
      <w:pPr>
        <w:pStyle w:val="BodyText"/>
        <w:rPr>
          <w:sz w:val="28"/>
        </w:rPr>
      </w:pPr>
    </w:p>
    <w:p>
      <w:pPr>
        <w:pStyle w:val="BodyText"/>
        <w:spacing w:before="10"/>
        <w:rPr>
          <w:sz w:val="21"/>
        </w:rPr>
      </w:pPr>
    </w:p>
    <w:p>
      <w:pPr>
        <w:spacing w:before="0"/>
        <w:ind w:left="729" w:right="231" w:hanging="524"/>
        <w:jc w:val="both"/>
        <w:rPr>
          <w:i/>
          <w:sz w:val="26"/>
        </w:rPr>
      </w:pPr>
      <w:r>
        <w:rPr>
          <w:sz w:val="26"/>
        </w:rPr>
        <w:t>Indrianita, V. (2018). </w:t>
      </w:r>
      <w:r>
        <w:rPr>
          <w:i/>
          <w:sz w:val="26"/>
        </w:rPr>
        <w:t>Gambaran Tingkat Pengetahuan Ibu Terhadap Ikterus </w:t>
      </w:r>
      <w:r>
        <w:rPr>
          <w:i/>
          <w:sz w:val="26"/>
        </w:rPr>
        <w:t>Fisiologi Pada Bayi Baru.</w:t>
      </w:r>
    </w:p>
    <w:p>
      <w:pPr>
        <w:pStyle w:val="BodyText"/>
        <w:rPr>
          <w:i/>
          <w:sz w:val="28"/>
        </w:rPr>
      </w:pPr>
    </w:p>
    <w:p>
      <w:pPr>
        <w:pStyle w:val="BodyText"/>
        <w:rPr>
          <w:i/>
          <w:sz w:val="24"/>
        </w:rPr>
      </w:pPr>
    </w:p>
    <w:p>
      <w:pPr>
        <w:spacing w:line="240" w:lineRule="auto" w:before="0"/>
        <w:ind w:left="729" w:right="229" w:hanging="524"/>
        <w:jc w:val="both"/>
        <w:rPr>
          <w:sz w:val="26"/>
        </w:rPr>
      </w:pPr>
      <w:r>
        <w:rPr>
          <w:sz w:val="26"/>
        </w:rPr>
        <w:t>Jannah, Nurul, dkk. 2015. </w:t>
      </w:r>
      <w:r>
        <w:rPr>
          <w:i/>
          <w:sz w:val="26"/>
        </w:rPr>
        <w:t>Hubungan kecanduan game dengan motivasi belajar </w:t>
      </w:r>
      <w:r>
        <w:rPr>
          <w:i/>
          <w:sz w:val="26"/>
        </w:rPr>
        <w:t>siswa dan implikasinya terhadap bimbingan dan konseling</w:t>
      </w:r>
      <w:r>
        <w:rPr>
          <w:sz w:val="26"/>
        </w:rPr>
        <w:t>. Vol. 4, No. 4. Kartono, K. 2009. Patologi sosial jilid 1. Jakarta: PT Raja grafindo Persada</w:t>
      </w:r>
    </w:p>
    <w:p>
      <w:pPr>
        <w:spacing w:after="0" w:line="240" w:lineRule="auto"/>
        <w:jc w:val="both"/>
        <w:rPr>
          <w:sz w:val="26"/>
        </w:rPr>
        <w:sectPr>
          <w:footerReference w:type="default" r:id="rId9"/>
          <w:pgSz w:w="11910" w:h="16840"/>
          <w:pgMar w:footer="779" w:header="0" w:top="1580" w:bottom="960" w:left="1460" w:right="1460"/>
        </w:sectPr>
      </w:pPr>
    </w:p>
    <w:p>
      <w:pPr>
        <w:spacing w:line="480" w:lineRule="auto" w:before="73"/>
        <w:ind w:left="720" w:right="248" w:hanging="481"/>
        <w:jc w:val="both"/>
        <w:rPr>
          <w:sz w:val="20"/>
        </w:rPr>
      </w:pPr>
      <w:r>
        <w:rPr>
          <w:sz w:val="20"/>
        </w:rPr>
        <w:t>Demerouti, E., &amp; Bakker, A. B. (2014). Job crafting. In M. C. W. Peeters, J. De Jonge, &amp; T. W. Taris (Eds.), </w:t>
      </w:r>
      <w:r>
        <w:rPr>
          <w:i/>
          <w:sz w:val="20"/>
        </w:rPr>
        <w:t>An introduction to contemporary work psychology </w:t>
      </w:r>
      <w:r>
        <w:rPr>
          <w:sz w:val="20"/>
        </w:rPr>
        <w:t>(pp. 414–437). Wiley Blackwell.</w:t>
      </w:r>
    </w:p>
    <w:p>
      <w:pPr>
        <w:spacing w:line="480" w:lineRule="auto" w:before="2"/>
        <w:ind w:left="720" w:right="235" w:hanging="481"/>
        <w:jc w:val="both"/>
        <w:rPr>
          <w:sz w:val="20"/>
        </w:rPr>
      </w:pPr>
      <w:r>
        <w:rPr>
          <w:sz w:val="20"/>
        </w:rPr>
        <w:t>Diener, E., Suh, E. M., Lucas, R. E., &amp; Smith, H. L. (1999). Subjective Well-Being: Three Decades of Progress. </w:t>
      </w:r>
      <w:r>
        <w:rPr>
          <w:i/>
          <w:sz w:val="20"/>
        </w:rPr>
        <w:t>Psychological Bulletin</w:t>
      </w:r>
      <w:r>
        <w:rPr>
          <w:sz w:val="20"/>
        </w:rPr>
        <w:t>, </w:t>
      </w:r>
      <w:r>
        <w:rPr>
          <w:i/>
          <w:sz w:val="20"/>
        </w:rPr>
        <w:t>125</w:t>
      </w:r>
      <w:r>
        <w:rPr>
          <w:sz w:val="20"/>
        </w:rPr>
        <w:t>(2), 276–302.</w:t>
      </w:r>
    </w:p>
    <w:p>
      <w:pPr>
        <w:spacing w:line="482" w:lineRule="auto" w:before="6"/>
        <w:ind w:left="720" w:right="249" w:hanging="481"/>
        <w:jc w:val="both"/>
        <w:rPr>
          <w:sz w:val="20"/>
        </w:rPr>
      </w:pPr>
      <w:r>
        <w:rPr>
          <w:sz w:val="20"/>
        </w:rPr>
        <w:t>Guan, X., &amp; Frenkel, S. (2018). How HR practice, work engagement and job crafting influence employee performance. </w:t>
      </w:r>
      <w:r>
        <w:rPr>
          <w:i/>
          <w:sz w:val="20"/>
        </w:rPr>
        <w:t>Chinese Management Studies</w:t>
      </w:r>
      <w:r>
        <w:rPr>
          <w:sz w:val="20"/>
        </w:rPr>
        <w:t>, </w:t>
      </w:r>
      <w:r>
        <w:rPr>
          <w:i/>
          <w:sz w:val="20"/>
        </w:rPr>
        <w:t>12</w:t>
      </w:r>
      <w:r>
        <w:rPr>
          <w:sz w:val="20"/>
        </w:rPr>
        <w:t>(3), 591–607.</w:t>
      </w:r>
    </w:p>
    <w:p>
      <w:pPr>
        <w:spacing w:line="480" w:lineRule="auto" w:before="0"/>
        <w:ind w:left="720" w:right="225" w:hanging="481"/>
        <w:jc w:val="both"/>
        <w:rPr>
          <w:sz w:val="20"/>
        </w:rPr>
      </w:pPr>
      <w:r>
        <w:rPr>
          <w:sz w:val="20"/>
        </w:rPr>
        <w:t>Hakanen, J. J., &amp; Roodt, G. (2010). Using the job demands-resources model to predict engage-ment: Analysing a conceptual model. In A. B. Bakker, &amp; M. P. Leiter (Eds.). </w:t>
      </w:r>
      <w:r>
        <w:rPr>
          <w:i/>
          <w:sz w:val="20"/>
        </w:rPr>
        <w:t>Work engage-ment: A </w:t>
      </w:r>
      <w:r>
        <w:rPr>
          <w:i/>
          <w:sz w:val="20"/>
        </w:rPr>
        <w:t>Handbook of essential theory and re-search</w:t>
      </w:r>
      <w:r>
        <w:rPr>
          <w:sz w:val="20"/>
        </w:rPr>
        <w:t>, pp. 85–101. New York, NY: Psychology Press.</w:t>
      </w:r>
    </w:p>
    <w:p>
      <w:pPr>
        <w:spacing w:line="477" w:lineRule="auto" w:before="0"/>
        <w:ind w:left="720" w:right="230" w:hanging="481"/>
        <w:jc w:val="both"/>
        <w:rPr>
          <w:sz w:val="20"/>
        </w:rPr>
      </w:pPr>
      <w:r>
        <w:rPr>
          <w:sz w:val="20"/>
        </w:rPr>
        <w:t>Harter, J. K., Schmidt, F. L., Asplund, J. W., Killham, E. A., &amp; Agrawal, S. (2010). Causal impact of employee work perceptions on the bottom line of organizations. </w:t>
      </w:r>
      <w:r>
        <w:rPr>
          <w:i/>
          <w:sz w:val="20"/>
        </w:rPr>
        <w:t>Perspectives on Psychological </w:t>
      </w:r>
      <w:r>
        <w:rPr>
          <w:i/>
          <w:sz w:val="20"/>
        </w:rPr>
        <w:t>Science</w:t>
      </w:r>
      <w:r>
        <w:rPr>
          <w:sz w:val="20"/>
        </w:rPr>
        <w:t>, </w:t>
      </w:r>
      <w:r>
        <w:rPr>
          <w:i/>
          <w:sz w:val="20"/>
        </w:rPr>
        <w:t>5</w:t>
      </w:r>
      <w:r>
        <w:rPr>
          <w:sz w:val="20"/>
        </w:rPr>
        <w:t>(4), 378–389.</w:t>
      </w:r>
    </w:p>
    <w:p>
      <w:pPr>
        <w:spacing w:line="480" w:lineRule="auto" w:before="0"/>
        <w:ind w:left="720" w:right="229" w:hanging="481"/>
        <w:jc w:val="both"/>
        <w:rPr>
          <w:sz w:val="20"/>
        </w:rPr>
      </w:pPr>
      <w:r>
        <w:rPr>
          <w:sz w:val="20"/>
        </w:rPr>
        <w:t>Harter, J. K., Schmidt, F. L., &amp; </w:t>
      </w:r>
      <w:r>
        <w:rPr>
          <w:spacing w:val="-3"/>
          <w:sz w:val="20"/>
        </w:rPr>
        <w:t>Hayes, </w:t>
      </w:r>
      <w:r>
        <w:rPr>
          <w:sz w:val="20"/>
        </w:rPr>
        <w:t>T. L. (2002). Business‐Unitlevel </w:t>
      </w:r>
      <w:r>
        <w:rPr>
          <w:i/>
          <w:sz w:val="20"/>
        </w:rPr>
        <w:t>Relationship Between </w:t>
      </w:r>
      <w:r>
        <w:rPr>
          <w:i/>
          <w:spacing w:val="-3"/>
          <w:sz w:val="20"/>
        </w:rPr>
        <w:t>Employee </w:t>
      </w:r>
      <w:r>
        <w:rPr>
          <w:i/>
          <w:sz w:val="20"/>
        </w:rPr>
        <w:t>Satisfaction, Employee Engagement, And Business Outcomes: A Meta‐Analysis</w:t>
      </w:r>
      <w:r>
        <w:rPr>
          <w:sz w:val="20"/>
        </w:rPr>
        <w:t>. </w:t>
      </w:r>
      <w:r>
        <w:rPr>
          <w:i/>
          <w:sz w:val="20"/>
        </w:rPr>
        <w:t>Journal </w:t>
      </w:r>
      <w:r>
        <w:rPr>
          <w:i/>
          <w:spacing w:val="-3"/>
          <w:sz w:val="20"/>
        </w:rPr>
        <w:t>of </w:t>
      </w:r>
      <w:r>
        <w:rPr>
          <w:i/>
          <w:spacing w:val="-5"/>
          <w:sz w:val="20"/>
        </w:rPr>
        <w:t>Applied </w:t>
      </w:r>
      <w:r>
        <w:rPr>
          <w:i/>
          <w:sz w:val="20"/>
        </w:rPr>
        <w:t>Psychology</w:t>
      </w:r>
      <w:r>
        <w:rPr>
          <w:sz w:val="20"/>
        </w:rPr>
        <w:t>, </w:t>
      </w:r>
      <w:r>
        <w:rPr>
          <w:i/>
          <w:sz w:val="20"/>
        </w:rPr>
        <w:t>87</w:t>
      </w:r>
      <w:r>
        <w:rPr>
          <w:sz w:val="20"/>
        </w:rPr>
        <w:t>, 268–279.</w:t>
      </w:r>
    </w:p>
    <w:p>
      <w:pPr>
        <w:spacing w:before="0"/>
        <w:ind w:left="239" w:right="0" w:firstLine="0"/>
        <w:jc w:val="both"/>
        <w:rPr>
          <w:sz w:val="20"/>
        </w:rPr>
      </w:pPr>
      <w:r>
        <w:rPr>
          <w:sz w:val="20"/>
        </w:rPr>
        <w:t>Hasibuan, Malayu S.P, (2011). Manajemen Sumber Daya Manusia. Jakarta: PT Bumi Aksara</w:t>
      </w:r>
    </w:p>
    <w:p>
      <w:pPr>
        <w:pStyle w:val="BodyText"/>
        <w:rPr>
          <w:sz w:val="20"/>
        </w:rPr>
      </w:pPr>
    </w:p>
    <w:p>
      <w:pPr>
        <w:spacing w:line="477" w:lineRule="auto" w:before="0"/>
        <w:ind w:left="720" w:right="230" w:hanging="481"/>
        <w:jc w:val="both"/>
        <w:rPr>
          <w:sz w:val="20"/>
        </w:rPr>
      </w:pPr>
      <w:r>
        <w:rPr>
          <w:sz w:val="20"/>
        </w:rPr>
        <w:t>Heuvel, M., Demerouti, E., &amp; Peeters, M. C. (2015). The job crafting intervention: Effects on job resources, self‐efficacy, and affective well‐being. </w:t>
      </w:r>
      <w:r>
        <w:rPr>
          <w:i/>
          <w:sz w:val="20"/>
        </w:rPr>
        <w:t>Journal of Occupational and Organizational </w:t>
      </w:r>
      <w:r>
        <w:rPr>
          <w:i/>
          <w:sz w:val="20"/>
        </w:rPr>
        <w:t>Psychology</w:t>
      </w:r>
      <w:r>
        <w:rPr>
          <w:sz w:val="20"/>
        </w:rPr>
        <w:t>, </w:t>
      </w:r>
      <w:r>
        <w:rPr>
          <w:i/>
          <w:sz w:val="20"/>
        </w:rPr>
        <w:t>88</w:t>
      </w:r>
      <w:r>
        <w:rPr>
          <w:sz w:val="20"/>
        </w:rPr>
        <w:t>(3), 511–532.</w:t>
      </w:r>
    </w:p>
    <w:p>
      <w:pPr>
        <w:spacing w:before="5"/>
        <w:ind w:left="239" w:right="0" w:firstLine="0"/>
        <w:jc w:val="both"/>
        <w:rPr>
          <w:sz w:val="20"/>
        </w:rPr>
      </w:pPr>
      <w:r>
        <w:rPr>
          <w:sz w:val="20"/>
        </w:rPr>
        <w:t>Hadi, S. (2004). </w:t>
      </w:r>
      <w:r>
        <w:rPr>
          <w:i/>
          <w:sz w:val="20"/>
        </w:rPr>
        <w:t>Metodologi research jilid 4</w:t>
      </w:r>
      <w:r>
        <w:rPr>
          <w:sz w:val="20"/>
        </w:rPr>
        <w:t>. Pustaka Belajar.</w:t>
      </w:r>
    </w:p>
    <w:p>
      <w:pPr>
        <w:pStyle w:val="BodyText"/>
        <w:spacing w:before="1"/>
        <w:rPr>
          <w:sz w:val="20"/>
        </w:rPr>
      </w:pPr>
    </w:p>
    <w:p>
      <w:pPr>
        <w:spacing w:line="480" w:lineRule="auto" w:before="0"/>
        <w:ind w:left="720" w:right="938" w:hanging="481"/>
        <w:jc w:val="left"/>
        <w:rPr>
          <w:sz w:val="20"/>
        </w:rPr>
      </w:pPr>
      <w:r>
        <w:rPr>
          <w:sz w:val="20"/>
        </w:rPr>
        <w:t>Hudin, A. M., &amp; Budiani, M. S. (2021). Hubungan antara Workplace Well-Being dengan Kinerja </w:t>
      </w:r>
      <w:r>
        <w:rPr>
          <w:w w:val="100"/>
          <w:sz w:val="20"/>
        </w:rPr>
        <w:t>K</w:t>
      </w:r>
      <w:r>
        <w:rPr>
          <w:w w:val="100"/>
          <w:sz w:val="20"/>
        </w:rPr>
        <w:t>arya</w:t>
      </w:r>
      <w:r>
        <w:rPr>
          <w:w w:val="100"/>
          <w:sz w:val="20"/>
        </w:rPr>
        <w:t>w</w:t>
      </w:r>
      <w:r>
        <w:rPr>
          <w:w w:val="100"/>
          <w:sz w:val="20"/>
        </w:rPr>
        <w:t>an</w:t>
      </w:r>
      <w:r>
        <w:rPr>
          <w:sz w:val="20"/>
        </w:rPr>
        <w:t> </w:t>
      </w:r>
      <w:r>
        <w:rPr>
          <w:w w:val="100"/>
          <w:sz w:val="20"/>
        </w:rPr>
        <w:t>pada</w:t>
      </w:r>
      <w:r>
        <w:rPr>
          <w:sz w:val="20"/>
        </w:rPr>
        <w:t> </w:t>
      </w:r>
      <w:r>
        <w:rPr>
          <w:w w:val="100"/>
          <w:sz w:val="20"/>
        </w:rPr>
        <w:t>P</w:t>
      </w:r>
      <w:r>
        <w:rPr>
          <w:w w:val="100"/>
          <w:sz w:val="20"/>
        </w:rPr>
        <w:t>T.</w:t>
      </w:r>
      <w:r>
        <w:rPr>
          <w:sz w:val="20"/>
        </w:rPr>
        <w:t> </w:t>
      </w:r>
      <w:r>
        <w:rPr>
          <w:w w:val="100"/>
          <w:sz w:val="20"/>
        </w:rPr>
        <w:t>X</w:t>
      </w:r>
      <w:r>
        <w:rPr>
          <w:sz w:val="20"/>
        </w:rPr>
        <w:t> </w:t>
      </w:r>
      <w:r>
        <w:rPr>
          <w:w w:val="100"/>
          <w:sz w:val="20"/>
        </w:rPr>
        <w:t>di</w:t>
      </w:r>
      <w:r>
        <w:rPr>
          <w:sz w:val="20"/>
        </w:rPr>
        <w:t> </w:t>
      </w:r>
      <w:r>
        <w:rPr>
          <w:w w:val="100"/>
          <w:sz w:val="20"/>
        </w:rPr>
        <w:t>S</w:t>
      </w:r>
      <w:r>
        <w:rPr>
          <w:w w:val="100"/>
          <w:sz w:val="20"/>
        </w:rPr>
        <w:t>idoarjo.</w:t>
      </w:r>
      <w:r>
        <w:rPr>
          <w:sz w:val="20"/>
        </w:rPr>
        <w:t> </w:t>
      </w:r>
      <w:r>
        <w:rPr>
          <w:i/>
          <w:w w:val="100"/>
          <w:sz w:val="20"/>
        </w:rPr>
        <w:t>Character</w:t>
      </w:r>
      <w:r>
        <w:rPr>
          <w:i/>
          <w:w w:val="25"/>
          <w:sz w:val="20"/>
        </w:rPr>
        <w:t> </w:t>
      </w:r>
      <w:r>
        <w:rPr>
          <w:i/>
          <w:w w:val="100"/>
          <w:sz w:val="20"/>
        </w:rPr>
        <w:t>:</w:t>
      </w:r>
      <w:r>
        <w:rPr>
          <w:i/>
          <w:sz w:val="20"/>
        </w:rPr>
        <w:t> </w:t>
      </w:r>
      <w:r>
        <w:rPr>
          <w:i/>
          <w:w w:val="100"/>
          <w:sz w:val="20"/>
        </w:rPr>
        <w:t>Jurnal</w:t>
      </w:r>
      <w:r>
        <w:rPr>
          <w:i/>
          <w:sz w:val="20"/>
        </w:rPr>
        <w:t> </w:t>
      </w:r>
      <w:r>
        <w:rPr>
          <w:i/>
          <w:w w:val="100"/>
          <w:sz w:val="20"/>
        </w:rPr>
        <w:t>Penelitian</w:t>
      </w:r>
      <w:r>
        <w:rPr>
          <w:i/>
          <w:sz w:val="20"/>
        </w:rPr>
        <w:t> </w:t>
      </w:r>
      <w:r>
        <w:rPr>
          <w:i/>
          <w:w w:val="100"/>
          <w:sz w:val="20"/>
        </w:rPr>
        <w:t>P</w:t>
      </w:r>
      <w:r>
        <w:rPr>
          <w:i/>
          <w:w w:val="100"/>
          <w:sz w:val="20"/>
        </w:rPr>
        <w:t>s</w:t>
      </w:r>
      <w:r>
        <w:rPr>
          <w:i/>
          <w:w w:val="100"/>
          <w:sz w:val="20"/>
        </w:rPr>
        <w:t>ikolog</w:t>
      </w:r>
      <w:r>
        <w:rPr>
          <w:w w:val="100"/>
          <w:sz w:val="20"/>
        </w:rPr>
        <w:t>,</w:t>
      </w:r>
      <w:r>
        <w:rPr>
          <w:sz w:val="20"/>
        </w:rPr>
        <w:t> </w:t>
      </w:r>
      <w:r>
        <w:rPr>
          <w:i/>
          <w:w w:val="100"/>
          <w:sz w:val="20"/>
        </w:rPr>
        <w:t>8</w:t>
      </w:r>
      <w:r>
        <w:rPr>
          <w:w w:val="100"/>
          <w:sz w:val="20"/>
        </w:rPr>
        <w:t>(4),</w:t>
      </w:r>
      <w:r>
        <w:rPr>
          <w:sz w:val="20"/>
        </w:rPr>
        <w:t> </w:t>
      </w:r>
      <w:r>
        <w:rPr>
          <w:w w:val="100"/>
          <w:sz w:val="20"/>
        </w:rPr>
        <w:t>1–11.</w:t>
      </w:r>
    </w:p>
    <w:p>
      <w:pPr>
        <w:spacing w:line="475" w:lineRule="auto" w:before="7"/>
        <w:ind w:left="720" w:right="332" w:hanging="481"/>
        <w:jc w:val="left"/>
        <w:rPr>
          <w:sz w:val="20"/>
        </w:rPr>
      </w:pPr>
      <w:r>
        <w:rPr>
          <w:sz w:val="20"/>
        </w:rPr>
        <w:t>Rahmi, T. R., Agustiani, H. A., Harding, D. H., &amp; Fitriana, E. F. (2021). Adaptasi Employee Well-Being Scale (EWBS) Versi Bahasa Indonesia. </w:t>
      </w:r>
      <w:r>
        <w:rPr>
          <w:i/>
          <w:sz w:val="20"/>
        </w:rPr>
        <w:t>Jurnal Psikologi</w:t>
      </w:r>
      <w:r>
        <w:rPr>
          <w:sz w:val="20"/>
        </w:rPr>
        <w:t>, </w:t>
      </w:r>
      <w:r>
        <w:rPr>
          <w:i/>
          <w:sz w:val="20"/>
        </w:rPr>
        <w:t>17</w:t>
      </w:r>
      <w:r>
        <w:rPr>
          <w:sz w:val="20"/>
        </w:rPr>
        <w:t>(2), 93. https://doi.org/10.24014/jp.v17i2.13112</w:t>
      </w:r>
    </w:p>
    <w:p>
      <w:pPr>
        <w:spacing w:line="477" w:lineRule="auto" w:before="7"/>
        <w:ind w:left="239" w:right="230" w:firstLine="0"/>
        <w:jc w:val="both"/>
        <w:rPr>
          <w:sz w:val="20"/>
        </w:rPr>
      </w:pPr>
      <w:r>
        <w:rPr>
          <w:sz w:val="20"/>
        </w:rPr>
        <w:t>Holman, D. J., &amp; Wall, T. D. (2002). Work characteristics, learning-related outcomes, and strain: a test of competing direct effects, mediated, and moderated models. </w:t>
      </w:r>
      <w:r>
        <w:rPr>
          <w:i/>
          <w:sz w:val="20"/>
        </w:rPr>
        <w:t>Journal of Occupational Health Psychology</w:t>
      </w:r>
      <w:r>
        <w:rPr>
          <w:sz w:val="20"/>
        </w:rPr>
        <w:t>, </w:t>
      </w:r>
      <w:r>
        <w:rPr>
          <w:i/>
          <w:sz w:val="20"/>
        </w:rPr>
        <w:t>7</w:t>
      </w:r>
      <w:r>
        <w:rPr>
          <w:sz w:val="20"/>
        </w:rPr>
        <w:t>(4), 283.</w:t>
      </w:r>
    </w:p>
    <w:p>
      <w:pPr>
        <w:spacing w:before="5"/>
        <w:ind w:left="239" w:right="0" w:firstLine="0"/>
        <w:jc w:val="both"/>
        <w:rPr>
          <w:sz w:val="20"/>
        </w:rPr>
      </w:pPr>
      <w:r>
        <w:rPr>
          <w:sz w:val="20"/>
        </w:rPr>
        <w:t>Houkes, I., Janssen, P. P., de Jonge, J., &amp; Bakker, A. B. (2003). Personality, work characteristics and</w:t>
      </w:r>
    </w:p>
    <w:p>
      <w:pPr>
        <w:spacing w:after="0"/>
        <w:jc w:val="both"/>
        <w:rPr>
          <w:sz w:val="20"/>
        </w:rPr>
        <w:sectPr>
          <w:footerReference w:type="default" r:id="rId10"/>
          <w:pgSz w:w="11910" w:h="16840"/>
          <w:pgMar w:footer="731" w:header="0" w:top="1580" w:bottom="920" w:left="1460" w:right="1460"/>
        </w:sectPr>
      </w:pPr>
    </w:p>
    <w:p>
      <w:pPr>
        <w:spacing w:line="480" w:lineRule="auto" w:before="73"/>
        <w:ind w:left="720" w:right="0" w:firstLine="0"/>
        <w:jc w:val="left"/>
        <w:rPr>
          <w:sz w:val="20"/>
        </w:rPr>
      </w:pPr>
      <w:r>
        <w:rPr>
          <w:sz w:val="20"/>
        </w:rPr>
        <w:t>employee well-being</w:t>
      </w:r>
      <w:r>
        <w:rPr>
          <w:i/>
          <w:sz w:val="20"/>
        </w:rPr>
        <w:t>: A longitudinal analysis of additive and moderating effects. Journal of </w:t>
      </w:r>
      <w:r>
        <w:rPr>
          <w:i/>
          <w:sz w:val="20"/>
        </w:rPr>
        <w:t>Occupational Health Psychology</w:t>
      </w:r>
      <w:r>
        <w:rPr>
          <w:sz w:val="20"/>
        </w:rPr>
        <w:t>, </w:t>
      </w:r>
      <w:r>
        <w:rPr>
          <w:i/>
          <w:sz w:val="20"/>
        </w:rPr>
        <w:t>8</w:t>
      </w:r>
      <w:r>
        <w:rPr>
          <w:sz w:val="20"/>
        </w:rPr>
        <w:t>(1), 20.</w:t>
      </w:r>
    </w:p>
    <w:p>
      <w:pPr>
        <w:spacing w:before="2"/>
        <w:ind w:left="239" w:right="0" w:firstLine="0"/>
        <w:jc w:val="left"/>
        <w:rPr>
          <w:sz w:val="20"/>
        </w:rPr>
      </w:pPr>
      <w:r>
        <w:rPr>
          <w:sz w:val="20"/>
        </w:rPr>
        <w:t>Kardinah,N. (2019). Peran </w:t>
      </w:r>
      <w:r>
        <w:rPr>
          <w:i/>
          <w:sz w:val="20"/>
        </w:rPr>
        <w:t>workplace well being </w:t>
      </w:r>
      <w:r>
        <w:rPr>
          <w:sz w:val="20"/>
        </w:rPr>
        <w:t>terhadap mental health: studi pada karyawan disabilitas.</w:t>
      </w:r>
    </w:p>
    <w:p>
      <w:pPr>
        <w:pStyle w:val="BodyText"/>
        <w:spacing w:before="1"/>
        <w:rPr>
          <w:sz w:val="20"/>
        </w:rPr>
      </w:pPr>
    </w:p>
    <w:p>
      <w:pPr>
        <w:spacing w:before="0"/>
        <w:ind w:left="720" w:right="0" w:firstLine="0"/>
        <w:jc w:val="left"/>
        <w:rPr>
          <w:sz w:val="20"/>
        </w:rPr>
      </w:pPr>
      <w:r>
        <w:rPr>
          <w:sz w:val="20"/>
        </w:rPr>
        <w:t>Jurnal Ilmiah Psikologi, 6(2),</w:t>
      </w:r>
      <w:r>
        <w:rPr>
          <w:spacing w:val="-7"/>
          <w:sz w:val="20"/>
        </w:rPr>
        <w:t> </w:t>
      </w:r>
      <w:r>
        <w:rPr>
          <w:sz w:val="20"/>
        </w:rPr>
        <w:t>191-200</w:t>
      </w:r>
    </w:p>
    <w:p>
      <w:pPr>
        <w:pStyle w:val="BodyText"/>
        <w:rPr>
          <w:sz w:val="20"/>
        </w:rPr>
      </w:pPr>
    </w:p>
    <w:p>
      <w:pPr>
        <w:spacing w:line="487" w:lineRule="auto" w:before="1"/>
        <w:ind w:left="720" w:right="332" w:hanging="481"/>
        <w:jc w:val="left"/>
        <w:rPr>
          <w:sz w:val="20"/>
        </w:rPr>
      </w:pPr>
      <w:r>
        <w:rPr>
          <w:sz w:val="20"/>
        </w:rPr>
        <w:t>Keyes, C. L. (2002). The mental health continuum: From languishing to flourishing in </w:t>
      </w:r>
      <w:r>
        <w:rPr>
          <w:spacing w:val="-3"/>
          <w:sz w:val="20"/>
        </w:rPr>
        <w:t>life. </w:t>
      </w:r>
      <w:r>
        <w:rPr>
          <w:i/>
          <w:sz w:val="20"/>
        </w:rPr>
        <w:t>Journal of </w:t>
      </w:r>
      <w:r>
        <w:rPr>
          <w:i/>
          <w:sz w:val="20"/>
        </w:rPr>
        <w:t>Health and Social Behavior</w:t>
      </w:r>
      <w:r>
        <w:rPr>
          <w:sz w:val="20"/>
        </w:rPr>
        <w:t>,</w:t>
      </w:r>
      <w:r>
        <w:rPr>
          <w:spacing w:val="10"/>
          <w:sz w:val="20"/>
        </w:rPr>
        <w:t> </w:t>
      </w:r>
      <w:r>
        <w:rPr>
          <w:sz w:val="20"/>
        </w:rPr>
        <w:t>207–222.</w:t>
      </w:r>
    </w:p>
    <w:p>
      <w:pPr>
        <w:spacing w:line="480" w:lineRule="auto" w:before="0"/>
        <w:ind w:left="720" w:right="703" w:hanging="481"/>
        <w:jc w:val="left"/>
        <w:rPr>
          <w:sz w:val="20"/>
        </w:rPr>
      </w:pPr>
      <w:r>
        <w:rPr>
          <w:sz w:val="20"/>
        </w:rPr>
        <w:t>Koran Sindo Online. 2021. </w:t>
      </w:r>
      <w:r>
        <w:rPr>
          <w:i/>
          <w:sz w:val="20"/>
        </w:rPr>
        <w:t>Mayday 2021: Kesejahteraan Buruh di Tengah Pandemi</w:t>
      </w:r>
      <w:r>
        <w:rPr>
          <w:sz w:val="20"/>
        </w:rPr>
        <w:t>. diakses dari https://nasional.sindonews.com/read/413212/18/mayday-2021-kesejahteraan-buruh-di-tengah- pandemi-1619705072?showpage=all pada tanggal 23 Desember 2021.</w:t>
      </w:r>
    </w:p>
    <w:p>
      <w:pPr>
        <w:spacing w:line="477" w:lineRule="auto" w:before="0"/>
        <w:ind w:left="720" w:right="231" w:hanging="481"/>
        <w:jc w:val="both"/>
        <w:rPr>
          <w:sz w:val="20"/>
        </w:rPr>
      </w:pPr>
      <w:r>
        <w:rPr>
          <w:sz w:val="20"/>
        </w:rPr>
        <w:t>Kristof-Brown, A. L., Zimmerman, R. D., &amp; Johnson, E. C. (2005). Consequences of individual's fit at work: A meta-analysis of person-job, person-organization, person-group, and person-super-visor fit. </w:t>
      </w:r>
      <w:r>
        <w:rPr>
          <w:i/>
          <w:sz w:val="20"/>
        </w:rPr>
        <w:t>Personnel Psychology</w:t>
      </w:r>
      <w:r>
        <w:rPr>
          <w:sz w:val="20"/>
        </w:rPr>
        <w:t>, </w:t>
      </w:r>
      <w:r>
        <w:rPr>
          <w:i/>
          <w:sz w:val="20"/>
        </w:rPr>
        <w:t>58</w:t>
      </w:r>
      <w:r>
        <w:rPr>
          <w:sz w:val="20"/>
        </w:rPr>
        <w:t>(2), 281–342.</w:t>
      </w:r>
    </w:p>
    <w:p>
      <w:pPr>
        <w:spacing w:line="480" w:lineRule="auto" w:before="0"/>
        <w:ind w:left="720" w:right="220" w:hanging="481"/>
        <w:jc w:val="both"/>
        <w:rPr>
          <w:sz w:val="20"/>
        </w:rPr>
      </w:pPr>
      <w:r>
        <w:rPr>
          <w:sz w:val="20"/>
        </w:rPr>
        <w:t>Kun, Á., Balogh, P., &amp; Krasz, K. </w:t>
      </w:r>
      <w:r>
        <w:rPr>
          <w:spacing w:val="-4"/>
          <w:sz w:val="20"/>
        </w:rPr>
        <w:t>G. </w:t>
      </w:r>
      <w:r>
        <w:rPr>
          <w:sz w:val="20"/>
        </w:rPr>
        <w:t>(2017). Development of the work-related well-being questionnaire based </w:t>
      </w:r>
      <w:r>
        <w:rPr>
          <w:spacing w:val="-3"/>
          <w:sz w:val="20"/>
        </w:rPr>
        <w:t>on </w:t>
      </w:r>
      <w:r>
        <w:rPr>
          <w:sz w:val="20"/>
        </w:rPr>
        <w:t>seligman’s perma model. </w:t>
      </w:r>
      <w:r>
        <w:rPr>
          <w:i/>
          <w:sz w:val="20"/>
        </w:rPr>
        <w:t>Periodica Polytechnica. Social and Management Sciences</w:t>
      </w:r>
      <w:r>
        <w:rPr>
          <w:sz w:val="20"/>
        </w:rPr>
        <w:t>, </w:t>
      </w:r>
      <w:r>
        <w:rPr>
          <w:i/>
          <w:sz w:val="20"/>
        </w:rPr>
        <w:t>25</w:t>
      </w:r>
      <w:r>
        <w:rPr>
          <w:sz w:val="20"/>
        </w:rPr>
        <w:t>(1), 56.</w:t>
      </w:r>
    </w:p>
    <w:p>
      <w:pPr>
        <w:spacing w:line="475" w:lineRule="auto" w:before="0"/>
        <w:ind w:left="720" w:right="224" w:hanging="481"/>
        <w:jc w:val="both"/>
        <w:rPr>
          <w:sz w:val="20"/>
        </w:rPr>
      </w:pPr>
      <w:r>
        <w:rPr>
          <w:sz w:val="20"/>
        </w:rPr>
        <w:t>Lestari, I., &amp; Kurniawan, I. N. (2019). </w:t>
      </w:r>
      <w:r>
        <w:rPr>
          <w:i/>
          <w:sz w:val="20"/>
        </w:rPr>
        <w:t>Hubungan antara Job Crafting dan Workplace Well-Being pada </w:t>
      </w:r>
      <w:r>
        <w:rPr>
          <w:i/>
          <w:sz w:val="20"/>
        </w:rPr>
        <w:t>Karyawan</w:t>
      </w:r>
      <w:r>
        <w:rPr>
          <w:sz w:val="20"/>
        </w:rPr>
        <w:t>.</w:t>
      </w:r>
    </w:p>
    <w:p>
      <w:pPr>
        <w:spacing w:line="475" w:lineRule="auto" w:before="10"/>
        <w:ind w:left="720" w:right="240" w:hanging="481"/>
        <w:jc w:val="both"/>
        <w:rPr>
          <w:sz w:val="20"/>
        </w:rPr>
      </w:pPr>
      <w:r>
        <w:rPr>
          <w:sz w:val="20"/>
        </w:rPr>
        <w:t>Lumentut, F.J.E. dan Ambarwati, K.D. 2021. Job Crafting dan Employee Well-Being pada Karyawan GenerasI Y di Indonesia. </w:t>
      </w:r>
      <w:r>
        <w:rPr>
          <w:i/>
          <w:sz w:val="20"/>
        </w:rPr>
        <w:t>Jurnal Empati</w:t>
      </w:r>
      <w:r>
        <w:rPr>
          <w:sz w:val="20"/>
        </w:rPr>
        <w:t>, 10(1), 1-14.</w:t>
      </w:r>
    </w:p>
    <w:p>
      <w:pPr>
        <w:spacing w:line="487" w:lineRule="auto" w:before="6"/>
        <w:ind w:left="720" w:right="230" w:hanging="481"/>
        <w:jc w:val="both"/>
        <w:rPr>
          <w:sz w:val="20"/>
        </w:rPr>
      </w:pPr>
      <w:r>
        <w:rPr>
          <w:sz w:val="20"/>
        </w:rPr>
        <w:t>Marzuki, N. A. (2012). The impact of personality on employee well-being. </w:t>
      </w:r>
      <w:r>
        <w:rPr>
          <w:i/>
          <w:sz w:val="20"/>
        </w:rPr>
        <w:t>European Scientific Journal</w:t>
      </w:r>
      <w:r>
        <w:rPr>
          <w:sz w:val="20"/>
        </w:rPr>
        <w:t>, </w:t>
      </w:r>
      <w:r>
        <w:rPr>
          <w:i/>
          <w:sz w:val="20"/>
        </w:rPr>
        <w:t>9</w:t>
      </w:r>
      <w:r>
        <w:rPr>
          <w:sz w:val="20"/>
        </w:rPr>
        <w:t>(20).</w:t>
      </w:r>
    </w:p>
    <w:p>
      <w:pPr>
        <w:spacing w:line="223" w:lineRule="exact" w:before="0"/>
        <w:ind w:left="239" w:right="0" w:firstLine="0"/>
        <w:jc w:val="left"/>
        <w:rPr>
          <w:sz w:val="20"/>
        </w:rPr>
      </w:pPr>
      <w:r>
        <w:rPr>
          <w:sz w:val="20"/>
        </w:rPr>
        <w:t>Munandar, A. S. (2012). </w:t>
      </w:r>
      <w:r>
        <w:rPr>
          <w:i/>
          <w:sz w:val="20"/>
        </w:rPr>
        <w:t>Psikologi Industri dan Organisasi</w:t>
      </w:r>
      <w:r>
        <w:rPr>
          <w:sz w:val="20"/>
        </w:rPr>
        <w:t>. Universitas Indonesia (UI-Press).</w:t>
      </w:r>
    </w:p>
    <w:p>
      <w:pPr>
        <w:pStyle w:val="BodyText"/>
        <w:spacing w:before="2"/>
        <w:rPr>
          <w:sz w:val="19"/>
        </w:rPr>
      </w:pPr>
    </w:p>
    <w:p>
      <w:pPr>
        <w:spacing w:line="475" w:lineRule="auto" w:before="1"/>
        <w:ind w:left="720" w:right="227" w:hanging="481"/>
        <w:jc w:val="both"/>
        <w:rPr>
          <w:sz w:val="20"/>
        </w:rPr>
      </w:pPr>
      <w:r>
        <w:rPr>
          <w:sz w:val="20"/>
        </w:rPr>
        <w:t>Nielsen, K., &amp; Abildgaard, J. S. (2012). </w:t>
      </w:r>
      <w:r>
        <w:rPr>
          <w:i/>
          <w:sz w:val="20"/>
        </w:rPr>
        <w:t>The Development and Validation of a Job Crafting Measure for </w:t>
      </w:r>
      <w:r>
        <w:rPr>
          <w:i/>
          <w:sz w:val="20"/>
        </w:rPr>
        <w:t>Use with Blue-Collar Workers</w:t>
      </w:r>
      <w:r>
        <w:rPr>
          <w:sz w:val="20"/>
        </w:rPr>
        <w:t>. </w:t>
      </w:r>
      <w:r>
        <w:rPr>
          <w:i/>
          <w:sz w:val="20"/>
        </w:rPr>
        <w:t>Work and Stress</w:t>
      </w:r>
      <w:r>
        <w:rPr>
          <w:sz w:val="20"/>
        </w:rPr>
        <w:t>, </w:t>
      </w:r>
      <w:r>
        <w:rPr>
          <w:i/>
          <w:sz w:val="20"/>
        </w:rPr>
        <w:t>26</w:t>
      </w:r>
      <w:r>
        <w:rPr>
          <w:sz w:val="20"/>
        </w:rPr>
        <w:t>, 365–384.</w:t>
      </w:r>
    </w:p>
    <w:p>
      <w:pPr>
        <w:spacing w:before="6"/>
        <w:ind w:left="239" w:right="0" w:firstLine="0"/>
        <w:jc w:val="left"/>
        <w:rPr>
          <w:sz w:val="20"/>
        </w:rPr>
      </w:pPr>
      <w:r>
        <w:rPr>
          <w:sz w:val="20"/>
        </w:rPr>
        <w:t>Page, K. (2005). </w:t>
      </w:r>
      <w:r>
        <w:rPr>
          <w:i/>
          <w:sz w:val="20"/>
        </w:rPr>
        <w:t>Subjective wellbeing in the workplace</w:t>
      </w:r>
      <w:r>
        <w:rPr>
          <w:sz w:val="20"/>
        </w:rPr>
        <w:t>. Deakin University.</w:t>
      </w:r>
    </w:p>
    <w:p>
      <w:pPr>
        <w:pStyle w:val="BodyText"/>
        <w:spacing w:before="1"/>
        <w:rPr>
          <w:sz w:val="20"/>
        </w:rPr>
      </w:pPr>
    </w:p>
    <w:p>
      <w:pPr>
        <w:spacing w:line="480" w:lineRule="auto" w:before="0"/>
        <w:ind w:left="720" w:right="220" w:hanging="481"/>
        <w:jc w:val="both"/>
        <w:rPr>
          <w:sz w:val="20"/>
        </w:rPr>
      </w:pPr>
      <w:r>
        <w:rPr>
          <w:sz w:val="20"/>
        </w:rPr>
        <w:t>Page, K. M., &amp; Vella-Brodrick, D. A. (2009). </w:t>
      </w:r>
      <w:r>
        <w:rPr>
          <w:i/>
          <w:sz w:val="20"/>
        </w:rPr>
        <w:t>The ‘what’,‘why’and ‘how’of employee well-being: A new </w:t>
      </w:r>
      <w:r>
        <w:rPr>
          <w:i/>
          <w:sz w:val="20"/>
        </w:rPr>
        <w:t>model</w:t>
      </w:r>
      <w:r>
        <w:rPr>
          <w:sz w:val="20"/>
        </w:rPr>
        <w:t>. </w:t>
      </w:r>
      <w:r>
        <w:rPr>
          <w:i/>
          <w:sz w:val="20"/>
        </w:rPr>
        <w:t>Social Indicators Research</w:t>
      </w:r>
      <w:r>
        <w:rPr>
          <w:sz w:val="20"/>
        </w:rPr>
        <w:t>, </w:t>
      </w:r>
      <w:r>
        <w:rPr>
          <w:i/>
          <w:sz w:val="20"/>
        </w:rPr>
        <w:t>90</w:t>
      </w:r>
      <w:r>
        <w:rPr>
          <w:sz w:val="20"/>
        </w:rPr>
        <w:t>(3), 441–458.</w:t>
      </w:r>
    </w:p>
    <w:p>
      <w:pPr>
        <w:spacing w:line="475" w:lineRule="auto" w:before="2"/>
        <w:ind w:left="720" w:right="240" w:hanging="481"/>
        <w:jc w:val="both"/>
        <w:rPr>
          <w:sz w:val="20"/>
        </w:rPr>
      </w:pPr>
      <w:r>
        <w:rPr>
          <w:sz w:val="20"/>
        </w:rPr>
        <w:t>Petrou, P., Demerouti, E., Peeters, M. C., Schaufeli, W. B., &amp; Hetland, J. (2012). Crafting a job on a daily basis: Contextual correlates and the link to work engagement. </w:t>
      </w:r>
      <w:r>
        <w:rPr>
          <w:i/>
          <w:sz w:val="20"/>
        </w:rPr>
        <w:t>Journal of Organizational Behavior</w:t>
      </w:r>
      <w:r>
        <w:rPr>
          <w:sz w:val="20"/>
        </w:rPr>
        <w:t>,</w:t>
      </w:r>
    </w:p>
    <w:p>
      <w:pPr>
        <w:spacing w:after="0" w:line="475" w:lineRule="auto"/>
        <w:jc w:val="both"/>
        <w:rPr>
          <w:sz w:val="20"/>
        </w:rPr>
        <w:sectPr>
          <w:footerReference w:type="default" r:id="rId11"/>
          <w:pgSz w:w="11910" w:h="16840"/>
          <w:pgMar w:footer="779" w:header="0" w:top="1580" w:bottom="960" w:left="1460" w:right="1460"/>
        </w:sectPr>
      </w:pPr>
    </w:p>
    <w:p>
      <w:pPr>
        <w:spacing w:before="73"/>
        <w:ind w:left="720" w:right="0" w:firstLine="0"/>
        <w:jc w:val="left"/>
        <w:rPr>
          <w:sz w:val="20"/>
        </w:rPr>
      </w:pPr>
      <w:r>
        <w:rPr>
          <w:i/>
          <w:sz w:val="20"/>
        </w:rPr>
        <w:t>33</w:t>
      </w:r>
      <w:r>
        <w:rPr>
          <w:sz w:val="20"/>
        </w:rPr>
        <w:t>(8), 1120–1141.</w:t>
      </w:r>
    </w:p>
    <w:p>
      <w:pPr>
        <w:pStyle w:val="BodyText"/>
        <w:rPr>
          <w:sz w:val="20"/>
        </w:rPr>
      </w:pPr>
    </w:p>
    <w:p>
      <w:pPr>
        <w:spacing w:line="480" w:lineRule="auto" w:before="0"/>
        <w:ind w:left="720" w:right="228" w:hanging="481"/>
        <w:jc w:val="both"/>
        <w:rPr>
          <w:sz w:val="20"/>
        </w:rPr>
      </w:pPr>
      <w:r>
        <w:rPr>
          <w:sz w:val="20"/>
        </w:rPr>
        <w:t>Petrou, P., Demerouti, E., &amp; Schaufeli, W. B. (2015). Job crafting in changing organizations: Antecedents and implications for exhaustion and performance. </w:t>
      </w:r>
      <w:r>
        <w:rPr>
          <w:i/>
          <w:sz w:val="20"/>
        </w:rPr>
        <w:t>Journal of Occupational Psychology</w:t>
      </w:r>
      <w:r>
        <w:rPr>
          <w:sz w:val="20"/>
        </w:rPr>
        <w:t>, </w:t>
      </w:r>
      <w:r>
        <w:rPr>
          <w:i/>
          <w:sz w:val="20"/>
        </w:rPr>
        <w:t>20</w:t>
      </w:r>
      <w:r>
        <w:rPr>
          <w:sz w:val="20"/>
        </w:rPr>
        <w:t>(4), 470– 480.</w:t>
      </w:r>
    </w:p>
    <w:p>
      <w:pPr>
        <w:spacing w:before="4"/>
        <w:ind w:left="239" w:right="0" w:firstLine="0"/>
        <w:jc w:val="both"/>
        <w:rPr>
          <w:sz w:val="20"/>
        </w:rPr>
      </w:pPr>
      <w:r>
        <w:rPr>
          <w:sz w:val="20"/>
        </w:rPr>
        <w:t>Hadi, S. (2004). </w:t>
      </w:r>
      <w:r>
        <w:rPr>
          <w:i/>
          <w:sz w:val="20"/>
        </w:rPr>
        <w:t>Metodologi research jilid 4</w:t>
      </w:r>
      <w:r>
        <w:rPr>
          <w:sz w:val="20"/>
        </w:rPr>
        <w:t>. Pustaka Belajar.</w:t>
      </w:r>
    </w:p>
    <w:p>
      <w:pPr>
        <w:pStyle w:val="BodyText"/>
        <w:spacing w:before="5"/>
        <w:rPr>
          <w:sz w:val="20"/>
        </w:rPr>
      </w:pPr>
    </w:p>
    <w:p>
      <w:pPr>
        <w:spacing w:line="470" w:lineRule="auto" w:before="1"/>
        <w:ind w:left="720" w:right="938" w:hanging="481"/>
        <w:jc w:val="left"/>
        <w:rPr>
          <w:sz w:val="20"/>
        </w:rPr>
      </w:pPr>
      <w:r>
        <w:rPr>
          <w:sz w:val="20"/>
        </w:rPr>
        <w:t>Hudin, A. M., &amp; Budiani, M. S. (2021). Hubungan antara Workplace Well-Being dengan Kinerja </w:t>
      </w:r>
      <w:r>
        <w:rPr>
          <w:w w:val="100"/>
          <w:sz w:val="20"/>
        </w:rPr>
        <w:t>K</w:t>
      </w:r>
      <w:r>
        <w:rPr>
          <w:w w:val="100"/>
          <w:sz w:val="20"/>
        </w:rPr>
        <w:t>arya</w:t>
      </w:r>
      <w:r>
        <w:rPr>
          <w:w w:val="100"/>
          <w:sz w:val="20"/>
        </w:rPr>
        <w:t>w</w:t>
      </w:r>
      <w:r>
        <w:rPr>
          <w:w w:val="100"/>
          <w:sz w:val="20"/>
        </w:rPr>
        <w:t>an</w:t>
      </w:r>
      <w:r>
        <w:rPr>
          <w:sz w:val="20"/>
        </w:rPr>
        <w:t> </w:t>
      </w:r>
      <w:r>
        <w:rPr>
          <w:w w:val="100"/>
          <w:sz w:val="20"/>
        </w:rPr>
        <w:t>pada</w:t>
      </w:r>
      <w:r>
        <w:rPr>
          <w:sz w:val="20"/>
        </w:rPr>
        <w:t> </w:t>
      </w:r>
      <w:r>
        <w:rPr>
          <w:w w:val="100"/>
          <w:sz w:val="20"/>
        </w:rPr>
        <w:t>P</w:t>
      </w:r>
      <w:r>
        <w:rPr>
          <w:w w:val="100"/>
          <w:sz w:val="20"/>
        </w:rPr>
        <w:t>T.</w:t>
      </w:r>
      <w:r>
        <w:rPr>
          <w:sz w:val="20"/>
        </w:rPr>
        <w:t> </w:t>
      </w:r>
      <w:r>
        <w:rPr>
          <w:w w:val="100"/>
          <w:sz w:val="20"/>
        </w:rPr>
        <w:t>X</w:t>
      </w:r>
      <w:r>
        <w:rPr>
          <w:sz w:val="20"/>
        </w:rPr>
        <w:t> </w:t>
      </w:r>
      <w:r>
        <w:rPr>
          <w:w w:val="100"/>
          <w:sz w:val="20"/>
        </w:rPr>
        <w:t>di</w:t>
      </w:r>
      <w:r>
        <w:rPr>
          <w:sz w:val="20"/>
        </w:rPr>
        <w:t> </w:t>
      </w:r>
      <w:r>
        <w:rPr>
          <w:w w:val="100"/>
          <w:sz w:val="20"/>
        </w:rPr>
        <w:t>S</w:t>
      </w:r>
      <w:r>
        <w:rPr>
          <w:w w:val="100"/>
          <w:sz w:val="20"/>
        </w:rPr>
        <w:t>idoarjo.</w:t>
      </w:r>
      <w:r>
        <w:rPr>
          <w:sz w:val="20"/>
        </w:rPr>
        <w:t> </w:t>
      </w:r>
      <w:r>
        <w:rPr>
          <w:i/>
          <w:w w:val="100"/>
          <w:sz w:val="20"/>
        </w:rPr>
        <w:t>Character</w:t>
      </w:r>
      <w:r>
        <w:rPr>
          <w:i/>
          <w:w w:val="25"/>
          <w:sz w:val="20"/>
        </w:rPr>
        <w:t> </w:t>
      </w:r>
      <w:r>
        <w:rPr>
          <w:i/>
          <w:w w:val="100"/>
          <w:sz w:val="20"/>
        </w:rPr>
        <w:t>:</w:t>
      </w:r>
      <w:r>
        <w:rPr>
          <w:i/>
          <w:sz w:val="20"/>
        </w:rPr>
        <w:t> </w:t>
      </w:r>
      <w:r>
        <w:rPr>
          <w:i/>
          <w:w w:val="100"/>
          <w:sz w:val="20"/>
        </w:rPr>
        <w:t>Jurnal</w:t>
      </w:r>
      <w:r>
        <w:rPr>
          <w:i/>
          <w:sz w:val="20"/>
        </w:rPr>
        <w:t> </w:t>
      </w:r>
      <w:r>
        <w:rPr>
          <w:i/>
          <w:w w:val="100"/>
          <w:sz w:val="20"/>
        </w:rPr>
        <w:t>Penelitian</w:t>
      </w:r>
      <w:r>
        <w:rPr>
          <w:i/>
          <w:sz w:val="20"/>
        </w:rPr>
        <w:t> </w:t>
      </w:r>
      <w:r>
        <w:rPr>
          <w:i/>
          <w:w w:val="100"/>
          <w:sz w:val="20"/>
        </w:rPr>
        <w:t>P</w:t>
      </w:r>
      <w:r>
        <w:rPr>
          <w:i/>
          <w:w w:val="100"/>
          <w:sz w:val="20"/>
        </w:rPr>
        <w:t>s</w:t>
      </w:r>
      <w:r>
        <w:rPr>
          <w:i/>
          <w:w w:val="100"/>
          <w:sz w:val="20"/>
        </w:rPr>
        <w:t>ikolog</w:t>
      </w:r>
      <w:r>
        <w:rPr>
          <w:w w:val="100"/>
          <w:sz w:val="20"/>
        </w:rPr>
        <w:t>,</w:t>
      </w:r>
      <w:r>
        <w:rPr>
          <w:sz w:val="20"/>
        </w:rPr>
        <w:t> </w:t>
      </w:r>
      <w:r>
        <w:rPr>
          <w:i/>
          <w:w w:val="100"/>
          <w:sz w:val="20"/>
        </w:rPr>
        <w:t>8</w:t>
      </w:r>
      <w:r>
        <w:rPr>
          <w:w w:val="100"/>
          <w:sz w:val="20"/>
        </w:rPr>
        <w:t>(4),</w:t>
      </w:r>
      <w:r>
        <w:rPr>
          <w:sz w:val="20"/>
        </w:rPr>
        <w:t> </w:t>
      </w:r>
      <w:r>
        <w:rPr>
          <w:w w:val="100"/>
          <w:sz w:val="20"/>
        </w:rPr>
        <w:t>1–11.</w:t>
      </w:r>
    </w:p>
    <w:p>
      <w:pPr>
        <w:spacing w:line="480" w:lineRule="auto" w:before="10"/>
        <w:ind w:left="720" w:right="332" w:hanging="481"/>
        <w:jc w:val="left"/>
        <w:rPr>
          <w:sz w:val="20"/>
        </w:rPr>
      </w:pPr>
      <w:r>
        <w:rPr>
          <w:sz w:val="20"/>
        </w:rPr>
        <w:t>Rahmi, T. R., Agustiani, H. A., Harding, D. H., &amp; Fitriana, E. F. (2021). Adaptasi Employee Well-Being Scale (EWBS) Versi Bahasa Indonesia. </w:t>
      </w:r>
      <w:r>
        <w:rPr>
          <w:i/>
          <w:sz w:val="20"/>
        </w:rPr>
        <w:t>Jurnal Psikologi</w:t>
      </w:r>
      <w:r>
        <w:rPr>
          <w:sz w:val="20"/>
        </w:rPr>
        <w:t>, </w:t>
      </w:r>
      <w:r>
        <w:rPr>
          <w:i/>
          <w:sz w:val="20"/>
        </w:rPr>
        <w:t>17</w:t>
      </w:r>
      <w:r>
        <w:rPr>
          <w:sz w:val="20"/>
        </w:rPr>
        <w:t>(2), 93. https://doi.org/10.24014/jp.v17i2.13112</w:t>
      </w:r>
    </w:p>
    <w:p>
      <w:pPr>
        <w:spacing w:line="475" w:lineRule="auto" w:before="3"/>
        <w:ind w:left="239" w:right="178" w:firstLine="0"/>
        <w:jc w:val="left"/>
        <w:rPr>
          <w:sz w:val="20"/>
        </w:rPr>
      </w:pPr>
      <w:r>
        <w:rPr>
          <w:sz w:val="20"/>
        </w:rPr>
        <w:t>Rivai, V. (2004). </w:t>
      </w:r>
      <w:r>
        <w:rPr>
          <w:i/>
          <w:sz w:val="20"/>
        </w:rPr>
        <w:t>Manajemen Sumber Daya Manusia Untuk Perusahaan </w:t>
      </w:r>
      <w:r>
        <w:rPr>
          <w:sz w:val="20"/>
        </w:rPr>
        <w:t>(Pertama). Raja Grafindo. Saragih, S.; Margaretha, M. dan Anantyanda, L.A. (2021). Job Autonomy, Job Crafting And Employees’</w:t>
      </w:r>
    </w:p>
    <w:p>
      <w:pPr>
        <w:spacing w:line="480" w:lineRule="auto" w:before="6"/>
        <w:ind w:left="278" w:right="223" w:firstLine="475"/>
        <w:jc w:val="right"/>
        <w:rPr>
          <w:sz w:val="20"/>
        </w:rPr>
      </w:pPr>
      <w:r>
        <w:rPr>
          <w:sz w:val="20"/>
        </w:rPr>
        <w:t>Well-Being During Working From Home. </w:t>
      </w:r>
      <w:r>
        <w:rPr>
          <w:i/>
          <w:sz w:val="20"/>
        </w:rPr>
        <w:t>Jurnal Manajemen dan Kewirausahaan</w:t>
      </w:r>
      <w:r>
        <w:rPr>
          <w:sz w:val="20"/>
        </w:rPr>
        <w:t>, 23(2), 177–185.</w:t>
      </w:r>
      <w:r>
        <w:rPr>
          <w:w w:val="100"/>
          <w:sz w:val="20"/>
        </w:rPr>
        <w:t> </w:t>
      </w:r>
      <w:r>
        <w:rPr>
          <w:sz w:val="20"/>
        </w:rPr>
        <w:t>Sears, L., Shi, Y., Coberley, C., &amp; Pope, J. (2013). Overall well-being as a predictor of health care,</w:t>
      </w:r>
      <w:r>
        <w:rPr>
          <w:w w:val="100"/>
          <w:sz w:val="20"/>
        </w:rPr>
        <w:t> </w:t>
      </w:r>
      <w:r>
        <w:rPr>
          <w:sz w:val="20"/>
        </w:rPr>
        <w:t>productivity, and retention outcomes in a large employer. </w:t>
      </w:r>
      <w:r>
        <w:rPr>
          <w:i/>
          <w:sz w:val="20"/>
        </w:rPr>
        <w:t>Population Health Management</w:t>
      </w:r>
      <w:r>
        <w:rPr>
          <w:sz w:val="20"/>
        </w:rPr>
        <w:t>, </w:t>
      </w:r>
      <w:r>
        <w:rPr>
          <w:i/>
          <w:sz w:val="20"/>
        </w:rPr>
        <w:t>16</w:t>
      </w:r>
      <w:r>
        <w:rPr>
          <w:sz w:val="20"/>
        </w:rPr>
        <w:t>, 397–</w:t>
      </w:r>
    </w:p>
    <w:p>
      <w:pPr>
        <w:spacing w:before="3"/>
        <w:ind w:left="720" w:right="0" w:firstLine="0"/>
        <w:jc w:val="left"/>
        <w:rPr>
          <w:sz w:val="20"/>
        </w:rPr>
      </w:pPr>
      <w:r>
        <w:rPr>
          <w:sz w:val="20"/>
        </w:rPr>
        <w:t>405.</w:t>
      </w:r>
    </w:p>
    <w:p>
      <w:pPr>
        <w:pStyle w:val="BodyText"/>
        <w:spacing w:before="6"/>
        <w:rPr>
          <w:sz w:val="20"/>
        </w:rPr>
      </w:pPr>
    </w:p>
    <w:p>
      <w:pPr>
        <w:spacing w:line="470" w:lineRule="auto" w:before="0"/>
        <w:ind w:left="720" w:right="238" w:hanging="481"/>
        <w:jc w:val="both"/>
        <w:rPr>
          <w:sz w:val="20"/>
        </w:rPr>
      </w:pPr>
      <w:r>
        <w:rPr>
          <w:sz w:val="20"/>
        </w:rPr>
        <w:t>Singh, V. L., &amp; Singh, M. (2018). A burnout model of job crafting: Multiple mediator effects on job performance. </w:t>
      </w:r>
      <w:r>
        <w:rPr>
          <w:i/>
          <w:sz w:val="20"/>
        </w:rPr>
        <w:t>IIMB Management Review</w:t>
      </w:r>
      <w:r>
        <w:rPr>
          <w:sz w:val="20"/>
        </w:rPr>
        <w:t>, </w:t>
      </w:r>
      <w:r>
        <w:rPr>
          <w:i/>
          <w:sz w:val="20"/>
        </w:rPr>
        <w:t>30</w:t>
      </w:r>
      <w:r>
        <w:rPr>
          <w:sz w:val="20"/>
        </w:rPr>
        <w:t>(4), 305–315.</w:t>
      </w:r>
    </w:p>
    <w:p>
      <w:pPr>
        <w:spacing w:line="480" w:lineRule="auto" w:before="11"/>
        <w:ind w:left="720" w:right="236" w:hanging="481"/>
        <w:jc w:val="both"/>
        <w:rPr>
          <w:sz w:val="20"/>
        </w:rPr>
      </w:pPr>
      <w:r>
        <w:rPr>
          <w:sz w:val="20"/>
        </w:rPr>
        <w:t>Sivanathan, N., Arnold, K. A., Turner, N., &amp; Barling J. (2004). Leading Well: Transformational Leadership and Well- Being. </w:t>
      </w:r>
      <w:r>
        <w:rPr>
          <w:i/>
          <w:sz w:val="20"/>
        </w:rPr>
        <w:t>Positive Psychology in Practice</w:t>
      </w:r>
      <w:r>
        <w:rPr>
          <w:sz w:val="20"/>
        </w:rPr>
        <w:t>, 241–255.</w:t>
      </w:r>
    </w:p>
    <w:p>
      <w:pPr>
        <w:spacing w:line="484" w:lineRule="auto" w:before="2"/>
        <w:ind w:left="720" w:right="235" w:hanging="481"/>
        <w:jc w:val="both"/>
        <w:rPr>
          <w:sz w:val="20"/>
        </w:rPr>
      </w:pPr>
      <w:r>
        <w:rPr>
          <w:sz w:val="20"/>
        </w:rPr>
        <w:t>Slemp, G. R., Kern, </w:t>
      </w:r>
      <w:r>
        <w:rPr>
          <w:spacing w:val="-4"/>
          <w:sz w:val="20"/>
        </w:rPr>
        <w:t>M. </w:t>
      </w:r>
      <w:r>
        <w:rPr>
          <w:sz w:val="20"/>
        </w:rPr>
        <w:t>L., &amp; Vella-Brodrick, D. A. (2015). Workplace well-being: The role </w:t>
      </w:r>
      <w:r>
        <w:rPr>
          <w:spacing w:val="-3"/>
          <w:sz w:val="20"/>
        </w:rPr>
        <w:t>of </w:t>
      </w:r>
      <w:r>
        <w:rPr>
          <w:sz w:val="20"/>
        </w:rPr>
        <w:t>job crafting and autonomy support. </w:t>
      </w:r>
      <w:r>
        <w:rPr>
          <w:i/>
          <w:sz w:val="20"/>
        </w:rPr>
        <w:t>Psychology of Well-Being</w:t>
      </w:r>
      <w:r>
        <w:rPr>
          <w:sz w:val="20"/>
        </w:rPr>
        <w:t>, </w:t>
      </w:r>
      <w:r>
        <w:rPr>
          <w:i/>
          <w:sz w:val="20"/>
        </w:rPr>
        <w:t>5</w:t>
      </w:r>
      <w:r>
        <w:rPr>
          <w:sz w:val="20"/>
        </w:rPr>
        <w:t>(1),</w:t>
      </w:r>
      <w:r>
        <w:rPr>
          <w:spacing w:val="-10"/>
          <w:sz w:val="20"/>
        </w:rPr>
        <w:t> </w:t>
      </w:r>
      <w:r>
        <w:rPr>
          <w:sz w:val="20"/>
        </w:rPr>
        <w:t>7.</w:t>
      </w:r>
    </w:p>
    <w:p>
      <w:pPr>
        <w:spacing w:line="477" w:lineRule="auto" w:before="0"/>
        <w:ind w:left="720" w:right="228" w:hanging="481"/>
        <w:jc w:val="both"/>
        <w:rPr>
          <w:sz w:val="20"/>
        </w:rPr>
      </w:pPr>
      <w:r>
        <w:rPr>
          <w:sz w:val="20"/>
        </w:rPr>
        <w:t>Slemp, G. R., &amp; Vella-Brodrick, D. A. (2013). The job crafting questionnaire: A new scale to measure the extent to which employees engage in job crafting. </w:t>
      </w:r>
      <w:r>
        <w:rPr>
          <w:i/>
          <w:sz w:val="20"/>
        </w:rPr>
        <w:t>International Journal of Wellbeing</w:t>
      </w:r>
      <w:r>
        <w:rPr>
          <w:sz w:val="20"/>
        </w:rPr>
        <w:t>, </w:t>
      </w:r>
      <w:r>
        <w:rPr>
          <w:i/>
          <w:sz w:val="20"/>
        </w:rPr>
        <w:t>3</w:t>
      </w:r>
      <w:r>
        <w:rPr>
          <w:sz w:val="20"/>
        </w:rPr>
        <w:t>(2), 126– 146.</w:t>
      </w:r>
    </w:p>
    <w:p>
      <w:pPr>
        <w:spacing w:line="480" w:lineRule="auto" w:before="0"/>
        <w:ind w:left="720" w:right="229" w:hanging="481"/>
        <w:jc w:val="both"/>
        <w:rPr>
          <w:sz w:val="20"/>
        </w:rPr>
      </w:pPr>
      <w:r>
        <w:rPr>
          <w:sz w:val="20"/>
        </w:rPr>
        <w:t>Slemp, G. R., &amp; Vella-Brodrick, D. A. (2014</w:t>
      </w:r>
      <w:r>
        <w:rPr>
          <w:i/>
          <w:sz w:val="20"/>
        </w:rPr>
        <w:t>). Optimising employee mental health: The relationship </w:t>
      </w:r>
      <w:r>
        <w:rPr>
          <w:i/>
          <w:sz w:val="20"/>
        </w:rPr>
        <w:t>between intrinsic need satisfaction, job crafting, and employee well-being. Journal Happiness Stud</w:t>
      </w:r>
      <w:r>
        <w:rPr>
          <w:sz w:val="20"/>
        </w:rPr>
        <w:t>, </w:t>
      </w:r>
      <w:r>
        <w:rPr>
          <w:i/>
          <w:sz w:val="20"/>
        </w:rPr>
        <w:t>15</w:t>
      </w:r>
      <w:r>
        <w:rPr>
          <w:sz w:val="20"/>
        </w:rPr>
        <w:t>, 957–977.</w:t>
      </w:r>
    </w:p>
    <w:p>
      <w:pPr>
        <w:spacing w:line="228" w:lineRule="exact" w:before="1"/>
        <w:ind w:left="239" w:right="0" w:firstLine="0"/>
        <w:jc w:val="left"/>
        <w:rPr>
          <w:sz w:val="20"/>
        </w:rPr>
      </w:pPr>
      <w:r>
        <w:rPr>
          <w:sz w:val="20"/>
        </w:rPr>
        <w:t>Sugiyono, 2020, </w:t>
      </w:r>
      <w:r>
        <w:rPr>
          <w:i/>
          <w:sz w:val="20"/>
        </w:rPr>
        <w:t>Metodelogi Penelitian Kuantitatif, Kualitatif Dan R&amp;D. </w:t>
      </w:r>
      <w:r>
        <w:rPr>
          <w:sz w:val="20"/>
        </w:rPr>
        <w:t>(Bandung: ALFABETA)</w:t>
      </w:r>
    </w:p>
    <w:p>
      <w:pPr>
        <w:spacing w:line="228" w:lineRule="exact" w:before="0"/>
        <w:ind w:left="239" w:right="0" w:firstLine="0"/>
        <w:jc w:val="left"/>
        <w:rPr>
          <w:i/>
          <w:sz w:val="20"/>
        </w:rPr>
      </w:pPr>
      <w:r>
        <w:rPr>
          <w:sz w:val="20"/>
        </w:rPr>
        <w:t>Tims, M., &amp; Bakker, A. B. (2010). </w:t>
      </w:r>
      <w:r>
        <w:rPr>
          <w:i/>
          <w:sz w:val="20"/>
        </w:rPr>
        <w:t>Job crafting</w:t>
      </w:r>
      <w:r>
        <w:rPr>
          <w:sz w:val="20"/>
        </w:rPr>
        <w:t>: </w:t>
      </w:r>
      <w:r>
        <w:rPr>
          <w:i/>
          <w:sz w:val="20"/>
        </w:rPr>
        <w:t>Towards a new model of individual job redesign</w:t>
      </w:r>
      <w:r>
        <w:rPr>
          <w:sz w:val="20"/>
        </w:rPr>
        <w:t>. </w:t>
      </w:r>
      <w:r>
        <w:rPr>
          <w:i/>
          <w:sz w:val="20"/>
        </w:rPr>
        <w:t>SA</w:t>
      </w:r>
    </w:p>
    <w:p>
      <w:pPr>
        <w:spacing w:after="0" w:line="228" w:lineRule="exact"/>
        <w:jc w:val="left"/>
        <w:rPr>
          <w:sz w:val="20"/>
        </w:rPr>
        <w:sectPr>
          <w:footerReference w:type="default" r:id="rId12"/>
          <w:pgSz w:w="11910" w:h="16840"/>
          <w:pgMar w:footer="731" w:header="0" w:top="1580" w:bottom="920" w:left="1460" w:right="1460"/>
        </w:sectPr>
      </w:pPr>
    </w:p>
    <w:p>
      <w:pPr>
        <w:spacing w:before="73"/>
        <w:ind w:left="720" w:right="0" w:firstLine="0"/>
        <w:jc w:val="left"/>
        <w:rPr>
          <w:sz w:val="20"/>
        </w:rPr>
      </w:pPr>
      <w:r>
        <w:rPr>
          <w:i/>
          <w:sz w:val="20"/>
        </w:rPr>
        <w:t>Journal of Industrial Psychology</w:t>
      </w:r>
      <w:r>
        <w:rPr>
          <w:sz w:val="20"/>
        </w:rPr>
        <w:t>, </w:t>
      </w:r>
      <w:r>
        <w:rPr>
          <w:i/>
          <w:sz w:val="20"/>
        </w:rPr>
        <w:t>36</w:t>
      </w:r>
      <w:r>
        <w:rPr>
          <w:sz w:val="20"/>
        </w:rPr>
        <w:t>(2), 1–9.</w:t>
      </w:r>
    </w:p>
    <w:p>
      <w:pPr>
        <w:pStyle w:val="BodyText"/>
        <w:rPr>
          <w:sz w:val="20"/>
        </w:rPr>
      </w:pPr>
    </w:p>
    <w:p>
      <w:pPr>
        <w:spacing w:line="480" w:lineRule="auto" w:before="0"/>
        <w:ind w:left="720" w:right="230" w:hanging="481"/>
        <w:jc w:val="both"/>
        <w:rPr>
          <w:sz w:val="20"/>
        </w:rPr>
      </w:pPr>
      <w:r>
        <w:rPr>
          <w:sz w:val="20"/>
        </w:rPr>
        <w:t>Tims, M., Bakker, A. B., Derks, D., &amp; Van Rhenen, W. (2013). Job crafting at the team and individual level: Implications for work engagement and performance. </w:t>
      </w:r>
      <w:r>
        <w:rPr>
          <w:i/>
          <w:sz w:val="20"/>
        </w:rPr>
        <w:t>Group &amp; Organization Management</w:t>
      </w:r>
      <w:r>
        <w:rPr>
          <w:sz w:val="20"/>
        </w:rPr>
        <w:t>, </w:t>
      </w:r>
      <w:r>
        <w:rPr>
          <w:i/>
          <w:sz w:val="20"/>
        </w:rPr>
        <w:t>38</w:t>
      </w:r>
      <w:r>
        <w:rPr>
          <w:sz w:val="20"/>
        </w:rPr>
        <w:t>(4), 427–454.</w:t>
      </w:r>
    </w:p>
    <w:p>
      <w:pPr>
        <w:spacing w:before="4"/>
        <w:ind w:left="239" w:right="0" w:firstLine="0"/>
        <w:jc w:val="both"/>
        <w:rPr>
          <w:sz w:val="20"/>
        </w:rPr>
      </w:pPr>
      <w:r>
        <w:rPr>
          <w:sz w:val="20"/>
        </w:rPr>
        <w:t>Tims, M., Derks, D., &amp; Bakker, A. B. (2012). Development and validation of the job crafting scale.</w:t>
      </w:r>
    </w:p>
    <w:p>
      <w:pPr>
        <w:pStyle w:val="BodyText"/>
        <w:spacing w:before="1"/>
        <w:rPr>
          <w:sz w:val="20"/>
        </w:rPr>
      </w:pPr>
    </w:p>
    <w:p>
      <w:pPr>
        <w:spacing w:before="0"/>
        <w:ind w:left="720" w:right="0" w:firstLine="0"/>
        <w:jc w:val="left"/>
        <w:rPr>
          <w:sz w:val="20"/>
        </w:rPr>
      </w:pPr>
      <w:r>
        <w:rPr>
          <w:i/>
          <w:sz w:val="20"/>
        </w:rPr>
        <w:t>Journal of Vocational Behavior</w:t>
      </w:r>
      <w:r>
        <w:rPr>
          <w:sz w:val="20"/>
        </w:rPr>
        <w:t>, </w:t>
      </w:r>
      <w:r>
        <w:rPr>
          <w:i/>
          <w:sz w:val="20"/>
        </w:rPr>
        <w:t>80</w:t>
      </w:r>
      <w:r>
        <w:rPr>
          <w:sz w:val="20"/>
        </w:rPr>
        <w:t>, 173–186.</w:t>
      </w:r>
    </w:p>
    <w:sectPr>
      <w:footerReference w:type="default" r:id="rId13"/>
      <w:pgSz w:w="11910" w:h="16840"/>
      <w:pgMar w:footer="779" w:header="0" w:top="1580" w:bottom="960" w:left="146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4.179993pt;margin-top:792.442078pt;width:7.55pt;height:14.25pt;mso-position-horizontal-relative:page;mso-position-vertical-relative:page;z-index:-16047616" type="#_x0000_t202" filled="false" stroked="false">
          <v:textbox inset="0,0,0,0">
            <w:txbxContent>
              <w:p>
                <w:pPr>
                  <w:pStyle w:val="BodyText"/>
                  <w:spacing w:before="11"/>
                  <w:ind w:left="20"/>
                </w:pPr>
                <w:r>
                  <w:rPr>
                    <w:w w:val="100"/>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630005pt;margin-top:792.442078pt;width:17.1pt;height:16.1500pt;mso-position-horizontal-relative:page;mso-position-vertical-relative:page;z-index:-16047104" type="#_x0000_t202" filled="false" stroked="false">
          <v:textbox inset="0,0,0,0">
            <w:txbxContent>
              <w:p>
                <w:pPr>
                  <w:pStyle w:val="BodyText"/>
                  <w:spacing w:before="49"/>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4.179993pt;margin-top:791.962097pt;width:7.55pt;height:14.25pt;mso-position-horizontal-relative:page;mso-position-vertical-relative:page;z-index:-16046592" type="#_x0000_t202" filled="false" stroked="false">
          <v:textbox inset="0,0,0,0">
            <w:txbxContent>
              <w:p>
                <w:pPr>
                  <w:pStyle w:val="BodyText"/>
                  <w:spacing w:before="11"/>
                  <w:ind w:left="20"/>
                </w:pPr>
                <w:r>
                  <w:rPr>
                    <w:w w:val="100"/>
                  </w:rPr>
                  <w:t>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8.630005pt;margin-top:794.362122pt;width:13.05pt;height:14.25pt;mso-position-horizontal-relative:page;mso-position-vertical-relative:page;z-index:-16046080" type="#_x0000_t202" filled="false" stroked="false">
          <v:textbox inset="0,0,0,0">
            <w:txbxContent>
              <w:p>
                <w:pPr>
                  <w:pStyle w:val="BodyText"/>
                  <w:spacing w:before="11"/>
                  <w:ind w:left="20"/>
                </w:pPr>
                <w:r>
                  <w:rPr/>
                  <w:t>12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4.179993pt;margin-top:791.962097pt;width:7.55pt;height:14.25pt;mso-position-horizontal-relative:page;mso-position-vertical-relative:page;z-index:-16045568" type="#_x0000_t202" filled="false" stroked="false">
          <v:textbox inset="0,0,0,0">
            <w:txbxContent>
              <w:p>
                <w:pPr>
                  <w:pStyle w:val="BodyText"/>
                  <w:spacing w:before="11"/>
                  <w:ind w:left="20"/>
                </w:pPr>
                <w:r>
                  <w:rPr>
                    <w:w w:val="100"/>
                  </w:rPr>
                  <w:t>1</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8.630005pt;margin-top:794.362122pt;width:13.05pt;height:14.25pt;mso-position-horizontal-relative:page;mso-position-vertical-relative:page;z-index:-16045056" type="#_x0000_t202" filled="false" stroked="false">
          <v:textbox inset="0,0,0,0">
            <w:txbxContent>
              <w:p>
                <w:pPr>
                  <w:pStyle w:val="BodyText"/>
                  <w:spacing w:before="11"/>
                  <w:ind w:left="20"/>
                </w:pPr>
                <w:r>
                  <w:rPr/>
                  <w:t>14</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4.179993pt;margin-top:791.962097pt;width:7.55pt;height:14.25pt;mso-position-horizontal-relative:page;mso-position-vertical-relative:page;z-index:-16044544" type="#_x0000_t202" filled="false" stroked="false">
          <v:textbox inset="0,0,0,0">
            <w:txbxContent>
              <w:p>
                <w:pPr>
                  <w:pStyle w:val="BodyText"/>
                  <w:spacing w:before="11"/>
                  <w:ind w:left="20"/>
                </w:pPr>
                <w:r>
                  <w:rPr>
                    <w:w w:val="100"/>
                  </w:rPr>
                  <w:t>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bCs/>
        <w:w w:val="100"/>
        <w:sz w:val="22"/>
        <w:szCs w:val="22"/>
        <w:lang w:val="id" w:eastAsia="en-US" w:bidi="ar-SA"/>
      </w:rPr>
    </w:lvl>
    <w:lvl w:ilvl="1">
      <w:start w:val="0"/>
      <w:numFmt w:val="bullet"/>
      <w:lvlText w:val="•"/>
      <w:lvlJc w:val="left"/>
      <w:pPr>
        <w:ind w:left="1762" w:hanging="360"/>
      </w:pPr>
      <w:rPr>
        <w:rFonts w:hint="default"/>
        <w:lang w:val="id" w:eastAsia="en-US" w:bidi="ar-SA"/>
      </w:rPr>
    </w:lvl>
    <w:lvl w:ilvl="2">
      <w:start w:val="0"/>
      <w:numFmt w:val="bullet"/>
      <w:lvlText w:val="•"/>
      <w:lvlJc w:val="left"/>
      <w:pPr>
        <w:ind w:left="2565" w:hanging="360"/>
      </w:pPr>
      <w:rPr>
        <w:rFonts w:hint="default"/>
        <w:lang w:val="id" w:eastAsia="en-US" w:bidi="ar-SA"/>
      </w:rPr>
    </w:lvl>
    <w:lvl w:ilvl="3">
      <w:start w:val="0"/>
      <w:numFmt w:val="bullet"/>
      <w:lvlText w:val="•"/>
      <w:lvlJc w:val="left"/>
      <w:pPr>
        <w:ind w:left="3368" w:hanging="360"/>
      </w:pPr>
      <w:rPr>
        <w:rFonts w:hint="default"/>
        <w:lang w:val="id" w:eastAsia="en-US" w:bidi="ar-SA"/>
      </w:rPr>
    </w:lvl>
    <w:lvl w:ilvl="4">
      <w:start w:val="0"/>
      <w:numFmt w:val="bullet"/>
      <w:lvlText w:val="•"/>
      <w:lvlJc w:val="left"/>
      <w:pPr>
        <w:ind w:left="4171" w:hanging="360"/>
      </w:pPr>
      <w:rPr>
        <w:rFonts w:hint="default"/>
        <w:lang w:val="id" w:eastAsia="en-US" w:bidi="ar-SA"/>
      </w:rPr>
    </w:lvl>
    <w:lvl w:ilvl="5">
      <w:start w:val="0"/>
      <w:numFmt w:val="bullet"/>
      <w:lvlText w:val="•"/>
      <w:lvlJc w:val="left"/>
      <w:pPr>
        <w:ind w:left="4974" w:hanging="360"/>
      </w:pPr>
      <w:rPr>
        <w:rFonts w:hint="default"/>
        <w:lang w:val="id" w:eastAsia="en-US" w:bidi="ar-SA"/>
      </w:rPr>
    </w:lvl>
    <w:lvl w:ilvl="6">
      <w:start w:val="0"/>
      <w:numFmt w:val="bullet"/>
      <w:lvlText w:val="•"/>
      <w:lvlJc w:val="left"/>
      <w:pPr>
        <w:ind w:left="5777" w:hanging="360"/>
      </w:pPr>
      <w:rPr>
        <w:rFonts w:hint="default"/>
        <w:lang w:val="id" w:eastAsia="en-US" w:bidi="ar-SA"/>
      </w:rPr>
    </w:lvl>
    <w:lvl w:ilvl="7">
      <w:start w:val="0"/>
      <w:numFmt w:val="bullet"/>
      <w:lvlText w:val="•"/>
      <w:lvlJc w:val="left"/>
      <w:pPr>
        <w:ind w:left="6580" w:hanging="360"/>
      </w:pPr>
      <w:rPr>
        <w:rFonts w:hint="default"/>
        <w:lang w:val="id" w:eastAsia="en-US" w:bidi="ar-SA"/>
      </w:rPr>
    </w:lvl>
    <w:lvl w:ilvl="8">
      <w:start w:val="0"/>
      <w:numFmt w:val="bullet"/>
      <w:lvlText w:val="•"/>
      <w:lvlJc w:val="left"/>
      <w:pPr>
        <w:ind w:left="7383"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729"/>
      <w:outlineLvl w:val="1"/>
    </w:pPr>
    <w:rPr>
      <w:rFonts w:ascii="Times New Roman" w:hAnsi="Times New Roman" w:eastAsia="Times New Roman" w:cs="Times New Roman"/>
      <w:sz w:val="26"/>
      <w:szCs w:val="26"/>
      <w:lang w:val="id" w:eastAsia="en-US" w:bidi="ar-SA"/>
    </w:rPr>
  </w:style>
  <w:style w:styleId="Heading2" w:type="paragraph">
    <w:name w:val="Heading 2"/>
    <w:basedOn w:val="Normal"/>
    <w:uiPriority w:val="1"/>
    <w:qFormat/>
    <w:pPr>
      <w:ind w:left="119" w:right="110" w:firstLine="720"/>
      <w:jc w:val="both"/>
      <w:outlineLvl w:val="2"/>
    </w:pPr>
    <w:rPr>
      <w:rFonts w:ascii="Times New Roman" w:hAnsi="Times New Roman" w:eastAsia="Times New Roman" w:cs="Times New Roman"/>
      <w:sz w:val="24"/>
      <w:szCs w:val="24"/>
      <w:lang w:val="id" w:eastAsia="en-US" w:bidi="ar-SA"/>
    </w:rPr>
  </w:style>
  <w:style w:styleId="Heading3" w:type="paragraph">
    <w:name w:val="Heading 3"/>
    <w:basedOn w:val="Normal"/>
    <w:uiPriority w:val="1"/>
    <w:qFormat/>
    <w:pPr>
      <w:ind w:left="239"/>
      <w:outlineLvl w:val="3"/>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960"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3doaji@gmail.com"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dcterms:created xsi:type="dcterms:W3CDTF">2023-01-26T05:28:11Z</dcterms:created>
  <dcterms:modified xsi:type="dcterms:W3CDTF">2023-01-26T05:28:11Z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2023-01-26T00:00:00Z</vt:filetime>
  </property>
</Properties>
</file>