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52" w:rsidRDefault="00BB1B52" w:rsidP="00BB1B52">
      <w:pPr>
        <w:widowControl w:val="0"/>
        <w:tabs>
          <w:tab w:val="left" w:pos="255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729E">
        <w:rPr>
          <w:rFonts w:ascii="Times New Roman" w:hAnsi="Times New Roman" w:cs="Times New Roman"/>
          <w:b/>
          <w:bCs/>
          <w:sz w:val="24"/>
          <w:szCs w:val="24"/>
        </w:rPr>
        <w:t xml:space="preserve">ANALISIS PENGARUH </w:t>
      </w:r>
      <w:r w:rsidRPr="003A729E">
        <w:rPr>
          <w:rFonts w:ascii="Times New Roman" w:hAnsi="Times New Roman" w:cs="Times New Roman"/>
          <w:b/>
          <w:bCs/>
          <w:iCs/>
          <w:sz w:val="24"/>
          <w:szCs w:val="24"/>
        </w:rPr>
        <w:t>CURRENT RATIO, DE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BT TO EQUITY RATIO, TOTAL ASSETS </w:t>
      </w:r>
      <w:r w:rsidRPr="003A72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TURNOVER, INVENTORY TURNOVER </w:t>
      </w:r>
      <w:r w:rsidRPr="003A729E">
        <w:rPr>
          <w:rFonts w:ascii="Times New Roman" w:hAnsi="Times New Roman" w:cs="Times New Roman"/>
          <w:b/>
          <w:bCs/>
          <w:sz w:val="24"/>
          <w:szCs w:val="24"/>
        </w:rPr>
        <w:t>TERHADAP RETURN ON EQUITY</w:t>
      </w:r>
    </w:p>
    <w:p w:rsidR="00BB1B52" w:rsidRDefault="00BB1B52" w:rsidP="00BB1B52">
      <w:pPr>
        <w:widowControl w:val="0"/>
        <w:tabs>
          <w:tab w:val="left" w:pos="255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29E">
        <w:rPr>
          <w:rFonts w:ascii="Times New Roman" w:hAnsi="Times New Roman" w:cs="Times New Roman"/>
          <w:bCs/>
          <w:sz w:val="24"/>
          <w:szCs w:val="24"/>
        </w:rPr>
        <w:t>(STUDI KASUS PADA PERUSAHAAN OTOMOTIF DAN KOMPONEN YANG TERDAFTAR DI BURSA EFEK INDONESIA PERIODE 2012 – 2015)</w:t>
      </w:r>
    </w:p>
    <w:p w:rsidR="00BB1B52" w:rsidRDefault="00BB1B52" w:rsidP="00BB1B52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1B52" w:rsidRPr="00F01B40" w:rsidRDefault="00BB1B52" w:rsidP="00BB1B52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01B40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F01B40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BB1B52" w:rsidRPr="00F01B40" w:rsidRDefault="00BB1B52" w:rsidP="00BB1B52">
      <w:pPr>
        <w:widowControl w:val="0"/>
        <w:tabs>
          <w:tab w:val="left" w:pos="255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1B40">
        <w:rPr>
          <w:rFonts w:ascii="Times New Roman" w:hAnsi="Times New Roman" w:cs="Times New Roman"/>
          <w:bCs/>
          <w:sz w:val="24"/>
          <w:szCs w:val="24"/>
        </w:rPr>
        <w:t>DIWAN ANDRIANTO</w:t>
      </w:r>
    </w:p>
    <w:p w:rsidR="00BB1B52" w:rsidRDefault="00BB1B52" w:rsidP="00BB1B52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1B40">
        <w:rPr>
          <w:rFonts w:ascii="Times New Roman" w:hAnsi="Times New Roman" w:cs="Times New Roman"/>
          <w:bCs/>
          <w:sz w:val="24"/>
          <w:szCs w:val="24"/>
        </w:rPr>
        <w:t>13051112</w:t>
      </w:r>
    </w:p>
    <w:p w:rsidR="00910E18" w:rsidRDefault="00910E18" w:rsidP="00BB1B52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Manajemen</w:t>
      </w:r>
      <w:proofErr w:type="spellEnd"/>
    </w:p>
    <w:p w:rsidR="00910E18" w:rsidRDefault="00910E18" w:rsidP="00BB1B52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Mercu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Buana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Yogyakarta</w:t>
      </w:r>
    </w:p>
    <w:p w:rsidR="00BB1B52" w:rsidRDefault="00BB1B52" w:rsidP="00BB1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0E18" w:rsidRDefault="00910E18" w:rsidP="00BB1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B1B52" w:rsidRDefault="00BB1B52" w:rsidP="00BB1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ABSTRAK</w:t>
      </w:r>
    </w:p>
    <w:p w:rsidR="00910E18" w:rsidRDefault="00910E18" w:rsidP="00BB1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B52" w:rsidRDefault="00BB1B52" w:rsidP="00BB1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1B52" w:rsidRDefault="00BB1B52" w:rsidP="00BB1B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 xml:space="preserve"> (CR), </w:t>
      </w:r>
      <w:r>
        <w:rPr>
          <w:rFonts w:ascii="Times New Roman" w:hAnsi="Times New Roman" w:cs="Times New Roman"/>
          <w:i/>
          <w:iCs/>
          <w:sz w:val="24"/>
          <w:szCs w:val="24"/>
        </w:rPr>
        <w:t>Debt to Equity Ratio</w:t>
      </w:r>
      <w:r>
        <w:rPr>
          <w:rFonts w:ascii="Times New Roman" w:hAnsi="Times New Roman" w:cs="Times New Roman"/>
          <w:sz w:val="24"/>
          <w:szCs w:val="24"/>
        </w:rPr>
        <w:t xml:space="preserve"> (DER),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Total Asset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Trunover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(TAT),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Inventory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Turnover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IT)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Return on Equity </w:t>
      </w:r>
      <w:r>
        <w:rPr>
          <w:rFonts w:ascii="Times New Roman" w:hAnsi="Times New Roman" w:cs="Times New Roman"/>
          <w:sz w:val="24"/>
          <w:szCs w:val="24"/>
        </w:rPr>
        <w:t>(ROE).</w:t>
      </w:r>
    </w:p>
    <w:p w:rsidR="00BB1B52" w:rsidRDefault="00BB1B52" w:rsidP="00BB1B52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BB1B52" w:rsidRDefault="00BB1B52" w:rsidP="00BB1B52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sampling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purposive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listed di BEI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(2012-2015)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ICMD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annual report. (2)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listed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delisting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ROE, CR, DER, TAT,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IT. (4)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level of significance</w:t>
      </w:r>
      <w:r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1B52" w:rsidRDefault="00BB1B52" w:rsidP="00BB1B5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BB1B52" w:rsidRDefault="00BB1B52" w:rsidP="00BB1B52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CR, DER, TAT, IT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2012-2015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level of significance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0,000%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CR, DER, TAT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(CR, DER, TAT,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IT)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5%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0,000%.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prediksi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ROE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50,9%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adjusted R square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50,9%,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49,1%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B52" w:rsidRDefault="00BB1B52" w:rsidP="00BB1B52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 w:cs="Times New Roman"/>
          <w:sz w:val="24"/>
          <w:szCs w:val="24"/>
        </w:rPr>
      </w:pPr>
    </w:p>
    <w:p w:rsidR="00FE0212" w:rsidRPr="00BB1B52" w:rsidRDefault="00BB1B52" w:rsidP="00BB1B5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40" w:hanging="14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i/>
          <w:iCs/>
          <w:sz w:val="24"/>
          <w:szCs w:val="24"/>
        </w:rPr>
        <w:t>Current Ratio</w:t>
      </w:r>
      <w:r>
        <w:rPr>
          <w:rFonts w:ascii="Times New Roman" w:hAnsi="Times New Roman" w:cs="Times New Roman"/>
          <w:sz w:val="24"/>
          <w:szCs w:val="24"/>
        </w:rPr>
        <w:t xml:space="preserve"> (CR), </w:t>
      </w:r>
      <w:r>
        <w:rPr>
          <w:rFonts w:ascii="Times New Roman" w:hAnsi="Times New Roman" w:cs="Times New Roman"/>
          <w:i/>
          <w:iCs/>
          <w:sz w:val="24"/>
          <w:szCs w:val="24"/>
        </w:rPr>
        <w:t>Debt to Equity Ratio</w:t>
      </w:r>
      <w:r>
        <w:rPr>
          <w:rFonts w:ascii="Times New Roman" w:hAnsi="Times New Roman" w:cs="Times New Roman"/>
          <w:sz w:val="24"/>
          <w:szCs w:val="24"/>
        </w:rPr>
        <w:t xml:space="preserve"> (DER), </w:t>
      </w:r>
      <w:r>
        <w:rPr>
          <w:rFonts w:ascii="Times New Roman" w:hAnsi="Times New Roman" w:cs="Times New Roman"/>
          <w:i/>
          <w:iCs/>
          <w:sz w:val="24"/>
          <w:szCs w:val="24"/>
        </w:rPr>
        <w:t>Total Asset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Trunover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(TAT),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Inventory Turnover  </w:t>
      </w:r>
      <w:r>
        <w:rPr>
          <w:rFonts w:ascii="Times New Roman" w:hAnsi="Times New Roman" w:cs="Times New Roman"/>
          <w:sz w:val="24"/>
          <w:szCs w:val="24"/>
        </w:rPr>
        <w:t xml:space="preserve">(IT)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Retrun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on Equity</w:t>
      </w:r>
      <w:r>
        <w:rPr>
          <w:rFonts w:ascii="Times New Roman" w:hAnsi="Times New Roman" w:cs="Times New Roman"/>
          <w:sz w:val="24"/>
          <w:szCs w:val="24"/>
        </w:rPr>
        <w:t xml:space="preserve"> (ROE).</w:t>
      </w:r>
    </w:p>
    <w:sectPr w:rsidR="00FE0212" w:rsidRPr="00BB1B52" w:rsidSect="00BB1B52">
      <w:headerReference w:type="default" r:id="rId7"/>
      <w:footerReference w:type="default" r:id="rId8"/>
      <w:headerReference w:type="first" r:id="rId9"/>
      <w:pgSz w:w="11907" w:h="16839" w:code="9"/>
      <w:pgMar w:top="1440" w:right="1440" w:bottom="1440" w:left="1440" w:header="720" w:footer="720" w:gutter="0"/>
      <w:pgNumType w:fmt="lowerRoma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30" w:rsidRDefault="00C95B30">
      <w:pPr>
        <w:spacing w:after="0" w:line="240" w:lineRule="auto"/>
      </w:pPr>
      <w:r>
        <w:separator/>
      </w:r>
    </w:p>
  </w:endnote>
  <w:endnote w:type="continuationSeparator" w:id="0">
    <w:p w:rsidR="00C95B30" w:rsidRDefault="00C9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998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7476" w:rsidRDefault="00BB1B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267150" w:rsidRDefault="00C95B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30" w:rsidRDefault="00C95B30">
      <w:pPr>
        <w:spacing w:after="0" w:line="240" w:lineRule="auto"/>
      </w:pPr>
      <w:r>
        <w:separator/>
      </w:r>
    </w:p>
  </w:footnote>
  <w:footnote w:type="continuationSeparator" w:id="0">
    <w:p w:rsidR="00C95B30" w:rsidRDefault="00C9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052" w:rsidRDefault="00C95B30" w:rsidP="00FF7426">
    <w:pPr>
      <w:pStyle w:val="Header"/>
      <w:jc w:val="center"/>
    </w:pPr>
  </w:p>
  <w:p w:rsidR="00267150" w:rsidRDefault="00C95B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150" w:rsidRDefault="00C95B30">
    <w:pPr>
      <w:pStyle w:val="Header"/>
      <w:jc w:val="right"/>
    </w:pPr>
  </w:p>
  <w:p w:rsidR="00267150" w:rsidRDefault="00C95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52"/>
    <w:rsid w:val="00910E18"/>
    <w:rsid w:val="00B67FDB"/>
    <w:rsid w:val="00BB1B52"/>
    <w:rsid w:val="00C95B30"/>
    <w:rsid w:val="00E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B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B5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B5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B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B5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B1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B5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A8A8A8"/>
      </a:dk1>
      <a:lt1>
        <a:sysClr val="window" lastClr="1E1E1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Diwan Andriant</dc:creator>
  <cp:lastModifiedBy>Diwan Andriant</cp:lastModifiedBy>
  <cp:revision>2</cp:revision>
  <dcterms:created xsi:type="dcterms:W3CDTF">2017-02-05T03:11:00Z</dcterms:created>
  <dcterms:modified xsi:type="dcterms:W3CDTF">2017-02-05T11:34:00Z</dcterms:modified>
</cp:coreProperties>
</file>