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14" w:rsidRPr="007C75A2" w:rsidRDefault="00620214" w:rsidP="006202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C75A2">
        <w:rPr>
          <w:rFonts w:ascii="Times New Roman" w:hAnsi="Times New Roman" w:cs="Times New Roman"/>
          <w:sz w:val="28"/>
          <w:szCs w:val="28"/>
        </w:rPr>
        <w:t>INTISARI</w:t>
      </w:r>
    </w:p>
    <w:p w:rsidR="00620214" w:rsidRPr="00C4330C" w:rsidRDefault="00620214" w:rsidP="00620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214" w:rsidRPr="007C75A2" w:rsidRDefault="00620214" w:rsidP="0062021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C75A2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Pr="007C75A2">
        <w:rPr>
          <w:rFonts w:ascii="Times New Roman" w:hAnsi="Times New Roman" w:cs="Times New Roman"/>
          <w:b/>
          <w:i/>
          <w:sz w:val="28"/>
          <w:szCs w:val="28"/>
        </w:rPr>
        <w:t xml:space="preserve">RETURN ON INVESTMENT, LEVERAGE </w:t>
      </w:r>
      <w:r w:rsidRPr="007C75A2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RATIO </w:t>
      </w:r>
      <w:r w:rsidRPr="007C75A2">
        <w:rPr>
          <w:rFonts w:ascii="Times New Roman" w:hAnsi="Times New Roman" w:cs="Times New Roman"/>
          <w:b/>
          <w:sz w:val="28"/>
          <w:szCs w:val="28"/>
        </w:rPr>
        <w:t>DAN</w:t>
      </w:r>
      <w:r w:rsidRPr="007C75A2">
        <w:rPr>
          <w:rFonts w:ascii="Times New Roman" w:hAnsi="Times New Roman" w:cs="Times New Roman"/>
          <w:b/>
          <w:i/>
          <w:sz w:val="28"/>
          <w:szCs w:val="28"/>
        </w:rPr>
        <w:t xml:space="preserve"> DIVIDEND PAYOUT RATIO </w:t>
      </w:r>
      <w:r w:rsidRPr="007C75A2">
        <w:rPr>
          <w:rFonts w:ascii="Times New Roman" w:hAnsi="Times New Roman" w:cs="Times New Roman"/>
          <w:b/>
          <w:sz w:val="28"/>
          <w:szCs w:val="28"/>
        </w:rPr>
        <w:t>TERHADAP NILAI PERUSAHAAN</w:t>
      </w:r>
    </w:p>
    <w:p w:rsidR="00620214" w:rsidRPr="00646CF2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20214" w:rsidRDefault="00620214" w:rsidP="006202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330C">
        <w:rPr>
          <w:rFonts w:ascii="Times New Roman" w:hAnsi="Times New Roman" w:cs="Times New Roman"/>
          <w:sz w:val="28"/>
          <w:szCs w:val="28"/>
        </w:rPr>
        <w:t>Studi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Empiris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Perusahaan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Manufaktur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terdaftar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330C">
        <w:rPr>
          <w:rFonts w:ascii="Times New Roman" w:hAnsi="Times New Roman" w:cs="Times New Roman"/>
          <w:sz w:val="28"/>
          <w:szCs w:val="28"/>
        </w:rPr>
        <w:t>di</w:t>
      </w:r>
      <w:proofErr w:type="spellEnd"/>
      <w:proofErr w:type="gramEnd"/>
      <w:r w:rsidRPr="00C4330C">
        <w:rPr>
          <w:rFonts w:ascii="Times New Roman" w:hAnsi="Times New Roman" w:cs="Times New Roman"/>
          <w:sz w:val="28"/>
          <w:szCs w:val="28"/>
        </w:rPr>
        <w:t xml:space="preserve"> Bursa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Efek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Indonesia </w:t>
      </w:r>
      <w:proofErr w:type="spellStart"/>
      <w:r w:rsidRPr="00C4330C">
        <w:rPr>
          <w:rFonts w:ascii="Times New Roman" w:hAnsi="Times New Roman" w:cs="Times New Roman"/>
          <w:sz w:val="28"/>
          <w:szCs w:val="28"/>
        </w:rPr>
        <w:t>Periode</w:t>
      </w:r>
      <w:proofErr w:type="spellEnd"/>
      <w:r w:rsidRPr="00C4330C">
        <w:rPr>
          <w:rFonts w:ascii="Times New Roman" w:hAnsi="Times New Roman" w:cs="Times New Roman"/>
          <w:sz w:val="28"/>
          <w:szCs w:val="28"/>
        </w:rPr>
        <w:t xml:space="preserve"> 2011 - 2012</w:t>
      </w: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20214" w:rsidRPr="007C75A2" w:rsidRDefault="00620214" w:rsidP="00620214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5A2">
        <w:rPr>
          <w:rFonts w:ascii="Times New Roman" w:hAnsi="Times New Roman" w:cs="Times New Roman"/>
          <w:i/>
          <w:sz w:val="28"/>
          <w:szCs w:val="28"/>
        </w:rPr>
        <w:t>SUGIYANTI</w:t>
      </w:r>
    </w:p>
    <w:p w:rsidR="00620214" w:rsidRPr="007C75A2" w:rsidRDefault="00620214" w:rsidP="00620214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75A2">
        <w:rPr>
          <w:rFonts w:ascii="Times New Roman" w:hAnsi="Times New Roman" w:cs="Times New Roman"/>
          <w:i/>
          <w:sz w:val="28"/>
          <w:szCs w:val="28"/>
        </w:rPr>
        <w:t>NIM :</w:t>
      </w:r>
      <w:proofErr w:type="gramEnd"/>
      <w:r w:rsidRPr="007C75A2">
        <w:rPr>
          <w:rFonts w:ascii="Times New Roman" w:hAnsi="Times New Roman" w:cs="Times New Roman"/>
          <w:i/>
          <w:sz w:val="28"/>
          <w:szCs w:val="28"/>
        </w:rPr>
        <w:t xml:space="preserve"> 11051053</w:t>
      </w:r>
    </w:p>
    <w:p w:rsidR="00620214" w:rsidRPr="00C4330C" w:rsidRDefault="00620214" w:rsidP="00620214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B02B1A">
        <w:rPr>
          <w:rFonts w:ascii="Times New Roman" w:hAnsi="Times New Roman" w:cs="Times New Roman"/>
          <w:sz w:val="24"/>
          <w:szCs w:val="24"/>
        </w:rPr>
        <w:t xml:space="preserve">GRAM STUDI </w:t>
      </w:r>
      <w:r>
        <w:rPr>
          <w:rFonts w:ascii="Times New Roman" w:hAnsi="Times New Roman" w:cs="Times New Roman"/>
          <w:sz w:val="24"/>
          <w:szCs w:val="24"/>
        </w:rPr>
        <w:t xml:space="preserve">MANAJEMEN </w:t>
      </w: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330C">
        <w:rPr>
          <w:rFonts w:ascii="Times New Roman" w:hAnsi="Times New Roman" w:cs="Times New Roman"/>
          <w:sz w:val="24"/>
          <w:szCs w:val="24"/>
        </w:rPr>
        <w:t>UNIVERSITAS MERCUBUANA</w:t>
      </w: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330C">
        <w:rPr>
          <w:rFonts w:ascii="Times New Roman" w:hAnsi="Times New Roman" w:cs="Times New Roman"/>
          <w:sz w:val="24"/>
          <w:szCs w:val="24"/>
        </w:rPr>
        <w:t>YOGYAKARTA</w:t>
      </w:r>
    </w:p>
    <w:p w:rsidR="00620214" w:rsidRPr="00C4330C" w:rsidRDefault="00620214" w:rsidP="006202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330C">
        <w:rPr>
          <w:rFonts w:ascii="Times New Roman" w:hAnsi="Times New Roman" w:cs="Times New Roman"/>
          <w:sz w:val="24"/>
          <w:szCs w:val="24"/>
        </w:rPr>
        <w:t>2015</w:t>
      </w:r>
    </w:p>
    <w:p w:rsidR="00620214" w:rsidRPr="00C4330C" w:rsidRDefault="00620214" w:rsidP="00620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33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simultan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partial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Return On Investment, Leverage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Ratio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Dividend Payout Ratio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Price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Earning</w:t>
      </w:r>
      <w:proofErr w:type="spellEnd"/>
      <w:r w:rsidRPr="00C4330C">
        <w:rPr>
          <w:rFonts w:ascii="Times New Roman" w:hAnsi="Times New Roman" w:cs="Times New Roman"/>
          <w:i/>
          <w:sz w:val="24"/>
          <w:szCs w:val="24"/>
        </w:rPr>
        <w:t xml:space="preserve"> Ratio</w:t>
      </w:r>
      <w:r w:rsidRPr="00C4330C">
        <w:rPr>
          <w:rFonts w:ascii="Times New Roman" w:hAnsi="Times New Roman" w:cs="Times New Roman"/>
          <w:sz w:val="24"/>
          <w:szCs w:val="24"/>
        </w:rPr>
        <w:t>.</w:t>
      </w: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330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Indonesian Capital Market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Direktory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(ICMD)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2011 s/d 2012.</w:t>
      </w:r>
      <w:proofErr w:type="gram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diskriptif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kolmogorov-smirnov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m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ultikolinearitas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tolerance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variance inflation factor (VIF)</w:t>
      </w:r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Durbin Watson (DW)</w:t>
      </w:r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scatterplot</w:t>
      </w:r>
      <w:proofErr w:type="spellEnd"/>
      <w:r w:rsidRPr="00C433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43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T-test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partial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F-test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Return On Investment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C4330C">
        <w:rPr>
          <w:rFonts w:ascii="Times New Roman" w:hAnsi="Times New Roman" w:cs="Times New Roman"/>
          <w:sz w:val="24"/>
          <w:szCs w:val="24"/>
        </w:rPr>
        <w:t>ROI)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Leverage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(LEV) dan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Dividend Payout Ratio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(DPR), berpengaruh signifikan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C4330C">
        <w:rPr>
          <w:rFonts w:ascii="Times New Roman" w:hAnsi="Times New Roman" w:cs="Times New Roman"/>
          <w:sz w:val="24"/>
          <w:szCs w:val="24"/>
          <w:lang w:val="id-ID"/>
        </w:rPr>
        <w:t>hadap nilai perusahaan (PER).</w:t>
      </w:r>
      <w:r w:rsidRPr="00C4330C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partial,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Return On Investment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C4330C">
        <w:rPr>
          <w:rFonts w:ascii="Times New Roman" w:hAnsi="Times New Roman" w:cs="Times New Roman"/>
          <w:sz w:val="24"/>
          <w:szCs w:val="24"/>
        </w:rPr>
        <w:t>ROI)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Dividend Payout Ratio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(DPR</w:t>
      </w:r>
      <w:r w:rsidRPr="00C4330C">
        <w:rPr>
          <w:rFonts w:ascii="Times New Roman" w:hAnsi="Times New Roman" w:cs="Times New Roman"/>
          <w:sz w:val="24"/>
          <w:szCs w:val="24"/>
        </w:rPr>
        <w:t xml:space="preserve">)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berpengaruh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signifikan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(PER),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</w:rPr>
        <w:t>Leverage</w:t>
      </w:r>
      <w:r w:rsidRPr="00C4330C">
        <w:rPr>
          <w:rFonts w:ascii="Times New Roman" w:hAnsi="Times New Roman" w:cs="Times New Roman"/>
          <w:sz w:val="24"/>
          <w:szCs w:val="24"/>
        </w:rPr>
        <w:t xml:space="preserve"> (LEV)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berpengaruh signifikan</w:t>
      </w:r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terhadap nilai perusahaan (PER)</w:t>
      </w:r>
      <w:r w:rsidRPr="00C4330C">
        <w:rPr>
          <w:rFonts w:ascii="Times New Roman" w:hAnsi="Times New Roman" w:cs="Times New Roman"/>
          <w:sz w:val="24"/>
          <w:szCs w:val="24"/>
        </w:rPr>
        <w:t>.</w:t>
      </w: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0214" w:rsidRPr="00C4330C" w:rsidRDefault="00620214" w:rsidP="00620214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0C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30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33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30C">
        <w:rPr>
          <w:rFonts w:ascii="Times New Roman" w:hAnsi="Times New Roman" w:cs="Times New Roman"/>
          <w:sz w:val="24"/>
          <w:szCs w:val="24"/>
        </w:rPr>
        <w:t xml:space="preserve">  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Return On Investment 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C4330C">
        <w:rPr>
          <w:rFonts w:ascii="Times New Roman" w:hAnsi="Times New Roman" w:cs="Times New Roman"/>
          <w:sz w:val="24"/>
          <w:szCs w:val="24"/>
        </w:rPr>
        <w:t>ROI)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Leverage Ratio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(LEV)</w:t>
      </w:r>
      <w:r w:rsidRPr="00C4330C">
        <w:rPr>
          <w:rFonts w:ascii="Times New Roman" w:hAnsi="Times New Roman" w:cs="Times New Roman"/>
          <w:sz w:val="24"/>
          <w:szCs w:val="24"/>
        </w:rPr>
        <w:t>,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330C">
        <w:rPr>
          <w:rFonts w:ascii="Times New Roman" w:hAnsi="Times New Roman" w:cs="Times New Roman"/>
          <w:i/>
          <w:sz w:val="24"/>
          <w:szCs w:val="24"/>
          <w:lang w:val="id-ID"/>
        </w:rPr>
        <w:t>Dividend Payout Ratio</w:t>
      </w:r>
      <w:r w:rsidRPr="00C4330C">
        <w:rPr>
          <w:rFonts w:ascii="Times New Roman" w:hAnsi="Times New Roman" w:cs="Times New Roman"/>
          <w:sz w:val="24"/>
          <w:szCs w:val="24"/>
          <w:lang w:val="id-ID"/>
        </w:rPr>
        <w:t xml:space="preserve"> (DPR)</w:t>
      </w:r>
      <w:r w:rsidRPr="00C43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0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330C">
        <w:rPr>
          <w:rFonts w:ascii="Times New Roman" w:hAnsi="Times New Roman" w:cs="Times New Roman"/>
          <w:sz w:val="24"/>
          <w:szCs w:val="24"/>
        </w:rPr>
        <w:t xml:space="preserve"> Perusahaan (</w:t>
      </w:r>
      <w:r w:rsidRPr="00C4330C">
        <w:rPr>
          <w:rFonts w:ascii="Times New Roman" w:hAnsi="Times New Roman" w:cs="Times New Roman"/>
          <w:i/>
          <w:sz w:val="24"/>
          <w:szCs w:val="24"/>
        </w:rPr>
        <w:t xml:space="preserve">Price </w:t>
      </w:r>
      <w:proofErr w:type="spellStart"/>
      <w:r w:rsidRPr="00C4330C">
        <w:rPr>
          <w:rFonts w:ascii="Times New Roman" w:hAnsi="Times New Roman" w:cs="Times New Roman"/>
          <w:i/>
          <w:sz w:val="24"/>
          <w:szCs w:val="24"/>
        </w:rPr>
        <w:t>Earning</w:t>
      </w:r>
      <w:proofErr w:type="spellEnd"/>
      <w:r w:rsidRPr="00C4330C">
        <w:rPr>
          <w:rFonts w:ascii="Times New Roman" w:hAnsi="Times New Roman" w:cs="Times New Roman"/>
          <w:i/>
          <w:sz w:val="24"/>
          <w:szCs w:val="24"/>
        </w:rPr>
        <w:t xml:space="preserve"> Ratio/ </w:t>
      </w:r>
      <w:r w:rsidRPr="00C4330C">
        <w:rPr>
          <w:rFonts w:ascii="Times New Roman" w:hAnsi="Times New Roman" w:cs="Times New Roman"/>
          <w:sz w:val="24"/>
          <w:szCs w:val="24"/>
        </w:rPr>
        <w:t xml:space="preserve">PER)  </w:t>
      </w:r>
    </w:p>
    <w:p w:rsidR="00620214" w:rsidRPr="00C4330C" w:rsidRDefault="00620214" w:rsidP="006202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42C5" w:rsidRDefault="00CF42C5"/>
    <w:sectPr w:rsidR="00CF42C5" w:rsidSect="00CF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0214"/>
    <w:rsid w:val="005D4543"/>
    <w:rsid w:val="00620214"/>
    <w:rsid w:val="007C75A2"/>
    <w:rsid w:val="00B02B1A"/>
    <w:rsid w:val="00C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2015-02-19T04:18:00Z</dcterms:created>
  <dcterms:modified xsi:type="dcterms:W3CDTF">2015-02-19T05:59:00Z</dcterms:modified>
</cp:coreProperties>
</file>