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8B" w:rsidRPr="00BF038B" w:rsidRDefault="00BF038B" w:rsidP="00BF038B">
      <w:pPr>
        <w:pStyle w:val="Default"/>
        <w:spacing w:line="360" w:lineRule="auto"/>
        <w:jc w:val="center"/>
        <w:rPr>
          <w:b/>
          <w:bCs/>
        </w:rPr>
      </w:pPr>
      <w:r w:rsidRPr="00BF038B">
        <w:rPr>
          <w:b/>
          <w:bCs/>
        </w:rPr>
        <w:t xml:space="preserve">Analisis Perbandingan Kinerja Keuangan Perusahaan Sebelum Dan Sesudah </w:t>
      </w:r>
      <w:r w:rsidRPr="00BF038B">
        <w:rPr>
          <w:b/>
          <w:bCs/>
          <w:i/>
          <w:iCs/>
        </w:rPr>
        <w:t xml:space="preserve">Initial Public Offering (IPO) </w:t>
      </w:r>
      <w:r w:rsidRPr="00BF038B">
        <w:rPr>
          <w:b/>
          <w:bCs/>
          <w:iCs/>
        </w:rPr>
        <w:t>dan Pengaruhnya Pada Tahun Selanjutnya</w:t>
      </w:r>
      <w:r w:rsidRPr="00BF038B">
        <w:rPr>
          <w:b/>
          <w:bCs/>
          <w:i/>
          <w:iCs/>
        </w:rPr>
        <w:t xml:space="preserve"> </w:t>
      </w:r>
      <w:r>
        <w:rPr>
          <w:b/>
          <w:bCs/>
          <w:lang w:val="it-IT"/>
        </w:rPr>
        <w:t>(Studi Pada</w:t>
      </w:r>
      <w:r>
        <w:rPr>
          <w:b/>
          <w:bCs/>
        </w:rPr>
        <w:t xml:space="preserve"> </w:t>
      </w:r>
      <w:r w:rsidRPr="00BF038B">
        <w:rPr>
          <w:b/>
          <w:bCs/>
          <w:lang w:val="it-IT"/>
        </w:rPr>
        <w:t xml:space="preserve">Perusahaan </w:t>
      </w:r>
      <w:r w:rsidRPr="00BF038B">
        <w:rPr>
          <w:b/>
          <w:bCs/>
        </w:rPr>
        <w:t xml:space="preserve">Perbankan </w:t>
      </w:r>
      <w:r w:rsidRPr="00BF038B">
        <w:rPr>
          <w:b/>
          <w:bCs/>
          <w:lang w:val="it-IT"/>
        </w:rPr>
        <w:t xml:space="preserve">yang </w:t>
      </w:r>
      <w:r w:rsidRPr="00BF038B">
        <w:rPr>
          <w:b/>
          <w:bCs/>
          <w:i/>
        </w:rPr>
        <w:t>go public</w:t>
      </w:r>
      <w:r w:rsidRPr="00BF038B">
        <w:rPr>
          <w:b/>
          <w:bCs/>
          <w:lang w:val="it-IT"/>
        </w:rPr>
        <w:t xml:space="preserve"> Di B</w:t>
      </w:r>
      <w:r w:rsidRPr="00BF038B">
        <w:rPr>
          <w:b/>
          <w:bCs/>
        </w:rPr>
        <w:t xml:space="preserve">ursa </w:t>
      </w:r>
      <w:r w:rsidRPr="00BF038B">
        <w:rPr>
          <w:b/>
          <w:bCs/>
          <w:lang w:val="it-IT"/>
        </w:rPr>
        <w:t>E</w:t>
      </w:r>
      <w:r w:rsidRPr="00BF038B">
        <w:rPr>
          <w:b/>
          <w:bCs/>
        </w:rPr>
        <w:t>fek Indonesia</w:t>
      </w:r>
      <w:r w:rsidRPr="00BF038B">
        <w:rPr>
          <w:b/>
          <w:bCs/>
          <w:lang w:val="it-IT"/>
        </w:rPr>
        <w:t>)</w:t>
      </w:r>
    </w:p>
    <w:p w:rsidR="00BF038B" w:rsidRPr="00BF038B" w:rsidRDefault="00BF038B" w:rsidP="00BF038B">
      <w:pPr>
        <w:pStyle w:val="Default"/>
        <w:tabs>
          <w:tab w:val="left" w:pos="993"/>
          <w:tab w:val="right" w:pos="8789"/>
        </w:tabs>
        <w:ind w:left="8789" w:hanging="8789"/>
        <w:jc w:val="center"/>
        <w:rPr>
          <w:bCs/>
        </w:rPr>
      </w:pPr>
    </w:p>
    <w:p w:rsidR="00BF038B" w:rsidRPr="00BF038B" w:rsidRDefault="00BF038B" w:rsidP="00BF038B">
      <w:pPr>
        <w:pStyle w:val="Default"/>
        <w:tabs>
          <w:tab w:val="left" w:pos="993"/>
          <w:tab w:val="right" w:pos="8789"/>
        </w:tabs>
        <w:ind w:left="8789" w:hanging="8789"/>
        <w:jc w:val="center"/>
        <w:rPr>
          <w:bCs/>
        </w:rPr>
      </w:pPr>
      <w:r w:rsidRPr="00BF038B">
        <w:rPr>
          <w:bCs/>
        </w:rPr>
        <w:t>Andari Setyowati</w:t>
      </w:r>
    </w:p>
    <w:p w:rsidR="00BF038B" w:rsidRPr="00BF038B" w:rsidRDefault="00BF038B" w:rsidP="00BF038B">
      <w:pPr>
        <w:pStyle w:val="Default"/>
        <w:tabs>
          <w:tab w:val="left" w:pos="993"/>
          <w:tab w:val="right" w:pos="8789"/>
        </w:tabs>
        <w:ind w:left="8789" w:hanging="8789"/>
        <w:jc w:val="center"/>
        <w:rPr>
          <w:rFonts w:eastAsia="Calibri"/>
          <w:iCs/>
        </w:rPr>
      </w:pPr>
      <w:r w:rsidRPr="00BF038B">
        <w:rPr>
          <w:rFonts w:eastAsia="Calibri"/>
          <w:iCs/>
        </w:rPr>
        <w:t>Manajemen</w:t>
      </w:r>
    </w:p>
    <w:p w:rsidR="00BF038B" w:rsidRPr="00BF038B" w:rsidRDefault="00BF038B" w:rsidP="00BF038B">
      <w:pPr>
        <w:pStyle w:val="Default"/>
        <w:tabs>
          <w:tab w:val="left" w:pos="993"/>
          <w:tab w:val="right" w:pos="8789"/>
        </w:tabs>
        <w:ind w:left="8789" w:hanging="8789"/>
        <w:jc w:val="center"/>
        <w:rPr>
          <w:rFonts w:eastAsia="Calibri"/>
          <w:iCs/>
        </w:rPr>
      </w:pPr>
      <w:r w:rsidRPr="00BF038B">
        <w:rPr>
          <w:rFonts w:eastAsia="Calibri"/>
          <w:iCs/>
        </w:rPr>
        <w:t>Universitas Mercubuana Yogyakarta</w:t>
      </w:r>
    </w:p>
    <w:p w:rsidR="00BF038B" w:rsidRPr="00BF038B" w:rsidRDefault="00BF038B" w:rsidP="00BF038B">
      <w:pPr>
        <w:pStyle w:val="Default"/>
        <w:tabs>
          <w:tab w:val="left" w:pos="993"/>
          <w:tab w:val="right" w:pos="8789"/>
        </w:tabs>
        <w:ind w:left="8789" w:hanging="8789"/>
        <w:jc w:val="center"/>
        <w:rPr>
          <w:rFonts w:eastAsia="Calibri"/>
          <w:iCs/>
        </w:rPr>
      </w:pPr>
    </w:p>
    <w:p w:rsidR="00BF038B" w:rsidRDefault="00BF038B" w:rsidP="00BF038B">
      <w:pPr>
        <w:pStyle w:val="Default"/>
        <w:tabs>
          <w:tab w:val="left" w:pos="993"/>
          <w:tab w:val="right" w:pos="8789"/>
        </w:tabs>
        <w:ind w:left="8789" w:hanging="8789"/>
        <w:jc w:val="center"/>
        <w:rPr>
          <w:rFonts w:eastAsia="Calibri"/>
          <w:iCs/>
        </w:rPr>
      </w:pPr>
    </w:p>
    <w:p w:rsidR="00BF038B" w:rsidRPr="00BF038B" w:rsidRDefault="00BF038B" w:rsidP="00BF038B">
      <w:pPr>
        <w:pStyle w:val="Default"/>
        <w:tabs>
          <w:tab w:val="left" w:pos="993"/>
          <w:tab w:val="right" w:pos="8789"/>
        </w:tabs>
        <w:ind w:left="8789" w:hanging="8789"/>
        <w:jc w:val="center"/>
        <w:rPr>
          <w:rFonts w:eastAsia="Calibri"/>
          <w:iCs/>
        </w:rPr>
      </w:pPr>
      <w:r w:rsidRPr="00BF038B">
        <w:rPr>
          <w:rFonts w:eastAsia="Calibri"/>
          <w:iCs/>
        </w:rPr>
        <w:t>ABSTRAKSI</w:t>
      </w:r>
    </w:p>
    <w:p w:rsidR="00BF038B" w:rsidRDefault="00BF038B" w:rsidP="00BF038B">
      <w:pPr>
        <w:tabs>
          <w:tab w:val="center" w:pos="1418"/>
          <w:tab w:val="center" w:pos="6521"/>
        </w:tabs>
        <w:spacing w:line="360" w:lineRule="auto"/>
        <w:rPr>
          <w:rFonts w:ascii="Times New Roman" w:eastAsia="Calibri" w:hAnsi="Times New Roman" w:cs="Times New Roman"/>
          <w:b/>
          <w:iCs/>
          <w:color w:val="000000"/>
          <w:sz w:val="24"/>
          <w:szCs w:val="24"/>
          <w:lang w:eastAsia="en-US"/>
        </w:rPr>
      </w:pPr>
    </w:p>
    <w:p w:rsidR="00BF038B" w:rsidRDefault="00BF038B" w:rsidP="00BF038B">
      <w:pPr>
        <w:tabs>
          <w:tab w:val="center" w:pos="6521"/>
        </w:tabs>
        <w:spacing w:line="240" w:lineRule="auto"/>
        <w:ind w:firstLine="851"/>
        <w:jc w:val="both"/>
        <w:rPr>
          <w:rFonts w:ascii="Times New Roman" w:eastAsia="Calibri" w:hAnsi="Times New Roman" w:cs="Times New Roman"/>
          <w:iCs/>
          <w:color w:val="000000"/>
          <w:sz w:val="24"/>
          <w:szCs w:val="24"/>
          <w:lang w:eastAsia="en-US"/>
        </w:rPr>
      </w:pPr>
      <w:r w:rsidRPr="00BD154E">
        <w:rPr>
          <w:rFonts w:ascii="Times New Roman" w:eastAsia="Calibri" w:hAnsi="Times New Roman" w:cs="Times New Roman"/>
          <w:iCs/>
          <w:color w:val="000000"/>
          <w:sz w:val="24"/>
          <w:szCs w:val="24"/>
          <w:lang w:eastAsia="en-US"/>
        </w:rPr>
        <w:t>Peneli</w:t>
      </w:r>
      <w:r>
        <w:rPr>
          <w:rFonts w:ascii="Times New Roman" w:eastAsia="Calibri" w:hAnsi="Times New Roman" w:cs="Times New Roman"/>
          <w:iCs/>
          <w:color w:val="000000"/>
          <w:sz w:val="24"/>
          <w:szCs w:val="24"/>
          <w:lang w:eastAsia="en-US"/>
        </w:rPr>
        <w:t xml:space="preserve">tian ini dilakukan untuk menganalisis perbedaan yang terjadi pada kinerja keuangan perusahaan antara 1 tahun sebelum IPO dan 1 tahun setelah IPO pada perusahaan perbankan yang sudah </w:t>
      </w:r>
      <w:r w:rsidRPr="0063314B">
        <w:rPr>
          <w:rFonts w:ascii="Times New Roman" w:eastAsia="Calibri" w:hAnsi="Times New Roman" w:cs="Times New Roman"/>
          <w:i/>
          <w:iCs/>
          <w:color w:val="000000"/>
          <w:sz w:val="24"/>
          <w:szCs w:val="24"/>
          <w:lang w:eastAsia="en-US"/>
        </w:rPr>
        <w:t>go public</w:t>
      </w:r>
      <w:r>
        <w:rPr>
          <w:rFonts w:ascii="Times New Roman" w:eastAsia="Calibri" w:hAnsi="Times New Roman" w:cs="Times New Roman"/>
          <w:iCs/>
          <w:color w:val="000000"/>
          <w:sz w:val="24"/>
          <w:szCs w:val="24"/>
          <w:lang w:eastAsia="en-US"/>
        </w:rPr>
        <w:t xml:space="preserve"> dan melakukan </w:t>
      </w:r>
      <w:r w:rsidRPr="00405ED7">
        <w:rPr>
          <w:rFonts w:ascii="Times New Roman" w:eastAsia="Calibri" w:hAnsi="Times New Roman" w:cs="Times New Roman"/>
          <w:i/>
          <w:iCs/>
          <w:color w:val="000000"/>
          <w:sz w:val="24"/>
          <w:szCs w:val="24"/>
          <w:lang w:eastAsia="en-US"/>
        </w:rPr>
        <w:t>Initial Public Offering</w:t>
      </w:r>
      <w:r>
        <w:rPr>
          <w:rFonts w:ascii="Times New Roman" w:eastAsia="Calibri" w:hAnsi="Times New Roman" w:cs="Times New Roman"/>
          <w:iCs/>
          <w:color w:val="000000"/>
          <w:sz w:val="24"/>
          <w:szCs w:val="24"/>
          <w:lang w:eastAsia="en-US"/>
        </w:rPr>
        <w:t xml:space="preserve"> (IPO) di Bursa Efek Indonesia periode tahun 2004-2013 serta untuk mengetahui pengaruh IPO yang terjadi di tahun selanjutnya (2 tahun setelah IPO). Rasio keuangan perbankan yang digunakan sebagai variabel adalah </w:t>
      </w:r>
      <w:r w:rsidRPr="00405ED7">
        <w:rPr>
          <w:rFonts w:ascii="Times New Roman" w:eastAsia="Calibri" w:hAnsi="Times New Roman" w:cs="Times New Roman"/>
          <w:i/>
          <w:iCs/>
          <w:color w:val="000000"/>
          <w:sz w:val="24"/>
          <w:szCs w:val="24"/>
          <w:lang w:eastAsia="en-US"/>
        </w:rPr>
        <w:t>Capital Adequancy Ratio</w:t>
      </w:r>
      <w:r>
        <w:rPr>
          <w:rFonts w:ascii="Times New Roman" w:eastAsia="Calibri" w:hAnsi="Times New Roman" w:cs="Times New Roman"/>
          <w:iCs/>
          <w:color w:val="000000"/>
          <w:sz w:val="24"/>
          <w:szCs w:val="24"/>
          <w:lang w:eastAsia="en-US"/>
        </w:rPr>
        <w:t xml:space="preserve"> (CAR), </w:t>
      </w:r>
      <w:r w:rsidRPr="00405ED7">
        <w:rPr>
          <w:rFonts w:ascii="Times New Roman" w:eastAsia="Calibri" w:hAnsi="Times New Roman" w:cs="Times New Roman"/>
          <w:i/>
          <w:iCs/>
          <w:color w:val="000000"/>
          <w:sz w:val="24"/>
          <w:szCs w:val="24"/>
          <w:lang w:eastAsia="en-US"/>
        </w:rPr>
        <w:t xml:space="preserve">Return On Equity </w:t>
      </w:r>
      <w:r>
        <w:rPr>
          <w:rFonts w:ascii="Times New Roman" w:eastAsia="Calibri" w:hAnsi="Times New Roman" w:cs="Times New Roman"/>
          <w:iCs/>
          <w:color w:val="000000"/>
          <w:sz w:val="24"/>
          <w:szCs w:val="24"/>
          <w:lang w:eastAsia="en-US"/>
        </w:rPr>
        <w:t xml:space="preserve">(ROE), </w:t>
      </w:r>
      <w:r w:rsidRPr="00405ED7">
        <w:rPr>
          <w:rFonts w:ascii="Times New Roman" w:eastAsia="Calibri" w:hAnsi="Times New Roman" w:cs="Times New Roman"/>
          <w:i/>
          <w:iCs/>
          <w:color w:val="000000"/>
          <w:sz w:val="24"/>
          <w:szCs w:val="24"/>
          <w:lang w:eastAsia="en-US"/>
        </w:rPr>
        <w:t>Return On Assets</w:t>
      </w:r>
      <w:r>
        <w:rPr>
          <w:rFonts w:ascii="Times New Roman" w:eastAsia="Calibri" w:hAnsi="Times New Roman" w:cs="Times New Roman"/>
          <w:iCs/>
          <w:color w:val="000000"/>
          <w:sz w:val="24"/>
          <w:szCs w:val="24"/>
          <w:lang w:eastAsia="en-US"/>
        </w:rPr>
        <w:t xml:space="preserve"> (ROA), </w:t>
      </w:r>
      <w:r w:rsidRPr="00405ED7">
        <w:rPr>
          <w:rFonts w:ascii="Times New Roman" w:eastAsia="Calibri" w:hAnsi="Times New Roman" w:cs="Times New Roman"/>
          <w:i/>
          <w:iCs/>
          <w:color w:val="000000"/>
          <w:sz w:val="24"/>
          <w:szCs w:val="24"/>
          <w:lang w:eastAsia="en-US"/>
        </w:rPr>
        <w:t>Net Interest Margin</w:t>
      </w:r>
      <w:r>
        <w:rPr>
          <w:rFonts w:ascii="Times New Roman" w:eastAsia="Calibri" w:hAnsi="Times New Roman" w:cs="Times New Roman"/>
          <w:iCs/>
          <w:color w:val="000000"/>
          <w:sz w:val="24"/>
          <w:szCs w:val="24"/>
          <w:lang w:eastAsia="en-US"/>
        </w:rPr>
        <w:t xml:space="preserve"> (NIM) dan </w:t>
      </w:r>
      <w:r w:rsidRPr="00405ED7">
        <w:rPr>
          <w:rFonts w:ascii="Times New Roman" w:eastAsia="Calibri" w:hAnsi="Times New Roman" w:cs="Times New Roman"/>
          <w:i/>
          <w:iCs/>
          <w:color w:val="000000"/>
          <w:sz w:val="24"/>
          <w:szCs w:val="24"/>
          <w:lang w:eastAsia="en-US"/>
        </w:rPr>
        <w:t>Loan to Deposit Ratio</w:t>
      </w:r>
      <w:r>
        <w:rPr>
          <w:rFonts w:ascii="Times New Roman" w:eastAsia="Calibri" w:hAnsi="Times New Roman" w:cs="Times New Roman"/>
          <w:iCs/>
          <w:color w:val="000000"/>
          <w:sz w:val="24"/>
          <w:szCs w:val="24"/>
          <w:lang w:eastAsia="en-US"/>
        </w:rPr>
        <w:t xml:space="preserve"> (LDR). Populasi penelitian ini adalah seluruh perusahaan perbankan yang sudah </w:t>
      </w:r>
      <w:r w:rsidRPr="0063314B">
        <w:rPr>
          <w:rFonts w:ascii="Times New Roman" w:eastAsia="Calibri" w:hAnsi="Times New Roman" w:cs="Times New Roman"/>
          <w:i/>
          <w:iCs/>
          <w:color w:val="000000"/>
          <w:sz w:val="24"/>
          <w:szCs w:val="24"/>
          <w:lang w:eastAsia="en-US"/>
        </w:rPr>
        <w:t>go public</w:t>
      </w:r>
      <w:r>
        <w:rPr>
          <w:rFonts w:ascii="Times New Roman" w:eastAsia="Calibri" w:hAnsi="Times New Roman" w:cs="Times New Roman"/>
          <w:iCs/>
          <w:color w:val="000000"/>
          <w:sz w:val="24"/>
          <w:szCs w:val="24"/>
          <w:lang w:eastAsia="en-US"/>
        </w:rPr>
        <w:t xml:space="preserve"> dan terdaftar di BEI hingga tahun 2014, dengan sampel yang digunakan sebanyak 9 perusahaan yang diambil dengan teknik </w:t>
      </w:r>
      <w:r w:rsidRPr="00405ED7">
        <w:rPr>
          <w:rFonts w:ascii="Times New Roman" w:eastAsia="Calibri" w:hAnsi="Times New Roman" w:cs="Times New Roman"/>
          <w:i/>
          <w:iCs/>
          <w:color w:val="000000"/>
          <w:sz w:val="24"/>
          <w:szCs w:val="24"/>
          <w:lang w:eastAsia="en-US"/>
        </w:rPr>
        <w:t>purposive sampling</w:t>
      </w:r>
      <w:r>
        <w:rPr>
          <w:rFonts w:ascii="Times New Roman" w:eastAsia="Calibri" w:hAnsi="Times New Roman" w:cs="Times New Roman"/>
          <w:iCs/>
          <w:color w:val="000000"/>
          <w:sz w:val="24"/>
          <w:szCs w:val="24"/>
          <w:lang w:eastAsia="en-US"/>
        </w:rPr>
        <w:t xml:space="preserve">. Hasil analisis dengan uji </w:t>
      </w:r>
      <w:r w:rsidRPr="00405ED7">
        <w:rPr>
          <w:rFonts w:ascii="Times New Roman" w:eastAsia="Calibri" w:hAnsi="Times New Roman" w:cs="Times New Roman"/>
          <w:i/>
          <w:iCs/>
          <w:color w:val="000000"/>
          <w:sz w:val="24"/>
          <w:szCs w:val="24"/>
          <w:lang w:eastAsia="en-US"/>
        </w:rPr>
        <w:t>paired t-test</w:t>
      </w:r>
      <w:r>
        <w:rPr>
          <w:rFonts w:ascii="Times New Roman" w:eastAsia="Calibri" w:hAnsi="Times New Roman" w:cs="Times New Roman"/>
          <w:iCs/>
          <w:color w:val="000000"/>
          <w:sz w:val="24"/>
          <w:szCs w:val="24"/>
          <w:lang w:eastAsia="en-US"/>
        </w:rPr>
        <w:t xml:space="preserve"> yang telah dilakukan dalam penelitian ini dapat disimpulkan bahwa kinerja keuangan perusahaan perbankan sebelum IPO yang dilihat dari ROE, ROA, NIM dan LDR tidak berbeda secara siginifikan setelah IPO, hanya rasio CAR saja yang berbeda secara signifikan setelah IPO. Sedangkan untuk hasil analisis dengan uji regresi sederhana kinerja keuangan sebelum IPO yang dilihat dari rasio CAR, ROA dan LDR memiliki pengaruh signifikan di tahun selanjutnya, sedangkan rasio ROE dan NIM sebelum IPO tidak berdampak signifikan pada tahun selanjutnya.</w:t>
      </w: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r>
        <w:rPr>
          <w:rFonts w:ascii="Times New Roman" w:eastAsia="Calibri" w:hAnsi="Times New Roman" w:cs="Times New Roman"/>
          <w:iCs/>
          <w:color w:val="000000"/>
          <w:sz w:val="24"/>
          <w:szCs w:val="24"/>
          <w:lang w:eastAsia="en-US"/>
        </w:rPr>
        <w:t xml:space="preserve">Kata kunci : </w:t>
      </w:r>
      <w:r w:rsidRPr="00405ED7">
        <w:rPr>
          <w:rFonts w:ascii="Times New Roman" w:eastAsia="Calibri" w:hAnsi="Times New Roman" w:cs="Times New Roman"/>
          <w:i/>
          <w:iCs/>
          <w:color w:val="000000"/>
          <w:sz w:val="24"/>
          <w:szCs w:val="24"/>
          <w:lang w:eastAsia="en-US"/>
        </w:rPr>
        <w:t>Initial Public Offering</w:t>
      </w:r>
      <w:r>
        <w:rPr>
          <w:rFonts w:ascii="Times New Roman" w:eastAsia="Calibri" w:hAnsi="Times New Roman" w:cs="Times New Roman"/>
          <w:iCs/>
          <w:color w:val="000000"/>
          <w:sz w:val="24"/>
          <w:szCs w:val="24"/>
          <w:lang w:eastAsia="en-US"/>
        </w:rPr>
        <w:t xml:space="preserve"> (IPO), Kinerja Keuangan</w:t>
      </w: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BF038B" w:rsidRDefault="00BF038B" w:rsidP="00BF038B">
      <w:pPr>
        <w:tabs>
          <w:tab w:val="center" w:pos="6521"/>
        </w:tabs>
        <w:spacing w:line="240" w:lineRule="auto"/>
        <w:jc w:val="both"/>
        <w:rPr>
          <w:rFonts w:ascii="Times New Roman" w:eastAsia="Calibri" w:hAnsi="Times New Roman" w:cs="Times New Roman"/>
          <w:iCs/>
          <w:color w:val="000000"/>
          <w:sz w:val="24"/>
          <w:szCs w:val="24"/>
          <w:lang w:eastAsia="en-US"/>
        </w:rPr>
      </w:pPr>
    </w:p>
    <w:p w:rsidR="00801A46" w:rsidRDefault="00801A46"/>
    <w:sectPr w:rsidR="00801A46" w:rsidSect="00801A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038B"/>
    <w:rsid w:val="00801A46"/>
    <w:rsid w:val="00BF038B"/>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038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259</Words>
  <Characters>1479</Characters>
  <Application>Microsoft Office Word</Application>
  <DocSecurity>0</DocSecurity>
  <Lines>12</Lines>
  <Paragraphs>3</Paragraphs>
  <ScaleCrop>false</ScaleCrop>
  <Company>Toshiba</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ANDARI SETYOWATI</dc:creator>
  <cp:lastModifiedBy>ANDARI SETYOWATI</cp:lastModifiedBy>
  <cp:revision>1</cp:revision>
  <dcterms:created xsi:type="dcterms:W3CDTF">2015-02-11T08:04:00Z</dcterms:created>
  <dcterms:modified xsi:type="dcterms:W3CDTF">2015-02-11T08:13:00Z</dcterms:modified>
</cp:coreProperties>
</file>