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90DF9" w14:textId="7596BA9E" w:rsidR="00EA147B" w:rsidRPr="00EA147B" w:rsidRDefault="00EA147B" w:rsidP="00EA147B">
      <w:pPr>
        <w:jc w:val="center"/>
        <w:rPr>
          <w:b/>
          <w:bCs/>
          <w:sz w:val="24"/>
          <w:szCs w:val="24"/>
        </w:rPr>
      </w:pPr>
      <w:bookmarkStart w:id="0" w:name="_Hlk140939833"/>
      <w:r w:rsidRPr="00EA147B">
        <w:rPr>
          <w:b/>
          <w:bCs/>
          <w:sz w:val="24"/>
          <w:szCs w:val="24"/>
        </w:rPr>
        <w:t>PENGARUH KESADARAN MEMBAYAR PAJAK, PERSEPSI ATAS EFEKTIVITAS SISTEM PERPAJAKAN, DAN PEMAHAMAN PERATURAN PEMERINTAH NOMOR 23 TAHUN 2018 TERHADAP KEMAUAN MEMBAYAR PAJAK (PADA UMKM SEKTOR PERDAGANGAN DI KABUPATEN SLEMAN)</w:t>
      </w:r>
    </w:p>
    <w:bookmarkEnd w:id="0"/>
    <w:p w14:paraId="428409B8" w14:textId="77777777" w:rsidR="00EA147B" w:rsidRPr="001F4554" w:rsidRDefault="00EA147B" w:rsidP="001F4554">
      <w:pPr>
        <w:jc w:val="center"/>
        <w:rPr>
          <w:rFonts w:eastAsiaTheme="minorHAnsi"/>
          <w:b/>
          <w:sz w:val="32"/>
          <w:szCs w:val="32"/>
          <w:lang w:val="id-ID"/>
        </w:rPr>
      </w:pPr>
    </w:p>
    <w:p w14:paraId="7AA66C72" w14:textId="77777777" w:rsidR="00EA147B" w:rsidRPr="006F1FCF" w:rsidRDefault="00EA147B" w:rsidP="00EA147B">
      <w:pPr>
        <w:jc w:val="center"/>
        <w:rPr>
          <w:b/>
          <w:bCs/>
          <w:i/>
          <w:iCs/>
          <w:sz w:val="24"/>
          <w:szCs w:val="24"/>
          <w:lang w:eastAsia="en-ID"/>
        </w:rPr>
      </w:pPr>
      <w:r w:rsidRPr="006F1FCF">
        <w:rPr>
          <w:b/>
          <w:bCs/>
          <w:i/>
          <w:iCs/>
          <w:sz w:val="24"/>
          <w:szCs w:val="24"/>
          <w:lang w:eastAsia="en-ID"/>
        </w:rPr>
        <w:t>THE EFFECT OF AWARENESS OF PAYING TAX, PERCEPTIONS OF THE EFFECTIVENESS OF THE TAX SYSTEM, AND UNDERSTANDING OF GOVERNMENT REGULATION NUMBER 23 OF 2018 ON THE WILLING TO PAY TAX (IN TRADE SECTOR MSMEs IN SLEMAN REGENCY)</w:t>
      </w:r>
    </w:p>
    <w:p w14:paraId="661CB145" w14:textId="77777777" w:rsidR="00EA147B" w:rsidRPr="00EA147B" w:rsidRDefault="00EA147B" w:rsidP="00EA147B">
      <w:pPr>
        <w:jc w:val="center"/>
        <w:rPr>
          <w:b/>
          <w:noProof/>
          <w:lang w:val="id-ID"/>
        </w:rPr>
      </w:pPr>
    </w:p>
    <w:p w14:paraId="1E0D22DF" w14:textId="5496A6D0" w:rsidR="00C04F4E" w:rsidRPr="00EA147B" w:rsidRDefault="00EA147B" w:rsidP="001363D2">
      <w:pPr>
        <w:jc w:val="center"/>
        <w:rPr>
          <w:b/>
          <w:noProof/>
        </w:rPr>
      </w:pPr>
      <w:r w:rsidRPr="00EA147B">
        <w:rPr>
          <w:lang w:eastAsia="en-ID"/>
        </w:rPr>
        <w:t>Febriana Nur Hidayah</w:t>
      </w:r>
      <w:r w:rsidR="00060CD6" w:rsidRPr="00EA147B">
        <w:rPr>
          <w:b/>
          <w:noProof/>
          <w:vertAlign w:val="superscript"/>
          <w:lang w:val="id-ID"/>
        </w:rPr>
        <w:t>1</w:t>
      </w:r>
      <w:r w:rsidRPr="00EA147B">
        <w:rPr>
          <w:b/>
          <w:noProof/>
          <w:vertAlign w:val="superscript"/>
        </w:rPr>
        <w:t>*</w:t>
      </w:r>
      <w:r w:rsidR="00C04F4E" w:rsidRPr="00EA147B">
        <w:rPr>
          <w:b/>
          <w:noProof/>
          <w:lang w:val="id-ID"/>
        </w:rPr>
        <w:t xml:space="preserve">, </w:t>
      </w:r>
      <w:r w:rsidRPr="00EA147B">
        <w:rPr>
          <w:rFonts w:eastAsia="Calibri"/>
        </w:rPr>
        <w:t>Ika Wulandari</w:t>
      </w:r>
      <w:r w:rsidRPr="00EA147B">
        <w:rPr>
          <w:b/>
          <w:noProof/>
          <w:vertAlign w:val="superscript"/>
          <w:lang w:val="id-ID"/>
        </w:rPr>
        <w:t xml:space="preserve"> </w:t>
      </w:r>
      <w:r w:rsidR="00060CD6" w:rsidRPr="00EA147B">
        <w:rPr>
          <w:b/>
          <w:noProof/>
          <w:vertAlign w:val="superscript"/>
          <w:lang w:val="id-ID"/>
        </w:rPr>
        <w:t>2</w:t>
      </w:r>
    </w:p>
    <w:p w14:paraId="78FF848C" w14:textId="7DFEB291" w:rsidR="008D727C" w:rsidRPr="00EA147B" w:rsidRDefault="00236EFE" w:rsidP="00EA147B">
      <w:pPr>
        <w:jc w:val="center"/>
        <w:rPr>
          <w:bCs/>
          <w:noProof/>
          <w:sz w:val="20"/>
          <w:szCs w:val="20"/>
          <w:lang w:val="id-ID"/>
        </w:rPr>
      </w:pPr>
      <w:r w:rsidRPr="00EA147B">
        <w:rPr>
          <w:noProof/>
          <w:sz w:val="20"/>
          <w:szCs w:val="20"/>
          <w:vertAlign w:val="superscript"/>
        </w:rPr>
        <w:t>1</w:t>
      </w:r>
      <w:r w:rsidR="00EA147B">
        <w:rPr>
          <w:noProof/>
          <w:sz w:val="20"/>
          <w:szCs w:val="20"/>
          <w:vertAlign w:val="superscript"/>
        </w:rPr>
        <w:t>2</w:t>
      </w:r>
      <w:r w:rsidR="00EA147B" w:rsidRPr="00EA147B">
        <w:rPr>
          <w:bCs/>
          <w:noProof/>
          <w:sz w:val="20"/>
          <w:szCs w:val="20"/>
          <w:lang w:val="id-ID"/>
        </w:rPr>
        <w:t>Program Studi Akuntansi, Fakultas Ekonomi</w:t>
      </w:r>
      <w:r w:rsidR="00EA147B" w:rsidRPr="00EA147B">
        <w:rPr>
          <w:bCs/>
          <w:noProof/>
          <w:sz w:val="20"/>
          <w:szCs w:val="20"/>
        </w:rPr>
        <w:t xml:space="preserve">, </w:t>
      </w:r>
      <w:r w:rsidR="00EA147B" w:rsidRPr="00EA147B">
        <w:rPr>
          <w:rFonts w:eastAsia="Calibri"/>
          <w:sz w:val="20"/>
          <w:szCs w:val="20"/>
        </w:rPr>
        <w:t>Universitas Mercu Buana Yogyakarta</w:t>
      </w:r>
    </w:p>
    <w:p w14:paraId="7D8CF042" w14:textId="5938DD2D" w:rsidR="00007518" w:rsidRPr="00EA147B" w:rsidRDefault="00007518" w:rsidP="008D727C">
      <w:pPr>
        <w:spacing w:line="276" w:lineRule="auto"/>
        <w:jc w:val="center"/>
        <w:rPr>
          <w:rFonts w:eastAsia="Arial"/>
          <w:sz w:val="20"/>
          <w:szCs w:val="20"/>
        </w:rPr>
      </w:pPr>
      <w:r w:rsidRPr="00EA147B">
        <w:rPr>
          <w:noProof/>
          <w:sz w:val="20"/>
          <w:szCs w:val="20"/>
        </w:rPr>
        <w:t xml:space="preserve">Email </w:t>
      </w:r>
      <w:r w:rsidR="00EA147B">
        <w:rPr>
          <w:noProof/>
          <w:sz w:val="20"/>
          <w:szCs w:val="20"/>
        </w:rPr>
        <w:t>penulis</w:t>
      </w:r>
      <w:r w:rsidRPr="00EA147B">
        <w:rPr>
          <w:noProof/>
          <w:sz w:val="20"/>
          <w:szCs w:val="20"/>
        </w:rPr>
        <w:t xml:space="preserve">: </w:t>
      </w:r>
      <w:r w:rsidR="0010678A" w:rsidRPr="0010678A">
        <w:rPr>
          <w:noProof/>
          <w:sz w:val="20"/>
          <w:szCs w:val="20"/>
        </w:rPr>
        <w:t>febriananurhidayah12@gmail.com</w:t>
      </w:r>
    </w:p>
    <w:p w14:paraId="1A331AC3" w14:textId="77777777" w:rsidR="00C04F4E" w:rsidRPr="00BE4157" w:rsidRDefault="00C04F4E" w:rsidP="00C04F4E">
      <w:pPr>
        <w:spacing w:line="260" w:lineRule="exact"/>
        <w:rPr>
          <w:noProof/>
          <w:sz w:val="24"/>
          <w:lang w:val="id-ID"/>
        </w:rPr>
      </w:pP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236EFE" w:rsidRPr="00BE4157" w14:paraId="64767D8E" w14:textId="77777777" w:rsidTr="00367306">
        <w:trPr>
          <w:trHeight w:val="218"/>
        </w:trPr>
        <w:tc>
          <w:tcPr>
            <w:tcW w:w="9214" w:type="dxa"/>
            <w:shd w:val="clear" w:color="auto" w:fill="auto"/>
            <w:vAlign w:val="center"/>
          </w:tcPr>
          <w:p w14:paraId="35965CE5" w14:textId="4E8CCC1F" w:rsidR="00236EFE" w:rsidRPr="00EA147B" w:rsidRDefault="00EA147B" w:rsidP="00C30C6B">
            <w:pPr>
              <w:jc w:val="center"/>
              <w:rPr>
                <w:b/>
                <w:i/>
                <w:noProof/>
                <w:sz w:val="20"/>
                <w:szCs w:val="20"/>
              </w:rPr>
            </w:pPr>
            <w:r>
              <w:rPr>
                <w:b/>
                <w:noProof/>
                <w:sz w:val="20"/>
                <w:szCs w:val="20"/>
              </w:rPr>
              <w:t>Abstrak</w:t>
            </w:r>
          </w:p>
        </w:tc>
      </w:tr>
      <w:tr w:rsidR="00236EFE" w:rsidRPr="00BE4157" w14:paraId="334BCAC6" w14:textId="77777777" w:rsidTr="00367306">
        <w:trPr>
          <w:trHeight w:val="1276"/>
        </w:trPr>
        <w:tc>
          <w:tcPr>
            <w:tcW w:w="9214" w:type="dxa"/>
            <w:shd w:val="clear" w:color="auto" w:fill="auto"/>
          </w:tcPr>
          <w:p w14:paraId="5AECABE7" w14:textId="77777777" w:rsidR="00F07F2E" w:rsidRPr="00F07F2E" w:rsidRDefault="00F07F2E" w:rsidP="00F07F2E">
            <w:pPr>
              <w:jc w:val="both"/>
              <w:rPr>
                <w:sz w:val="20"/>
                <w:szCs w:val="20"/>
              </w:rPr>
            </w:pPr>
          </w:p>
          <w:p w14:paraId="4F7466AF" w14:textId="0962B46D" w:rsidR="009C67B3" w:rsidRPr="00913C52" w:rsidRDefault="00F07F2E" w:rsidP="00F07F2E">
            <w:pPr>
              <w:jc w:val="both"/>
              <w:rPr>
                <w:rFonts w:eastAsia="TimesNewRoman"/>
                <w:sz w:val="20"/>
                <w:szCs w:val="20"/>
              </w:rPr>
            </w:pPr>
            <w:r w:rsidRPr="00F07F2E">
              <w:rPr>
                <w:sz w:val="20"/>
                <w:szCs w:val="20"/>
              </w:rPr>
              <w:t xml:space="preserve">Kajian ini </w:t>
            </w:r>
            <w:r w:rsidR="00B362A7">
              <w:rPr>
                <w:sz w:val="20"/>
                <w:szCs w:val="20"/>
                <w:lang w:val="id-ID"/>
              </w:rPr>
              <w:t xml:space="preserve">maksudnya </w:t>
            </w:r>
            <w:r w:rsidRPr="00F07F2E">
              <w:rPr>
                <w:sz w:val="20"/>
                <w:szCs w:val="20"/>
              </w:rPr>
              <w:t>untuk mengetahui dampak perhatian terhadap retribusi, kesan terhadap kelayakan kerangka ketetapan pajak, dan pemahaman Undang-Undang Unres No</w:t>
            </w:r>
            <w:r w:rsidR="00B362A7">
              <w:rPr>
                <w:sz w:val="20"/>
                <w:szCs w:val="20"/>
                <w:lang w:val="id-ID"/>
              </w:rPr>
              <w:t xml:space="preserve">. </w:t>
            </w:r>
            <w:r w:rsidRPr="00F07F2E">
              <w:rPr>
                <w:sz w:val="20"/>
                <w:szCs w:val="20"/>
              </w:rPr>
              <w:t xml:space="preserve">23 Tahun 2018 </w:t>
            </w:r>
            <w:r w:rsidR="00B362A7">
              <w:rPr>
                <w:sz w:val="20"/>
                <w:szCs w:val="20"/>
                <w:lang w:val="id-ID"/>
              </w:rPr>
              <w:t xml:space="preserve">pada keharusan melunasi </w:t>
            </w:r>
            <w:r w:rsidRPr="00F07F2E">
              <w:rPr>
                <w:sz w:val="20"/>
                <w:szCs w:val="20"/>
              </w:rPr>
              <w:t xml:space="preserve">retribusi pada UMKM di Kawasan Bursa Rezim Sleman. Populasi yang dimanfaatkan </w:t>
            </w:r>
            <w:r w:rsidR="00B362A7">
              <w:rPr>
                <w:sz w:val="20"/>
                <w:szCs w:val="20"/>
                <w:lang w:val="id-ID"/>
              </w:rPr>
              <w:t xml:space="preserve">pada riset </w:t>
            </w:r>
            <w:r w:rsidRPr="00F07F2E">
              <w:rPr>
                <w:sz w:val="20"/>
                <w:szCs w:val="20"/>
              </w:rPr>
              <w:t xml:space="preserve">ini </w:t>
            </w:r>
            <w:r w:rsidR="00B362A7">
              <w:rPr>
                <w:sz w:val="20"/>
                <w:szCs w:val="20"/>
                <w:lang w:val="id-ID"/>
              </w:rPr>
              <w:t xml:space="preserve">yaitu </w:t>
            </w:r>
            <w:r w:rsidRPr="00F07F2E">
              <w:rPr>
                <w:sz w:val="20"/>
                <w:szCs w:val="20"/>
              </w:rPr>
              <w:t xml:space="preserve">25.646 </w:t>
            </w:r>
            <w:r w:rsidR="00B362A7">
              <w:rPr>
                <w:sz w:val="20"/>
                <w:szCs w:val="20"/>
              </w:rPr>
              <w:t>UMKM</w:t>
            </w:r>
            <w:r w:rsidRPr="00F07F2E">
              <w:rPr>
                <w:sz w:val="20"/>
                <w:szCs w:val="20"/>
              </w:rPr>
              <w:t xml:space="preserve"> di kawasan bursa Sleman. Prosedur contoh dalam penelitian ini menggunakan pemeriksaan purposive untuk mendapatkan contoh sebanyak 100 orang. Pengumpulan informasi menggunakan jajak pendapat. Prosedur investigasi informasi menggunakan kekambuhan yang berbeda. Konsekuensi dari kajian tersebut menunjukkan bahwa: (1) keakraban dalam membayar bea sangat mempengaruhi kesiapan membayar, yang </w:t>
            </w:r>
            <w:r w:rsidR="00B362A7">
              <w:rPr>
                <w:sz w:val="20"/>
                <w:szCs w:val="20"/>
                <w:lang w:val="id-ID"/>
              </w:rPr>
              <w:t xml:space="preserve">dikuatkan </w:t>
            </w:r>
            <w:r w:rsidRPr="00F07F2E">
              <w:rPr>
                <w:sz w:val="20"/>
                <w:szCs w:val="20"/>
              </w:rPr>
              <w:t xml:space="preserve">dengan nilai kepentingan 0,000 &lt;0,05; dan koefisien relaps </w:t>
            </w:r>
            <w:r w:rsidR="00536977">
              <w:rPr>
                <w:sz w:val="20"/>
                <w:szCs w:val="20"/>
                <w:lang w:val="id-ID"/>
              </w:rPr>
              <w:t xml:space="preserve">senilai </w:t>
            </w:r>
            <w:r w:rsidRPr="00F07F2E">
              <w:rPr>
                <w:sz w:val="20"/>
                <w:szCs w:val="20"/>
              </w:rPr>
              <w:t xml:space="preserve">0,335; (2) kesan kelayakan kerangka biaya secara tegas mempengaruhi keinginan untuk memperbaiki biaya, dibuktikan dengan nilai kepentingan 0,000 &lt; 0,05; dan koefisien relaps </w:t>
            </w:r>
            <w:r w:rsidR="00B362A7">
              <w:rPr>
                <w:sz w:val="20"/>
                <w:szCs w:val="20"/>
                <w:lang w:val="id-ID"/>
              </w:rPr>
              <w:t xml:space="preserve">senilai </w:t>
            </w:r>
            <w:r w:rsidRPr="00F07F2E">
              <w:rPr>
                <w:sz w:val="20"/>
                <w:szCs w:val="20"/>
              </w:rPr>
              <w:t xml:space="preserve">0,270; (3) pemahaman terhadap Unofficial Law Nomor 23 Tahun 2018 secara tegas mempengaruhi kesiapan untuk menyelesaikan tuntutan, terbukti dengan nilai kepentingan </w:t>
            </w:r>
            <w:r w:rsidR="00536977">
              <w:rPr>
                <w:sz w:val="20"/>
                <w:szCs w:val="20"/>
                <w:lang w:val="id-ID"/>
              </w:rPr>
              <w:t xml:space="preserve">senilai </w:t>
            </w:r>
            <w:r w:rsidRPr="00F07F2E">
              <w:rPr>
                <w:sz w:val="20"/>
                <w:szCs w:val="20"/>
              </w:rPr>
              <w:t xml:space="preserve">0,001 &lt; 0,05; dan koefisien relaps </w:t>
            </w:r>
            <w:r w:rsidR="00B362A7">
              <w:rPr>
                <w:sz w:val="20"/>
                <w:szCs w:val="20"/>
                <w:lang w:val="id-ID"/>
              </w:rPr>
              <w:t>senilai</w:t>
            </w:r>
            <w:r w:rsidRPr="00F07F2E">
              <w:rPr>
                <w:sz w:val="20"/>
                <w:szCs w:val="20"/>
              </w:rPr>
              <w:t xml:space="preserve"> 0,328; dan (4) kesadaran untuk menutup pungutan, melihat kecukupan kerangka tugas, dan pemahaman terhadap undang-undang tidak resmi nomor 23 tahun 2018 mempengaruhi keinginan untuk memperbaiki pungutan, terbukti dengan nilai kepentingan </w:t>
            </w:r>
            <w:r w:rsidR="00B362A7">
              <w:rPr>
                <w:sz w:val="20"/>
                <w:szCs w:val="20"/>
                <w:lang w:val="id-ID"/>
              </w:rPr>
              <w:t>senilai</w:t>
            </w:r>
            <w:r w:rsidRPr="00F07F2E">
              <w:rPr>
                <w:sz w:val="20"/>
                <w:szCs w:val="20"/>
              </w:rPr>
              <w:t xml:space="preserve"> 0,000 &lt; 0,05.</w:t>
            </w:r>
          </w:p>
          <w:p w14:paraId="3F942F5A" w14:textId="77777777" w:rsidR="009C67B3" w:rsidRPr="00913C52" w:rsidRDefault="009C67B3" w:rsidP="009C67B3">
            <w:pPr>
              <w:ind w:firstLine="720"/>
              <w:jc w:val="both"/>
              <w:rPr>
                <w:sz w:val="20"/>
                <w:szCs w:val="20"/>
              </w:rPr>
            </w:pPr>
            <w:r w:rsidRPr="00913C52">
              <w:rPr>
                <w:sz w:val="20"/>
                <w:szCs w:val="20"/>
              </w:rPr>
              <w:t xml:space="preserve">  </w:t>
            </w:r>
          </w:p>
          <w:p w14:paraId="32E95920" w14:textId="77777777" w:rsidR="009C67B3" w:rsidRPr="00913C52" w:rsidRDefault="009C67B3" w:rsidP="009C67B3">
            <w:pPr>
              <w:ind w:left="1128" w:hanging="1128"/>
              <w:jc w:val="both"/>
              <w:rPr>
                <w:rFonts w:eastAsia="Calibri"/>
                <w:b/>
                <w:bCs/>
                <w:sz w:val="20"/>
                <w:szCs w:val="20"/>
              </w:rPr>
            </w:pPr>
            <w:r w:rsidRPr="00913C52">
              <w:rPr>
                <w:b/>
                <w:sz w:val="20"/>
                <w:szCs w:val="20"/>
              </w:rPr>
              <w:t xml:space="preserve">Kata kunci: </w:t>
            </w:r>
            <w:r w:rsidRPr="00913C52">
              <w:rPr>
                <w:b/>
                <w:bCs/>
                <w:sz w:val="20"/>
                <w:szCs w:val="20"/>
              </w:rPr>
              <w:t>Kesadaran Membayar Pajak, Persepsi Atas Efektivitas Sistem Perpajakan, Pemahaman Peraturan Pemerintah Nomor 23 Tahun 2018, Kemauan Membayar Pajak, UMKM</w:t>
            </w:r>
          </w:p>
          <w:p w14:paraId="6CB9E9D0" w14:textId="62DCE61A" w:rsidR="000C472C" w:rsidRPr="000C472C" w:rsidRDefault="000C472C" w:rsidP="00C30C6B">
            <w:pPr>
              <w:pStyle w:val="06Abstractenglish"/>
              <w:spacing w:before="0" w:after="0" w:line="240" w:lineRule="auto"/>
              <w:rPr>
                <w:rFonts w:ascii="Times New Roman" w:hAnsi="Times New Roman" w:cs="Times New Roman"/>
                <w:noProof/>
                <w:szCs w:val="20"/>
              </w:rPr>
            </w:pPr>
          </w:p>
        </w:tc>
      </w:tr>
      <w:tr w:rsidR="00236EFE" w:rsidRPr="00BE4157" w14:paraId="35B9F362" w14:textId="77777777" w:rsidTr="00367306">
        <w:tc>
          <w:tcPr>
            <w:tcW w:w="9214" w:type="dxa"/>
            <w:shd w:val="clear" w:color="auto" w:fill="auto"/>
            <w:vAlign w:val="center"/>
          </w:tcPr>
          <w:p w14:paraId="7DAECB4B" w14:textId="44211FC3" w:rsidR="00236EFE" w:rsidRPr="009C67B3" w:rsidRDefault="00236EFE" w:rsidP="00C30C6B">
            <w:pPr>
              <w:jc w:val="center"/>
              <w:rPr>
                <w:b/>
                <w:i/>
                <w:iCs/>
                <w:noProof/>
                <w:sz w:val="20"/>
                <w:szCs w:val="20"/>
              </w:rPr>
            </w:pPr>
            <w:r w:rsidRPr="009C67B3">
              <w:rPr>
                <w:b/>
                <w:i/>
                <w:iCs/>
                <w:noProof/>
                <w:sz w:val="20"/>
                <w:szCs w:val="20"/>
                <w:lang w:val="id-ID"/>
              </w:rPr>
              <w:t>A</w:t>
            </w:r>
            <w:r w:rsidR="009C67B3" w:rsidRPr="009C67B3">
              <w:rPr>
                <w:b/>
                <w:i/>
                <w:iCs/>
                <w:noProof/>
                <w:sz w:val="20"/>
                <w:szCs w:val="20"/>
              </w:rPr>
              <w:t>bstract</w:t>
            </w:r>
          </w:p>
        </w:tc>
      </w:tr>
      <w:tr w:rsidR="00236EFE" w:rsidRPr="00574738" w14:paraId="34F4AB98" w14:textId="77777777" w:rsidTr="00367306">
        <w:trPr>
          <w:trHeight w:val="1439"/>
        </w:trPr>
        <w:tc>
          <w:tcPr>
            <w:tcW w:w="9214" w:type="dxa"/>
            <w:shd w:val="clear" w:color="auto" w:fill="auto"/>
          </w:tcPr>
          <w:p w14:paraId="6D163653" w14:textId="25F538BA" w:rsidR="009C67B3" w:rsidRPr="00913C52" w:rsidRDefault="00F07F2E" w:rsidP="009C67B3">
            <w:pPr>
              <w:jc w:val="both"/>
              <w:rPr>
                <w:i/>
                <w:iCs/>
                <w:sz w:val="20"/>
                <w:szCs w:val="20"/>
                <w:lang w:eastAsia="en-ID"/>
              </w:rPr>
            </w:pPr>
            <w:r w:rsidRPr="00F07F2E">
              <w:rPr>
                <w:i/>
                <w:iCs/>
                <w:sz w:val="20"/>
                <w:szCs w:val="20"/>
                <w:lang w:eastAsia="en-ID"/>
              </w:rPr>
              <w:t>This study expects to decide the impact of attention to settling charges, view of the viability of the assessment framework, and comprehension of Unofficial law Number 23 of 2018 on the readiness to pay charges in the Exchange Area MSMEs Sleman Rule. The populace utilized in this study were 25,646 Miniature, Little and Medium Endeavors (MSMEs) in the exchange area Sleman Regime. The example strategy in this study utilized purposive testing to get an example of 100 individuals. Information assortment utilizing a survey. Information examination strategy utilizing different relapse. The consequences of the review show that: (1) consciousness of paying expenses decidedly affects the readiness to make good on charges, as proven by a huge worth of 0.000 &lt;0.05; and a relapse coefficient of 0.335; (2) the impression of the viability of the tax collection framework emphatically affects the eagerness to cover charges, as confirmed by a critical worth of 0.000&lt;0.05; and a relapse coefficient of 0.270; (3) comprehension of Unofficial law Number 23 of 2018 decidedly affects the readiness to settle charges, as proven by a huge worth of 0.001 &lt;0.05; and a relapse coefficient of 0.328; and (4) familiarity with making good on charges, view of the viability of the duty framework, and comprehension of government number 23 of 2018 have an impact guideline on the readiness to make good on charges, as confirmed by a critical worth of 0.000 &lt;0.05.</w:t>
            </w:r>
          </w:p>
          <w:p w14:paraId="082EF748" w14:textId="77777777" w:rsidR="009C67B3" w:rsidRPr="00913C52" w:rsidRDefault="009C67B3" w:rsidP="009C67B3">
            <w:pPr>
              <w:ind w:left="1418" w:hanging="1418"/>
              <w:jc w:val="both"/>
              <w:rPr>
                <w:b/>
                <w:bCs/>
                <w:i/>
                <w:iCs/>
                <w:sz w:val="20"/>
                <w:szCs w:val="20"/>
                <w:lang w:eastAsia="en-ID"/>
              </w:rPr>
            </w:pPr>
            <w:r w:rsidRPr="00913C52">
              <w:rPr>
                <w:b/>
                <w:bCs/>
                <w:i/>
                <w:iCs/>
                <w:sz w:val="20"/>
                <w:szCs w:val="20"/>
                <w:lang w:eastAsia="en-ID"/>
              </w:rPr>
              <w:t xml:space="preserve">  </w:t>
            </w:r>
          </w:p>
          <w:p w14:paraId="0CD132A4" w14:textId="77777777" w:rsidR="009C67B3" w:rsidRPr="00913C52" w:rsidRDefault="009C67B3" w:rsidP="009C67B3">
            <w:pPr>
              <w:ind w:left="993" w:hanging="993"/>
              <w:jc w:val="both"/>
              <w:rPr>
                <w:b/>
                <w:bCs/>
                <w:i/>
                <w:iCs/>
                <w:sz w:val="20"/>
                <w:szCs w:val="20"/>
                <w:lang w:eastAsia="en-ID"/>
              </w:rPr>
            </w:pPr>
            <w:r w:rsidRPr="00913C52">
              <w:rPr>
                <w:b/>
                <w:bCs/>
                <w:i/>
                <w:iCs/>
                <w:sz w:val="20"/>
                <w:szCs w:val="20"/>
                <w:lang w:eastAsia="en-ID"/>
              </w:rPr>
              <w:t>Keywords: Awareness of Paying Taxes, Perceptions of the Effectiveness of the Tax System, Understanding of Government Regulation Number 23 of 2018, Willingness to Pay Taxes, MSMEs</w:t>
            </w:r>
          </w:p>
          <w:p w14:paraId="37D6D29A" w14:textId="77777777" w:rsidR="000C472C" w:rsidRDefault="000C472C" w:rsidP="00C30C6B">
            <w:pPr>
              <w:pStyle w:val="07Abstrakbahasa"/>
              <w:spacing w:before="0" w:after="0" w:line="240" w:lineRule="auto"/>
              <w:rPr>
                <w:rFonts w:ascii="Times New Roman" w:hAnsi="Times New Roman" w:cs="Times New Roman"/>
                <w:noProof/>
                <w:szCs w:val="20"/>
              </w:rPr>
            </w:pPr>
          </w:p>
          <w:p w14:paraId="475A2474" w14:textId="77777777" w:rsidR="009519F0" w:rsidRDefault="009519F0" w:rsidP="00C30C6B">
            <w:pPr>
              <w:pStyle w:val="07Abstrakbahasa"/>
              <w:spacing w:before="0" w:after="0" w:line="240" w:lineRule="auto"/>
              <w:rPr>
                <w:rFonts w:ascii="Times New Roman" w:hAnsi="Times New Roman" w:cs="Times New Roman"/>
                <w:noProof/>
                <w:szCs w:val="20"/>
              </w:rPr>
            </w:pPr>
          </w:p>
          <w:p w14:paraId="68354D0E" w14:textId="77777777" w:rsidR="009519F0" w:rsidRDefault="009519F0" w:rsidP="00C30C6B">
            <w:pPr>
              <w:pStyle w:val="07Abstrakbahasa"/>
              <w:spacing w:before="0" w:after="0" w:line="240" w:lineRule="auto"/>
              <w:rPr>
                <w:rFonts w:ascii="Times New Roman" w:hAnsi="Times New Roman" w:cs="Times New Roman"/>
                <w:noProof/>
                <w:szCs w:val="20"/>
              </w:rPr>
            </w:pPr>
          </w:p>
          <w:p w14:paraId="5FDA06E6" w14:textId="77777777" w:rsidR="000C472C" w:rsidRDefault="000C472C" w:rsidP="00C30C6B">
            <w:pPr>
              <w:pStyle w:val="07Abstrakbahasa"/>
              <w:spacing w:before="0" w:after="0" w:line="240" w:lineRule="auto"/>
              <w:rPr>
                <w:rFonts w:ascii="Times New Roman" w:hAnsi="Times New Roman" w:cs="Times New Roman"/>
                <w:noProof/>
                <w:szCs w:val="20"/>
              </w:rPr>
            </w:pPr>
          </w:p>
          <w:p w14:paraId="7F9DCFB3" w14:textId="77777777" w:rsidR="00565289" w:rsidRDefault="00565289" w:rsidP="00C30C6B">
            <w:pPr>
              <w:pStyle w:val="07Abstrakbahasa"/>
              <w:spacing w:before="0" w:after="0" w:line="240" w:lineRule="auto"/>
              <w:rPr>
                <w:rFonts w:ascii="Times New Roman" w:hAnsi="Times New Roman" w:cs="Times New Roman"/>
                <w:noProof/>
                <w:szCs w:val="20"/>
              </w:rPr>
            </w:pPr>
          </w:p>
          <w:p w14:paraId="4A478636" w14:textId="77777777" w:rsidR="000C472C" w:rsidRPr="000C472C" w:rsidRDefault="000C472C" w:rsidP="00C30C6B">
            <w:pPr>
              <w:pStyle w:val="07Abstrakbahasa"/>
              <w:spacing w:before="0" w:after="0" w:line="240" w:lineRule="auto"/>
              <w:rPr>
                <w:rFonts w:ascii="Times New Roman" w:hAnsi="Times New Roman" w:cs="Times New Roman"/>
                <w:noProof/>
                <w:szCs w:val="20"/>
              </w:rPr>
            </w:pPr>
          </w:p>
        </w:tc>
      </w:tr>
    </w:tbl>
    <w:p w14:paraId="2967C83A" w14:textId="6E45473F" w:rsidR="00367306" w:rsidRPr="0080415D" w:rsidRDefault="009C67B3" w:rsidP="0080415D">
      <w:pPr>
        <w:pStyle w:val="10Judulbab"/>
        <w:spacing w:before="0" w:after="0" w:line="240" w:lineRule="auto"/>
        <w:rPr>
          <w:rFonts w:ascii="Times New Roman" w:hAnsi="Times New Roman" w:cs="Times New Roman"/>
          <w:noProof/>
          <w:sz w:val="22"/>
          <w:szCs w:val="22"/>
        </w:rPr>
      </w:pPr>
      <w:r w:rsidRPr="0080415D">
        <w:rPr>
          <w:rFonts w:ascii="Times New Roman" w:hAnsi="Times New Roman" w:cs="Times New Roman"/>
          <w:noProof/>
          <w:sz w:val="22"/>
          <w:szCs w:val="22"/>
        </w:rPr>
        <w:lastRenderedPageBreak/>
        <w:t>PENDAHULUAN</w:t>
      </w:r>
    </w:p>
    <w:p w14:paraId="26A33308" w14:textId="6AF1D584" w:rsidR="00F07F2E" w:rsidRDefault="00F07F2E" w:rsidP="00F07F2E">
      <w:pPr>
        <w:tabs>
          <w:tab w:val="left" w:pos="540"/>
        </w:tabs>
        <w:ind w:firstLine="567"/>
        <w:jc w:val="both"/>
      </w:pPr>
      <w:proofErr w:type="gramStart"/>
      <w:r>
        <w:t>Kemampuan warga untuk membayar komitmen pengeluaran mereka adalah signifikan.</w:t>
      </w:r>
      <w:proofErr w:type="gramEnd"/>
      <w:r>
        <w:t xml:space="preserve"> Kesiapan membayar retribusi merupakan kecenderungan seseorang </w:t>
      </w:r>
      <w:proofErr w:type="gramStart"/>
      <w:r>
        <w:t>akan</w:t>
      </w:r>
      <w:proofErr w:type="gramEnd"/>
      <w:r>
        <w:t xml:space="preserve"> menambah pengeluaran negara dan tidak mendapatkan kompensasi langsung (Tatiana dan Priyo, 2019). </w:t>
      </w:r>
      <w:proofErr w:type="gramStart"/>
      <w:r>
        <w:t>Tingkat kesiapan untuk membayar biaya merupakan masalah yang signifikan secara konsisten.</w:t>
      </w:r>
      <w:proofErr w:type="gramEnd"/>
      <w:r>
        <w:t xml:space="preserve"> Penyebab ketidaksengajaan tersebut antara lain adalah standar penetapan pajak, khususnya akibat dari pemilahan </w:t>
      </w:r>
      <w:proofErr w:type="gramStart"/>
      <w:r>
        <w:t>bea</w:t>
      </w:r>
      <w:proofErr w:type="gramEnd"/>
      <w:r>
        <w:t xml:space="preserve"> yang tidak langsung diapresiasi oleh warga negara. </w:t>
      </w:r>
      <w:proofErr w:type="gramStart"/>
      <w:r>
        <w:t>Orang-orang itu sendiri sebenarnya dapat melakukannya tanpa membayar biaya.</w:t>
      </w:r>
      <w:proofErr w:type="gramEnd"/>
      <w:r>
        <w:t xml:space="preserve"> </w:t>
      </w:r>
      <w:proofErr w:type="gramStart"/>
      <w:r>
        <w:t xml:space="preserve">Ini karena orang </w:t>
      </w:r>
      <w:r w:rsidR="00B362A7">
        <w:rPr>
          <w:lang w:val="id-ID"/>
        </w:rPr>
        <w:t xml:space="preserve">tak mau </w:t>
      </w:r>
      <w:r>
        <w:t xml:space="preserve">tahu berapa besar </w:t>
      </w:r>
      <w:r w:rsidR="00B362A7">
        <w:rPr>
          <w:lang w:val="id-ID"/>
        </w:rPr>
        <w:t xml:space="preserve">timbal balik </w:t>
      </w:r>
      <w:r>
        <w:t xml:space="preserve">dari uang yang </w:t>
      </w:r>
      <w:r w:rsidR="00B362A7">
        <w:rPr>
          <w:lang w:val="id-ID"/>
        </w:rPr>
        <w:t xml:space="preserve">dibayarkan </w:t>
      </w:r>
      <w:r>
        <w:t xml:space="preserve">untuk </w:t>
      </w:r>
      <w:r w:rsidR="00B362A7">
        <w:rPr>
          <w:lang w:val="id-ID"/>
        </w:rPr>
        <w:t xml:space="preserve">melunasi </w:t>
      </w:r>
      <w:r>
        <w:t>tagihan.</w:t>
      </w:r>
      <w:proofErr w:type="gramEnd"/>
      <w:r>
        <w:t xml:space="preserve"> </w:t>
      </w:r>
      <w:proofErr w:type="gramStart"/>
      <w:r>
        <w:t>Salah satu penyebab tidak adanya kemampuan membayar iuran adalah karena masyarakat tidak mendapatkan upah secara langsung.</w:t>
      </w:r>
      <w:proofErr w:type="gramEnd"/>
    </w:p>
    <w:p w14:paraId="5DE97313" w14:textId="77777777" w:rsidR="00F07F2E" w:rsidRDefault="00F07F2E" w:rsidP="00F07F2E">
      <w:pPr>
        <w:tabs>
          <w:tab w:val="left" w:pos="540"/>
        </w:tabs>
        <w:ind w:firstLine="567"/>
        <w:jc w:val="both"/>
      </w:pPr>
      <w:proofErr w:type="gramStart"/>
      <w:r>
        <w:t>UMKM yang lebih memilih untuk tidak membayar iuran merasa bahwa tarif biaya sangat memberatkan bagi UMKM dalam memenuhi komitmen tugasnya dan ditekankan atas keuntungan kecil yang sebenarnya harus dikurangi dengan tarif penilaian.</w:t>
      </w:r>
      <w:proofErr w:type="gramEnd"/>
      <w:r>
        <w:t xml:space="preserve"> </w:t>
      </w:r>
      <w:proofErr w:type="gramStart"/>
      <w:r>
        <w:t>Ketika dihadapkan pada sebuah keanehan, pandemi yang terjadi akhir-akhir ini sangat berdampak pada perusahaan miniatur dan swasta dalam mengembangkan usahanya.</w:t>
      </w:r>
      <w:proofErr w:type="gramEnd"/>
      <w:r>
        <w:t xml:space="preserve"> Dengan melihat keuntungan, jumlah pembeli, dan seberapa besar minat di lapangan, sangat mungkin mempengaruhi elemen pelaku bisnis UMKM dalam membayar tarif </w:t>
      </w:r>
      <w:proofErr w:type="gramStart"/>
      <w:r>
        <w:t>bea</w:t>
      </w:r>
      <w:proofErr w:type="gramEnd"/>
      <w:r>
        <w:t xml:space="preserve"> masuk.</w:t>
      </w:r>
    </w:p>
    <w:p w14:paraId="5FF09071" w14:textId="2F3447E4" w:rsidR="00F07F2E" w:rsidRDefault="00F07F2E" w:rsidP="00F07F2E">
      <w:pPr>
        <w:tabs>
          <w:tab w:val="left" w:pos="540"/>
        </w:tabs>
        <w:ind w:firstLine="567"/>
        <w:jc w:val="both"/>
      </w:pPr>
      <w:r>
        <w:rPr>
          <w:lang w:val="id-ID"/>
        </w:rPr>
        <w:t xml:space="preserve">Bagian dari </w:t>
      </w:r>
      <w:r>
        <w:t xml:space="preserve">elemen yang memengaruhi kemampuan membayar biaya adalah keakraban dalam memanfaatkan biaya. </w:t>
      </w:r>
      <w:proofErr w:type="gramStart"/>
      <w:r>
        <w:t>Keakraban dengan membayar biaya menyiratkan suatu keadaan di mana seseorang tahu, tanpa henti memahami bagaimana menutupi biaya.</w:t>
      </w:r>
      <w:proofErr w:type="gramEnd"/>
      <w:r>
        <w:t xml:space="preserve"> Keakraban dengan membayar </w:t>
      </w:r>
      <w:proofErr w:type="gramStart"/>
      <w:r>
        <w:t>bea</w:t>
      </w:r>
      <w:proofErr w:type="gramEnd"/>
      <w:r>
        <w:t xml:space="preserve"> pada tingkat skala penuh akan melahirkan kematian pemungutan pajak publik. </w:t>
      </w:r>
      <w:proofErr w:type="gramStart"/>
      <w:r>
        <w:t xml:space="preserve">Individu yang memiliki kualitas etika tinggi </w:t>
      </w:r>
      <w:r w:rsidR="00B362A7">
        <w:rPr>
          <w:lang w:val="id-ID"/>
        </w:rPr>
        <w:t xml:space="preserve">nantinya </w:t>
      </w:r>
      <w:r>
        <w:t xml:space="preserve">merasa bahwa </w:t>
      </w:r>
      <w:r w:rsidR="00B362A7">
        <w:rPr>
          <w:lang w:val="id-ID"/>
        </w:rPr>
        <w:t xml:space="preserve">melunasi </w:t>
      </w:r>
      <w:r>
        <w:t xml:space="preserve">biaya </w:t>
      </w:r>
      <w:r w:rsidR="00B362A7">
        <w:rPr>
          <w:lang w:val="id-ID"/>
        </w:rPr>
        <w:t xml:space="preserve">ialah </w:t>
      </w:r>
      <w:r>
        <w:t xml:space="preserve">komitmen negara yang </w:t>
      </w:r>
      <w:r w:rsidR="00B362A7">
        <w:rPr>
          <w:lang w:val="id-ID"/>
        </w:rPr>
        <w:t xml:space="preserve">mesti diharuskan menjadi </w:t>
      </w:r>
      <w:r>
        <w:t xml:space="preserve">individu dari asosiasi negara yang </w:t>
      </w:r>
      <w:r w:rsidR="00B362A7">
        <w:rPr>
          <w:lang w:val="id-ID"/>
        </w:rPr>
        <w:t xml:space="preserve">sudah menyediakan </w:t>
      </w:r>
      <w:r>
        <w:t>keamanan dan jabatan kepada mereka (Purnamasari dan Oktaviani, 2020).</w:t>
      </w:r>
      <w:proofErr w:type="gramEnd"/>
    </w:p>
    <w:p w14:paraId="7FC81868" w14:textId="7A52830B" w:rsidR="00C7754C" w:rsidRPr="00DB4165" w:rsidRDefault="00F07F2E" w:rsidP="00F07F2E">
      <w:pPr>
        <w:tabs>
          <w:tab w:val="left" w:pos="540"/>
        </w:tabs>
        <w:ind w:firstLine="567"/>
        <w:jc w:val="both"/>
      </w:pPr>
      <w:proofErr w:type="gramStart"/>
      <w:r>
        <w:t>Unsur kedua yang mempengaruhi kemampuan membayar retribusi adalah dilihat dari kecukupan kerangka penilaian.</w:t>
      </w:r>
      <w:proofErr w:type="gramEnd"/>
      <w:r>
        <w:t xml:space="preserve"> </w:t>
      </w:r>
      <w:proofErr w:type="gramStart"/>
      <w:r>
        <w:t>Warga negara memiliki wawasan atau keuntungan mereka sendiri dari kerangka pengumpulan pajak.</w:t>
      </w:r>
      <w:proofErr w:type="gramEnd"/>
      <w:r>
        <w:t xml:space="preserve"> </w:t>
      </w:r>
      <w:proofErr w:type="gramStart"/>
      <w:r>
        <w:t>Kelangsungan kerangka tugas adalah proporsi dari bagaimana tujuan kerangka telah dicapai (kualitas, jumlah dan waktu).</w:t>
      </w:r>
      <w:proofErr w:type="gramEnd"/>
      <w:r>
        <w:t xml:space="preserve"> </w:t>
      </w:r>
      <w:proofErr w:type="gramStart"/>
      <w:r>
        <w:t xml:space="preserve">Viability memiliki makna suatu estimasi yang </w:t>
      </w:r>
      <w:r w:rsidR="00B362A7">
        <w:rPr>
          <w:lang w:val="id-ID"/>
        </w:rPr>
        <w:t xml:space="preserve">mengatakan sejauhmana </w:t>
      </w:r>
      <w:r>
        <w:t>tujuan (</w:t>
      </w:r>
      <w:r w:rsidR="00B362A7">
        <w:rPr>
          <w:lang w:val="id-ID"/>
        </w:rPr>
        <w:t>mutu</w:t>
      </w:r>
      <w:r>
        <w:t xml:space="preserve">, jumlah, dan waktu) </w:t>
      </w:r>
      <w:r w:rsidR="00B362A7">
        <w:rPr>
          <w:lang w:val="id-ID"/>
        </w:rPr>
        <w:t>sudah digapai.</w:t>
      </w:r>
      <w:proofErr w:type="gramEnd"/>
      <w:r w:rsidR="00C7754C" w:rsidRPr="00DB4165">
        <w:t xml:space="preserve"> </w:t>
      </w:r>
    </w:p>
    <w:p w14:paraId="3A5D3BED" w14:textId="0001B63F" w:rsidR="00C7754C" w:rsidRPr="00DB4165" w:rsidRDefault="00B362A7" w:rsidP="00C7754C">
      <w:pPr>
        <w:tabs>
          <w:tab w:val="left" w:pos="540"/>
        </w:tabs>
        <w:ind w:firstLine="567"/>
        <w:jc w:val="both"/>
      </w:pPr>
      <w:proofErr w:type="gramStart"/>
      <w:r w:rsidRPr="00B362A7">
        <w:t>Indonesia menjalankan kerangka evaluasi diri.</w:t>
      </w:r>
      <w:proofErr w:type="gramEnd"/>
      <w:r w:rsidRPr="00B362A7">
        <w:t xml:space="preserve"> </w:t>
      </w:r>
      <w:proofErr w:type="gramStart"/>
      <w:r w:rsidRPr="00B362A7">
        <w:t>Warga negara bergantung pada olahraga, menghitung, menabung, dan mengungkapkan komitmen pengeluaran mereka sendiri.</w:t>
      </w:r>
      <w:proofErr w:type="gramEnd"/>
      <w:r w:rsidRPr="00B362A7">
        <w:t xml:space="preserve"> Sebelumnya ada kerangka kerja yang memudahkan warga untuk melaporkan dan membayar komitmen tugas mereka secara fisik dan harus antre langsung di </w:t>
      </w:r>
      <w:proofErr w:type="gramStart"/>
      <w:r w:rsidRPr="00B362A7">
        <w:t>kantor</w:t>
      </w:r>
      <w:proofErr w:type="gramEnd"/>
      <w:r w:rsidRPr="00B362A7">
        <w:t xml:space="preserve"> pengeluaran. </w:t>
      </w:r>
      <w:proofErr w:type="gramStart"/>
      <w:r w:rsidRPr="00B362A7">
        <w:t>Untuk memudahkan warga membayar dan melaporkan komitmen penilaiannya, jaringan pendukung emosional dari Ditjen Tugas, khususnya e-filling, e-SPT, e-NPWP dan e-banking (Pangesti, 2019</w:t>
      </w:r>
      <w:r w:rsidR="00C7754C" w:rsidRPr="00DB4165">
        <w:t>).</w:t>
      </w:r>
      <w:proofErr w:type="gramEnd"/>
      <w:r w:rsidR="00C7754C" w:rsidRPr="00DB4165">
        <w:t xml:space="preserve"> </w:t>
      </w:r>
    </w:p>
    <w:p w14:paraId="2220EC34" w14:textId="01BD9F09" w:rsidR="00C27765" w:rsidRDefault="00C27765" w:rsidP="00C27765">
      <w:pPr>
        <w:tabs>
          <w:tab w:val="left" w:pos="540"/>
        </w:tabs>
        <w:ind w:firstLine="567"/>
        <w:jc w:val="both"/>
      </w:pPr>
      <w:proofErr w:type="gramStart"/>
      <w:r>
        <w:t>Tidak semua warga mendapat manfaat dari sistem pembayaran berbasis online melalui web.</w:t>
      </w:r>
      <w:proofErr w:type="gramEnd"/>
      <w:r>
        <w:t xml:space="preserve"> </w:t>
      </w:r>
      <w:proofErr w:type="gramStart"/>
      <w:r>
        <w:t>Keuntungan warga pada kerangka kerja berbeda.</w:t>
      </w:r>
      <w:proofErr w:type="gramEnd"/>
      <w:r>
        <w:t xml:space="preserve"> Ada warga yang memiliki manfaat yang lebih layak dan lebih mudah digunakan, namun ada juga warga yang mengalami masalah dengan kerangka kerja berbasis web karena gagal benar-benar memahami </w:t>
      </w:r>
      <w:proofErr w:type="gramStart"/>
      <w:r>
        <w:t>cara</w:t>
      </w:r>
      <w:proofErr w:type="gramEnd"/>
      <w:r>
        <w:t xml:space="preserve"> menggunakannya. </w:t>
      </w:r>
      <w:proofErr w:type="gramStart"/>
      <w:r>
        <w:t>Ini disebut penegasan (Pangesti, 2019).</w:t>
      </w:r>
      <w:proofErr w:type="gramEnd"/>
      <w:r>
        <w:t xml:space="preserve"> </w:t>
      </w:r>
      <w:proofErr w:type="gramStart"/>
      <w:r>
        <w:t>Selain itu, warga juga memiliki berbagai wawasan.</w:t>
      </w:r>
      <w:proofErr w:type="gramEnd"/>
      <w:r>
        <w:t xml:space="preserve"> Tergantung pengusaha, jika pengusaha tergabung dengan kalangan muda mereka </w:t>
      </w:r>
      <w:r w:rsidR="00B362A7">
        <w:rPr>
          <w:lang w:val="id-ID"/>
        </w:rPr>
        <w:t xml:space="preserve">menerima utilitas </w:t>
      </w:r>
      <w:r>
        <w:t xml:space="preserve">dari </w:t>
      </w:r>
      <w:r w:rsidR="00B362A7">
        <w:rPr>
          <w:lang w:val="id-ID"/>
        </w:rPr>
        <w:t xml:space="preserve">system </w:t>
      </w:r>
      <w:r>
        <w:t xml:space="preserve">DJP yang lebih memudahkan mereka untuk mengcover tugasnya namun jika pengusaha tersebut bernama tua , mereka hampir tidak memiliki wawasan tentang metodologi dan penggunaan kerangka kerja DJP berbasis web karena menurut mereka mereka gagal untuk benar-benar melihat bagaimana menggunakannya. </w:t>
      </w:r>
      <w:proofErr w:type="gramStart"/>
      <w:r>
        <w:t>web</w:t>
      </w:r>
      <w:proofErr w:type="gramEnd"/>
      <w:r>
        <w:t xml:space="preserve"> dan terlalu bingung.</w:t>
      </w:r>
    </w:p>
    <w:p w14:paraId="4D46E996" w14:textId="159E870F" w:rsidR="00C7754C" w:rsidRDefault="00C27765" w:rsidP="00C27765">
      <w:pPr>
        <w:tabs>
          <w:tab w:val="left" w:pos="540"/>
        </w:tabs>
        <w:ind w:firstLine="567"/>
        <w:jc w:val="both"/>
        <w:rPr>
          <w:rFonts w:eastAsia="Calibri"/>
          <w:lang w:val="id-ID"/>
        </w:rPr>
      </w:pPr>
      <w:r>
        <w:rPr>
          <w:lang w:val="id-ID"/>
        </w:rPr>
        <w:t xml:space="preserve">Aspek lainnya </w:t>
      </w:r>
      <w:r>
        <w:t>yang mempengaruhi adalah pemahaman terhadap</w:t>
      </w:r>
      <w:r w:rsidR="00B362A7">
        <w:t xml:space="preserve"> undang-undang tidak resmi No</w:t>
      </w:r>
      <w:r w:rsidR="00B362A7">
        <w:rPr>
          <w:lang w:val="id-ID"/>
        </w:rPr>
        <w:t>.</w:t>
      </w:r>
      <w:r>
        <w:t xml:space="preserve"> </w:t>
      </w:r>
      <w:proofErr w:type="gramStart"/>
      <w:r>
        <w:t>23 Tahun 2018.</w:t>
      </w:r>
      <w:proofErr w:type="gramEnd"/>
      <w:r>
        <w:t xml:space="preserve"> </w:t>
      </w:r>
      <w:proofErr w:type="gramStart"/>
      <w:r>
        <w:t xml:space="preserve">Sebagaimana ditunjukkan oleh Hardiningsih, Pancawati dan Nila (2011) </w:t>
      </w:r>
      <w:r w:rsidR="00B362A7">
        <w:rPr>
          <w:lang w:val="id-ID"/>
        </w:rPr>
        <w:t xml:space="preserve">pemafhuman </w:t>
      </w:r>
      <w:r>
        <w:t>warga dapat menafsirkan pedoman pungutan adalah pendekatan warga untuk memahami pedoman tugas yang ada.</w:t>
      </w:r>
      <w:proofErr w:type="gramEnd"/>
      <w:r>
        <w:t xml:space="preserve"> Badan publik juga secara resmi telah memberikan Undang-Undang Tidak </w:t>
      </w:r>
      <w:r>
        <w:lastRenderedPageBreak/>
        <w:t>Resmi No</w:t>
      </w:r>
      <w:r w:rsidR="00340CDB">
        <w:rPr>
          <w:lang w:val="id-ID"/>
        </w:rPr>
        <w:t>.</w:t>
      </w:r>
      <w:r>
        <w:t xml:space="preserve"> 23 Tahun 2018 </w:t>
      </w:r>
      <w:r w:rsidR="00340CDB">
        <w:rPr>
          <w:lang w:val="id-ID"/>
        </w:rPr>
        <w:t xml:space="preserve">terkait </w:t>
      </w:r>
      <w:r>
        <w:t xml:space="preserve">Kewajiban Pribadi atas upah dari </w:t>
      </w:r>
      <w:r w:rsidR="00536977">
        <w:rPr>
          <w:lang w:val="id-ID"/>
        </w:rPr>
        <w:t xml:space="preserve">upaya </w:t>
      </w:r>
      <w:r>
        <w:t xml:space="preserve">yang </w:t>
      </w:r>
      <w:r w:rsidR="00536977">
        <w:rPr>
          <w:lang w:val="id-ID"/>
        </w:rPr>
        <w:t xml:space="preserve">didapat </w:t>
      </w:r>
      <w:bookmarkStart w:id="1" w:name="_GoBack"/>
      <w:bookmarkEnd w:id="1"/>
      <w:r>
        <w:t xml:space="preserve">oleh warga negara yang </w:t>
      </w:r>
      <w:r w:rsidR="00340CDB">
        <w:rPr>
          <w:lang w:val="id-ID"/>
        </w:rPr>
        <w:t xml:space="preserve">mempunyai </w:t>
      </w:r>
      <w:r>
        <w:t>penghasilan kotor tertentu.</w:t>
      </w:r>
    </w:p>
    <w:p w14:paraId="47D503A4" w14:textId="2DD6141C" w:rsidR="00C27765" w:rsidRPr="00C27765" w:rsidRDefault="00340CDB" w:rsidP="00C27765">
      <w:pPr>
        <w:tabs>
          <w:tab w:val="left" w:pos="540"/>
        </w:tabs>
        <w:ind w:firstLine="567"/>
        <w:jc w:val="both"/>
        <w:rPr>
          <w:rFonts w:eastAsia="Calibri"/>
          <w:lang w:val="id-ID"/>
        </w:rPr>
      </w:pPr>
      <w:r>
        <w:rPr>
          <w:rFonts w:eastAsia="Calibri"/>
          <w:lang w:val="id-ID"/>
        </w:rPr>
        <w:t xml:space="preserve">UU </w:t>
      </w:r>
      <w:r w:rsidR="00C27765" w:rsidRPr="00C27765">
        <w:rPr>
          <w:rFonts w:eastAsia="Calibri"/>
          <w:lang w:val="id-ID"/>
        </w:rPr>
        <w:t xml:space="preserve">tidak resmi </w:t>
      </w:r>
      <w:r>
        <w:rPr>
          <w:rFonts w:eastAsia="Calibri"/>
          <w:lang w:val="id-ID"/>
        </w:rPr>
        <w:t xml:space="preserve">No. </w:t>
      </w:r>
      <w:r w:rsidR="00C27765" w:rsidRPr="00C27765">
        <w:rPr>
          <w:rFonts w:eastAsia="Calibri"/>
          <w:lang w:val="id-ID"/>
        </w:rPr>
        <w:t>23 Tahun 2018 menyebutkan tarif PPh UMKM terakhir diturunkan 0,5% dari sebelumnya 1%. Melalui penurunan yang terkait, otoritas publik ingin dapat memberikan keadilan kepada warga negara dan tidak merugikan warga negara dengan omset kecil sehingga mereka dapat menyesuaikan pendapatan pungutan yang digunakan untuk membayar negara. Sebagaimana diindikasikan oleh Yasa et al., (2019) mengungkapkan bahwa terbitnya PP No. 23 Tahun 2018 merupakan salah satu upaya otoritas publik untuk meringankan beban warga negara, untuk situasi ini, dengan menurunkan laju pengeluaran masa lalu sebesar 1% menjadi 0,5%. Bagaimanapun, ini tidak dapat sepenuhnya dibebaskan dari analisis. Fitur utama adalah teknik untuk memaksakan tarif biaya. dalam PP No. 23 Tahun 2018 disebutkan bahwa perkiraan tarif bea masuk tergantung pada upah atau omzet UMKM sehingga pelaku usaha UMKM harus tetap mengeluarkan biaya tidak peduli kondisi usaha dalam keadaan untung atau rugi. Hal ini dinilai sangat sulit bagi pelaku bisnis yang mengalami musibah, sehingga bagian ekuitas terkait beban yang harus ditanggung warga harus diaudit dalam pelaksanaan PP No 23 Tahun 2018.</w:t>
      </w:r>
    </w:p>
    <w:p w14:paraId="4B396208" w14:textId="1A30944F" w:rsidR="00C27765" w:rsidRPr="00C27765" w:rsidRDefault="00340CDB" w:rsidP="00C27765">
      <w:pPr>
        <w:tabs>
          <w:tab w:val="left" w:pos="540"/>
        </w:tabs>
        <w:ind w:firstLine="567"/>
        <w:jc w:val="both"/>
        <w:rPr>
          <w:rFonts w:eastAsia="Calibri"/>
          <w:lang w:val="id-ID"/>
        </w:rPr>
      </w:pPr>
      <w:r>
        <w:rPr>
          <w:rFonts w:eastAsia="Calibri"/>
          <w:lang w:val="id-ID"/>
        </w:rPr>
        <w:t xml:space="preserve">Dari </w:t>
      </w:r>
      <w:r w:rsidR="00C27765" w:rsidRPr="00C27765">
        <w:rPr>
          <w:rFonts w:eastAsia="Calibri"/>
          <w:lang w:val="id-ID"/>
        </w:rPr>
        <w:t xml:space="preserve">latar belakang </w:t>
      </w:r>
      <w:r>
        <w:rPr>
          <w:rFonts w:eastAsia="Calibri"/>
          <w:lang w:val="id-ID"/>
        </w:rPr>
        <w:t xml:space="preserve">persoalan </w:t>
      </w:r>
      <w:r w:rsidR="00C27765" w:rsidRPr="00C27765">
        <w:rPr>
          <w:rFonts w:eastAsia="Calibri"/>
          <w:lang w:val="id-ID"/>
        </w:rPr>
        <w:t xml:space="preserve">yang </w:t>
      </w:r>
      <w:r>
        <w:rPr>
          <w:rFonts w:eastAsia="Calibri"/>
          <w:lang w:val="id-ID"/>
        </w:rPr>
        <w:t xml:space="preserve">diungkapkan </w:t>
      </w:r>
      <w:r w:rsidR="00C27765" w:rsidRPr="00C27765">
        <w:rPr>
          <w:rFonts w:eastAsia="Calibri"/>
          <w:lang w:val="id-ID"/>
        </w:rPr>
        <w:t xml:space="preserve">di atas, maka motivasi di balik </w:t>
      </w:r>
      <w:r>
        <w:rPr>
          <w:rFonts w:eastAsia="Calibri"/>
          <w:lang w:val="id-ID"/>
        </w:rPr>
        <w:t xml:space="preserve">riset </w:t>
      </w:r>
      <w:r w:rsidR="00C27765" w:rsidRPr="00C27765">
        <w:rPr>
          <w:rFonts w:eastAsia="Calibri"/>
          <w:lang w:val="id-ID"/>
        </w:rPr>
        <w:t xml:space="preserve">ini </w:t>
      </w:r>
      <w:r>
        <w:rPr>
          <w:rFonts w:eastAsia="Calibri"/>
          <w:lang w:val="id-ID"/>
        </w:rPr>
        <w:t xml:space="preserve">ialah </w:t>
      </w:r>
      <w:r w:rsidR="00C27765" w:rsidRPr="00C27765">
        <w:rPr>
          <w:rFonts w:eastAsia="Calibri"/>
          <w:lang w:val="id-ID"/>
        </w:rPr>
        <w:t>untuk menentukan dampak dari pemahaman tentang penyelesaian pungutan, kesan kecukupan kerangka pemungutan pajak, dan pemahaman terhadap Undang-Undang Tidak Resmi No</w:t>
      </w:r>
      <w:r>
        <w:rPr>
          <w:rFonts w:eastAsia="Calibri"/>
          <w:lang w:val="id-ID"/>
        </w:rPr>
        <w:t xml:space="preserve">. </w:t>
      </w:r>
      <w:r w:rsidR="00C27765" w:rsidRPr="00C27765">
        <w:rPr>
          <w:rFonts w:eastAsia="Calibri"/>
          <w:lang w:val="id-ID"/>
        </w:rPr>
        <w:t xml:space="preserve">23 Tahun 2018 tentang </w:t>
      </w:r>
      <w:r>
        <w:rPr>
          <w:rFonts w:eastAsia="Calibri"/>
          <w:lang w:val="id-ID"/>
        </w:rPr>
        <w:t>Kesediaan Melunasi.</w:t>
      </w:r>
      <w:r w:rsidR="00C27765" w:rsidRPr="00C27765">
        <w:rPr>
          <w:rFonts w:eastAsia="Calibri"/>
          <w:lang w:val="id-ID"/>
        </w:rPr>
        <w:t xml:space="preserve"> pungutan pada UMKM di kawasan bursa Rezim Sleman).</w:t>
      </w:r>
    </w:p>
    <w:p w14:paraId="13EA406C" w14:textId="77777777" w:rsidR="00C7754C" w:rsidRDefault="00C7754C" w:rsidP="009C67B3">
      <w:pPr>
        <w:tabs>
          <w:tab w:val="left" w:pos="540"/>
        </w:tabs>
        <w:ind w:firstLine="567"/>
        <w:jc w:val="both"/>
        <w:rPr>
          <w:rFonts w:eastAsia="Calibri"/>
          <w:color w:val="000000"/>
          <w:lang w:val="id-ID"/>
        </w:rPr>
      </w:pPr>
    </w:p>
    <w:p w14:paraId="036059ED" w14:textId="51658982" w:rsidR="00C27765" w:rsidRPr="00C27765" w:rsidRDefault="00C7754C" w:rsidP="00C27765">
      <w:pPr>
        <w:widowControl/>
        <w:pBdr>
          <w:top w:val="nil"/>
          <w:left w:val="nil"/>
          <w:bottom w:val="nil"/>
          <w:right w:val="nil"/>
          <w:between w:val="nil"/>
        </w:pBdr>
        <w:autoSpaceDE/>
        <w:autoSpaceDN/>
        <w:jc w:val="both"/>
        <w:rPr>
          <w:b/>
          <w:noProof/>
          <w:color w:val="FF0000"/>
          <w:lang w:val="id-ID"/>
        </w:rPr>
      </w:pPr>
      <w:r w:rsidRPr="0080415D">
        <w:rPr>
          <w:b/>
          <w:noProof/>
          <w:color w:val="000000"/>
          <w:lang w:val="id-ID"/>
        </w:rPr>
        <w:t xml:space="preserve">METODE </w:t>
      </w:r>
    </w:p>
    <w:p w14:paraId="09773701" w14:textId="634C7165" w:rsidR="003C6D41" w:rsidRPr="003C6D41" w:rsidRDefault="00C27765" w:rsidP="00C27765">
      <w:pPr>
        <w:ind w:firstLine="567"/>
        <w:jc w:val="both"/>
      </w:pPr>
      <w:proofErr w:type="gramStart"/>
      <w:r w:rsidRPr="00C27765">
        <w:rPr>
          <w:color w:val="000000"/>
          <w:lang w:eastAsia="id-ID"/>
        </w:rPr>
        <w:t xml:space="preserve">Atribut khusus </w:t>
      </w:r>
      <w:r w:rsidR="00340CDB">
        <w:rPr>
          <w:color w:val="000000"/>
          <w:lang w:val="id-ID" w:eastAsia="id-ID"/>
        </w:rPr>
        <w:t xml:space="preserve">sebagai afeksi pada peninjauan ialah </w:t>
      </w:r>
      <w:r w:rsidRPr="00C27765">
        <w:rPr>
          <w:color w:val="000000"/>
          <w:lang w:eastAsia="id-ID"/>
        </w:rPr>
        <w:t>pelaku UMKM yang ikut serta dalam bursa.</w:t>
      </w:r>
      <w:proofErr w:type="gramEnd"/>
      <w:r w:rsidRPr="00C27765">
        <w:rPr>
          <w:color w:val="000000"/>
          <w:lang w:eastAsia="id-ID"/>
        </w:rPr>
        <w:t xml:space="preserve"> Jadi jumlah tes yang </w:t>
      </w:r>
      <w:proofErr w:type="gramStart"/>
      <w:r w:rsidRPr="00C27765">
        <w:rPr>
          <w:color w:val="000000"/>
          <w:lang w:eastAsia="id-ID"/>
        </w:rPr>
        <w:t>akan</w:t>
      </w:r>
      <w:proofErr w:type="gramEnd"/>
      <w:r w:rsidRPr="00C27765">
        <w:rPr>
          <w:color w:val="000000"/>
          <w:lang w:eastAsia="id-ID"/>
        </w:rPr>
        <w:t xml:space="preserve"> diperiksa dalam ulasan ini mengingat klasifikasi sampel yang sangat besar dari 100 orang yang memenuhi ukuran pemeriksaan purposive. </w:t>
      </w:r>
      <w:proofErr w:type="gramStart"/>
      <w:r w:rsidRPr="00C27765">
        <w:rPr>
          <w:color w:val="000000"/>
          <w:lang w:eastAsia="id-ID"/>
        </w:rPr>
        <w:t>Informasi yang digunakan dalam eksplorasi ini merupakan informasi esensial.</w:t>
      </w:r>
      <w:proofErr w:type="gramEnd"/>
      <w:r w:rsidRPr="00C27765">
        <w:rPr>
          <w:color w:val="000000"/>
          <w:lang w:eastAsia="id-ID"/>
        </w:rPr>
        <w:t xml:space="preserve"> </w:t>
      </w:r>
      <w:proofErr w:type="gramStart"/>
      <w:r w:rsidRPr="00C27765">
        <w:rPr>
          <w:color w:val="000000"/>
          <w:lang w:eastAsia="id-ID"/>
        </w:rPr>
        <w:t>Pemilahan informasi selesai melibatkan instrumen sebagai survei.</w:t>
      </w:r>
      <w:proofErr w:type="gramEnd"/>
      <w:r w:rsidRPr="00C27765">
        <w:rPr>
          <w:color w:val="000000"/>
          <w:lang w:eastAsia="id-ID"/>
        </w:rPr>
        <w:t xml:space="preserve"> </w:t>
      </w:r>
      <w:proofErr w:type="gramStart"/>
      <w:r w:rsidRPr="00C27765">
        <w:rPr>
          <w:color w:val="000000"/>
          <w:lang w:eastAsia="id-ID"/>
        </w:rPr>
        <w:t>Positif atau negatifnya instrumen tersebut ditunjukkan oleh tingkat legitimasi dan dependabilitasnya.</w:t>
      </w:r>
      <w:proofErr w:type="gramEnd"/>
      <w:r w:rsidRPr="00C27765">
        <w:rPr>
          <w:color w:val="000000"/>
          <w:lang w:eastAsia="id-ID"/>
        </w:rPr>
        <w:t xml:space="preserve"> </w:t>
      </w:r>
      <w:proofErr w:type="gramStart"/>
      <w:r w:rsidRPr="00C27765">
        <w:rPr>
          <w:color w:val="000000"/>
          <w:lang w:eastAsia="id-ID"/>
        </w:rPr>
        <w:t>Pendahuluan instrumen diselesaikan pada 30 UKM yang masih diingat oleh masyarakat peninjau tetapi dikeluarkan dari uji eksplorasi.</w:t>
      </w:r>
      <w:proofErr w:type="gramEnd"/>
      <w:r w:rsidRPr="00C27765">
        <w:rPr>
          <w:color w:val="000000"/>
          <w:lang w:eastAsia="id-ID"/>
        </w:rPr>
        <w:t xml:space="preserve"> </w:t>
      </w:r>
      <w:r w:rsidR="00340CDB">
        <w:rPr>
          <w:color w:val="000000"/>
          <w:lang w:val="id-ID" w:eastAsia="id-ID"/>
        </w:rPr>
        <w:t xml:space="preserve">Cara peninjauan dipakai pada riset </w:t>
      </w:r>
      <w:r w:rsidRPr="00C27765">
        <w:rPr>
          <w:color w:val="000000"/>
          <w:lang w:eastAsia="id-ID"/>
        </w:rPr>
        <w:t xml:space="preserve">ini </w:t>
      </w:r>
      <w:r w:rsidR="00340CDB">
        <w:rPr>
          <w:color w:val="000000"/>
          <w:lang w:val="id-ID" w:eastAsia="id-ID"/>
        </w:rPr>
        <w:t xml:space="preserve">ialah peninjauan </w:t>
      </w:r>
      <w:r w:rsidRPr="00C27765">
        <w:rPr>
          <w:color w:val="000000"/>
          <w:lang w:eastAsia="id-ID"/>
        </w:rPr>
        <w:t>berbagai kekambuhan.</w:t>
      </w:r>
      <w:r w:rsidR="003C6D41" w:rsidRPr="003C6D41">
        <w:rPr>
          <w:rFonts w:eastAsia="SimSun"/>
          <w:lang w:val="id-ID"/>
        </w:rPr>
        <w:t xml:space="preserve"> </w:t>
      </w:r>
    </w:p>
    <w:p w14:paraId="335082B9" w14:textId="77777777" w:rsidR="003C6D41" w:rsidRPr="00565289" w:rsidRDefault="003C6D41" w:rsidP="00C7754C">
      <w:pPr>
        <w:tabs>
          <w:tab w:val="left" w:pos="540"/>
        </w:tabs>
        <w:ind w:firstLine="567"/>
        <w:jc w:val="both"/>
        <w:rPr>
          <w:rFonts w:eastAsia="Calibri"/>
          <w:lang w:val="id-ID"/>
        </w:rPr>
      </w:pPr>
    </w:p>
    <w:p w14:paraId="2FB156BA" w14:textId="721A93E9" w:rsidR="00180792" w:rsidRPr="009A21F6" w:rsidRDefault="009A21F6" w:rsidP="0080415D">
      <w:pPr>
        <w:widowControl/>
        <w:pBdr>
          <w:top w:val="nil"/>
          <w:left w:val="nil"/>
          <w:bottom w:val="nil"/>
          <w:right w:val="nil"/>
          <w:between w:val="nil"/>
        </w:pBdr>
        <w:autoSpaceDE/>
        <w:autoSpaceDN/>
        <w:jc w:val="both"/>
        <w:rPr>
          <w:b/>
          <w:noProof/>
          <w:color w:val="000000"/>
        </w:rPr>
      </w:pPr>
      <w:r>
        <w:rPr>
          <w:b/>
          <w:noProof/>
          <w:color w:val="000000"/>
        </w:rPr>
        <w:t>HASIL DAN PEMBAHASAN</w:t>
      </w:r>
    </w:p>
    <w:p w14:paraId="4158F3D0" w14:textId="005EEA90" w:rsidR="00BB6F58" w:rsidRPr="00BA7EF3" w:rsidRDefault="009A21F6" w:rsidP="00BA7EF3">
      <w:pPr>
        <w:widowControl/>
        <w:pBdr>
          <w:top w:val="nil"/>
          <w:left w:val="nil"/>
          <w:bottom w:val="nil"/>
          <w:right w:val="nil"/>
          <w:between w:val="nil"/>
        </w:pBdr>
        <w:autoSpaceDE/>
        <w:autoSpaceDN/>
        <w:jc w:val="both"/>
        <w:rPr>
          <w:b/>
          <w:noProof/>
          <w:color w:val="000000"/>
        </w:rPr>
      </w:pPr>
      <w:r w:rsidRPr="00BA7EF3">
        <w:rPr>
          <w:b/>
          <w:noProof/>
          <w:color w:val="000000"/>
        </w:rPr>
        <w:t>HASIL</w:t>
      </w:r>
    </w:p>
    <w:p w14:paraId="316229BF" w14:textId="0700DED8" w:rsidR="009A21F6" w:rsidRPr="00BA7EF3" w:rsidRDefault="009A21F6" w:rsidP="00BA7EF3">
      <w:pPr>
        <w:pStyle w:val="ListParagraph"/>
        <w:numPr>
          <w:ilvl w:val="0"/>
          <w:numId w:val="8"/>
        </w:numPr>
        <w:tabs>
          <w:tab w:val="left" w:pos="284"/>
        </w:tabs>
        <w:spacing w:after="0"/>
        <w:ind w:left="284" w:right="28" w:hanging="284"/>
        <w:jc w:val="both"/>
        <w:rPr>
          <w:rFonts w:ascii="Times New Roman" w:eastAsia="Calibri" w:hAnsi="Times New Roman" w:cs="Times New Roman"/>
          <w:b/>
          <w:bCs/>
          <w:noProof/>
        </w:rPr>
      </w:pPr>
      <w:bookmarkStart w:id="2" w:name="_Toc499149619"/>
      <w:r w:rsidRPr="00BA7EF3">
        <w:rPr>
          <w:rFonts w:ascii="Times New Roman" w:eastAsia="Calibri" w:hAnsi="Times New Roman" w:cs="Times New Roman"/>
          <w:b/>
          <w:bCs/>
          <w:noProof/>
        </w:rPr>
        <w:t xml:space="preserve">Analisis </w:t>
      </w:r>
      <w:r w:rsidRPr="00BA7EF3">
        <w:rPr>
          <w:rFonts w:ascii="Times New Roman" w:eastAsia="Times New Roman" w:hAnsi="Times New Roman" w:cs="Times New Roman"/>
          <w:b/>
          <w:bCs/>
          <w:lang w:val="id-ID" w:bidi="en-US"/>
        </w:rPr>
        <w:t>Deskriptif</w:t>
      </w:r>
      <w:r w:rsidRPr="00BA7EF3">
        <w:rPr>
          <w:rFonts w:ascii="Times New Roman" w:eastAsia="Calibri" w:hAnsi="Times New Roman" w:cs="Times New Roman"/>
          <w:b/>
          <w:bCs/>
          <w:noProof/>
        </w:rPr>
        <w:t xml:space="preserve"> Variabel Penelitian</w:t>
      </w:r>
      <w:bookmarkEnd w:id="2"/>
    </w:p>
    <w:p w14:paraId="773CDFB0" w14:textId="77777777" w:rsidR="009A21F6" w:rsidRPr="009A21F6" w:rsidRDefault="009A21F6" w:rsidP="009A21F6">
      <w:pPr>
        <w:widowControl/>
        <w:tabs>
          <w:tab w:val="center" w:pos="540"/>
        </w:tabs>
        <w:autoSpaceDE/>
        <w:autoSpaceDN/>
        <w:adjustRightInd w:val="0"/>
        <w:jc w:val="both"/>
        <w:rPr>
          <w:rFonts w:eastAsiaTheme="minorHAnsi"/>
          <w:b/>
          <w:lang w:val="en-ID" w:bidi="ar-SA"/>
        </w:rPr>
      </w:pPr>
      <w:r w:rsidRPr="009A21F6">
        <w:rPr>
          <w:rFonts w:eastAsiaTheme="minorHAnsi"/>
          <w:b/>
          <w:lang w:val="en-ID" w:bidi="ar-SA"/>
        </w:rPr>
        <w:t>Kemauan Membayar Pajak</w:t>
      </w:r>
    </w:p>
    <w:p w14:paraId="3E005101" w14:textId="7DA5A00F" w:rsidR="009A21F6" w:rsidRPr="00C27765" w:rsidRDefault="009A21F6" w:rsidP="009A21F6">
      <w:pPr>
        <w:tabs>
          <w:tab w:val="left" w:pos="567"/>
        </w:tabs>
        <w:ind w:firstLine="567"/>
        <w:jc w:val="both"/>
        <w:rPr>
          <w:rFonts w:eastAsiaTheme="minorHAnsi"/>
          <w:lang w:val="id-ID" w:bidi="ar-SA"/>
        </w:rPr>
      </w:pPr>
      <w:r w:rsidRPr="009A21F6">
        <w:rPr>
          <w:iCs/>
          <w:color w:val="000000"/>
          <w:lang w:val="id-ID"/>
        </w:rPr>
        <w:t>Distribusi</w:t>
      </w:r>
      <w:r w:rsidRPr="009A21F6">
        <w:rPr>
          <w:rFonts w:eastAsiaTheme="minorHAnsi"/>
          <w:lang w:val="sv-SE" w:bidi="ar-SA"/>
        </w:rPr>
        <w:t xml:space="preserve"> </w:t>
      </w:r>
      <w:r w:rsidRPr="009A21F6">
        <w:rPr>
          <w:rFonts w:eastAsiaTheme="minorHAnsi"/>
          <w:lang w:val="en-ID" w:bidi="ar-SA"/>
        </w:rPr>
        <w:t>kategori</w:t>
      </w:r>
      <w:r w:rsidRPr="009A21F6">
        <w:rPr>
          <w:rFonts w:eastAsiaTheme="minorHAnsi"/>
          <w:lang w:val="sv-SE" w:bidi="ar-SA"/>
        </w:rPr>
        <w:t xml:space="preserve"> kecenderungan </w:t>
      </w:r>
      <w:r w:rsidR="00C27765">
        <w:rPr>
          <w:rFonts w:eastAsiaTheme="minorHAnsi"/>
          <w:lang w:val="id-ID" w:bidi="ar-SA"/>
        </w:rPr>
        <w:t xml:space="preserve">kesediaan melunasi </w:t>
      </w:r>
      <w:r w:rsidRPr="009A21F6">
        <w:rPr>
          <w:rFonts w:eastAsiaTheme="minorHAnsi"/>
          <w:lang w:val="en-ID" w:bidi="ar-SA"/>
        </w:rPr>
        <w:t xml:space="preserve">pajak </w:t>
      </w:r>
      <w:r w:rsidR="00C27765">
        <w:rPr>
          <w:rFonts w:eastAsiaTheme="minorHAnsi"/>
          <w:lang w:val="id-ID" w:bidi="ar-SA"/>
        </w:rPr>
        <w:t>bisa ditampilkan di</w:t>
      </w:r>
      <w:r w:rsidRPr="009A21F6">
        <w:rPr>
          <w:rFonts w:eastAsiaTheme="minorHAnsi"/>
          <w:lang w:val="sv-SE" w:bidi="ar-SA"/>
        </w:rPr>
        <w:t xml:space="preserve">tabel </w:t>
      </w:r>
      <w:r w:rsidR="00C27765">
        <w:rPr>
          <w:rFonts w:eastAsiaTheme="minorHAnsi"/>
          <w:lang w:val="id-ID" w:bidi="ar-SA"/>
        </w:rPr>
        <w:t>yakni:</w:t>
      </w:r>
    </w:p>
    <w:p w14:paraId="2D3055D3" w14:textId="7CF032EA" w:rsidR="009A21F6" w:rsidRPr="009A21F6" w:rsidRDefault="009A21F6" w:rsidP="009A7619">
      <w:pPr>
        <w:widowControl/>
        <w:adjustRightInd w:val="0"/>
        <w:jc w:val="center"/>
        <w:rPr>
          <w:rFonts w:eastAsiaTheme="minorHAnsi"/>
          <w:b/>
          <w:lang w:val="en-ID" w:bidi="ar-SA"/>
        </w:rPr>
      </w:pPr>
      <w:proofErr w:type="gramStart"/>
      <w:r w:rsidRPr="009A21F6">
        <w:rPr>
          <w:rFonts w:eastAsiaTheme="minorHAnsi"/>
          <w:b/>
          <w:lang w:val="en-ID" w:bidi="ar-SA"/>
        </w:rPr>
        <w:t xml:space="preserve">Tabel </w:t>
      </w:r>
      <w:r w:rsidR="00DB4165">
        <w:rPr>
          <w:rFonts w:eastAsiaTheme="minorHAnsi"/>
          <w:b/>
          <w:lang w:val="en-ID" w:bidi="ar-SA"/>
        </w:rPr>
        <w:t>1</w:t>
      </w:r>
      <w:r w:rsidRPr="009A21F6">
        <w:rPr>
          <w:rFonts w:eastAsiaTheme="minorHAnsi"/>
          <w:b/>
          <w:lang w:val="en-ID" w:bidi="ar-SA"/>
        </w:rPr>
        <w:t>.</w:t>
      </w:r>
      <w:proofErr w:type="gramEnd"/>
      <w:r w:rsidRPr="009A21F6">
        <w:rPr>
          <w:rFonts w:eastAsiaTheme="minorHAnsi"/>
          <w:b/>
          <w:lang w:val="en-ID" w:bidi="ar-SA"/>
        </w:rPr>
        <w:t xml:space="preserve"> Kategori Kecenderungan Kemauan Membayar Pajak</w:t>
      </w:r>
    </w:p>
    <w:tbl>
      <w:tblPr>
        <w:tblW w:w="5000" w:type="pct"/>
        <w:tblLook w:val="04A0" w:firstRow="1" w:lastRow="0" w:firstColumn="1" w:lastColumn="0" w:noHBand="0" w:noVBand="1"/>
      </w:tblPr>
      <w:tblGrid>
        <w:gridCol w:w="710"/>
        <w:gridCol w:w="2765"/>
        <w:gridCol w:w="1680"/>
        <w:gridCol w:w="1969"/>
        <w:gridCol w:w="2118"/>
      </w:tblGrid>
      <w:tr w:rsidR="009A21F6" w:rsidRPr="009A21F6" w14:paraId="1904A202" w14:textId="77777777" w:rsidTr="00DB4165">
        <w:trPr>
          <w:trHeight w:val="358"/>
        </w:trPr>
        <w:tc>
          <w:tcPr>
            <w:tcW w:w="384" w:type="pct"/>
            <w:tcBorders>
              <w:top w:val="single" w:sz="4" w:space="0" w:color="auto"/>
              <w:bottom w:val="single" w:sz="4" w:space="0" w:color="auto"/>
            </w:tcBorders>
            <w:noWrap/>
            <w:vAlign w:val="center"/>
            <w:hideMark/>
          </w:tcPr>
          <w:p w14:paraId="32595DEA"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No.</w:t>
            </w:r>
          </w:p>
        </w:tc>
        <w:tc>
          <w:tcPr>
            <w:tcW w:w="1496" w:type="pct"/>
            <w:tcBorders>
              <w:top w:val="single" w:sz="4" w:space="0" w:color="auto"/>
              <w:bottom w:val="single" w:sz="4" w:space="0" w:color="auto"/>
            </w:tcBorders>
            <w:noWrap/>
            <w:vAlign w:val="center"/>
            <w:hideMark/>
          </w:tcPr>
          <w:p w14:paraId="2974A0D1"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Kelas Interval</w:t>
            </w:r>
          </w:p>
        </w:tc>
        <w:tc>
          <w:tcPr>
            <w:tcW w:w="909" w:type="pct"/>
            <w:tcBorders>
              <w:top w:val="single" w:sz="4" w:space="0" w:color="auto"/>
              <w:bottom w:val="single" w:sz="4" w:space="0" w:color="auto"/>
            </w:tcBorders>
            <w:vAlign w:val="center"/>
          </w:tcPr>
          <w:p w14:paraId="7A4A3E59" w14:textId="77777777" w:rsidR="009A21F6" w:rsidRPr="009A21F6" w:rsidRDefault="009A21F6" w:rsidP="009A21F6">
            <w:pPr>
              <w:widowControl/>
              <w:autoSpaceDE/>
              <w:autoSpaceDN/>
              <w:jc w:val="center"/>
              <w:rPr>
                <w:rFonts w:eastAsiaTheme="minorHAnsi"/>
                <w:b/>
                <w:lang w:val="id-ID" w:bidi="ar-SA"/>
              </w:rPr>
            </w:pPr>
            <w:r w:rsidRPr="009A21F6">
              <w:rPr>
                <w:rFonts w:eastAsiaTheme="minorHAnsi"/>
                <w:b/>
                <w:lang w:val="id-ID" w:bidi="ar-SA"/>
              </w:rPr>
              <w:t>Frekuensi</w:t>
            </w:r>
          </w:p>
        </w:tc>
        <w:tc>
          <w:tcPr>
            <w:tcW w:w="1065" w:type="pct"/>
            <w:tcBorders>
              <w:top w:val="single" w:sz="4" w:space="0" w:color="auto"/>
              <w:bottom w:val="single" w:sz="4" w:space="0" w:color="auto"/>
            </w:tcBorders>
            <w:vAlign w:val="center"/>
          </w:tcPr>
          <w:p w14:paraId="0D46E707" w14:textId="77777777" w:rsidR="009A21F6" w:rsidRPr="009A21F6" w:rsidRDefault="009A21F6" w:rsidP="009A21F6">
            <w:pPr>
              <w:widowControl/>
              <w:autoSpaceDE/>
              <w:autoSpaceDN/>
              <w:jc w:val="center"/>
              <w:rPr>
                <w:rFonts w:eastAsiaTheme="minorHAnsi"/>
                <w:b/>
                <w:lang w:val="id-ID" w:bidi="ar-SA"/>
              </w:rPr>
            </w:pPr>
            <w:r w:rsidRPr="009A21F6">
              <w:rPr>
                <w:rFonts w:eastAsiaTheme="minorHAnsi"/>
                <w:b/>
                <w:lang w:val="id-ID" w:bidi="ar-SA"/>
              </w:rPr>
              <w:t>Persentase (%)</w:t>
            </w:r>
          </w:p>
        </w:tc>
        <w:tc>
          <w:tcPr>
            <w:tcW w:w="1146" w:type="pct"/>
            <w:tcBorders>
              <w:top w:val="single" w:sz="4" w:space="0" w:color="auto"/>
              <w:bottom w:val="single" w:sz="4" w:space="0" w:color="auto"/>
            </w:tcBorders>
            <w:noWrap/>
            <w:vAlign w:val="center"/>
            <w:hideMark/>
          </w:tcPr>
          <w:p w14:paraId="7419B368"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Kategori</w:t>
            </w:r>
          </w:p>
        </w:tc>
      </w:tr>
      <w:tr w:rsidR="009A21F6" w:rsidRPr="009A21F6" w14:paraId="02F9ED05" w14:textId="77777777" w:rsidTr="00DB4165">
        <w:trPr>
          <w:trHeight w:val="60"/>
        </w:trPr>
        <w:tc>
          <w:tcPr>
            <w:tcW w:w="384" w:type="pct"/>
            <w:tcBorders>
              <w:top w:val="single" w:sz="4" w:space="0" w:color="auto"/>
            </w:tcBorders>
            <w:noWrap/>
            <w:hideMark/>
          </w:tcPr>
          <w:p w14:paraId="61C7D8B4"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1</w:t>
            </w:r>
          </w:p>
        </w:tc>
        <w:tc>
          <w:tcPr>
            <w:tcW w:w="1496" w:type="pct"/>
            <w:tcBorders>
              <w:top w:val="single" w:sz="4" w:space="0" w:color="auto"/>
            </w:tcBorders>
            <w:noWrap/>
          </w:tcPr>
          <w:p w14:paraId="4AD15126" w14:textId="77777777" w:rsidR="009A21F6" w:rsidRPr="009A21F6" w:rsidRDefault="009A21F6" w:rsidP="009A21F6">
            <w:pPr>
              <w:widowControl/>
              <w:autoSpaceDE/>
              <w:autoSpaceDN/>
              <w:jc w:val="both"/>
              <w:rPr>
                <w:rFonts w:eastAsiaTheme="minorHAnsi"/>
                <w:lang w:val="en-ID" w:bidi="ar-SA"/>
              </w:rPr>
            </w:pPr>
            <w:r w:rsidRPr="009A21F6">
              <w:rPr>
                <w:rFonts w:eastAsiaTheme="minorHAnsi"/>
                <w:lang w:val="en-ID" w:bidi="ar-SA"/>
              </w:rPr>
              <w:t>X&gt;32,00</w:t>
            </w:r>
          </w:p>
        </w:tc>
        <w:tc>
          <w:tcPr>
            <w:tcW w:w="909" w:type="pct"/>
            <w:tcBorders>
              <w:top w:val="single" w:sz="4" w:space="0" w:color="auto"/>
            </w:tcBorders>
          </w:tcPr>
          <w:p w14:paraId="5B22FDE3" w14:textId="77777777" w:rsidR="009A21F6" w:rsidRPr="009A21F6" w:rsidRDefault="009A21F6" w:rsidP="009A21F6">
            <w:pPr>
              <w:widowControl/>
              <w:adjustRightInd w:val="0"/>
              <w:jc w:val="center"/>
              <w:rPr>
                <w:rFonts w:eastAsiaTheme="minorHAnsi"/>
                <w:lang w:bidi="ar-SA"/>
              </w:rPr>
            </w:pPr>
            <w:r w:rsidRPr="009A21F6">
              <w:rPr>
                <w:rFonts w:eastAsiaTheme="minorHAnsi"/>
                <w:lang w:bidi="ar-SA"/>
              </w:rPr>
              <w:t>6</w:t>
            </w:r>
          </w:p>
        </w:tc>
        <w:tc>
          <w:tcPr>
            <w:tcW w:w="1065" w:type="pct"/>
            <w:tcBorders>
              <w:top w:val="single" w:sz="4" w:space="0" w:color="auto"/>
            </w:tcBorders>
          </w:tcPr>
          <w:p w14:paraId="6872DA8F" w14:textId="77777777" w:rsidR="009A21F6" w:rsidRPr="009A21F6" w:rsidRDefault="009A21F6" w:rsidP="009A21F6">
            <w:pPr>
              <w:widowControl/>
              <w:adjustRightInd w:val="0"/>
              <w:jc w:val="center"/>
              <w:rPr>
                <w:rFonts w:eastAsiaTheme="minorHAnsi"/>
                <w:lang w:bidi="ar-SA"/>
              </w:rPr>
            </w:pPr>
            <w:r w:rsidRPr="009A21F6">
              <w:rPr>
                <w:rFonts w:eastAsiaTheme="minorHAnsi"/>
                <w:lang w:bidi="ar-SA"/>
              </w:rPr>
              <w:t>6,0</w:t>
            </w:r>
          </w:p>
        </w:tc>
        <w:tc>
          <w:tcPr>
            <w:tcW w:w="1146" w:type="pct"/>
            <w:tcBorders>
              <w:top w:val="single" w:sz="4" w:space="0" w:color="auto"/>
            </w:tcBorders>
            <w:noWrap/>
            <w:hideMark/>
          </w:tcPr>
          <w:p w14:paraId="19378BC6" w14:textId="77777777" w:rsidR="009A21F6" w:rsidRPr="009A21F6" w:rsidRDefault="009A21F6" w:rsidP="009A21F6">
            <w:pPr>
              <w:widowControl/>
              <w:autoSpaceDE/>
              <w:autoSpaceDN/>
              <w:rPr>
                <w:rFonts w:eastAsiaTheme="minorHAnsi"/>
                <w:lang w:val="id-ID" w:bidi="ar-SA"/>
              </w:rPr>
            </w:pPr>
            <w:r w:rsidRPr="009A21F6">
              <w:rPr>
                <w:rFonts w:eastAsiaTheme="minorHAnsi"/>
                <w:lang w:val="en-ID" w:bidi="ar-SA"/>
              </w:rPr>
              <w:t>Sangat tinggi</w:t>
            </w:r>
          </w:p>
        </w:tc>
      </w:tr>
      <w:tr w:rsidR="009A21F6" w:rsidRPr="009A21F6" w14:paraId="1C48CCC6" w14:textId="77777777" w:rsidTr="00DB4165">
        <w:trPr>
          <w:trHeight w:val="60"/>
        </w:trPr>
        <w:tc>
          <w:tcPr>
            <w:tcW w:w="384" w:type="pct"/>
            <w:noWrap/>
            <w:hideMark/>
          </w:tcPr>
          <w:p w14:paraId="4906943C"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2</w:t>
            </w:r>
          </w:p>
        </w:tc>
        <w:tc>
          <w:tcPr>
            <w:tcW w:w="1496" w:type="pct"/>
            <w:noWrap/>
          </w:tcPr>
          <w:p w14:paraId="1C719D37" w14:textId="77777777" w:rsidR="009A21F6" w:rsidRPr="009A21F6" w:rsidRDefault="009A21F6" w:rsidP="009A21F6">
            <w:pPr>
              <w:widowControl/>
              <w:autoSpaceDE/>
              <w:autoSpaceDN/>
              <w:jc w:val="both"/>
              <w:rPr>
                <w:rFonts w:eastAsiaTheme="minorHAnsi"/>
                <w:lang w:val="en-ID" w:bidi="ar-SA"/>
              </w:rPr>
            </w:pPr>
            <w:r w:rsidRPr="009A21F6">
              <w:rPr>
                <w:rFonts w:eastAsiaTheme="minorHAnsi"/>
                <w:lang w:val="en-ID" w:bidi="ar-SA"/>
              </w:rPr>
              <w:t>26,67&lt;X≤32,00</w:t>
            </w:r>
          </w:p>
        </w:tc>
        <w:tc>
          <w:tcPr>
            <w:tcW w:w="909" w:type="pct"/>
          </w:tcPr>
          <w:p w14:paraId="4DA9022C" w14:textId="77777777" w:rsidR="009A21F6" w:rsidRPr="009A21F6" w:rsidRDefault="009A21F6" w:rsidP="009A21F6">
            <w:pPr>
              <w:widowControl/>
              <w:adjustRightInd w:val="0"/>
              <w:jc w:val="center"/>
              <w:rPr>
                <w:rFonts w:eastAsiaTheme="minorHAnsi"/>
                <w:lang w:bidi="ar-SA"/>
              </w:rPr>
            </w:pPr>
            <w:r w:rsidRPr="009A21F6">
              <w:rPr>
                <w:rFonts w:eastAsiaTheme="minorHAnsi"/>
                <w:lang w:bidi="ar-SA"/>
              </w:rPr>
              <w:t>50</w:t>
            </w:r>
          </w:p>
        </w:tc>
        <w:tc>
          <w:tcPr>
            <w:tcW w:w="1065" w:type="pct"/>
          </w:tcPr>
          <w:p w14:paraId="67C53EDA" w14:textId="77777777" w:rsidR="009A21F6" w:rsidRPr="009A21F6" w:rsidRDefault="009A21F6" w:rsidP="009A21F6">
            <w:pPr>
              <w:widowControl/>
              <w:adjustRightInd w:val="0"/>
              <w:jc w:val="center"/>
              <w:rPr>
                <w:rFonts w:eastAsiaTheme="minorHAnsi"/>
                <w:lang w:bidi="ar-SA"/>
              </w:rPr>
            </w:pPr>
            <w:r w:rsidRPr="009A21F6">
              <w:rPr>
                <w:rFonts w:eastAsiaTheme="minorHAnsi"/>
                <w:lang w:bidi="ar-SA"/>
              </w:rPr>
              <w:t>50,0</w:t>
            </w:r>
          </w:p>
        </w:tc>
        <w:tc>
          <w:tcPr>
            <w:tcW w:w="1146" w:type="pct"/>
            <w:noWrap/>
            <w:hideMark/>
          </w:tcPr>
          <w:p w14:paraId="15092E7A" w14:textId="77777777" w:rsidR="009A21F6" w:rsidRPr="009A21F6" w:rsidRDefault="009A21F6" w:rsidP="009A21F6">
            <w:pPr>
              <w:widowControl/>
              <w:autoSpaceDE/>
              <w:autoSpaceDN/>
              <w:rPr>
                <w:rFonts w:eastAsiaTheme="minorHAnsi"/>
                <w:lang w:val="id-ID" w:bidi="ar-SA"/>
              </w:rPr>
            </w:pPr>
            <w:r w:rsidRPr="009A21F6">
              <w:rPr>
                <w:rFonts w:eastAsiaTheme="minorHAnsi"/>
                <w:lang w:val="en-ID" w:bidi="ar-SA"/>
              </w:rPr>
              <w:t>Tinggi</w:t>
            </w:r>
          </w:p>
        </w:tc>
      </w:tr>
      <w:tr w:rsidR="009A21F6" w:rsidRPr="009A21F6" w14:paraId="038F3CA6" w14:textId="77777777" w:rsidTr="00DB4165">
        <w:trPr>
          <w:trHeight w:val="145"/>
        </w:trPr>
        <w:tc>
          <w:tcPr>
            <w:tcW w:w="384" w:type="pct"/>
            <w:noWrap/>
          </w:tcPr>
          <w:p w14:paraId="2FE4823A"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3</w:t>
            </w:r>
          </w:p>
        </w:tc>
        <w:tc>
          <w:tcPr>
            <w:tcW w:w="1496" w:type="pct"/>
            <w:noWrap/>
          </w:tcPr>
          <w:p w14:paraId="6C64AAAF" w14:textId="77777777" w:rsidR="009A21F6" w:rsidRPr="009A21F6" w:rsidRDefault="009A21F6" w:rsidP="009A21F6">
            <w:pPr>
              <w:widowControl/>
              <w:autoSpaceDE/>
              <w:autoSpaceDN/>
              <w:jc w:val="both"/>
              <w:rPr>
                <w:rFonts w:eastAsiaTheme="minorHAnsi"/>
                <w:lang w:val="en-ID" w:bidi="ar-SA"/>
              </w:rPr>
            </w:pPr>
            <w:r w:rsidRPr="009A21F6">
              <w:rPr>
                <w:rFonts w:eastAsiaTheme="minorHAnsi"/>
                <w:lang w:val="en-ID" w:bidi="ar-SA"/>
              </w:rPr>
              <w:t>21,33&lt;X≤26,67</w:t>
            </w:r>
          </w:p>
        </w:tc>
        <w:tc>
          <w:tcPr>
            <w:tcW w:w="909" w:type="pct"/>
          </w:tcPr>
          <w:p w14:paraId="6CF4DD94" w14:textId="77777777" w:rsidR="009A21F6" w:rsidRPr="009A21F6" w:rsidRDefault="009A21F6" w:rsidP="009A21F6">
            <w:pPr>
              <w:widowControl/>
              <w:adjustRightInd w:val="0"/>
              <w:jc w:val="center"/>
              <w:rPr>
                <w:rFonts w:eastAsiaTheme="minorHAnsi"/>
                <w:lang w:bidi="ar-SA"/>
              </w:rPr>
            </w:pPr>
            <w:r w:rsidRPr="009A21F6">
              <w:rPr>
                <w:rFonts w:eastAsiaTheme="minorHAnsi"/>
                <w:lang w:bidi="ar-SA"/>
              </w:rPr>
              <w:t>39</w:t>
            </w:r>
          </w:p>
        </w:tc>
        <w:tc>
          <w:tcPr>
            <w:tcW w:w="1065" w:type="pct"/>
          </w:tcPr>
          <w:p w14:paraId="08E56716" w14:textId="77777777" w:rsidR="009A21F6" w:rsidRPr="009A21F6" w:rsidRDefault="009A21F6" w:rsidP="009A21F6">
            <w:pPr>
              <w:widowControl/>
              <w:adjustRightInd w:val="0"/>
              <w:jc w:val="center"/>
              <w:rPr>
                <w:rFonts w:eastAsiaTheme="minorHAnsi"/>
                <w:lang w:bidi="ar-SA"/>
              </w:rPr>
            </w:pPr>
            <w:r w:rsidRPr="009A21F6">
              <w:rPr>
                <w:rFonts w:eastAsiaTheme="minorHAnsi"/>
                <w:lang w:bidi="ar-SA"/>
              </w:rPr>
              <w:t>39,0</w:t>
            </w:r>
          </w:p>
        </w:tc>
        <w:tc>
          <w:tcPr>
            <w:tcW w:w="1146" w:type="pct"/>
            <w:noWrap/>
          </w:tcPr>
          <w:p w14:paraId="63B07541" w14:textId="77777777" w:rsidR="009A21F6" w:rsidRPr="009A21F6" w:rsidRDefault="009A21F6" w:rsidP="009A21F6">
            <w:pPr>
              <w:widowControl/>
              <w:autoSpaceDE/>
              <w:autoSpaceDN/>
              <w:rPr>
                <w:rFonts w:eastAsiaTheme="minorHAnsi"/>
                <w:lang w:val="en-ID" w:bidi="ar-SA"/>
              </w:rPr>
            </w:pPr>
            <w:r w:rsidRPr="009A21F6">
              <w:rPr>
                <w:rFonts w:eastAsiaTheme="minorHAnsi"/>
                <w:lang w:val="en-ID" w:bidi="ar-SA"/>
              </w:rPr>
              <w:t>Sedang</w:t>
            </w:r>
          </w:p>
        </w:tc>
      </w:tr>
      <w:tr w:rsidR="009A21F6" w:rsidRPr="009A21F6" w14:paraId="2515362E" w14:textId="77777777" w:rsidTr="00DB4165">
        <w:trPr>
          <w:trHeight w:val="60"/>
        </w:trPr>
        <w:tc>
          <w:tcPr>
            <w:tcW w:w="384" w:type="pct"/>
            <w:noWrap/>
          </w:tcPr>
          <w:p w14:paraId="29164D5A"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4</w:t>
            </w:r>
          </w:p>
        </w:tc>
        <w:tc>
          <w:tcPr>
            <w:tcW w:w="1496" w:type="pct"/>
            <w:noWrap/>
          </w:tcPr>
          <w:p w14:paraId="57A22D24" w14:textId="77777777" w:rsidR="009A21F6" w:rsidRPr="009A21F6" w:rsidRDefault="009A21F6" w:rsidP="009A21F6">
            <w:pPr>
              <w:widowControl/>
              <w:autoSpaceDE/>
              <w:autoSpaceDN/>
              <w:jc w:val="both"/>
              <w:rPr>
                <w:rFonts w:eastAsiaTheme="minorHAnsi"/>
                <w:lang w:val="en-ID" w:bidi="ar-SA"/>
              </w:rPr>
            </w:pPr>
            <w:r w:rsidRPr="009A21F6">
              <w:rPr>
                <w:rFonts w:eastAsiaTheme="minorHAnsi"/>
                <w:lang w:val="en-ID" w:bidi="ar-SA"/>
              </w:rPr>
              <w:t>16,00&lt;X≤21,33</w:t>
            </w:r>
          </w:p>
        </w:tc>
        <w:tc>
          <w:tcPr>
            <w:tcW w:w="909" w:type="pct"/>
          </w:tcPr>
          <w:p w14:paraId="03AAA7CE" w14:textId="77777777" w:rsidR="009A21F6" w:rsidRPr="009A21F6" w:rsidRDefault="009A21F6" w:rsidP="009A21F6">
            <w:pPr>
              <w:widowControl/>
              <w:adjustRightInd w:val="0"/>
              <w:jc w:val="center"/>
              <w:rPr>
                <w:rFonts w:eastAsiaTheme="minorHAnsi"/>
                <w:lang w:bidi="ar-SA"/>
              </w:rPr>
            </w:pPr>
            <w:r w:rsidRPr="009A21F6">
              <w:rPr>
                <w:rFonts w:eastAsiaTheme="minorHAnsi"/>
                <w:lang w:bidi="ar-SA"/>
              </w:rPr>
              <w:t>5</w:t>
            </w:r>
          </w:p>
        </w:tc>
        <w:tc>
          <w:tcPr>
            <w:tcW w:w="1065" w:type="pct"/>
          </w:tcPr>
          <w:p w14:paraId="44F448A0" w14:textId="77777777" w:rsidR="009A21F6" w:rsidRPr="009A21F6" w:rsidRDefault="009A21F6" w:rsidP="009A21F6">
            <w:pPr>
              <w:widowControl/>
              <w:adjustRightInd w:val="0"/>
              <w:jc w:val="center"/>
              <w:rPr>
                <w:rFonts w:eastAsiaTheme="minorHAnsi"/>
                <w:lang w:bidi="ar-SA"/>
              </w:rPr>
            </w:pPr>
            <w:r w:rsidRPr="009A21F6">
              <w:rPr>
                <w:rFonts w:eastAsiaTheme="minorHAnsi"/>
                <w:lang w:bidi="ar-SA"/>
              </w:rPr>
              <w:t>5,0</w:t>
            </w:r>
          </w:p>
        </w:tc>
        <w:tc>
          <w:tcPr>
            <w:tcW w:w="1146" w:type="pct"/>
            <w:noWrap/>
          </w:tcPr>
          <w:p w14:paraId="6A930434" w14:textId="29D3A142" w:rsidR="009A21F6" w:rsidRPr="00340CDB" w:rsidRDefault="00340CDB" w:rsidP="009A21F6">
            <w:pPr>
              <w:widowControl/>
              <w:autoSpaceDE/>
              <w:autoSpaceDN/>
              <w:rPr>
                <w:rFonts w:eastAsiaTheme="minorHAnsi"/>
                <w:lang w:val="id-ID" w:bidi="ar-SA"/>
              </w:rPr>
            </w:pPr>
            <w:r>
              <w:rPr>
                <w:rFonts w:eastAsiaTheme="minorHAnsi"/>
                <w:lang w:val="id-ID" w:bidi="ar-SA"/>
              </w:rPr>
              <w:t>Kecil</w:t>
            </w:r>
          </w:p>
        </w:tc>
      </w:tr>
      <w:tr w:rsidR="009A21F6" w:rsidRPr="009A21F6" w14:paraId="2D42C91A" w14:textId="77777777" w:rsidTr="00DB4165">
        <w:trPr>
          <w:trHeight w:val="60"/>
        </w:trPr>
        <w:tc>
          <w:tcPr>
            <w:tcW w:w="384" w:type="pct"/>
            <w:tcBorders>
              <w:bottom w:val="single" w:sz="4" w:space="0" w:color="auto"/>
            </w:tcBorders>
            <w:noWrap/>
            <w:hideMark/>
          </w:tcPr>
          <w:p w14:paraId="39CC3CC8"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5</w:t>
            </w:r>
          </w:p>
        </w:tc>
        <w:tc>
          <w:tcPr>
            <w:tcW w:w="1496" w:type="pct"/>
            <w:tcBorders>
              <w:bottom w:val="single" w:sz="4" w:space="0" w:color="auto"/>
            </w:tcBorders>
            <w:noWrap/>
          </w:tcPr>
          <w:p w14:paraId="6B4495BA" w14:textId="77777777" w:rsidR="009A21F6" w:rsidRPr="009A21F6" w:rsidRDefault="009A21F6" w:rsidP="009A21F6">
            <w:pPr>
              <w:widowControl/>
              <w:autoSpaceDE/>
              <w:autoSpaceDN/>
              <w:jc w:val="both"/>
              <w:rPr>
                <w:rFonts w:eastAsiaTheme="minorHAnsi"/>
                <w:lang w:val="en-ID" w:bidi="ar-SA"/>
              </w:rPr>
            </w:pPr>
            <w:r w:rsidRPr="009A21F6">
              <w:rPr>
                <w:rFonts w:eastAsiaTheme="minorHAnsi"/>
                <w:lang w:val="en-ID" w:bidi="ar-SA"/>
              </w:rPr>
              <w:t>X≤16,00</w:t>
            </w:r>
          </w:p>
        </w:tc>
        <w:tc>
          <w:tcPr>
            <w:tcW w:w="909" w:type="pct"/>
            <w:tcBorders>
              <w:bottom w:val="single" w:sz="4" w:space="0" w:color="auto"/>
            </w:tcBorders>
            <w:vAlign w:val="center"/>
          </w:tcPr>
          <w:p w14:paraId="4130EEF1" w14:textId="77777777" w:rsidR="009A21F6" w:rsidRPr="009A21F6" w:rsidRDefault="009A21F6" w:rsidP="009A21F6">
            <w:pPr>
              <w:widowControl/>
              <w:adjustRightInd w:val="0"/>
              <w:jc w:val="center"/>
              <w:rPr>
                <w:rFonts w:eastAsiaTheme="minorHAnsi"/>
                <w:lang w:bidi="ar-SA"/>
              </w:rPr>
            </w:pPr>
            <w:r w:rsidRPr="009A21F6">
              <w:rPr>
                <w:rFonts w:eastAsiaTheme="minorHAnsi"/>
                <w:lang w:bidi="ar-SA"/>
              </w:rPr>
              <w:t>0</w:t>
            </w:r>
          </w:p>
        </w:tc>
        <w:tc>
          <w:tcPr>
            <w:tcW w:w="1065" w:type="pct"/>
            <w:tcBorders>
              <w:bottom w:val="single" w:sz="4" w:space="0" w:color="auto"/>
            </w:tcBorders>
            <w:vAlign w:val="center"/>
          </w:tcPr>
          <w:p w14:paraId="0D4B5C76" w14:textId="77777777" w:rsidR="009A21F6" w:rsidRPr="009A21F6" w:rsidRDefault="009A21F6" w:rsidP="009A21F6">
            <w:pPr>
              <w:widowControl/>
              <w:adjustRightInd w:val="0"/>
              <w:jc w:val="center"/>
              <w:rPr>
                <w:rFonts w:eastAsiaTheme="minorHAnsi"/>
                <w:lang w:bidi="ar-SA"/>
              </w:rPr>
            </w:pPr>
            <w:r w:rsidRPr="009A21F6">
              <w:rPr>
                <w:rFonts w:eastAsiaTheme="minorHAnsi"/>
                <w:lang w:bidi="ar-SA"/>
              </w:rPr>
              <w:t>0,0</w:t>
            </w:r>
          </w:p>
        </w:tc>
        <w:tc>
          <w:tcPr>
            <w:tcW w:w="1146" w:type="pct"/>
            <w:tcBorders>
              <w:bottom w:val="single" w:sz="4" w:space="0" w:color="auto"/>
            </w:tcBorders>
            <w:noWrap/>
            <w:hideMark/>
          </w:tcPr>
          <w:p w14:paraId="1F26C43B" w14:textId="2EC21147" w:rsidR="009A21F6" w:rsidRPr="00340CDB" w:rsidRDefault="00340CDB" w:rsidP="009A21F6">
            <w:pPr>
              <w:widowControl/>
              <w:autoSpaceDE/>
              <w:autoSpaceDN/>
              <w:rPr>
                <w:rFonts w:eastAsiaTheme="minorHAnsi"/>
                <w:lang w:val="id-ID" w:bidi="ar-SA"/>
              </w:rPr>
            </w:pPr>
            <w:r>
              <w:rPr>
                <w:rFonts w:eastAsiaTheme="minorHAnsi"/>
                <w:lang w:val="id-ID" w:bidi="ar-SA"/>
              </w:rPr>
              <w:t>Amat Kecil</w:t>
            </w:r>
          </w:p>
        </w:tc>
      </w:tr>
      <w:tr w:rsidR="009A21F6" w:rsidRPr="009A21F6" w14:paraId="1851C3E2" w14:textId="77777777" w:rsidTr="00DB4165">
        <w:trPr>
          <w:trHeight w:val="60"/>
        </w:trPr>
        <w:tc>
          <w:tcPr>
            <w:tcW w:w="1880" w:type="pct"/>
            <w:gridSpan w:val="2"/>
            <w:tcBorders>
              <w:top w:val="single" w:sz="4" w:space="0" w:color="auto"/>
              <w:bottom w:val="single" w:sz="4" w:space="0" w:color="auto"/>
            </w:tcBorders>
            <w:noWrap/>
            <w:vAlign w:val="bottom"/>
            <w:hideMark/>
          </w:tcPr>
          <w:p w14:paraId="7629B0BA"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Total</w:t>
            </w:r>
          </w:p>
        </w:tc>
        <w:tc>
          <w:tcPr>
            <w:tcW w:w="909" w:type="pct"/>
            <w:tcBorders>
              <w:top w:val="single" w:sz="4" w:space="0" w:color="auto"/>
              <w:bottom w:val="single" w:sz="4" w:space="0" w:color="auto"/>
            </w:tcBorders>
            <w:vAlign w:val="center"/>
          </w:tcPr>
          <w:p w14:paraId="386DB7F2"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id-ID" w:bidi="ar-SA"/>
              </w:rPr>
              <w:t>388</w:t>
            </w:r>
          </w:p>
        </w:tc>
        <w:tc>
          <w:tcPr>
            <w:tcW w:w="1065" w:type="pct"/>
            <w:tcBorders>
              <w:top w:val="single" w:sz="4" w:space="0" w:color="auto"/>
              <w:bottom w:val="single" w:sz="4" w:space="0" w:color="auto"/>
            </w:tcBorders>
            <w:vAlign w:val="center"/>
          </w:tcPr>
          <w:p w14:paraId="643699CD"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100,0</w:t>
            </w:r>
          </w:p>
        </w:tc>
        <w:tc>
          <w:tcPr>
            <w:tcW w:w="1146" w:type="pct"/>
            <w:tcBorders>
              <w:top w:val="single" w:sz="4" w:space="0" w:color="auto"/>
              <w:bottom w:val="single" w:sz="4" w:space="0" w:color="auto"/>
            </w:tcBorders>
            <w:noWrap/>
            <w:vAlign w:val="center"/>
            <w:hideMark/>
          </w:tcPr>
          <w:p w14:paraId="1DB733FA" w14:textId="77777777" w:rsidR="009A21F6" w:rsidRPr="009A21F6" w:rsidRDefault="009A21F6" w:rsidP="009A21F6">
            <w:pPr>
              <w:widowControl/>
              <w:autoSpaceDE/>
              <w:autoSpaceDN/>
              <w:jc w:val="center"/>
              <w:rPr>
                <w:rFonts w:eastAsiaTheme="minorHAnsi"/>
                <w:lang w:val="en-ID" w:bidi="ar-SA"/>
              </w:rPr>
            </w:pPr>
          </w:p>
        </w:tc>
      </w:tr>
    </w:tbl>
    <w:p w14:paraId="55C8726E" w14:textId="130C2C35" w:rsidR="009A21F6" w:rsidRPr="009A21F6" w:rsidRDefault="00340CDB" w:rsidP="009A7619">
      <w:pPr>
        <w:tabs>
          <w:tab w:val="left" w:pos="567"/>
        </w:tabs>
        <w:ind w:firstLine="567"/>
        <w:jc w:val="both"/>
        <w:rPr>
          <w:rFonts w:eastAsiaTheme="minorHAnsi"/>
          <w:lang w:val="id-ID" w:bidi="ar-SA"/>
        </w:rPr>
      </w:pPr>
      <w:r>
        <w:rPr>
          <w:rFonts w:eastAsiaTheme="minorHAnsi"/>
          <w:lang w:val="id-ID" w:bidi="ar-SA"/>
        </w:rPr>
        <w:t xml:space="preserve">Dari </w:t>
      </w:r>
      <w:r w:rsidR="009A21F6" w:rsidRPr="009A21F6">
        <w:rPr>
          <w:rFonts w:eastAsiaTheme="minorHAnsi"/>
          <w:lang w:val="sv-SE" w:bidi="ar-SA"/>
        </w:rPr>
        <w:t xml:space="preserve">tabel </w:t>
      </w:r>
      <w:r w:rsidR="00C27765">
        <w:rPr>
          <w:rFonts w:eastAsiaTheme="minorHAnsi"/>
          <w:lang w:val="id-ID" w:bidi="ar-SA"/>
        </w:rPr>
        <w:t xml:space="preserve">bisa dimaknakan </w:t>
      </w:r>
      <w:r w:rsidR="009A21F6" w:rsidRPr="009A21F6">
        <w:rPr>
          <w:rFonts w:eastAsiaTheme="minorHAnsi"/>
          <w:lang w:bidi="ar-SA"/>
        </w:rPr>
        <w:t xml:space="preserve">bahwa </w:t>
      </w:r>
      <w:r w:rsidR="00C27765">
        <w:rPr>
          <w:rFonts w:eastAsiaTheme="minorHAnsi"/>
          <w:lang w:val="id-ID" w:bidi="ar-SA"/>
        </w:rPr>
        <w:t xml:space="preserve">kebanyakan </w:t>
      </w:r>
      <w:r w:rsidR="009A21F6" w:rsidRPr="009A21F6">
        <w:rPr>
          <w:rFonts w:eastAsiaTheme="minorHAnsi"/>
          <w:lang w:val="id-ID" w:bidi="ar-SA"/>
        </w:rPr>
        <w:t xml:space="preserve">responden dengan </w:t>
      </w:r>
      <w:r w:rsidR="009A21F6" w:rsidRPr="009A21F6">
        <w:rPr>
          <w:rFonts w:eastAsiaTheme="minorHAnsi"/>
          <w:lang w:val="en-ID" w:bidi="ar-SA"/>
        </w:rPr>
        <w:t xml:space="preserve">Kemauan Membayar </w:t>
      </w:r>
      <w:r w:rsidR="009A21F6" w:rsidRPr="009A21F6">
        <w:rPr>
          <w:iCs/>
          <w:color w:val="000000"/>
          <w:lang w:val="id-ID"/>
        </w:rPr>
        <w:t>Pajak</w:t>
      </w:r>
      <w:r w:rsidR="009A21F6" w:rsidRPr="009A21F6">
        <w:rPr>
          <w:rFonts w:eastAsiaTheme="minorHAnsi"/>
          <w:lang w:val="en-ID" w:bidi="ar-SA"/>
        </w:rPr>
        <w:t xml:space="preserve"> dalam </w:t>
      </w:r>
      <w:r w:rsidR="00C27765">
        <w:rPr>
          <w:rFonts w:eastAsiaTheme="minorHAnsi"/>
          <w:lang w:val="id-ID" w:bidi="ar-SA"/>
        </w:rPr>
        <w:t xml:space="preserve">klasifikasi maksimum </w:t>
      </w:r>
      <w:r w:rsidR="009A21F6" w:rsidRPr="009A21F6">
        <w:rPr>
          <w:rFonts w:eastAsiaTheme="minorHAnsi"/>
          <w:lang w:val="sv-SE" w:bidi="ar-SA"/>
        </w:rPr>
        <w:t>(50</w:t>
      </w:r>
      <w:r w:rsidR="009A21F6" w:rsidRPr="009A21F6">
        <w:rPr>
          <w:rFonts w:eastAsiaTheme="minorHAnsi"/>
          <w:lang w:val="id-ID" w:bidi="ar-SA"/>
        </w:rPr>
        <w:t>,0</w:t>
      </w:r>
      <w:r w:rsidR="009A21F6" w:rsidRPr="009A21F6">
        <w:rPr>
          <w:rFonts w:eastAsiaTheme="minorHAnsi"/>
          <w:lang w:val="sv-SE" w:bidi="ar-SA"/>
        </w:rPr>
        <w:t>%)</w:t>
      </w:r>
      <w:r w:rsidR="009A21F6" w:rsidRPr="009A21F6">
        <w:rPr>
          <w:rFonts w:eastAsiaTheme="minorHAnsi"/>
          <w:lang w:val="id-ID" w:bidi="ar-SA"/>
        </w:rPr>
        <w:t>.</w:t>
      </w:r>
    </w:p>
    <w:p w14:paraId="05DAC460" w14:textId="77777777" w:rsidR="009A21F6" w:rsidRPr="009A21F6" w:rsidRDefault="009A21F6" w:rsidP="009A7619">
      <w:pPr>
        <w:widowControl/>
        <w:tabs>
          <w:tab w:val="center" w:pos="540"/>
        </w:tabs>
        <w:autoSpaceDE/>
        <w:autoSpaceDN/>
        <w:adjustRightInd w:val="0"/>
        <w:jc w:val="both"/>
        <w:rPr>
          <w:rFonts w:eastAsiaTheme="minorHAnsi"/>
          <w:b/>
          <w:lang w:val="en-ID" w:bidi="ar-SA"/>
        </w:rPr>
      </w:pPr>
      <w:r w:rsidRPr="009A21F6">
        <w:rPr>
          <w:rFonts w:eastAsiaTheme="minorHAnsi"/>
          <w:b/>
          <w:lang w:val="en-ID" w:bidi="ar-SA"/>
        </w:rPr>
        <w:t>Kesadaran Membayar Pajak</w:t>
      </w:r>
    </w:p>
    <w:p w14:paraId="4FE9B929" w14:textId="7D32EC39" w:rsidR="009A21F6" w:rsidRPr="00C27765" w:rsidRDefault="009A21F6" w:rsidP="00DB4165">
      <w:pPr>
        <w:tabs>
          <w:tab w:val="left" w:pos="567"/>
        </w:tabs>
        <w:ind w:firstLine="567"/>
        <w:jc w:val="both"/>
        <w:rPr>
          <w:rFonts w:eastAsiaTheme="minorHAnsi"/>
          <w:lang w:val="id-ID" w:bidi="ar-SA"/>
        </w:rPr>
      </w:pPr>
      <w:r w:rsidRPr="009A21F6">
        <w:rPr>
          <w:rFonts w:eastAsiaTheme="minorHAnsi"/>
          <w:lang w:val="en-ID" w:bidi="ar-SA"/>
        </w:rPr>
        <w:t>D</w:t>
      </w:r>
      <w:r w:rsidRPr="009A21F6">
        <w:rPr>
          <w:rFonts w:eastAsiaTheme="minorHAnsi"/>
          <w:lang w:val="sv-SE" w:bidi="ar-SA"/>
        </w:rPr>
        <w:t xml:space="preserve">istribusi </w:t>
      </w:r>
      <w:r w:rsidRPr="009A21F6">
        <w:rPr>
          <w:rFonts w:eastAsiaTheme="minorHAnsi"/>
          <w:lang w:val="en-ID" w:bidi="ar-SA"/>
        </w:rPr>
        <w:t>kategori</w:t>
      </w:r>
      <w:r w:rsidRPr="009A21F6">
        <w:rPr>
          <w:rFonts w:eastAsiaTheme="minorHAnsi"/>
          <w:lang w:val="sv-SE" w:bidi="ar-SA"/>
        </w:rPr>
        <w:t xml:space="preserve"> kecenderungan </w:t>
      </w:r>
      <w:r w:rsidRPr="009A21F6">
        <w:rPr>
          <w:rFonts w:eastAsiaTheme="minorHAnsi"/>
          <w:lang w:val="en-ID" w:bidi="ar-SA"/>
        </w:rPr>
        <w:t xml:space="preserve">kesadaran membayar pajak </w:t>
      </w:r>
      <w:r w:rsidR="00C27765">
        <w:rPr>
          <w:rFonts w:eastAsiaTheme="minorHAnsi"/>
          <w:lang w:val="id-ID" w:bidi="ar-SA"/>
        </w:rPr>
        <w:t>bisa ditampilkan di</w:t>
      </w:r>
      <w:r w:rsidRPr="009A21F6">
        <w:rPr>
          <w:rFonts w:eastAsiaTheme="minorHAnsi"/>
          <w:lang w:val="sv-SE" w:bidi="ar-SA"/>
        </w:rPr>
        <w:t xml:space="preserve">tabel </w:t>
      </w:r>
      <w:r w:rsidR="00C27765">
        <w:rPr>
          <w:rFonts w:eastAsiaTheme="minorHAnsi"/>
          <w:lang w:val="id-ID" w:bidi="ar-SA"/>
        </w:rPr>
        <w:t>yakni:</w:t>
      </w:r>
    </w:p>
    <w:p w14:paraId="54713EF9" w14:textId="58A0E33A" w:rsidR="009A21F6" w:rsidRPr="009A21F6" w:rsidRDefault="009A21F6" w:rsidP="009A7619">
      <w:pPr>
        <w:widowControl/>
        <w:adjustRightInd w:val="0"/>
        <w:jc w:val="center"/>
        <w:rPr>
          <w:rFonts w:eastAsiaTheme="minorHAnsi"/>
          <w:b/>
          <w:lang w:val="en-ID" w:bidi="ar-SA"/>
        </w:rPr>
      </w:pPr>
      <w:proofErr w:type="gramStart"/>
      <w:r w:rsidRPr="009A21F6">
        <w:rPr>
          <w:rFonts w:eastAsiaTheme="minorHAnsi"/>
          <w:b/>
          <w:lang w:val="en-ID" w:bidi="ar-SA"/>
        </w:rPr>
        <w:t xml:space="preserve">Tabel </w:t>
      </w:r>
      <w:r w:rsidR="00DB4165">
        <w:rPr>
          <w:rFonts w:eastAsiaTheme="minorHAnsi"/>
          <w:b/>
          <w:lang w:val="en-ID" w:bidi="ar-SA"/>
        </w:rPr>
        <w:t>2</w:t>
      </w:r>
      <w:r w:rsidRPr="009A21F6">
        <w:rPr>
          <w:rFonts w:eastAsiaTheme="minorHAnsi"/>
          <w:b/>
          <w:lang w:val="en-ID" w:bidi="ar-SA"/>
        </w:rPr>
        <w:t>.</w:t>
      </w:r>
      <w:proofErr w:type="gramEnd"/>
      <w:r w:rsidRPr="009A21F6">
        <w:rPr>
          <w:rFonts w:eastAsiaTheme="minorHAnsi"/>
          <w:b/>
          <w:lang w:val="en-ID" w:bidi="ar-SA"/>
        </w:rPr>
        <w:t xml:space="preserve"> Kategori Kecenderungan Kesadaran Membayar Pajak</w:t>
      </w:r>
    </w:p>
    <w:tbl>
      <w:tblPr>
        <w:tblW w:w="5000" w:type="pct"/>
        <w:tblLook w:val="04A0" w:firstRow="1" w:lastRow="0" w:firstColumn="1" w:lastColumn="0" w:noHBand="0" w:noVBand="1"/>
      </w:tblPr>
      <w:tblGrid>
        <w:gridCol w:w="710"/>
        <w:gridCol w:w="2765"/>
        <w:gridCol w:w="1680"/>
        <w:gridCol w:w="1969"/>
        <w:gridCol w:w="2118"/>
      </w:tblGrid>
      <w:tr w:rsidR="009A21F6" w:rsidRPr="009A21F6" w14:paraId="33BE6CC6" w14:textId="77777777" w:rsidTr="00DB4165">
        <w:trPr>
          <w:trHeight w:val="358"/>
        </w:trPr>
        <w:tc>
          <w:tcPr>
            <w:tcW w:w="384" w:type="pct"/>
            <w:tcBorders>
              <w:top w:val="single" w:sz="4" w:space="0" w:color="auto"/>
              <w:bottom w:val="single" w:sz="4" w:space="0" w:color="auto"/>
            </w:tcBorders>
            <w:noWrap/>
            <w:vAlign w:val="center"/>
            <w:hideMark/>
          </w:tcPr>
          <w:p w14:paraId="1789B193"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No.</w:t>
            </w:r>
          </w:p>
        </w:tc>
        <w:tc>
          <w:tcPr>
            <w:tcW w:w="1496" w:type="pct"/>
            <w:tcBorders>
              <w:top w:val="single" w:sz="4" w:space="0" w:color="auto"/>
              <w:bottom w:val="single" w:sz="4" w:space="0" w:color="auto"/>
            </w:tcBorders>
            <w:noWrap/>
            <w:vAlign w:val="center"/>
            <w:hideMark/>
          </w:tcPr>
          <w:p w14:paraId="186E0316"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Kelas Interval</w:t>
            </w:r>
          </w:p>
        </w:tc>
        <w:tc>
          <w:tcPr>
            <w:tcW w:w="909" w:type="pct"/>
            <w:tcBorders>
              <w:top w:val="single" w:sz="4" w:space="0" w:color="auto"/>
              <w:bottom w:val="single" w:sz="4" w:space="0" w:color="auto"/>
            </w:tcBorders>
            <w:vAlign w:val="center"/>
          </w:tcPr>
          <w:p w14:paraId="4F791CB0" w14:textId="77777777" w:rsidR="009A21F6" w:rsidRPr="009A21F6" w:rsidRDefault="009A21F6" w:rsidP="009A21F6">
            <w:pPr>
              <w:widowControl/>
              <w:autoSpaceDE/>
              <w:autoSpaceDN/>
              <w:jc w:val="center"/>
              <w:rPr>
                <w:rFonts w:eastAsiaTheme="minorHAnsi"/>
                <w:b/>
                <w:lang w:val="id-ID" w:bidi="ar-SA"/>
              </w:rPr>
            </w:pPr>
            <w:r w:rsidRPr="009A21F6">
              <w:rPr>
                <w:rFonts w:eastAsiaTheme="minorHAnsi"/>
                <w:b/>
                <w:lang w:val="id-ID" w:bidi="ar-SA"/>
              </w:rPr>
              <w:t>Frekuensi</w:t>
            </w:r>
          </w:p>
        </w:tc>
        <w:tc>
          <w:tcPr>
            <w:tcW w:w="1065" w:type="pct"/>
            <w:tcBorders>
              <w:top w:val="single" w:sz="4" w:space="0" w:color="auto"/>
              <w:bottom w:val="single" w:sz="4" w:space="0" w:color="auto"/>
            </w:tcBorders>
            <w:vAlign w:val="center"/>
          </w:tcPr>
          <w:p w14:paraId="744E6087" w14:textId="77777777" w:rsidR="009A21F6" w:rsidRPr="009A21F6" w:rsidRDefault="009A21F6" w:rsidP="009A21F6">
            <w:pPr>
              <w:widowControl/>
              <w:autoSpaceDE/>
              <w:autoSpaceDN/>
              <w:jc w:val="center"/>
              <w:rPr>
                <w:rFonts w:eastAsiaTheme="minorHAnsi"/>
                <w:b/>
                <w:lang w:val="id-ID" w:bidi="ar-SA"/>
              </w:rPr>
            </w:pPr>
            <w:r w:rsidRPr="009A21F6">
              <w:rPr>
                <w:rFonts w:eastAsiaTheme="minorHAnsi"/>
                <w:b/>
                <w:lang w:val="id-ID" w:bidi="ar-SA"/>
              </w:rPr>
              <w:t>Persentase (%)</w:t>
            </w:r>
          </w:p>
        </w:tc>
        <w:tc>
          <w:tcPr>
            <w:tcW w:w="1146" w:type="pct"/>
            <w:tcBorders>
              <w:top w:val="single" w:sz="4" w:space="0" w:color="auto"/>
              <w:bottom w:val="single" w:sz="4" w:space="0" w:color="auto"/>
            </w:tcBorders>
            <w:noWrap/>
            <w:vAlign w:val="center"/>
            <w:hideMark/>
          </w:tcPr>
          <w:p w14:paraId="7DDA1E04"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Kategori</w:t>
            </w:r>
          </w:p>
        </w:tc>
      </w:tr>
      <w:tr w:rsidR="009A21F6" w:rsidRPr="009A21F6" w14:paraId="53671BA2" w14:textId="77777777" w:rsidTr="00DB4165">
        <w:trPr>
          <w:trHeight w:val="60"/>
        </w:trPr>
        <w:tc>
          <w:tcPr>
            <w:tcW w:w="384" w:type="pct"/>
            <w:tcBorders>
              <w:top w:val="single" w:sz="4" w:space="0" w:color="auto"/>
            </w:tcBorders>
            <w:noWrap/>
            <w:hideMark/>
          </w:tcPr>
          <w:p w14:paraId="2B5FC25F"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1</w:t>
            </w:r>
          </w:p>
        </w:tc>
        <w:tc>
          <w:tcPr>
            <w:tcW w:w="1496" w:type="pct"/>
            <w:tcBorders>
              <w:top w:val="single" w:sz="4" w:space="0" w:color="auto"/>
            </w:tcBorders>
            <w:noWrap/>
          </w:tcPr>
          <w:p w14:paraId="13B07335"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X&gt;40,00</w:t>
            </w:r>
          </w:p>
        </w:tc>
        <w:tc>
          <w:tcPr>
            <w:tcW w:w="909" w:type="pct"/>
            <w:tcBorders>
              <w:top w:val="single" w:sz="4" w:space="0" w:color="auto"/>
            </w:tcBorders>
          </w:tcPr>
          <w:p w14:paraId="734070AC"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20</w:t>
            </w:r>
          </w:p>
        </w:tc>
        <w:tc>
          <w:tcPr>
            <w:tcW w:w="1065" w:type="pct"/>
            <w:tcBorders>
              <w:top w:val="single" w:sz="4" w:space="0" w:color="auto"/>
            </w:tcBorders>
          </w:tcPr>
          <w:p w14:paraId="0A2F6E13"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20,0</w:t>
            </w:r>
          </w:p>
        </w:tc>
        <w:tc>
          <w:tcPr>
            <w:tcW w:w="1146" w:type="pct"/>
            <w:tcBorders>
              <w:top w:val="single" w:sz="4" w:space="0" w:color="auto"/>
            </w:tcBorders>
            <w:noWrap/>
            <w:hideMark/>
          </w:tcPr>
          <w:p w14:paraId="589E7E7B" w14:textId="31C6D191" w:rsidR="009A21F6" w:rsidRPr="009A21F6" w:rsidRDefault="00340CDB" w:rsidP="009A21F6">
            <w:pPr>
              <w:widowControl/>
              <w:autoSpaceDE/>
              <w:autoSpaceDN/>
              <w:rPr>
                <w:rFonts w:eastAsiaTheme="minorHAnsi"/>
                <w:lang w:val="id-ID" w:bidi="ar-SA"/>
              </w:rPr>
            </w:pPr>
            <w:r>
              <w:rPr>
                <w:rFonts w:eastAsiaTheme="minorHAnsi"/>
                <w:lang w:val="id-ID" w:bidi="ar-SA"/>
              </w:rPr>
              <w:t xml:space="preserve">Amat </w:t>
            </w:r>
            <w:r w:rsidR="009A21F6" w:rsidRPr="009A21F6">
              <w:rPr>
                <w:rFonts w:eastAsiaTheme="minorHAnsi"/>
                <w:lang w:val="en-ID" w:bidi="ar-SA"/>
              </w:rPr>
              <w:t>tinggi</w:t>
            </w:r>
          </w:p>
        </w:tc>
      </w:tr>
      <w:tr w:rsidR="009A21F6" w:rsidRPr="009A21F6" w14:paraId="03836E1B" w14:textId="77777777" w:rsidTr="00DB4165">
        <w:trPr>
          <w:trHeight w:val="60"/>
        </w:trPr>
        <w:tc>
          <w:tcPr>
            <w:tcW w:w="384" w:type="pct"/>
            <w:noWrap/>
            <w:hideMark/>
          </w:tcPr>
          <w:p w14:paraId="359C05B8"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2</w:t>
            </w:r>
          </w:p>
        </w:tc>
        <w:tc>
          <w:tcPr>
            <w:tcW w:w="1496" w:type="pct"/>
            <w:noWrap/>
          </w:tcPr>
          <w:p w14:paraId="3D9444F4"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33,33&lt;</w:t>
            </w:r>
            <w:r w:rsidRPr="009A21F6">
              <w:rPr>
                <w:rFonts w:eastAsiaTheme="minorHAnsi"/>
                <w:lang w:val="en-ID" w:bidi="ar-SA"/>
              </w:rPr>
              <w:tab/>
              <w:t>X≤40,00</w:t>
            </w:r>
          </w:p>
        </w:tc>
        <w:tc>
          <w:tcPr>
            <w:tcW w:w="909" w:type="pct"/>
          </w:tcPr>
          <w:p w14:paraId="7C2607B3"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56</w:t>
            </w:r>
          </w:p>
        </w:tc>
        <w:tc>
          <w:tcPr>
            <w:tcW w:w="1065" w:type="pct"/>
          </w:tcPr>
          <w:p w14:paraId="5A024DAB"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56,0</w:t>
            </w:r>
          </w:p>
        </w:tc>
        <w:tc>
          <w:tcPr>
            <w:tcW w:w="1146" w:type="pct"/>
            <w:noWrap/>
            <w:hideMark/>
          </w:tcPr>
          <w:p w14:paraId="256A8BD7" w14:textId="77777777" w:rsidR="009A21F6" w:rsidRPr="009A21F6" w:rsidRDefault="009A21F6" w:rsidP="009A21F6">
            <w:pPr>
              <w:widowControl/>
              <w:autoSpaceDE/>
              <w:autoSpaceDN/>
              <w:rPr>
                <w:rFonts w:eastAsiaTheme="minorHAnsi"/>
                <w:lang w:val="id-ID" w:bidi="ar-SA"/>
              </w:rPr>
            </w:pPr>
            <w:r w:rsidRPr="009A21F6">
              <w:rPr>
                <w:rFonts w:eastAsiaTheme="minorHAnsi"/>
                <w:lang w:val="en-ID" w:bidi="ar-SA"/>
              </w:rPr>
              <w:t>Tinggi</w:t>
            </w:r>
          </w:p>
        </w:tc>
      </w:tr>
      <w:tr w:rsidR="009A21F6" w:rsidRPr="009A21F6" w14:paraId="7E79DF0E" w14:textId="77777777" w:rsidTr="00DB4165">
        <w:trPr>
          <w:trHeight w:val="145"/>
        </w:trPr>
        <w:tc>
          <w:tcPr>
            <w:tcW w:w="384" w:type="pct"/>
            <w:noWrap/>
          </w:tcPr>
          <w:p w14:paraId="6423C1B8"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3</w:t>
            </w:r>
          </w:p>
        </w:tc>
        <w:tc>
          <w:tcPr>
            <w:tcW w:w="1496" w:type="pct"/>
            <w:noWrap/>
          </w:tcPr>
          <w:p w14:paraId="4ACBADB9"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26,67&lt;X≤33,33</w:t>
            </w:r>
          </w:p>
        </w:tc>
        <w:tc>
          <w:tcPr>
            <w:tcW w:w="909" w:type="pct"/>
          </w:tcPr>
          <w:p w14:paraId="02D4720B"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21</w:t>
            </w:r>
          </w:p>
        </w:tc>
        <w:tc>
          <w:tcPr>
            <w:tcW w:w="1065" w:type="pct"/>
          </w:tcPr>
          <w:p w14:paraId="2B27CFB0"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21,0</w:t>
            </w:r>
          </w:p>
        </w:tc>
        <w:tc>
          <w:tcPr>
            <w:tcW w:w="1146" w:type="pct"/>
            <w:noWrap/>
          </w:tcPr>
          <w:p w14:paraId="3157558D" w14:textId="77777777" w:rsidR="009A21F6" w:rsidRPr="009A21F6" w:rsidRDefault="009A21F6" w:rsidP="009A21F6">
            <w:pPr>
              <w:widowControl/>
              <w:autoSpaceDE/>
              <w:autoSpaceDN/>
              <w:rPr>
                <w:rFonts w:eastAsiaTheme="minorHAnsi"/>
                <w:lang w:val="en-ID" w:bidi="ar-SA"/>
              </w:rPr>
            </w:pPr>
            <w:r w:rsidRPr="009A21F6">
              <w:rPr>
                <w:rFonts w:eastAsiaTheme="minorHAnsi"/>
                <w:lang w:val="en-ID" w:bidi="ar-SA"/>
              </w:rPr>
              <w:t>Sedang</w:t>
            </w:r>
          </w:p>
        </w:tc>
      </w:tr>
      <w:tr w:rsidR="009A21F6" w:rsidRPr="009A21F6" w14:paraId="65563AB9" w14:textId="77777777" w:rsidTr="00DB4165">
        <w:trPr>
          <w:trHeight w:val="60"/>
        </w:trPr>
        <w:tc>
          <w:tcPr>
            <w:tcW w:w="384" w:type="pct"/>
            <w:noWrap/>
          </w:tcPr>
          <w:p w14:paraId="246F1E50"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4</w:t>
            </w:r>
          </w:p>
        </w:tc>
        <w:tc>
          <w:tcPr>
            <w:tcW w:w="1496" w:type="pct"/>
            <w:noWrap/>
          </w:tcPr>
          <w:p w14:paraId="55EAB136"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20,00&lt;X≤26,67</w:t>
            </w:r>
          </w:p>
        </w:tc>
        <w:tc>
          <w:tcPr>
            <w:tcW w:w="909" w:type="pct"/>
          </w:tcPr>
          <w:p w14:paraId="279D4FC4"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2</w:t>
            </w:r>
          </w:p>
        </w:tc>
        <w:tc>
          <w:tcPr>
            <w:tcW w:w="1065" w:type="pct"/>
          </w:tcPr>
          <w:p w14:paraId="5909E24D"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2,0</w:t>
            </w:r>
          </w:p>
        </w:tc>
        <w:tc>
          <w:tcPr>
            <w:tcW w:w="1146" w:type="pct"/>
            <w:noWrap/>
          </w:tcPr>
          <w:p w14:paraId="6B3B847A" w14:textId="30E72BB0" w:rsidR="009A21F6" w:rsidRPr="00340CDB" w:rsidRDefault="00340CDB" w:rsidP="009A21F6">
            <w:pPr>
              <w:widowControl/>
              <w:autoSpaceDE/>
              <w:autoSpaceDN/>
              <w:rPr>
                <w:rFonts w:eastAsiaTheme="minorHAnsi"/>
                <w:lang w:val="id-ID" w:bidi="ar-SA"/>
              </w:rPr>
            </w:pPr>
            <w:r>
              <w:rPr>
                <w:rFonts w:eastAsiaTheme="minorHAnsi"/>
                <w:lang w:val="id-ID" w:bidi="ar-SA"/>
              </w:rPr>
              <w:t>Kecil</w:t>
            </w:r>
          </w:p>
        </w:tc>
      </w:tr>
      <w:tr w:rsidR="009A21F6" w:rsidRPr="009A21F6" w14:paraId="1C38BC9E" w14:textId="77777777" w:rsidTr="00DB4165">
        <w:trPr>
          <w:trHeight w:val="60"/>
        </w:trPr>
        <w:tc>
          <w:tcPr>
            <w:tcW w:w="384" w:type="pct"/>
            <w:tcBorders>
              <w:bottom w:val="single" w:sz="4" w:space="0" w:color="auto"/>
            </w:tcBorders>
            <w:noWrap/>
            <w:hideMark/>
          </w:tcPr>
          <w:p w14:paraId="3817B588"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lastRenderedPageBreak/>
              <w:t>5</w:t>
            </w:r>
          </w:p>
        </w:tc>
        <w:tc>
          <w:tcPr>
            <w:tcW w:w="1496" w:type="pct"/>
            <w:tcBorders>
              <w:bottom w:val="single" w:sz="4" w:space="0" w:color="auto"/>
            </w:tcBorders>
            <w:noWrap/>
          </w:tcPr>
          <w:p w14:paraId="009BF295"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X≤20,00</w:t>
            </w:r>
          </w:p>
        </w:tc>
        <w:tc>
          <w:tcPr>
            <w:tcW w:w="909" w:type="pct"/>
            <w:tcBorders>
              <w:bottom w:val="single" w:sz="4" w:space="0" w:color="auto"/>
            </w:tcBorders>
          </w:tcPr>
          <w:p w14:paraId="79B5FF3D"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1</w:t>
            </w:r>
          </w:p>
        </w:tc>
        <w:tc>
          <w:tcPr>
            <w:tcW w:w="1065" w:type="pct"/>
            <w:tcBorders>
              <w:bottom w:val="single" w:sz="4" w:space="0" w:color="auto"/>
            </w:tcBorders>
          </w:tcPr>
          <w:p w14:paraId="560DC171"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1,0</w:t>
            </w:r>
          </w:p>
        </w:tc>
        <w:tc>
          <w:tcPr>
            <w:tcW w:w="1146" w:type="pct"/>
            <w:tcBorders>
              <w:bottom w:val="single" w:sz="4" w:space="0" w:color="auto"/>
            </w:tcBorders>
            <w:noWrap/>
            <w:hideMark/>
          </w:tcPr>
          <w:p w14:paraId="68C30236" w14:textId="77777777" w:rsidR="009A21F6" w:rsidRPr="009A21F6" w:rsidRDefault="009A21F6" w:rsidP="009A21F6">
            <w:pPr>
              <w:widowControl/>
              <w:autoSpaceDE/>
              <w:autoSpaceDN/>
              <w:rPr>
                <w:rFonts w:eastAsiaTheme="minorHAnsi"/>
                <w:lang w:val="en-ID" w:bidi="ar-SA"/>
              </w:rPr>
            </w:pPr>
            <w:r w:rsidRPr="009A21F6">
              <w:rPr>
                <w:rFonts w:eastAsiaTheme="minorHAnsi"/>
                <w:lang w:val="en-ID" w:bidi="ar-SA"/>
              </w:rPr>
              <w:t>Sangat rendah</w:t>
            </w:r>
          </w:p>
        </w:tc>
      </w:tr>
      <w:tr w:rsidR="009A21F6" w:rsidRPr="009A21F6" w14:paraId="1DBC75E6" w14:textId="77777777" w:rsidTr="00DB4165">
        <w:trPr>
          <w:trHeight w:val="60"/>
        </w:trPr>
        <w:tc>
          <w:tcPr>
            <w:tcW w:w="1880" w:type="pct"/>
            <w:gridSpan w:val="2"/>
            <w:tcBorders>
              <w:top w:val="single" w:sz="4" w:space="0" w:color="auto"/>
              <w:bottom w:val="single" w:sz="4" w:space="0" w:color="auto"/>
            </w:tcBorders>
            <w:noWrap/>
            <w:vAlign w:val="bottom"/>
            <w:hideMark/>
          </w:tcPr>
          <w:p w14:paraId="47A8BB8F"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Total</w:t>
            </w:r>
          </w:p>
        </w:tc>
        <w:tc>
          <w:tcPr>
            <w:tcW w:w="909" w:type="pct"/>
            <w:tcBorders>
              <w:top w:val="single" w:sz="4" w:space="0" w:color="auto"/>
              <w:bottom w:val="single" w:sz="4" w:space="0" w:color="auto"/>
            </w:tcBorders>
            <w:vAlign w:val="center"/>
          </w:tcPr>
          <w:p w14:paraId="2F3045B3"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100</w:t>
            </w:r>
          </w:p>
        </w:tc>
        <w:tc>
          <w:tcPr>
            <w:tcW w:w="1065" w:type="pct"/>
            <w:tcBorders>
              <w:top w:val="single" w:sz="4" w:space="0" w:color="auto"/>
              <w:bottom w:val="single" w:sz="4" w:space="0" w:color="auto"/>
            </w:tcBorders>
            <w:vAlign w:val="center"/>
          </w:tcPr>
          <w:p w14:paraId="69EEBB51"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100,0</w:t>
            </w:r>
          </w:p>
        </w:tc>
        <w:tc>
          <w:tcPr>
            <w:tcW w:w="1146" w:type="pct"/>
            <w:tcBorders>
              <w:top w:val="single" w:sz="4" w:space="0" w:color="auto"/>
              <w:bottom w:val="single" w:sz="4" w:space="0" w:color="auto"/>
            </w:tcBorders>
            <w:noWrap/>
            <w:vAlign w:val="center"/>
            <w:hideMark/>
          </w:tcPr>
          <w:p w14:paraId="069503B9" w14:textId="77777777" w:rsidR="009A21F6" w:rsidRPr="009A21F6" w:rsidRDefault="009A21F6" w:rsidP="009A21F6">
            <w:pPr>
              <w:widowControl/>
              <w:autoSpaceDE/>
              <w:autoSpaceDN/>
              <w:jc w:val="center"/>
              <w:rPr>
                <w:rFonts w:eastAsiaTheme="minorHAnsi"/>
                <w:lang w:val="en-ID" w:bidi="ar-SA"/>
              </w:rPr>
            </w:pPr>
          </w:p>
        </w:tc>
      </w:tr>
    </w:tbl>
    <w:p w14:paraId="44050865" w14:textId="46D3F2DC" w:rsidR="009A21F6" w:rsidRPr="009A21F6" w:rsidRDefault="009A21F6" w:rsidP="009A7619">
      <w:pPr>
        <w:tabs>
          <w:tab w:val="left" w:pos="567"/>
        </w:tabs>
        <w:ind w:firstLine="567"/>
        <w:jc w:val="both"/>
        <w:rPr>
          <w:rFonts w:eastAsiaTheme="minorHAnsi"/>
          <w:lang w:val="id-ID" w:bidi="ar-SA"/>
        </w:rPr>
      </w:pPr>
      <w:r w:rsidRPr="009A21F6">
        <w:rPr>
          <w:rFonts w:eastAsiaTheme="minorHAnsi"/>
          <w:lang w:val="sv-SE" w:bidi="ar-SA"/>
        </w:rPr>
        <w:t>Berdasarkan tabel dapat diketahui bahwa</w:t>
      </w:r>
      <w:r w:rsidRPr="009A21F6">
        <w:rPr>
          <w:rFonts w:eastAsiaTheme="minorHAnsi"/>
          <w:lang w:val="id-ID" w:bidi="ar-SA"/>
        </w:rPr>
        <w:t xml:space="preserve"> </w:t>
      </w:r>
      <w:r w:rsidRPr="009A21F6">
        <w:rPr>
          <w:rFonts w:eastAsiaTheme="minorHAnsi"/>
          <w:lang w:bidi="ar-SA"/>
        </w:rPr>
        <w:t>mayoritas</w:t>
      </w:r>
      <w:r w:rsidRPr="009A21F6">
        <w:rPr>
          <w:rFonts w:eastAsiaTheme="minorHAnsi"/>
          <w:lang w:val="id-ID" w:bidi="ar-SA"/>
        </w:rPr>
        <w:t xml:space="preserve"> responden dengan </w:t>
      </w:r>
      <w:r w:rsidRPr="009A21F6">
        <w:rPr>
          <w:rFonts w:eastAsiaTheme="minorHAnsi"/>
          <w:lang w:val="en-ID" w:bidi="ar-SA"/>
        </w:rPr>
        <w:t>kesadaran membayar pajak dalam kategori</w:t>
      </w:r>
      <w:r w:rsidRPr="009A21F6">
        <w:rPr>
          <w:rFonts w:eastAsiaTheme="minorHAnsi"/>
          <w:b/>
          <w:lang w:val="en-ID" w:bidi="ar-SA"/>
        </w:rPr>
        <w:t xml:space="preserve"> </w:t>
      </w:r>
      <w:r w:rsidRPr="009A21F6">
        <w:rPr>
          <w:rFonts w:eastAsiaTheme="minorHAnsi"/>
          <w:lang w:val="sv-SE" w:bidi="ar-SA"/>
        </w:rPr>
        <w:t>tinggi</w:t>
      </w:r>
      <w:r w:rsidRPr="009A21F6">
        <w:rPr>
          <w:rFonts w:eastAsiaTheme="minorHAnsi"/>
          <w:lang w:val="id-ID" w:bidi="ar-SA"/>
        </w:rPr>
        <w:t xml:space="preserve"> </w:t>
      </w:r>
      <w:r w:rsidRPr="009A21F6">
        <w:rPr>
          <w:rFonts w:eastAsiaTheme="minorHAnsi"/>
          <w:lang w:val="sv-SE" w:bidi="ar-SA"/>
        </w:rPr>
        <w:t>(56</w:t>
      </w:r>
      <w:r w:rsidRPr="009A21F6">
        <w:rPr>
          <w:rFonts w:eastAsiaTheme="minorHAnsi"/>
          <w:lang w:val="id-ID" w:bidi="ar-SA"/>
        </w:rPr>
        <w:t>,0</w:t>
      </w:r>
      <w:r w:rsidRPr="009A21F6">
        <w:rPr>
          <w:rFonts w:eastAsiaTheme="minorHAnsi"/>
          <w:lang w:val="sv-SE" w:bidi="ar-SA"/>
        </w:rPr>
        <w:t>%)</w:t>
      </w:r>
      <w:r w:rsidRPr="009A21F6">
        <w:rPr>
          <w:rFonts w:eastAsiaTheme="minorHAnsi"/>
          <w:lang w:val="id-ID" w:bidi="ar-SA"/>
        </w:rPr>
        <w:t>.</w:t>
      </w:r>
    </w:p>
    <w:p w14:paraId="31FC6DAD" w14:textId="77777777" w:rsidR="009A21F6" w:rsidRPr="009A21F6" w:rsidRDefault="009A21F6" w:rsidP="009A7619">
      <w:pPr>
        <w:widowControl/>
        <w:tabs>
          <w:tab w:val="center" w:pos="540"/>
        </w:tabs>
        <w:autoSpaceDE/>
        <w:autoSpaceDN/>
        <w:adjustRightInd w:val="0"/>
        <w:jc w:val="both"/>
        <w:rPr>
          <w:rFonts w:eastAsiaTheme="minorHAnsi"/>
          <w:b/>
          <w:bCs/>
          <w:lang w:val="en-ID" w:bidi="ar-SA"/>
        </w:rPr>
      </w:pPr>
      <w:r w:rsidRPr="009A21F6">
        <w:rPr>
          <w:rFonts w:eastAsiaTheme="minorHAnsi"/>
          <w:b/>
          <w:bCs/>
          <w:lang w:bidi="ar-SA"/>
        </w:rPr>
        <w:t>Persepsi Atas Efektivitas Sistem Perpajakan</w:t>
      </w:r>
    </w:p>
    <w:p w14:paraId="253AF7EB" w14:textId="5531CB46" w:rsidR="009A21F6" w:rsidRPr="009A21F6" w:rsidRDefault="009A21F6" w:rsidP="009A7619">
      <w:pPr>
        <w:tabs>
          <w:tab w:val="left" w:pos="567"/>
        </w:tabs>
        <w:ind w:firstLine="567"/>
        <w:jc w:val="both"/>
        <w:rPr>
          <w:rFonts w:eastAsiaTheme="minorHAnsi"/>
          <w:lang w:val="en-ID" w:bidi="ar-SA"/>
        </w:rPr>
      </w:pPr>
      <w:r w:rsidRPr="009A21F6">
        <w:rPr>
          <w:rFonts w:eastAsiaTheme="minorHAnsi"/>
          <w:lang w:val="en-ID" w:bidi="ar-SA"/>
        </w:rPr>
        <w:t>D</w:t>
      </w:r>
      <w:r w:rsidRPr="009A21F6">
        <w:rPr>
          <w:rFonts w:eastAsiaTheme="minorHAnsi"/>
          <w:lang w:val="sv-SE" w:bidi="ar-SA"/>
        </w:rPr>
        <w:t xml:space="preserve">istribusi </w:t>
      </w:r>
      <w:r w:rsidRPr="009A21F6">
        <w:rPr>
          <w:rFonts w:eastAsiaTheme="minorHAnsi"/>
          <w:lang w:val="en-ID" w:bidi="ar-SA"/>
        </w:rPr>
        <w:t>kategori</w:t>
      </w:r>
      <w:r w:rsidRPr="009A21F6">
        <w:rPr>
          <w:rFonts w:eastAsiaTheme="minorHAnsi"/>
          <w:lang w:val="sv-SE" w:bidi="ar-SA"/>
        </w:rPr>
        <w:t xml:space="preserve"> kecenderungan </w:t>
      </w:r>
      <w:r w:rsidR="00C27765">
        <w:rPr>
          <w:rFonts w:eastAsiaTheme="minorHAnsi"/>
          <w:lang w:val="id-ID" w:bidi="ar-SA"/>
        </w:rPr>
        <w:t xml:space="preserve">pandangan </w:t>
      </w:r>
      <w:r w:rsidRPr="009A21F6">
        <w:rPr>
          <w:rFonts w:eastAsiaTheme="minorHAnsi"/>
          <w:lang w:val="en-ID" w:bidi="ar-SA"/>
        </w:rPr>
        <w:t xml:space="preserve">atas efektivitas </w:t>
      </w:r>
      <w:r w:rsidR="00C27765">
        <w:rPr>
          <w:rFonts w:eastAsiaTheme="minorHAnsi"/>
          <w:lang w:val="id-ID" w:bidi="ar-SA"/>
        </w:rPr>
        <w:t xml:space="preserve">system pajak </w:t>
      </w:r>
      <w:r w:rsidR="00C27765">
        <w:rPr>
          <w:rFonts w:eastAsiaTheme="minorHAnsi"/>
          <w:lang w:val="id-ID" w:bidi="ar-SA"/>
        </w:rPr>
        <w:t>bisa ditampilkan di</w:t>
      </w:r>
      <w:r w:rsidR="00C27765" w:rsidRPr="009A21F6">
        <w:rPr>
          <w:rFonts w:eastAsiaTheme="minorHAnsi"/>
          <w:lang w:val="sv-SE" w:bidi="ar-SA"/>
        </w:rPr>
        <w:t xml:space="preserve">tabel </w:t>
      </w:r>
      <w:r w:rsidR="00C27765">
        <w:rPr>
          <w:rFonts w:eastAsiaTheme="minorHAnsi"/>
          <w:lang w:val="id-ID" w:bidi="ar-SA"/>
        </w:rPr>
        <w:t>yakni:</w:t>
      </w:r>
    </w:p>
    <w:p w14:paraId="6245B1E9" w14:textId="6F61BDB8" w:rsidR="009A21F6" w:rsidRPr="009A21F6" w:rsidRDefault="009A21F6" w:rsidP="009A7619">
      <w:pPr>
        <w:widowControl/>
        <w:adjustRightInd w:val="0"/>
        <w:jc w:val="center"/>
        <w:rPr>
          <w:rFonts w:eastAsiaTheme="minorHAnsi"/>
          <w:b/>
          <w:lang w:val="en-ID" w:bidi="ar-SA"/>
        </w:rPr>
      </w:pPr>
      <w:proofErr w:type="gramStart"/>
      <w:r w:rsidRPr="009A21F6">
        <w:rPr>
          <w:rFonts w:eastAsiaTheme="minorHAnsi"/>
          <w:b/>
          <w:lang w:val="en-ID" w:bidi="ar-SA"/>
        </w:rPr>
        <w:t xml:space="preserve">Tabel </w:t>
      </w:r>
      <w:r w:rsidR="00DB4165">
        <w:rPr>
          <w:rFonts w:eastAsiaTheme="minorHAnsi"/>
          <w:b/>
          <w:lang w:val="en-ID" w:bidi="ar-SA"/>
        </w:rPr>
        <w:t>3</w:t>
      </w:r>
      <w:r w:rsidRPr="009A21F6">
        <w:rPr>
          <w:rFonts w:eastAsiaTheme="minorHAnsi"/>
          <w:b/>
          <w:lang w:val="en-ID" w:bidi="ar-SA"/>
        </w:rPr>
        <w:t>.</w:t>
      </w:r>
      <w:proofErr w:type="gramEnd"/>
      <w:r w:rsidRPr="009A21F6">
        <w:rPr>
          <w:rFonts w:eastAsiaTheme="minorHAnsi"/>
          <w:b/>
          <w:lang w:val="en-ID" w:bidi="ar-SA"/>
        </w:rPr>
        <w:t xml:space="preserve"> Kategori Kecenderungan Persepsi Atas Efektivitas Sistem Perpajakan</w:t>
      </w:r>
    </w:p>
    <w:tbl>
      <w:tblPr>
        <w:tblW w:w="5000" w:type="pct"/>
        <w:tblBorders>
          <w:top w:val="single" w:sz="4" w:space="0" w:color="auto"/>
          <w:bottom w:val="single" w:sz="4" w:space="0" w:color="auto"/>
        </w:tblBorders>
        <w:tblLook w:val="04A0" w:firstRow="1" w:lastRow="0" w:firstColumn="1" w:lastColumn="0" w:noHBand="0" w:noVBand="1"/>
      </w:tblPr>
      <w:tblGrid>
        <w:gridCol w:w="710"/>
        <w:gridCol w:w="2765"/>
        <w:gridCol w:w="1680"/>
        <w:gridCol w:w="1969"/>
        <w:gridCol w:w="2118"/>
      </w:tblGrid>
      <w:tr w:rsidR="009A21F6" w:rsidRPr="009A21F6" w14:paraId="592A634E" w14:textId="77777777" w:rsidTr="00DB4165">
        <w:trPr>
          <w:trHeight w:val="358"/>
        </w:trPr>
        <w:tc>
          <w:tcPr>
            <w:tcW w:w="384" w:type="pct"/>
            <w:tcBorders>
              <w:top w:val="single" w:sz="4" w:space="0" w:color="auto"/>
              <w:bottom w:val="single" w:sz="4" w:space="0" w:color="auto"/>
            </w:tcBorders>
            <w:noWrap/>
            <w:vAlign w:val="center"/>
            <w:hideMark/>
          </w:tcPr>
          <w:p w14:paraId="26C712AF"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No.</w:t>
            </w:r>
          </w:p>
        </w:tc>
        <w:tc>
          <w:tcPr>
            <w:tcW w:w="1496" w:type="pct"/>
            <w:tcBorders>
              <w:top w:val="single" w:sz="4" w:space="0" w:color="auto"/>
              <w:bottom w:val="single" w:sz="4" w:space="0" w:color="auto"/>
            </w:tcBorders>
            <w:noWrap/>
            <w:vAlign w:val="center"/>
            <w:hideMark/>
          </w:tcPr>
          <w:p w14:paraId="3E2491A6"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Kelas Interval</w:t>
            </w:r>
          </w:p>
        </w:tc>
        <w:tc>
          <w:tcPr>
            <w:tcW w:w="909" w:type="pct"/>
            <w:tcBorders>
              <w:top w:val="single" w:sz="4" w:space="0" w:color="auto"/>
              <w:bottom w:val="single" w:sz="4" w:space="0" w:color="auto"/>
            </w:tcBorders>
            <w:vAlign w:val="center"/>
          </w:tcPr>
          <w:p w14:paraId="1BF4717D" w14:textId="77777777" w:rsidR="009A21F6" w:rsidRPr="009A21F6" w:rsidRDefault="009A21F6" w:rsidP="009A21F6">
            <w:pPr>
              <w:widowControl/>
              <w:autoSpaceDE/>
              <w:autoSpaceDN/>
              <w:jc w:val="center"/>
              <w:rPr>
                <w:rFonts w:eastAsiaTheme="minorHAnsi"/>
                <w:b/>
                <w:lang w:val="id-ID" w:bidi="ar-SA"/>
              </w:rPr>
            </w:pPr>
            <w:r w:rsidRPr="009A21F6">
              <w:rPr>
                <w:rFonts w:eastAsiaTheme="minorHAnsi"/>
                <w:b/>
                <w:lang w:val="id-ID" w:bidi="ar-SA"/>
              </w:rPr>
              <w:t>Frekuensi</w:t>
            </w:r>
          </w:p>
        </w:tc>
        <w:tc>
          <w:tcPr>
            <w:tcW w:w="1065" w:type="pct"/>
            <w:tcBorders>
              <w:top w:val="single" w:sz="4" w:space="0" w:color="auto"/>
              <w:bottom w:val="single" w:sz="4" w:space="0" w:color="auto"/>
            </w:tcBorders>
            <w:vAlign w:val="center"/>
          </w:tcPr>
          <w:p w14:paraId="0BB27645" w14:textId="77777777" w:rsidR="009A21F6" w:rsidRPr="009A21F6" w:rsidRDefault="009A21F6" w:rsidP="009A21F6">
            <w:pPr>
              <w:widowControl/>
              <w:autoSpaceDE/>
              <w:autoSpaceDN/>
              <w:jc w:val="center"/>
              <w:rPr>
                <w:rFonts w:eastAsiaTheme="minorHAnsi"/>
                <w:b/>
                <w:lang w:val="id-ID" w:bidi="ar-SA"/>
              </w:rPr>
            </w:pPr>
            <w:r w:rsidRPr="009A21F6">
              <w:rPr>
                <w:rFonts w:eastAsiaTheme="minorHAnsi"/>
                <w:b/>
                <w:lang w:val="id-ID" w:bidi="ar-SA"/>
              </w:rPr>
              <w:t>Persentase (%)</w:t>
            </w:r>
          </w:p>
        </w:tc>
        <w:tc>
          <w:tcPr>
            <w:tcW w:w="1146" w:type="pct"/>
            <w:tcBorders>
              <w:top w:val="single" w:sz="4" w:space="0" w:color="auto"/>
              <w:bottom w:val="single" w:sz="4" w:space="0" w:color="auto"/>
            </w:tcBorders>
            <w:noWrap/>
            <w:vAlign w:val="center"/>
            <w:hideMark/>
          </w:tcPr>
          <w:p w14:paraId="586FEED6"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Kategori</w:t>
            </w:r>
          </w:p>
        </w:tc>
      </w:tr>
      <w:tr w:rsidR="009A21F6" w:rsidRPr="009A21F6" w14:paraId="4D85E359" w14:textId="77777777" w:rsidTr="00DB4165">
        <w:trPr>
          <w:trHeight w:val="60"/>
        </w:trPr>
        <w:tc>
          <w:tcPr>
            <w:tcW w:w="384" w:type="pct"/>
            <w:tcBorders>
              <w:top w:val="single" w:sz="4" w:space="0" w:color="auto"/>
            </w:tcBorders>
            <w:noWrap/>
            <w:hideMark/>
          </w:tcPr>
          <w:p w14:paraId="4A307FD3"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1</w:t>
            </w:r>
          </w:p>
        </w:tc>
        <w:tc>
          <w:tcPr>
            <w:tcW w:w="1496" w:type="pct"/>
            <w:tcBorders>
              <w:top w:val="single" w:sz="4" w:space="0" w:color="auto"/>
            </w:tcBorders>
            <w:noWrap/>
          </w:tcPr>
          <w:p w14:paraId="41A4AF59"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X&gt;40,00</w:t>
            </w:r>
          </w:p>
        </w:tc>
        <w:tc>
          <w:tcPr>
            <w:tcW w:w="909" w:type="pct"/>
            <w:tcBorders>
              <w:top w:val="single" w:sz="4" w:space="0" w:color="auto"/>
            </w:tcBorders>
          </w:tcPr>
          <w:p w14:paraId="65E7C02C"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15</w:t>
            </w:r>
          </w:p>
        </w:tc>
        <w:tc>
          <w:tcPr>
            <w:tcW w:w="1065" w:type="pct"/>
            <w:tcBorders>
              <w:top w:val="single" w:sz="4" w:space="0" w:color="auto"/>
            </w:tcBorders>
          </w:tcPr>
          <w:p w14:paraId="06C445D5"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15,0</w:t>
            </w:r>
          </w:p>
        </w:tc>
        <w:tc>
          <w:tcPr>
            <w:tcW w:w="1146" w:type="pct"/>
            <w:tcBorders>
              <w:top w:val="single" w:sz="4" w:space="0" w:color="auto"/>
            </w:tcBorders>
            <w:noWrap/>
            <w:hideMark/>
          </w:tcPr>
          <w:p w14:paraId="32B7BACC" w14:textId="442336F9" w:rsidR="009A21F6" w:rsidRPr="009A21F6" w:rsidRDefault="00340CDB" w:rsidP="009A21F6">
            <w:pPr>
              <w:widowControl/>
              <w:autoSpaceDE/>
              <w:autoSpaceDN/>
              <w:rPr>
                <w:rFonts w:eastAsiaTheme="minorHAnsi"/>
                <w:lang w:val="id-ID" w:bidi="ar-SA"/>
              </w:rPr>
            </w:pPr>
            <w:r>
              <w:rPr>
                <w:rFonts w:eastAsiaTheme="minorHAnsi"/>
                <w:lang w:val="id-ID" w:bidi="ar-SA"/>
              </w:rPr>
              <w:t xml:space="preserve">Amat </w:t>
            </w:r>
            <w:r w:rsidR="009A21F6" w:rsidRPr="009A21F6">
              <w:rPr>
                <w:rFonts w:eastAsiaTheme="minorHAnsi"/>
                <w:lang w:val="en-ID" w:bidi="ar-SA"/>
              </w:rPr>
              <w:t>tinggi</w:t>
            </w:r>
          </w:p>
        </w:tc>
      </w:tr>
      <w:tr w:rsidR="009A21F6" w:rsidRPr="009A21F6" w14:paraId="6FFD3808" w14:textId="77777777" w:rsidTr="00DB4165">
        <w:trPr>
          <w:trHeight w:val="60"/>
        </w:trPr>
        <w:tc>
          <w:tcPr>
            <w:tcW w:w="384" w:type="pct"/>
            <w:noWrap/>
            <w:hideMark/>
          </w:tcPr>
          <w:p w14:paraId="246FB2DD"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2</w:t>
            </w:r>
          </w:p>
        </w:tc>
        <w:tc>
          <w:tcPr>
            <w:tcW w:w="1496" w:type="pct"/>
            <w:noWrap/>
          </w:tcPr>
          <w:p w14:paraId="6C2D807B"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33,33&lt;</w:t>
            </w:r>
            <w:r w:rsidRPr="009A21F6">
              <w:rPr>
                <w:rFonts w:eastAsiaTheme="minorHAnsi"/>
                <w:lang w:val="en-ID" w:bidi="ar-SA"/>
              </w:rPr>
              <w:tab/>
              <w:t>X≤40,00</w:t>
            </w:r>
          </w:p>
        </w:tc>
        <w:tc>
          <w:tcPr>
            <w:tcW w:w="909" w:type="pct"/>
          </w:tcPr>
          <w:p w14:paraId="28A6D15E"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42</w:t>
            </w:r>
          </w:p>
        </w:tc>
        <w:tc>
          <w:tcPr>
            <w:tcW w:w="1065" w:type="pct"/>
          </w:tcPr>
          <w:p w14:paraId="22BABF2B"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42,0</w:t>
            </w:r>
          </w:p>
        </w:tc>
        <w:tc>
          <w:tcPr>
            <w:tcW w:w="1146" w:type="pct"/>
            <w:noWrap/>
            <w:hideMark/>
          </w:tcPr>
          <w:p w14:paraId="71449B0D" w14:textId="77777777" w:rsidR="009A21F6" w:rsidRPr="009A21F6" w:rsidRDefault="009A21F6" w:rsidP="009A21F6">
            <w:pPr>
              <w:widowControl/>
              <w:autoSpaceDE/>
              <w:autoSpaceDN/>
              <w:rPr>
                <w:rFonts w:eastAsiaTheme="minorHAnsi"/>
                <w:lang w:val="id-ID" w:bidi="ar-SA"/>
              </w:rPr>
            </w:pPr>
            <w:r w:rsidRPr="009A21F6">
              <w:rPr>
                <w:rFonts w:eastAsiaTheme="minorHAnsi"/>
                <w:lang w:val="en-ID" w:bidi="ar-SA"/>
              </w:rPr>
              <w:t>Tinggi</w:t>
            </w:r>
          </w:p>
        </w:tc>
      </w:tr>
      <w:tr w:rsidR="009A21F6" w:rsidRPr="009A21F6" w14:paraId="55940E47" w14:textId="77777777" w:rsidTr="00DB4165">
        <w:trPr>
          <w:trHeight w:val="145"/>
        </w:trPr>
        <w:tc>
          <w:tcPr>
            <w:tcW w:w="384" w:type="pct"/>
            <w:noWrap/>
          </w:tcPr>
          <w:p w14:paraId="605B83EA"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3</w:t>
            </w:r>
          </w:p>
        </w:tc>
        <w:tc>
          <w:tcPr>
            <w:tcW w:w="1496" w:type="pct"/>
            <w:noWrap/>
          </w:tcPr>
          <w:p w14:paraId="31E08F56"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26,67&lt;X≤33,33</w:t>
            </w:r>
          </w:p>
        </w:tc>
        <w:tc>
          <w:tcPr>
            <w:tcW w:w="909" w:type="pct"/>
          </w:tcPr>
          <w:p w14:paraId="0EE79C3B"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35</w:t>
            </w:r>
          </w:p>
        </w:tc>
        <w:tc>
          <w:tcPr>
            <w:tcW w:w="1065" w:type="pct"/>
          </w:tcPr>
          <w:p w14:paraId="66612992"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35,0</w:t>
            </w:r>
          </w:p>
        </w:tc>
        <w:tc>
          <w:tcPr>
            <w:tcW w:w="1146" w:type="pct"/>
            <w:noWrap/>
          </w:tcPr>
          <w:p w14:paraId="3884B156" w14:textId="77777777" w:rsidR="009A21F6" w:rsidRPr="009A21F6" w:rsidRDefault="009A21F6" w:rsidP="009A21F6">
            <w:pPr>
              <w:widowControl/>
              <w:autoSpaceDE/>
              <w:autoSpaceDN/>
              <w:rPr>
                <w:rFonts w:eastAsiaTheme="minorHAnsi"/>
                <w:lang w:val="en-ID" w:bidi="ar-SA"/>
              </w:rPr>
            </w:pPr>
            <w:r w:rsidRPr="009A21F6">
              <w:rPr>
                <w:rFonts w:eastAsiaTheme="minorHAnsi"/>
                <w:lang w:val="en-ID" w:bidi="ar-SA"/>
              </w:rPr>
              <w:t>Sedang</w:t>
            </w:r>
          </w:p>
        </w:tc>
      </w:tr>
      <w:tr w:rsidR="009A21F6" w:rsidRPr="009A21F6" w14:paraId="34EC1CF2" w14:textId="77777777" w:rsidTr="00DB4165">
        <w:trPr>
          <w:trHeight w:val="60"/>
        </w:trPr>
        <w:tc>
          <w:tcPr>
            <w:tcW w:w="384" w:type="pct"/>
            <w:noWrap/>
          </w:tcPr>
          <w:p w14:paraId="2BF4920F"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4</w:t>
            </w:r>
          </w:p>
        </w:tc>
        <w:tc>
          <w:tcPr>
            <w:tcW w:w="1496" w:type="pct"/>
            <w:noWrap/>
          </w:tcPr>
          <w:p w14:paraId="6094223D"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20,00&lt;X≤26,67</w:t>
            </w:r>
          </w:p>
        </w:tc>
        <w:tc>
          <w:tcPr>
            <w:tcW w:w="909" w:type="pct"/>
          </w:tcPr>
          <w:p w14:paraId="2DF2615E"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8</w:t>
            </w:r>
          </w:p>
        </w:tc>
        <w:tc>
          <w:tcPr>
            <w:tcW w:w="1065" w:type="pct"/>
          </w:tcPr>
          <w:p w14:paraId="468E1982"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8,0</w:t>
            </w:r>
          </w:p>
        </w:tc>
        <w:tc>
          <w:tcPr>
            <w:tcW w:w="1146" w:type="pct"/>
            <w:noWrap/>
          </w:tcPr>
          <w:p w14:paraId="54755935" w14:textId="0F0775B6" w:rsidR="009A21F6" w:rsidRPr="00340CDB" w:rsidRDefault="00340CDB" w:rsidP="009A21F6">
            <w:pPr>
              <w:widowControl/>
              <w:autoSpaceDE/>
              <w:autoSpaceDN/>
              <w:rPr>
                <w:rFonts w:eastAsiaTheme="minorHAnsi"/>
                <w:lang w:val="id-ID" w:bidi="ar-SA"/>
              </w:rPr>
            </w:pPr>
            <w:r>
              <w:rPr>
                <w:rFonts w:eastAsiaTheme="minorHAnsi"/>
                <w:lang w:val="id-ID" w:bidi="ar-SA"/>
              </w:rPr>
              <w:t>Keci</w:t>
            </w:r>
          </w:p>
        </w:tc>
      </w:tr>
      <w:tr w:rsidR="009A21F6" w:rsidRPr="009A21F6" w14:paraId="4C06241A" w14:textId="77777777" w:rsidTr="00DB4165">
        <w:trPr>
          <w:trHeight w:val="60"/>
        </w:trPr>
        <w:tc>
          <w:tcPr>
            <w:tcW w:w="384" w:type="pct"/>
            <w:tcBorders>
              <w:bottom w:val="single" w:sz="4" w:space="0" w:color="auto"/>
            </w:tcBorders>
            <w:noWrap/>
            <w:hideMark/>
          </w:tcPr>
          <w:p w14:paraId="611F4FD2"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5</w:t>
            </w:r>
          </w:p>
        </w:tc>
        <w:tc>
          <w:tcPr>
            <w:tcW w:w="1496" w:type="pct"/>
            <w:tcBorders>
              <w:bottom w:val="single" w:sz="4" w:space="0" w:color="auto"/>
            </w:tcBorders>
            <w:noWrap/>
          </w:tcPr>
          <w:p w14:paraId="09461850"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X≤20,00</w:t>
            </w:r>
          </w:p>
        </w:tc>
        <w:tc>
          <w:tcPr>
            <w:tcW w:w="909" w:type="pct"/>
            <w:tcBorders>
              <w:bottom w:val="single" w:sz="4" w:space="0" w:color="auto"/>
            </w:tcBorders>
          </w:tcPr>
          <w:p w14:paraId="611F738D"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0</w:t>
            </w:r>
          </w:p>
        </w:tc>
        <w:tc>
          <w:tcPr>
            <w:tcW w:w="1065" w:type="pct"/>
            <w:tcBorders>
              <w:bottom w:val="single" w:sz="4" w:space="0" w:color="auto"/>
            </w:tcBorders>
          </w:tcPr>
          <w:p w14:paraId="0EA0D4CC"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0,0</w:t>
            </w:r>
          </w:p>
        </w:tc>
        <w:tc>
          <w:tcPr>
            <w:tcW w:w="1146" w:type="pct"/>
            <w:tcBorders>
              <w:bottom w:val="single" w:sz="4" w:space="0" w:color="auto"/>
            </w:tcBorders>
            <w:noWrap/>
            <w:hideMark/>
          </w:tcPr>
          <w:p w14:paraId="4B105127" w14:textId="47C05AAD" w:rsidR="009A21F6" w:rsidRPr="00340CDB" w:rsidRDefault="00340CDB" w:rsidP="00340CDB">
            <w:pPr>
              <w:widowControl/>
              <w:autoSpaceDE/>
              <w:autoSpaceDN/>
              <w:rPr>
                <w:rFonts w:eastAsiaTheme="minorHAnsi"/>
                <w:lang w:val="id-ID" w:bidi="ar-SA"/>
              </w:rPr>
            </w:pPr>
            <w:r>
              <w:rPr>
                <w:rFonts w:eastAsiaTheme="minorHAnsi"/>
                <w:lang w:val="id-ID" w:bidi="ar-SA"/>
              </w:rPr>
              <w:t>Mat Kecil</w:t>
            </w:r>
          </w:p>
        </w:tc>
      </w:tr>
      <w:tr w:rsidR="009A21F6" w:rsidRPr="009A21F6" w14:paraId="0E51FE80" w14:textId="77777777" w:rsidTr="00DB4165">
        <w:trPr>
          <w:trHeight w:val="70"/>
        </w:trPr>
        <w:tc>
          <w:tcPr>
            <w:tcW w:w="1880" w:type="pct"/>
            <w:gridSpan w:val="2"/>
            <w:tcBorders>
              <w:top w:val="single" w:sz="4" w:space="0" w:color="auto"/>
              <w:bottom w:val="single" w:sz="4" w:space="0" w:color="auto"/>
            </w:tcBorders>
            <w:noWrap/>
            <w:vAlign w:val="bottom"/>
            <w:hideMark/>
          </w:tcPr>
          <w:p w14:paraId="22A3D89B"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Total</w:t>
            </w:r>
          </w:p>
        </w:tc>
        <w:tc>
          <w:tcPr>
            <w:tcW w:w="909" w:type="pct"/>
            <w:tcBorders>
              <w:top w:val="single" w:sz="4" w:space="0" w:color="auto"/>
              <w:bottom w:val="single" w:sz="4" w:space="0" w:color="auto"/>
            </w:tcBorders>
            <w:vAlign w:val="center"/>
          </w:tcPr>
          <w:p w14:paraId="02B98003"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100</w:t>
            </w:r>
          </w:p>
        </w:tc>
        <w:tc>
          <w:tcPr>
            <w:tcW w:w="1065" w:type="pct"/>
            <w:tcBorders>
              <w:top w:val="single" w:sz="4" w:space="0" w:color="auto"/>
              <w:bottom w:val="single" w:sz="4" w:space="0" w:color="auto"/>
            </w:tcBorders>
            <w:vAlign w:val="center"/>
          </w:tcPr>
          <w:p w14:paraId="2170B46E"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100,0</w:t>
            </w:r>
          </w:p>
        </w:tc>
        <w:tc>
          <w:tcPr>
            <w:tcW w:w="1146" w:type="pct"/>
            <w:tcBorders>
              <w:top w:val="single" w:sz="4" w:space="0" w:color="auto"/>
              <w:bottom w:val="single" w:sz="4" w:space="0" w:color="auto"/>
            </w:tcBorders>
            <w:noWrap/>
            <w:vAlign w:val="center"/>
            <w:hideMark/>
          </w:tcPr>
          <w:p w14:paraId="7BC6A26C" w14:textId="77777777" w:rsidR="009A21F6" w:rsidRPr="009A21F6" w:rsidRDefault="009A21F6" w:rsidP="009A21F6">
            <w:pPr>
              <w:widowControl/>
              <w:autoSpaceDE/>
              <w:autoSpaceDN/>
              <w:jc w:val="center"/>
              <w:rPr>
                <w:rFonts w:eastAsiaTheme="minorHAnsi"/>
                <w:lang w:val="en-ID" w:bidi="ar-SA"/>
              </w:rPr>
            </w:pPr>
          </w:p>
        </w:tc>
      </w:tr>
    </w:tbl>
    <w:p w14:paraId="7BA021A4" w14:textId="783831FC" w:rsidR="009A21F6" w:rsidRPr="009A21F6" w:rsidRDefault="00C27765" w:rsidP="009A7619">
      <w:pPr>
        <w:tabs>
          <w:tab w:val="left" w:pos="567"/>
        </w:tabs>
        <w:ind w:firstLine="567"/>
        <w:jc w:val="both"/>
        <w:rPr>
          <w:rFonts w:eastAsiaTheme="minorHAnsi"/>
          <w:lang w:val="id-ID" w:bidi="ar-SA"/>
        </w:rPr>
      </w:pPr>
      <w:r>
        <w:rPr>
          <w:rFonts w:eastAsiaTheme="minorHAnsi"/>
          <w:lang w:val="id-ID" w:bidi="ar-SA"/>
        </w:rPr>
        <w:t xml:space="preserve">Dari </w:t>
      </w:r>
      <w:r w:rsidR="009A21F6" w:rsidRPr="009A21F6">
        <w:rPr>
          <w:rFonts w:eastAsiaTheme="minorHAnsi"/>
          <w:lang w:val="sv-SE" w:bidi="ar-SA"/>
        </w:rPr>
        <w:t xml:space="preserve">tabel </w:t>
      </w:r>
      <w:r>
        <w:rPr>
          <w:rFonts w:eastAsiaTheme="minorHAnsi"/>
          <w:lang w:val="id-ID" w:bidi="ar-SA"/>
        </w:rPr>
        <w:t xml:space="preserve">bisa </w:t>
      </w:r>
      <w:r w:rsidR="009A21F6" w:rsidRPr="009A21F6">
        <w:rPr>
          <w:rFonts w:eastAsiaTheme="minorHAnsi"/>
          <w:lang w:val="sv-SE" w:bidi="ar-SA"/>
        </w:rPr>
        <w:t>diketahui bahwa</w:t>
      </w:r>
      <w:r w:rsidR="009A21F6" w:rsidRPr="009A21F6">
        <w:rPr>
          <w:rFonts w:eastAsiaTheme="minorHAnsi"/>
          <w:lang w:val="id-ID" w:bidi="ar-SA"/>
        </w:rPr>
        <w:t xml:space="preserve"> </w:t>
      </w:r>
      <w:r w:rsidR="009A21F6" w:rsidRPr="009A21F6">
        <w:rPr>
          <w:rFonts w:eastAsiaTheme="minorHAnsi"/>
          <w:lang w:bidi="ar-SA"/>
        </w:rPr>
        <w:t>mayoritas</w:t>
      </w:r>
      <w:r w:rsidR="009A21F6" w:rsidRPr="009A21F6">
        <w:rPr>
          <w:rFonts w:eastAsiaTheme="minorHAnsi"/>
          <w:lang w:val="id-ID" w:bidi="ar-SA"/>
        </w:rPr>
        <w:t xml:space="preserve"> responden dengan </w:t>
      </w:r>
      <w:r>
        <w:rPr>
          <w:rFonts w:eastAsiaTheme="minorHAnsi"/>
          <w:lang w:val="id-ID" w:bidi="ar-SA"/>
        </w:rPr>
        <w:t xml:space="preserve">pandangan </w:t>
      </w:r>
      <w:r w:rsidR="009A21F6" w:rsidRPr="009A21F6">
        <w:rPr>
          <w:rFonts w:eastAsiaTheme="minorHAnsi"/>
          <w:lang w:val="en-ID" w:bidi="ar-SA"/>
        </w:rPr>
        <w:t xml:space="preserve">atas efektivitas </w:t>
      </w:r>
      <w:r>
        <w:rPr>
          <w:rFonts w:eastAsiaTheme="minorHAnsi"/>
          <w:lang w:val="id-ID" w:bidi="ar-SA"/>
        </w:rPr>
        <w:t xml:space="preserve">system pajak </w:t>
      </w:r>
      <w:r w:rsidR="009A21F6" w:rsidRPr="009A21F6">
        <w:rPr>
          <w:rFonts w:eastAsiaTheme="minorHAnsi"/>
          <w:lang w:val="en-ID" w:bidi="ar-SA"/>
        </w:rPr>
        <w:t xml:space="preserve">dalam </w:t>
      </w:r>
      <w:r>
        <w:rPr>
          <w:rFonts w:eastAsiaTheme="minorHAnsi"/>
          <w:lang w:val="id-ID" w:bidi="ar-SA"/>
        </w:rPr>
        <w:t xml:space="preserve">klasifikasi maksimum </w:t>
      </w:r>
      <w:r w:rsidR="009A21F6" w:rsidRPr="009A21F6">
        <w:rPr>
          <w:rFonts w:eastAsiaTheme="minorHAnsi"/>
          <w:lang w:val="sv-SE" w:bidi="ar-SA"/>
        </w:rPr>
        <w:t>(42</w:t>
      </w:r>
      <w:r w:rsidR="009A21F6" w:rsidRPr="009A21F6">
        <w:rPr>
          <w:rFonts w:eastAsiaTheme="minorHAnsi"/>
          <w:lang w:val="id-ID" w:bidi="ar-SA"/>
        </w:rPr>
        <w:t>,0</w:t>
      </w:r>
      <w:r w:rsidR="009A21F6" w:rsidRPr="009A21F6">
        <w:rPr>
          <w:rFonts w:eastAsiaTheme="minorHAnsi"/>
          <w:lang w:val="sv-SE" w:bidi="ar-SA"/>
        </w:rPr>
        <w:t>%)</w:t>
      </w:r>
      <w:r w:rsidR="009A21F6" w:rsidRPr="009A21F6">
        <w:rPr>
          <w:rFonts w:eastAsiaTheme="minorHAnsi"/>
          <w:lang w:val="id-ID" w:bidi="ar-SA"/>
        </w:rPr>
        <w:t>.</w:t>
      </w:r>
    </w:p>
    <w:p w14:paraId="49379713" w14:textId="77777777" w:rsidR="009A21F6" w:rsidRPr="009A21F6" w:rsidRDefault="009A21F6" w:rsidP="009A7619">
      <w:pPr>
        <w:widowControl/>
        <w:tabs>
          <w:tab w:val="center" w:pos="540"/>
        </w:tabs>
        <w:autoSpaceDE/>
        <w:autoSpaceDN/>
        <w:adjustRightInd w:val="0"/>
        <w:jc w:val="both"/>
        <w:rPr>
          <w:rFonts w:eastAsiaTheme="minorHAnsi"/>
          <w:b/>
          <w:bCs/>
          <w:lang w:val="en-ID" w:bidi="ar-SA"/>
        </w:rPr>
      </w:pPr>
      <w:r w:rsidRPr="009A21F6">
        <w:rPr>
          <w:rFonts w:eastAsiaTheme="minorHAnsi"/>
          <w:b/>
          <w:bCs/>
          <w:lang w:bidi="ar-SA"/>
        </w:rPr>
        <w:t>Persepsi Atas Efektivitas Sistem Perpajakan</w:t>
      </w:r>
    </w:p>
    <w:p w14:paraId="74AE8097" w14:textId="726B036E" w:rsidR="009A21F6" w:rsidRPr="009A21F6" w:rsidRDefault="009A21F6" w:rsidP="009A7619">
      <w:pPr>
        <w:tabs>
          <w:tab w:val="left" w:pos="567"/>
        </w:tabs>
        <w:ind w:firstLine="567"/>
        <w:jc w:val="both"/>
        <w:rPr>
          <w:rFonts w:eastAsiaTheme="minorHAnsi"/>
          <w:lang w:val="en-ID" w:bidi="ar-SA"/>
        </w:rPr>
      </w:pPr>
      <w:r w:rsidRPr="009A21F6">
        <w:rPr>
          <w:rFonts w:eastAsiaTheme="minorHAnsi"/>
          <w:lang w:val="en-ID" w:bidi="ar-SA"/>
        </w:rPr>
        <w:t>D</w:t>
      </w:r>
      <w:r w:rsidRPr="009A21F6">
        <w:rPr>
          <w:rFonts w:eastAsiaTheme="minorHAnsi"/>
          <w:lang w:val="sv-SE" w:bidi="ar-SA"/>
        </w:rPr>
        <w:t xml:space="preserve">istribusi </w:t>
      </w:r>
      <w:r w:rsidRPr="009A21F6">
        <w:rPr>
          <w:rFonts w:eastAsiaTheme="minorHAnsi"/>
          <w:lang w:val="en-ID" w:bidi="ar-SA"/>
        </w:rPr>
        <w:t>kategori</w:t>
      </w:r>
      <w:r w:rsidRPr="009A21F6">
        <w:rPr>
          <w:rFonts w:eastAsiaTheme="minorHAnsi"/>
          <w:lang w:val="sv-SE" w:bidi="ar-SA"/>
        </w:rPr>
        <w:t xml:space="preserve"> kecenderungan </w:t>
      </w:r>
      <w:r w:rsidRPr="009A21F6">
        <w:rPr>
          <w:rFonts w:eastAsiaTheme="minorHAnsi"/>
          <w:lang w:val="en-ID" w:bidi="ar-SA"/>
        </w:rPr>
        <w:t xml:space="preserve">Pemahaman PP No 28 Tahun 2018 </w:t>
      </w:r>
      <w:r w:rsidR="00C27765">
        <w:rPr>
          <w:rFonts w:eastAsiaTheme="minorHAnsi"/>
          <w:lang w:val="id-ID" w:bidi="ar-SA"/>
        </w:rPr>
        <w:t>bisa ditampilkan di</w:t>
      </w:r>
      <w:r w:rsidR="00C27765" w:rsidRPr="009A21F6">
        <w:rPr>
          <w:rFonts w:eastAsiaTheme="minorHAnsi"/>
          <w:lang w:val="sv-SE" w:bidi="ar-SA"/>
        </w:rPr>
        <w:t xml:space="preserve">tabel </w:t>
      </w:r>
      <w:r w:rsidR="00C27765">
        <w:rPr>
          <w:rFonts w:eastAsiaTheme="minorHAnsi"/>
          <w:lang w:val="id-ID" w:bidi="ar-SA"/>
        </w:rPr>
        <w:t>yakni:</w:t>
      </w:r>
    </w:p>
    <w:p w14:paraId="65880A94" w14:textId="1DADCC7E" w:rsidR="009A21F6" w:rsidRPr="009A21F6" w:rsidRDefault="009A21F6" w:rsidP="009A7619">
      <w:pPr>
        <w:widowControl/>
        <w:adjustRightInd w:val="0"/>
        <w:jc w:val="center"/>
        <w:rPr>
          <w:rFonts w:eastAsiaTheme="minorHAnsi"/>
          <w:b/>
          <w:lang w:bidi="ar-SA"/>
        </w:rPr>
      </w:pPr>
      <w:proofErr w:type="gramStart"/>
      <w:r w:rsidRPr="009A21F6">
        <w:rPr>
          <w:rFonts w:eastAsiaTheme="minorHAnsi"/>
          <w:b/>
          <w:lang w:val="en-ID" w:bidi="ar-SA"/>
        </w:rPr>
        <w:t>Tabel 4.</w:t>
      </w:r>
      <w:proofErr w:type="gramEnd"/>
      <w:r w:rsidRPr="009A21F6">
        <w:rPr>
          <w:rFonts w:eastAsiaTheme="minorHAnsi"/>
          <w:b/>
          <w:lang w:val="en-ID" w:bidi="ar-SA"/>
        </w:rPr>
        <w:t xml:space="preserve"> Kategori Kecenderungan Pemahaman PP No 28 Tahun 201</w:t>
      </w:r>
      <w:r w:rsidRPr="009A21F6">
        <w:rPr>
          <w:rFonts w:eastAsiaTheme="minorHAnsi"/>
          <w:b/>
          <w:lang w:bidi="ar-SA"/>
        </w:rPr>
        <w:t>8</w:t>
      </w:r>
    </w:p>
    <w:tbl>
      <w:tblPr>
        <w:tblW w:w="5000" w:type="pct"/>
        <w:tblLook w:val="04A0" w:firstRow="1" w:lastRow="0" w:firstColumn="1" w:lastColumn="0" w:noHBand="0" w:noVBand="1"/>
      </w:tblPr>
      <w:tblGrid>
        <w:gridCol w:w="710"/>
        <w:gridCol w:w="2765"/>
        <w:gridCol w:w="1680"/>
        <w:gridCol w:w="1969"/>
        <w:gridCol w:w="2118"/>
      </w:tblGrid>
      <w:tr w:rsidR="009A21F6" w:rsidRPr="009A21F6" w14:paraId="5DDA8747" w14:textId="77777777" w:rsidTr="00DB4165">
        <w:trPr>
          <w:trHeight w:val="358"/>
        </w:trPr>
        <w:tc>
          <w:tcPr>
            <w:tcW w:w="384" w:type="pct"/>
            <w:tcBorders>
              <w:top w:val="single" w:sz="4" w:space="0" w:color="auto"/>
              <w:bottom w:val="single" w:sz="4" w:space="0" w:color="auto"/>
            </w:tcBorders>
            <w:noWrap/>
            <w:vAlign w:val="center"/>
            <w:hideMark/>
          </w:tcPr>
          <w:p w14:paraId="2F0AB4FF"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No.</w:t>
            </w:r>
          </w:p>
        </w:tc>
        <w:tc>
          <w:tcPr>
            <w:tcW w:w="1496" w:type="pct"/>
            <w:tcBorders>
              <w:top w:val="single" w:sz="4" w:space="0" w:color="auto"/>
              <w:bottom w:val="single" w:sz="4" w:space="0" w:color="auto"/>
            </w:tcBorders>
            <w:noWrap/>
            <w:vAlign w:val="center"/>
            <w:hideMark/>
          </w:tcPr>
          <w:p w14:paraId="48CE5D53"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Kelas Interval</w:t>
            </w:r>
          </w:p>
        </w:tc>
        <w:tc>
          <w:tcPr>
            <w:tcW w:w="909" w:type="pct"/>
            <w:tcBorders>
              <w:top w:val="single" w:sz="4" w:space="0" w:color="auto"/>
              <w:bottom w:val="single" w:sz="4" w:space="0" w:color="auto"/>
            </w:tcBorders>
            <w:vAlign w:val="center"/>
          </w:tcPr>
          <w:p w14:paraId="2FDF05F5" w14:textId="77777777" w:rsidR="009A21F6" w:rsidRPr="009A21F6" w:rsidRDefault="009A21F6" w:rsidP="009A21F6">
            <w:pPr>
              <w:widowControl/>
              <w:autoSpaceDE/>
              <w:autoSpaceDN/>
              <w:jc w:val="center"/>
              <w:rPr>
                <w:rFonts w:eastAsiaTheme="minorHAnsi"/>
                <w:b/>
                <w:lang w:val="id-ID" w:bidi="ar-SA"/>
              </w:rPr>
            </w:pPr>
            <w:r w:rsidRPr="009A21F6">
              <w:rPr>
                <w:rFonts w:eastAsiaTheme="minorHAnsi"/>
                <w:b/>
                <w:lang w:val="id-ID" w:bidi="ar-SA"/>
              </w:rPr>
              <w:t>Frekuensi</w:t>
            </w:r>
          </w:p>
        </w:tc>
        <w:tc>
          <w:tcPr>
            <w:tcW w:w="1065" w:type="pct"/>
            <w:tcBorders>
              <w:top w:val="single" w:sz="4" w:space="0" w:color="auto"/>
              <w:bottom w:val="single" w:sz="4" w:space="0" w:color="auto"/>
            </w:tcBorders>
            <w:vAlign w:val="center"/>
          </w:tcPr>
          <w:p w14:paraId="19F44273" w14:textId="77777777" w:rsidR="009A21F6" w:rsidRPr="009A21F6" w:rsidRDefault="009A21F6" w:rsidP="009A21F6">
            <w:pPr>
              <w:widowControl/>
              <w:autoSpaceDE/>
              <w:autoSpaceDN/>
              <w:jc w:val="center"/>
              <w:rPr>
                <w:rFonts w:eastAsiaTheme="minorHAnsi"/>
                <w:b/>
                <w:lang w:val="id-ID" w:bidi="ar-SA"/>
              </w:rPr>
            </w:pPr>
            <w:r w:rsidRPr="009A21F6">
              <w:rPr>
                <w:rFonts w:eastAsiaTheme="minorHAnsi"/>
                <w:b/>
                <w:lang w:val="id-ID" w:bidi="ar-SA"/>
              </w:rPr>
              <w:t>Persentase (%)</w:t>
            </w:r>
          </w:p>
        </w:tc>
        <w:tc>
          <w:tcPr>
            <w:tcW w:w="1146" w:type="pct"/>
            <w:tcBorders>
              <w:top w:val="single" w:sz="4" w:space="0" w:color="auto"/>
              <w:bottom w:val="single" w:sz="4" w:space="0" w:color="auto"/>
            </w:tcBorders>
            <w:noWrap/>
            <w:vAlign w:val="center"/>
            <w:hideMark/>
          </w:tcPr>
          <w:p w14:paraId="4AA60354"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Kategori</w:t>
            </w:r>
          </w:p>
        </w:tc>
      </w:tr>
      <w:tr w:rsidR="009A21F6" w:rsidRPr="009A21F6" w14:paraId="3F566FFA" w14:textId="77777777" w:rsidTr="00DB4165">
        <w:trPr>
          <w:trHeight w:val="60"/>
        </w:trPr>
        <w:tc>
          <w:tcPr>
            <w:tcW w:w="384" w:type="pct"/>
            <w:tcBorders>
              <w:top w:val="single" w:sz="4" w:space="0" w:color="auto"/>
            </w:tcBorders>
            <w:noWrap/>
            <w:hideMark/>
          </w:tcPr>
          <w:p w14:paraId="23849FDD"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1</w:t>
            </w:r>
          </w:p>
        </w:tc>
        <w:tc>
          <w:tcPr>
            <w:tcW w:w="1496" w:type="pct"/>
            <w:tcBorders>
              <w:top w:val="single" w:sz="4" w:space="0" w:color="auto"/>
            </w:tcBorders>
            <w:noWrap/>
          </w:tcPr>
          <w:p w14:paraId="31F5986F"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X&gt;24,00</w:t>
            </w:r>
          </w:p>
        </w:tc>
        <w:tc>
          <w:tcPr>
            <w:tcW w:w="909" w:type="pct"/>
            <w:tcBorders>
              <w:top w:val="single" w:sz="4" w:space="0" w:color="auto"/>
            </w:tcBorders>
          </w:tcPr>
          <w:p w14:paraId="35E5A82D"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15</w:t>
            </w:r>
          </w:p>
        </w:tc>
        <w:tc>
          <w:tcPr>
            <w:tcW w:w="1065" w:type="pct"/>
            <w:tcBorders>
              <w:top w:val="single" w:sz="4" w:space="0" w:color="auto"/>
            </w:tcBorders>
          </w:tcPr>
          <w:p w14:paraId="4671959F"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15,0</w:t>
            </w:r>
          </w:p>
        </w:tc>
        <w:tc>
          <w:tcPr>
            <w:tcW w:w="1146" w:type="pct"/>
            <w:tcBorders>
              <w:top w:val="single" w:sz="4" w:space="0" w:color="auto"/>
            </w:tcBorders>
            <w:noWrap/>
            <w:hideMark/>
          </w:tcPr>
          <w:p w14:paraId="0E85D559" w14:textId="2450E3F6" w:rsidR="009A21F6" w:rsidRPr="009A21F6" w:rsidRDefault="00340CDB" w:rsidP="009A21F6">
            <w:pPr>
              <w:widowControl/>
              <w:autoSpaceDE/>
              <w:autoSpaceDN/>
              <w:rPr>
                <w:rFonts w:eastAsiaTheme="minorHAnsi"/>
                <w:lang w:val="id-ID" w:bidi="ar-SA"/>
              </w:rPr>
            </w:pPr>
            <w:r>
              <w:rPr>
                <w:rFonts w:eastAsiaTheme="minorHAnsi"/>
                <w:lang w:val="id-ID" w:bidi="ar-SA"/>
              </w:rPr>
              <w:t xml:space="preserve">Amat </w:t>
            </w:r>
            <w:r w:rsidR="009A21F6" w:rsidRPr="009A21F6">
              <w:rPr>
                <w:rFonts w:eastAsiaTheme="minorHAnsi"/>
                <w:lang w:val="en-ID" w:bidi="ar-SA"/>
              </w:rPr>
              <w:t>tinggi</w:t>
            </w:r>
          </w:p>
        </w:tc>
      </w:tr>
      <w:tr w:rsidR="009A21F6" w:rsidRPr="009A21F6" w14:paraId="36C71186" w14:textId="77777777" w:rsidTr="00DB4165">
        <w:trPr>
          <w:trHeight w:val="60"/>
        </w:trPr>
        <w:tc>
          <w:tcPr>
            <w:tcW w:w="384" w:type="pct"/>
            <w:noWrap/>
            <w:hideMark/>
          </w:tcPr>
          <w:p w14:paraId="7212AFF2"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2</w:t>
            </w:r>
          </w:p>
        </w:tc>
        <w:tc>
          <w:tcPr>
            <w:tcW w:w="1496" w:type="pct"/>
            <w:noWrap/>
          </w:tcPr>
          <w:p w14:paraId="51F4C6DB"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20,00&lt;X≤24,00</w:t>
            </w:r>
          </w:p>
        </w:tc>
        <w:tc>
          <w:tcPr>
            <w:tcW w:w="909" w:type="pct"/>
          </w:tcPr>
          <w:p w14:paraId="367DA7C9"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55</w:t>
            </w:r>
          </w:p>
        </w:tc>
        <w:tc>
          <w:tcPr>
            <w:tcW w:w="1065" w:type="pct"/>
          </w:tcPr>
          <w:p w14:paraId="0D9A96E6"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55,0</w:t>
            </w:r>
          </w:p>
        </w:tc>
        <w:tc>
          <w:tcPr>
            <w:tcW w:w="1146" w:type="pct"/>
            <w:noWrap/>
            <w:hideMark/>
          </w:tcPr>
          <w:p w14:paraId="7E9BB6F7" w14:textId="77777777" w:rsidR="009A21F6" w:rsidRPr="009A21F6" w:rsidRDefault="009A21F6" w:rsidP="009A21F6">
            <w:pPr>
              <w:widowControl/>
              <w:autoSpaceDE/>
              <w:autoSpaceDN/>
              <w:rPr>
                <w:rFonts w:eastAsiaTheme="minorHAnsi"/>
                <w:lang w:val="id-ID" w:bidi="ar-SA"/>
              </w:rPr>
            </w:pPr>
            <w:r w:rsidRPr="009A21F6">
              <w:rPr>
                <w:rFonts w:eastAsiaTheme="minorHAnsi"/>
                <w:lang w:val="en-ID" w:bidi="ar-SA"/>
              </w:rPr>
              <w:t>Tinggi</w:t>
            </w:r>
          </w:p>
        </w:tc>
      </w:tr>
      <w:tr w:rsidR="009A21F6" w:rsidRPr="009A21F6" w14:paraId="1EB49F0F" w14:textId="77777777" w:rsidTr="00DB4165">
        <w:trPr>
          <w:trHeight w:val="145"/>
        </w:trPr>
        <w:tc>
          <w:tcPr>
            <w:tcW w:w="384" w:type="pct"/>
            <w:noWrap/>
          </w:tcPr>
          <w:p w14:paraId="0DF81BD2"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3</w:t>
            </w:r>
          </w:p>
        </w:tc>
        <w:tc>
          <w:tcPr>
            <w:tcW w:w="1496" w:type="pct"/>
            <w:noWrap/>
          </w:tcPr>
          <w:p w14:paraId="02500E7A"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16,00&lt;X≤20,00</w:t>
            </w:r>
          </w:p>
        </w:tc>
        <w:tc>
          <w:tcPr>
            <w:tcW w:w="909" w:type="pct"/>
          </w:tcPr>
          <w:p w14:paraId="544800DD"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29</w:t>
            </w:r>
          </w:p>
        </w:tc>
        <w:tc>
          <w:tcPr>
            <w:tcW w:w="1065" w:type="pct"/>
          </w:tcPr>
          <w:p w14:paraId="6955EE02"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29,0</w:t>
            </w:r>
          </w:p>
        </w:tc>
        <w:tc>
          <w:tcPr>
            <w:tcW w:w="1146" w:type="pct"/>
            <w:noWrap/>
          </w:tcPr>
          <w:p w14:paraId="2098BDC3" w14:textId="77777777" w:rsidR="009A21F6" w:rsidRPr="009A21F6" w:rsidRDefault="009A21F6" w:rsidP="009A21F6">
            <w:pPr>
              <w:widowControl/>
              <w:autoSpaceDE/>
              <w:autoSpaceDN/>
              <w:rPr>
                <w:rFonts w:eastAsiaTheme="minorHAnsi"/>
                <w:lang w:val="en-ID" w:bidi="ar-SA"/>
              </w:rPr>
            </w:pPr>
            <w:r w:rsidRPr="009A21F6">
              <w:rPr>
                <w:rFonts w:eastAsiaTheme="minorHAnsi"/>
                <w:lang w:val="en-ID" w:bidi="ar-SA"/>
              </w:rPr>
              <w:t>Sedang</w:t>
            </w:r>
          </w:p>
        </w:tc>
      </w:tr>
      <w:tr w:rsidR="009A21F6" w:rsidRPr="009A21F6" w14:paraId="0466013D" w14:textId="77777777" w:rsidTr="00DB4165">
        <w:trPr>
          <w:trHeight w:val="60"/>
        </w:trPr>
        <w:tc>
          <w:tcPr>
            <w:tcW w:w="384" w:type="pct"/>
            <w:noWrap/>
          </w:tcPr>
          <w:p w14:paraId="1246C54A"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4</w:t>
            </w:r>
          </w:p>
        </w:tc>
        <w:tc>
          <w:tcPr>
            <w:tcW w:w="1496" w:type="pct"/>
            <w:noWrap/>
          </w:tcPr>
          <w:p w14:paraId="400B5C42"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12,00&lt;X≤16,00</w:t>
            </w:r>
          </w:p>
        </w:tc>
        <w:tc>
          <w:tcPr>
            <w:tcW w:w="909" w:type="pct"/>
          </w:tcPr>
          <w:p w14:paraId="0EDF288C"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1</w:t>
            </w:r>
          </w:p>
        </w:tc>
        <w:tc>
          <w:tcPr>
            <w:tcW w:w="1065" w:type="pct"/>
          </w:tcPr>
          <w:p w14:paraId="22232ACC"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en-ID" w:bidi="ar-SA"/>
              </w:rPr>
              <w:t>1,0</w:t>
            </w:r>
          </w:p>
        </w:tc>
        <w:tc>
          <w:tcPr>
            <w:tcW w:w="1146" w:type="pct"/>
            <w:noWrap/>
          </w:tcPr>
          <w:p w14:paraId="3A2DA6D5" w14:textId="51683262" w:rsidR="009A21F6" w:rsidRPr="00340CDB" w:rsidRDefault="00340CDB" w:rsidP="009A21F6">
            <w:pPr>
              <w:widowControl/>
              <w:autoSpaceDE/>
              <w:autoSpaceDN/>
              <w:rPr>
                <w:rFonts w:eastAsiaTheme="minorHAnsi"/>
                <w:lang w:val="id-ID" w:bidi="ar-SA"/>
              </w:rPr>
            </w:pPr>
            <w:r>
              <w:rPr>
                <w:rFonts w:eastAsiaTheme="minorHAnsi"/>
                <w:lang w:val="id-ID" w:bidi="ar-SA"/>
              </w:rPr>
              <w:t>Kecil</w:t>
            </w:r>
          </w:p>
        </w:tc>
      </w:tr>
      <w:tr w:rsidR="009A21F6" w:rsidRPr="009A21F6" w14:paraId="420C43A5" w14:textId="77777777" w:rsidTr="00DB4165">
        <w:trPr>
          <w:trHeight w:val="60"/>
        </w:trPr>
        <w:tc>
          <w:tcPr>
            <w:tcW w:w="384" w:type="pct"/>
            <w:tcBorders>
              <w:bottom w:val="single" w:sz="4" w:space="0" w:color="auto"/>
            </w:tcBorders>
            <w:noWrap/>
            <w:hideMark/>
          </w:tcPr>
          <w:p w14:paraId="584A3C0D"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5</w:t>
            </w:r>
          </w:p>
        </w:tc>
        <w:tc>
          <w:tcPr>
            <w:tcW w:w="1496" w:type="pct"/>
            <w:tcBorders>
              <w:bottom w:val="single" w:sz="4" w:space="0" w:color="auto"/>
            </w:tcBorders>
            <w:noWrap/>
          </w:tcPr>
          <w:p w14:paraId="32EEB616"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X≤12,00</w:t>
            </w:r>
          </w:p>
        </w:tc>
        <w:tc>
          <w:tcPr>
            <w:tcW w:w="909" w:type="pct"/>
            <w:tcBorders>
              <w:bottom w:val="single" w:sz="4" w:space="0" w:color="auto"/>
            </w:tcBorders>
          </w:tcPr>
          <w:p w14:paraId="0ACC2B09"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id-ID" w:bidi="ar-SA"/>
              </w:rPr>
              <w:t>0</w:t>
            </w:r>
          </w:p>
        </w:tc>
        <w:tc>
          <w:tcPr>
            <w:tcW w:w="1065" w:type="pct"/>
            <w:tcBorders>
              <w:bottom w:val="single" w:sz="4" w:space="0" w:color="auto"/>
            </w:tcBorders>
          </w:tcPr>
          <w:p w14:paraId="559B9EDB" w14:textId="77777777" w:rsidR="009A21F6" w:rsidRPr="009A21F6" w:rsidRDefault="009A21F6" w:rsidP="009A21F6">
            <w:pPr>
              <w:widowControl/>
              <w:autoSpaceDE/>
              <w:autoSpaceDN/>
              <w:jc w:val="center"/>
              <w:rPr>
                <w:rFonts w:eastAsiaTheme="minorHAnsi"/>
                <w:lang w:val="id-ID" w:bidi="ar-SA"/>
              </w:rPr>
            </w:pPr>
            <w:r w:rsidRPr="009A21F6">
              <w:rPr>
                <w:rFonts w:eastAsiaTheme="minorHAnsi"/>
                <w:lang w:val="id-ID" w:bidi="ar-SA"/>
              </w:rPr>
              <w:t>0,0</w:t>
            </w:r>
          </w:p>
        </w:tc>
        <w:tc>
          <w:tcPr>
            <w:tcW w:w="1146" w:type="pct"/>
            <w:tcBorders>
              <w:bottom w:val="single" w:sz="4" w:space="0" w:color="auto"/>
            </w:tcBorders>
            <w:noWrap/>
            <w:hideMark/>
          </w:tcPr>
          <w:p w14:paraId="4E2A264D" w14:textId="27B9143A" w:rsidR="009A21F6" w:rsidRPr="00340CDB" w:rsidRDefault="00340CDB" w:rsidP="009A21F6">
            <w:pPr>
              <w:widowControl/>
              <w:autoSpaceDE/>
              <w:autoSpaceDN/>
              <w:rPr>
                <w:rFonts w:eastAsiaTheme="minorHAnsi"/>
                <w:lang w:val="id-ID" w:bidi="ar-SA"/>
              </w:rPr>
            </w:pPr>
            <w:r>
              <w:rPr>
                <w:rFonts w:eastAsiaTheme="minorHAnsi"/>
                <w:lang w:val="id-ID" w:bidi="ar-SA"/>
              </w:rPr>
              <w:t>Amat kecil</w:t>
            </w:r>
          </w:p>
        </w:tc>
      </w:tr>
      <w:tr w:rsidR="009A21F6" w:rsidRPr="009A21F6" w14:paraId="5FF6500F" w14:textId="77777777" w:rsidTr="00DB4165">
        <w:trPr>
          <w:trHeight w:val="70"/>
        </w:trPr>
        <w:tc>
          <w:tcPr>
            <w:tcW w:w="1880" w:type="pct"/>
            <w:gridSpan w:val="2"/>
            <w:tcBorders>
              <w:top w:val="single" w:sz="4" w:space="0" w:color="auto"/>
              <w:bottom w:val="single" w:sz="4" w:space="0" w:color="auto"/>
            </w:tcBorders>
            <w:noWrap/>
            <w:vAlign w:val="bottom"/>
            <w:hideMark/>
          </w:tcPr>
          <w:p w14:paraId="6B8BEB74" w14:textId="77777777" w:rsidR="009A21F6" w:rsidRPr="009A21F6" w:rsidRDefault="009A21F6" w:rsidP="009A21F6">
            <w:pPr>
              <w:widowControl/>
              <w:autoSpaceDE/>
              <w:autoSpaceDN/>
              <w:jc w:val="center"/>
              <w:rPr>
                <w:rFonts w:eastAsiaTheme="minorHAnsi"/>
                <w:b/>
                <w:lang w:val="en-ID" w:bidi="ar-SA"/>
              </w:rPr>
            </w:pPr>
            <w:r w:rsidRPr="009A21F6">
              <w:rPr>
                <w:rFonts w:eastAsiaTheme="minorHAnsi"/>
                <w:b/>
                <w:lang w:val="en-ID" w:bidi="ar-SA"/>
              </w:rPr>
              <w:t>Total</w:t>
            </w:r>
          </w:p>
        </w:tc>
        <w:tc>
          <w:tcPr>
            <w:tcW w:w="909" w:type="pct"/>
            <w:tcBorders>
              <w:top w:val="single" w:sz="4" w:space="0" w:color="auto"/>
              <w:bottom w:val="single" w:sz="4" w:space="0" w:color="auto"/>
            </w:tcBorders>
            <w:vAlign w:val="center"/>
          </w:tcPr>
          <w:p w14:paraId="71D4AB29" w14:textId="77777777" w:rsidR="009A21F6" w:rsidRPr="009A21F6" w:rsidRDefault="009A21F6" w:rsidP="009A21F6">
            <w:pPr>
              <w:widowControl/>
              <w:autoSpaceDE/>
              <w:autoSpaceDN/>
              <w:jc w:val="center"/>
              <w:rPr>
                <w:rFonts w:eastAsiaTheme="minorHAnsi"/>
                <w:lang w:bidi="ar-SA"/>
              </w:rPr>
            </w:pPr>
            <w:r w:rsidRPr="009A21F6">
              <w:rPr>
                <w:rFonts w:eastAsiaTheme="minorHAnsi"/>
                <w:lang w:bidi="ar-SA"/>
              </w:rPr>
              <w:t>100</w:t>
            </w:r>
          </w:p>
        </w:tc>
        <w:tc>
          <w:tcPr>
            <w:tcW w:w="1065" w:type="pct"/>
            <w:tcBorders>
              <w:top w:val="single" w:sz="4" w:space="0" w:color="auto"/>
              <w:bottom w:val="single" w:sz="4" w:space="0" w:color="auto"/>
            </w:tcBorders>
            <w:vAlign w:val="center"/>
          </w:tcPr>
          <w:p w14:paraId="06B74500" w14:textId="77777777" w:rsidR="009A21F6" w:rsidRPr="009A21F6" w:rsidRDefault="009A21F6" w:rsidP="009A21F6">
            <w:pPr>
              <w:widowControl/>
              <w:autoSpaceDE/>
              <w:autoSpaceDN/>
              <w:jc w:val="center"/>
              <w:rPr>
                <w:rFonts w:eastAsiaTheme="minorHAnsi"/>
                <w:lang w:val="en-ID" w:bidi="ar-SA"/>
              </w:rPr>
            </w:pPr>
            <w:r w:rsidRPr="009A21F6">
              <w:rPr>
                <w:rFonts w:eastAsiaTheme="minorHAnsi"/>
                <w:lang w:val="en-ID" w:bidi="ar-SA"/>
              </w:rPr>
              <w:t>100,0</w:t>
            </w:r>
          </w:p>
        </w:tc>
        <w:tc>
          <w:tcPr>
            <w:tcW w:w="1146" w:type="pct"/>
            <w:tcBorders>
              <w:top w:val="single" w:sz="4" w:space="0" w:color="auto"/>
              <w:bottom w:val="single" w:sz="4" w:space="0" w:color="auto"/>
            </w:tcBorders>
            <w:noWrap/>
            <w:vAlign w:val="center"/>
            <w:hideMark/>
          </w:tcPr>
          <w:p w14:paraId="3FDEC347" w14:textId="77777777" w:rsidR="009A21F6" w:rsidRPr="009A21F6" w:rsidRDefault="009A21F6" w:rsidP="009A21F6">
            <w:pPr>
              <w:widowControl/>
              <w:autoSpaceDE/>
              <w:autoSpaceDN/>
              <w:jc w:val="center"/>
              <w:rPr>
                <w:rFonts w:eastAsiaTheme="minorHAnsi"/>
                <w:lang w:val="en-ID" w:bidi="ar-SA"/>
              </w:rPr>
            </w:pPr>
          </w:p>
        </w:tc>
      </w:tr>
    </w:tbl>
    <w:p w14:paraId="076A446B" w14:textId="09040976" w:rsidR="009A21F6" w:rsidRPr="009A21F6" w:rsidRDefault="00340CDB" w:rsidP="00DB4165">
      <w:pPr>
        <w:tabs>
          <w:tab w:val="left" w:pos="567"/>
        </w:tabs>
        <w:ind w:firstLine="567"/>
        <w:jc w:val="both"/>
        <w:rPr>
          <w:rFonts w:eastAsiaTheme="minorHAnsi"/>
          <w:lang w:val="id-ID" w:bidi="ar-SA"/>
        </w:rPr>
      </w:pPr>
      <w:r>
        <w:rPr>
          <w:rFonts w:eastAsiaTheme="minorHAnsi"/>
          <w:lang w:val="id-ID" w:bidi="ar-SA"/>
        </w:rPr>
        <w:t xml:space="preserve">Dari </w:t>
      </w:r>
      <w:r w:rsidR="009A21F6" w:rsidRPr="009A21F6">
        <w:rPr>
          <w:rFonts w:eastAsiaTheme="minorHAnsi"/>
          <w:lang w:val="sv-SE" w:bidi="ar-SA"/>
        </w:rPr>
        <w:t>tabel dapat diketahui bahwa</w:t>
      </w:r>
      <w:r w:rsidR="009A21F6" w:rsidRPr="009A21F6">
        <w:rPr>
          <w:rFonts w:eastAsiaTheme="minorHAnsi"/>
          <w:lang w:val="id-ID" w:bidi="ar-SA"/>
        </w:rPr>
        <w:t xml:space="preserve"> </w:t>
      </w:r>
      <w:r w:rsidR="009A21F6" w:rsidRPr="009A21F6">
        <w:rPr>
          <w:rFonts w:eastAsiaTheme="minorHAnsi"/>
          <w:lang w:bidi="ar-SA"/>
        </w:rPr>
        <w:t>mayoritas</w:t>
      </w:r>
      <w:r w:rsidR="009A21F6" w:rsidRPr="009A21F6">
        <w:rPr>
          <w:rFonts w:eastAsiaTheme="minorHAnsi"/>
          <w:lang w:val="id-ID" w:bidi="ar-SA"/>
        </w:rPr>
        <w:t xml:space="preserve"> responden dengan </w:t>
      </w:r>
      <w:r w:rsidR="009A21F6" w:rsidRPr="009A21F6">
        <w:rPr>
          <w:rFonts w:eastAsiaTheme="minorHAnsi"/>
          <w:lang w:val="en-ID" w:bidi="ar-SA"/>
        </w:rPr>
        <w:t>Pemahaman PP No 28 Tahun 2018 dalam kategori</w:t>
      </w:r>
      <w:r w:rsidR="009A21F6" w:rsidRPr="009A21F6">
        <w:rPr>
          <w:rFonts w:eastAsiaTheme="minorHAnsi"/>
          <w:b/>
          <w:lang w:val="en-ID" w:bidi="ar-SA"/>
        </w:rPr>
        <w:t xml:space="preserve"> </w:t>
      </w:r>
      <w:r w:rsidR="009A21F6" w:rsidRPr="009A21F6">
        <w:rPr>
          <w:rFonts w:eastAsiaTheme="minorHAnsi"/>
          <w:lang w:val="sv-SE" w:bidi="ar-SA"/>
        </w:rPr>
        <w:t>tinggi</w:t>
      </w:r>
      <w:r w:rsidR="009A21F6" w:rsidRPr="009A21F6">
        <w:rPr>
          <w:rFonts w:eastAsiaTheme="minorHAnsi"/>
          <w:lang w:val="id-ID" w:bidi="ar-SA"/>
        </w:rPr>
        <w:t xml:space="preserve"> </w:t>
      </w:r>
      <w:r w:rsidR="009A21F6" w:rsidRPr="009A21F6">
        <w:rPr>
          <w:rFonts w:eastAsiaTheme="minorHAnsi"/>
          <w:lang w:val="sv-SE" w:bidi="ar-SA"/>
        </w:rPr>
        <w:t>(55</w:t>
      </w:r>
      <w:r w:rsidR="009A21F6" w:rsidRPr="009A21F6">
        <w:rPr>
          <w:rFonts w:eastAsiaTheme="minorHAnsi"/>
          <w:lang w:val="id-ID" w:bidi="ar-SA"/>
        </w:rPr>
        <w:t>,0</w:t>
      </w:r>
      <w:r w:rsidR="009A21F6" w:rsidRPr="009A21F6">
        <w:rPr>
          <w:rFonts w:eastAsiaTheme="minorHAnsi"/>
          <w:lang w:val="sv-SE" w:bidi="ar-SA"/>
        </w:rPr>
        <w:t>%)</w:t>
      </w:r>
      <w:r w:rsidR="009A21F6" w:rsidRPr="009A21F6">
        <w:rPr>
          <w:rFonts w:eastAsiaTheme="minorHAnsi"/>
          <w:lang w:val="id-ID" w:bidi="ar-SA"/>
        </w:rPr>
        <w:t>.</w:t>
      </w:r>
    </w:p>
    <w:p w14:paraId="3FF6ACA8" w14:textId="1F04706F" w:rsidR="00B612DB" w:rsidRPr="00B612DB" w:rsidRDefault="00B612DB" w:rsidP="00BA7EF3">
      <w:pPr>
        <w:pStyle w:val="ListParagraph"/>
        <w:numPr>
          <w:ilvl w:val="0"/>
          <w:numId w:val="8"/>
        </w:numPr>
        <w:tabs>
          <w:tab w:val="left" w:pos="284"/>
        </w:tabs>
        <w:spacing w:after="0"/>
        <w:ind w:left="284" w:right="28" w:hanging="284"/>
        <w:jc w:val="both"/>
        <w:rPr>
          <w:rFonts w:ascii="Times New Roman" w:eastAsia="Calibri" w:hAnsi="Times New Roman" w:cs="Times New Roman"/>
          <w:b/>
          <w:noProof/>
        </w:rPr>
      </w:pPr>
      <w:bookmarkStart w:id="3" w:name="_Toc499149628"/>
      <w:r w:rsidRPr="00B612DB">
        <w:rPr>
          <w:rFonts w:ascii="Times New Roman" w:eastAsia="Calibri" w:hAnsi="Times New Roman" w:cs="Times New Roman"/>
          <w:b/>
          <w:noProof/>
        </w:rPr>
        <w:t xml:space="preserve">Uji </w:t>
      </w:r>
      <w:r w:rsidRPr="00BA7EF3">
        <w:rPr>
          <w:rFonts w:ascii="Times New Roman" w:eastAsia="Calibri" w:hAnsi="Times New Roman" w:cs="Times New Roman"/>
          <w:b/>
          <w:bCs/>
          <w:noProof/>
        </w:rPr>
        <w:t>Asumsi</w:t>
      </w:r>
      <w:r w:rsidRPr="00B612DB">
        <w:rPr>
          <w:rFonts w:ascii="Times New Roman" w:eastAsia="Calibri" w:hAnsi="Times New Roman" w:cs="Times New Roman"/>
          <w:b/>
          <w:noProof/>
        </w:rPr>
        <w:t xml:space="preserve"> Klasik</w:t>
      </w:r>
      <w:bookmarkEnd w:id="3"/>
    </w:p>
    <w:p w14:paraId="43EAD4F2" w14:textId="77777777" w:rsidR="00B612DB" w:rsidRPr="00B612DB" w:rsidRDefault="00B612DB" w:rsidP="00B612DB">
      <w:pPr>
        <w:keepNext/>
        <w:widowControl/>
        <w:autoSpaceDE/>
        <w:autoSpaceDN/>
        <w:outlineLvl w:val="2"/>
        <w:rPr>
          <w:b/>
          <w:bCs/>
          <w:iCs/>
          <w:lang w:val="x-none"/>
        </w:rPr>
      </w:pPr>
      <w:bookmarkStart w:id="4" w:name="_Toc499149629"/>
      <w:r w:rsidRPr="00B612DB">
        <w:rPr>
          <w:b/>
          <w:bCs/>
          <w:iCs/>
          <w:lang w:val="x-none"/>
        </w:rPr>
        <w:t>Uji Normalitas</w:t>
      </w:r>
      <w:bookmarkEnd w:id="4"/>
    </w:p>
    <w:p w14:paraId="22F8268D" w14:textId="22B81E72" w:rsidR="00B612DB" w:rsidRPr="00B612DB" w:rsidRDefault="0091515B" w:rsidP="00B612DB">
      <w:pPr>
        <w:tabs>
          <w:tab w:val="left" w:pos="567"/>
        </w:tabs>
        <w:ind w:firstLine="567"/>
        <w:jc w:val="both"/>
        <w:rPr>
          <w:rFonts w:eastAsia="Calibri"/>
          <w:lang w:val="x-none"/>
        </w:rPr>
      </w:pPr>
      <w:r>
        <w:rPr>
          <w:rFonts w:eastAsia="Calibri"/>
          <w:lang w:val="id-ID"/>
        </w:rPr>
        <w:t xml:space="preserve">Uji ini dimaknakan </w:t>
      </w:r>
      <w:r w:rsidR="00340CDB">
        <w:rPr>
          <w:rFonts w:eastAsia="Calibri"/>
          <w:lang w:val="id-ID"/>
        </w:rPr>
        <w:t xml:space="preserve">menjadi </w:t>
      </w:r>
      <w:r>
        <w:rPr>
          <w:rFonts w:eastAsia="Calibri"/>
          <w:lang w:val="id-ID"/>
        </w:rPr>
        <w:t xml:space="preserve">uji terkait kevalidan </w:t>
      </w:r>
      <w:r w:rsidR="00B612DB" w:rsidRPr="00B612DB">
        <w:rPr>
          <w:rFonts w:eastAsia="Calibri"/>
          <w:lang w:val="x-none"/>
        </w:rPr>
        <w:t xml:space="preserve">distribusi data. </w:t>
      </w:r>
      <w:r>
        <w:rPr>
          <w:rFonts w:eastAsia="Calibri"/>
          <w:lang w:val="id-ID"/>
        </w:rPr>
        <w:t xml:space="preserve">Pada eksplorasi </w:t>
      </w:r>
      <w:r w:rsidR="00B612DB" w:rsidRPr="00B612DB">
        <w:rPr>
          <w:rFonts w:eastAsia="Calibri"/>
          <w:lang w:val="x-none"/>
        </w:rPr>
        <w:t xml:space="preserve">ini, </w:t>
      </w:r>
      <w:r>
        <w:rPr>
          <w:rFonts w:eastAsia="Calibri"/>
          <w:lang w:val="id-ID"/>
        </w:rPr>
        <w:t xml:space="preserve">memakai </w:t>
      </w:r>
      <w:r w:rsidR="00B612DB" w:rsidRPr="00B612DB">
        <w:rPr>
          <w:rFonts w:eastAsia="Calibri"/>
          <w:lang w:val="x-none"/>
        </w:rPr>
        <w:t xml:space="preserve">uji </w:t>
      </w:r>
      <w:r w:rsidR="00B612DB" w:rsidRPr="00B612DB">
        <w:rPr>
          <w:rFonts w:eastAsia="Calibri"/>
          <w:i/>
          <w:lang w:val="x-none"/>
        </w:rPr>
        <w:t>kolmogrov-smirnov</w:t>
      </w:r>
      <w:r w:rsidR="00B612DB" w:rsidRPr="00B612DB">
        <w:rPr>
          <w:rFonts w:eastAsia="Calibri"/>
          <w:lang w:val="x-none"/>
        </w:rPr>
        <w:t xml:space="preserve"> dengan </w:t>
      </w:r>
      <w:r>
        <w:rPr>
          <w:rFonts w:eastAsia="Calibri"/>
          <w:lang w:val="id-ID"/>
        </w:rPr>
        <w:t>capaian yakni:</w:t>
      </w:r>
    </w:p>
    <w:p w14:paraId="108BB95A" w14:textId="4E5D017A" w:rsidR="00B612DB" w:rsidRPr="00B612DB" w:rsidRDefault="00B612DB" w:rsidP="00B612DB">
      <w:pPr>
        <w:tabs>
          <w:tab w:val="left" w:pos="3420"/>
        </w:tabs>
        <w:ind w:left="810"/>
        <w:jc w:val="center"/>
        <w:rPr>
          <w:rFonts w:eastAsia="Calibri"/>
          <w:b/>
          <w:bCs/>
          <w:noProof/>
        </w:rPr>
      </w:pPr>
      <w:r w:rsidRPr="00B612DB">
        <w:rPr>
          <w:rFonts w:eastAsia="Calibri"/>
          <w:b/>
          <w:bCs/>
          <w:noProof/>
        </w:rPr>
        <w:t xml:space="preserve">Tabel </w:t>
      </w:r>
      <w:r w:rsidR="00DB4165">
        <w:rPr>
          <w:rFonts w:eastAsia="Calibri"/>
          <w:b/>
          <w:bCs/>
          <w:noProof/>
        </w:rPr>
        <w:t>5</w:t>
      </w:r>
      <w:r w:rsidRPr="00B612DB">
        <w:rPr>
          <w:rFonts w:eastAsia="Calibri"/>
          <w:b/>
          <w:bCs/>
          <w:noProof/>
          <w:lang w:val="sv-SE"/>
        </w:rPr>
        <w:t>.</w:t>
      </w:r>
      <w:r w:rsidRPr="00B612DB">
        <w:rPr>
          <w:rFonts w:eastAsia="Calibri"/>
          <w:b/>
          <w:bCs/>
          <w:noProof/>
        </w:rPr>
        <w:t xml:space="preserve"> Hasil Uji Normalitas</w:t>
      </w:r>
    </w:p>
    <w:tbl>
      <w:tblPr>
        <w:tblW w:w="5000" w:type="pct"/>
        <w:tblLook w:val="01E0" w:firstRow="1" w:lastRow="1" w:firstColumn="1" w:lastColumn="1" w:noHBand="0" w:noVBand="0"/>
      </w:tblPr>
      <w:tblGrid>
        <w:gridCol w:w="5515"/>
        <w:gridCol w:w="1329"/>
        <w:gridCol w:w="2398"/>
      </w:tblGrid>
      <w:tr w:rsidR="00B612DB" w:rsidRPr="00B612DB" w14:paraId="7757CA99" w14:textId="77777777" w:rsidTr="00BB2410">
        <w:tc>
          <w:tcPr>
            <w:tcW w:w="2985" w:type="pct"/>
            <w:tcBorders>
              <w:top w:val="single" w:sz="4" w:space="0" w:color="auto"/>
              <w:bottom w:val="single" w:sz="4" w:space="0" w:color="auto"/>
            </w:tcBorders>
          </w:tcPr>
          <w:p w14:paraId="5B525BE1" w14:textId="77777777" w:rsidR="00B612DB" w:rsidRPr="00B612DB" w:rsidRDefault="00B612DB" w:rsidP="00B612DB">
            <w:pPr>
              <w:adjustRightInd w:val="0"/>
              <w:jc w:val="center"/>
              <w:rPr>
                <w:b/>
              </w:rPr>
            </w:pPr>
            <w:r w:rsidRPr="00B612DB">
              <w:rPr>
                <w:b/>
              </w:rPr>
              <w:t xml:space="preserve">Variabel </w:t>
            </w:r>
          </w:p>
        </w:tc>
        <w:tc>
          <w:tcPr>
            <w:tcW w:w="717" w:type="pct"/>
            <w:tcBorders>
              <w:top w:val="single" w:sz="4" w:space="0" w:color="auto"/>
              <w:bottom w:val="single" w:sz="4" w:space="0" w:color="auto"/>
            </w:tcBorders>
          </w:tcPr>
          <w:p w14:paraId="019BB633" w14:textId="77777777" w:rsidR="00B612DB" w:rsidRPr="00B612DB" w:rsidRDefault="00B612DB" w:rsidP="00B612DB">
            <w:pPr>
              <w:jc w:val="center"/>
              <w:rPr>
                <w:b/>
              </w:rPr>
            </w:pPr>
            <w:r w:rsidRPr="00B612DB">
              <w:rPr>
                <w:b/>
              </w:rPr>
              <w:t xml:space="preserve">Signifikansi </w:t>
            </w:r>
          </w:p>
        </w:tc>
        <w:tc>
          <w:tcPr>
            <w:tcW w:w="1299" w:type="pct"/>
            <w:tcBorders>
              <w:top w:val="single" w:sz="4" w:space="0" w:color="auto"/>
              <w:bottom w:val="single" w:sz="4" w:space="0" w:color="auto"/>
            </w:tcBorders>
          </w:tcPr>
          <w:p w14:paraId="4DA96A17" w14:textId="77777777" w:rsidR="00B612DB" w:rsidRPr="00B612DB" w:rsidRDefault="00B612DB" w:rsidP="00B612DB">
            <w:pPr>
              <w:ind w:left="-108"/>
              <w:jc w:val="center"/>
              <w:rPr>
                <w:b/>
              </w:rPr>
            </w:pPr>
            <w:r w:rsidRPr="00B612DB">
              <w:rPr>
                <w:b/>
              </w:rPr>
              <w:t>Keterangan</w:t>
            </w:r>
          </w:p>
        </w:tc>
      </w:tr>
      <w:tr w:rsidR="00B612DB" w:rsidRPr="00B612DB" w14:paraId="1AF69A99" w14:textId="77777777" w:rsidTr="00BB2410">
        <w:tc>
          <w:tcPr>
            <w:tcW w:w="2985" w:type="pct"/>
            <w:tcBorders>
              <w:top w:val="single" w:sz="4" w:space="0" w:color="auto"/>
            </w:tcBorders>
          </w:tcPr>
          <w:p w14:paraId="7E043781" w14:textId="77777777" w:rsidR="00B612DB" w:rsidRPr="00B612DB" w:rsidRDefault="00B612DB" w:rsidP="00B612DB">
            <w:pPr>
              <w:jc w:val="both"/>
            </w:pPr>
            <w:r w:rsidRPr="00B612DB">
              <w:t>Kemauan Membayar Pajak</w:t>
            </w:r>
          </w:p>
        </w:tc>
        <w:tc>
          <w:tcPr>
            <w:tcW w:w="717" w:type="pct"/>
            <w:tcBorders>
              <w:top w:val="single" w:sz="4" w:space="0" w:color="auto"/>
            </w:tcBorders>
            <w:vAlign w:val="center"/>
          </w:tcPr>
          <w:p w14:paraId="02D24DAC" w14:textId="77777777" w:rsidR="00B612DB" w:rsidRPr="00B612DB" w:rsidRDefault="00B612DB" w:rsidP="00B612DB">
            <w:pPr>
              <w:jc w:val="center"/>
            </w:pPr>
            <w:r w:rsidRPr="00B612DB">
              <w:t>0,053</w:t>
            </w:r>
          </w:p>
        </w:tc>
        <w:tc>
          <w:tcPr>
            <w:tcW w:w="1299" w:type="pct"/>
            <w:tcBorders>
              <w:top w:val="single" w:sz="4" w:space="0" w:color="auto"/>
            </w:tcBorders>
            <w:vAlign w:val="center"/>
          </w:tcPr>
          <w:p w14:paraId="58FA720F" w14:textId="77777777" w:rsidR="00B612DB" w:rsidRPr="00B612DB" w:rsidRDefault="00B612DB" w:rsidP="00B612DB">
            <w:pPr>
              <w:adjustRightInd w:val="0"/>
              <w:jc w:val="center"/>
            </w:pPr>
            <w:r w:rsidRPr="00B612DB">
              <w:t xml:space="preserve">Normal </w:t>
            </w:r>
          </w:p>
        </w:tc>
      </w:tr>
      <w:tr w:rsidR="00B612DB" w:rsidRPr="00B612DB" w14:paraId="52922195" w14:textId="77777777" w:rsidTr="00BB2410">
        <w:trPr>
          <w:trHeight w:val="275"/>
        </w:trPr>
        <w:tc>
          <w:tcPr>
            <w:tcW w:w="2985" w:type="pct"/>
          </w:tcPr>
          <w:p w14:paraId="01958E57" w14:textId="28A0E71E" w:rsidR="00B612DB" w:rsidRPr="00B612DB" w:rsidRDefault="0091515B" w:rsidP="00B612DB">
            <w:pPr>
              <w:jc w:val="both"/>
            </w:pPr>
            <w:r>
              <w:rPr>
                <w:lang w:val="id-ID"/>
              </w:rPr>
              <w:t xml:space="preserve">Kemauan </w:t>
            </w:r>
            <w:r w:rsidR="00B612DB" w:rsidRPr="00B612DB">
              <w:t>Membayar Pajak</w:t>
            </w:r>
          </w:p>
        </w:tc>
        <w:tc>
          <w:tcPr>
            <w:tcW w:w="717" w:type="pct"/>
            <w:vAlign w:val="center"/>
          </w:tcPr>
          <w:p w14:paraId="61826044" w14:textId="77777777" w:rsidR="00B612DB" w:rsidRPr="00B612DB" w:rsidRDefault="00B612DB" w:rsidP="00B612DB">
            <w:pPr>
              <w:jc w:val="center"/>
            </w:pPr>
            <w:r w:rsidRPr="00B612DB">
              <w:t>0,061</w:t>
            </w:r>
          </w:p>
        </w:tc>
        <w:tc>
          <w:tcPr>
            <w:tcW w:w="1299" w:type="pct"/>
          </w:tcPr>
          <w:p w14:paraId="61B4078A" w14:textId="77777777" w:rsidR="00B612DB" w:rsidRPr="00B612DB" w:rsidRDefault="00B612DB" w:rsidP="00B612DB">
            <w:pPr>
              <w:jc w:val="center"/>
            </w:pPr>
            <w:r w:rsidRPr="00B612DB">
              <w:t>Normal</w:t>
            </w:r>
          </w:p>
        </w:tc>
      </w:tr>
      <w:tr w:rsidR="00B612DB" w:rsidRPr="00B612DB" w14:paraId="0F5C07F1" w14:textId="77777777" w:rsidTr="00BB2410">
        <w:trPr>
          <w:trHeight w:val="275"/>
        </w:trPr>
        <w:tc>
          <w:tcPr>
            <w:tcW w:w="2985" w:type="pct"/>
          </w:tcPr>
          <w:p w14:paraId="4B1F32E9" w14:textId="50CBAD55" w:rsidR="00B612DB" w:rsidRPr="0091515B" w:rsidRDefault="0091515B" w:rsidP="0091515B">
            <w:pPr>
              <w:jc w:val="both"/>
              <w:rPr>
                <w:lang w:val="id-ID"/>
              </w:rPr>
            </w:pPr>
            <w:r>
              <w:rPr>
                <w:lang w:val="id-ID"/>
              </w:rPr>
              <w:t xml:space="preserve">Pandangan </w:t>
            </w:r>
            <w:r w:rsidR="00B612DB" w:rsidRPr="00B612DB">
              <w:t xml:space="preserve">Atas Efektivitas </w:t>
            </w:r>
            <w:r>
              <w:rPr>
                <w:lang w:val="id-ID"/>
              </w:rPr>
              <w:t>System Pajak</w:t>
            </w:r>
          </w:p>
        </w:tc>
        <w:tc>
          <w:tcPr>
            <w:tcW w:w="717" w:type="pct"/>
            <w:vAlign w:val="center"/>
          </w:tcPr>
          <w:p w14:paraId="06F0F010" w14:textId="77777777" w:rsidR="00B612DB" w:rsidRPr="00B612DB" w:rsidRDefault="00B612DB" w:rsidP="00B612DB">
            <w:pPr>
              <w:jc w:val="center"/>
            </w:pPr>
            <w:r w:rsidRPr="00B612DB">
              <w:t>0,200</w:t>
            </w:r>
          </w:p>
        </w:tc>
        <w:tc>
          <w:tcPr>
            <w:tcW w:w="1299" w:type="pct"/>
          </w:tcPr>
          <w:p w14:paraId="64363A00" w14:textId="77777777" w:rsidR="00B612DB" w:rsidRPr="00B612DB" w:rsidRDefault="00B612DB" w:rsidP="00B612DB">
            <w:pPr>
              <w:jc w:val="center"/>
            </w:pPr>
            <w:r w:rsidRPr="00B612DB">
              <w:t>Normal</w:t>
            </w:r>
          </w:p>
        </w:tc>
      </w:tr>
      <w:tr w:rsidR="00B612DB" w:rsidRPr="00B612DB" w14:paraId="6A3ED5AC" w14:textId="77777777" w:rsidTr="00BB2410">
        <w:trPr>
          <w:trHeight w:val="275"/>
        </w:trPr>
        <w:tc>
          <w:tcPr>
            <w:tcW w:w="2985" w:type="pct"/>
            <w:tcBorders>
              <w:bottom w:val="single" w:sz="4" w:space="0" w:color="auto"/>
            </w:tcBorders>
          </w:tcPr>
          <w:p w14:paraId="58A95847" w14:textId="498CF715" w:rsidR="00B612DB" w:rsidRPr="00B612DB" w:rsidRDefault="0091515B" w:rsidP="0091515B">
            <w:pPr>
              <w:jc w:val="both"/>
            </w:pPr>
            <w:r>
              <w:rPr>
                <w:lang w:val="id-ID"/>
              </w:rPr>
              <w:t xml:space="preserve">Mengerti terkait </w:t>
            </w:r>
            <w:r w:rsidR="00B612DB" w:rsidRPr="00B612DB">
              <w:t xml:space="preserve">Peraturan Pemerintah </w:t>
            </w:r>
            <w:r>
              <w:rPr>
                <w:lang w:val="id-ID"/>
              </w:rPr>
              <w:t xml:space="preserve">No. </w:t>
            </w:r>
            <w:r w:rsidR="00B612DB" w:rsidRPr="00B612DB">
              <w:t>23 Tahun 2018</w:t>
            </w:r>
          </w:p>
        </w:tc>
        <w:tc>
          <w:tcPr>
            <w:tcW w:w="717" w:type="pct"/>
            <w:tcBorders>
              <w:bottom w:val="single" w:sz="4" w:space="0" w:color="auto"/>
            </w:tcBorders>
            <w:vAlign w:val="center"/>
          </w:tcPr>
          <w:p w14:paraId="73AC90AE" w14:textId="77777777" w:rsidR="00B612DB" w:rsidRPr="00B612DB" w:rsidRDefault="00B612DB" w:rsidP="00B612DB">
            <w:pPr>
              <w:jc w:val="center"/>
            </w:pPr>
            <w:r w:rsidRPr="00B612DB">
              <w:t>0,059</w:t>
            </w:r>
          </w:p>
        </w:tc>
        <w:tc>
          <w:tcPr>
            <w:tcW w:w="1299" w:type="pct"/>
            <w:tcBorders>
              <w:bottom w:val="single" w:sz="4" w:space="0" w:color="auto"/>
            </w:tcBorders>
          </w:tcPr>
          <w:p w14:paraId="3E374AD6" w14:textId="77777777" w:rsidR="00B612DB" w:rsidRPr="00B612DB" w:rsidRDefault="00B612DB" w:rsidP="00B612DB">
            <w:pPr>
              <w:jc w:val="center"/>
            </w:pPr>
            <w:r w:rsidRPr="00B612DB">
              <w:t>Normal</w:t>
            </w:r>
          </w:p>
        </w:tc>
      </w:tr>
    </w:tbl>
    <w:p w14:paraId="6FCAA40D" w14:textId="2D217C18" w:rsidR="00B612DB" w:rsidRPr="00B612DB" w:rsidRDefault="0091515B" w:rsidP="00B612DB">
      <w:pPr>
        <w:tabs>
          <w:tab w:val="left" w:pos="567"/>
        </w:tabs>
        <w:ind w:firstLine="567"/>
        <w:jc w:val="both"/>
        <w:rPr>
          <w:rFonts w:eastAsia="Calibri"/>
          <w:lang w:val="x-none"/>
        </w:rPr>
      </w:pPr>
      <w:r>
        <w:rPr>
          <w:rFonts w:eastAsia="Calibri"/>
          <w:lang w:val="id-ID"/>
        </w:rPr>
        <w:t xml:space="preserve">Output </w:t>
      </w:r>
      <w:r w:rsidR="00B612DB" w:rsidRPr="00B612DB">
        <w:rPr>
          <w:rFonts w:eastAsia="Calibri"/>
          <w:lang w:val="x-none"/>
        </w:rPr>
        <w:t xml:space="preserve">uji </w:t>
      </w:r>
      <w:r>
        <w:rPr>
          <w:rFonts w:eastAsia="Calibri"/>
          <w:lang w:val="id-ID"/>
        </w:rPr>
        <w:t xml:space="preserve">ini menampakkan </w:t>
      </w:r>
      <w:r w:rsidR="00B612DB" w:rsidRPr="00B612DB">
        <w:rPr>
          <w:rFonts w:eastAsia="Calibri"/>
          <w:lang w:val="x-none"/>
        </w:rPr>
        <w:t xml:space="preserve">bahwa </w:t>
      </w:r>
      <w:r w:rsidR="00B612DB" w:rsidRPr="00B612DB">
        <w:rPr>
          <w:rFonts w:eastAsia="Calibri"/>
        </w:rPr>
        <w:t>nilai residual</w:t>
      </w:r>
      <w:r w:rsidR="00B612DB" w:rsidRPr="00B612DB">
        <w:rPr>
          <w:rFonts w:eastAsia="Calibri"/>
          <w:lang w:val="x-none"/>
        </w:rPr>
        <w:t xml:space="preserve"> </w:t>
      </w:r>
      <w:r>
        <w:rPr>
          <w:rFonts w:eastAsia="Calibri"/>
          <w:lang w:val="id-ID"/>
        </w:rPr>
        <w:t xml:space="preserve">eksplorasi memiliki </w:t>
      </w:r>
      <w:r>
        <w:rPr>
          <w:rFonts w:eastAsia="Calibri"/>
          <w:lang w:val="x-none"/>
        </w:rPr>
        <w:t>nilai signifikan</w:t>
      </w:r>
      <w:r w:rsidR="00B612DB" w:rsidRPr="00B612DB">
        <w:rPr>
          <w:rFonts w:eastAsia="Calibri"/>
          <w:lang w:val="x-none"/>
        </w:rPr>
        <w:t xml:space="preserve"> </w:t>
      </w:r>
      <w:r>
        <w:rPr>
          <w:rFonts w:eastAsia="Calibri"/>
          <w:lang w:val="id-ID"/>
        </w:rPr>
        <w:t xml:space="preserve">melebihi </w:t>
      </w:r>
      <w:r w:rsidR="00B612DB" w:rsidRPr="00B612DB">
        <w:rPr>
          <w:rFonts w:eastAsia="Calibri"/>
          <w:lang w:val="x-none"/>
        </w:rPr>
        <w:t>0,05</w:t>
      </w:r>
      <w:r w:rsidR="00B612DB" w:rsidRPr="00B612DB">
        <w:rPr>
          <w:rFonts w:eastAsia="Calibri"/>
        </w:rPr>
        <w:t xml:space="preserve">; </w:t>
      </w:r>
      <w:r>
        <w:rPr>
          <w:rFonts w:eastAsia="Calibri"/>
          <w:lang w:val="id-ID"/>
        </w:rPr>
        <w:t xml:space="preserve">maknanya </w:t>
      </w:r>
      <w:r w:rsidR="00B612DB" w:rsidRPr="00B612DB">
        <w:rPr>
          <w:rFonts w:eastAsia="Calibri"/>
          <w:lang w:val="x-none"/>
        </w:rPr>
        <w:t xml:space="preserve">bahwa data </w:t>
      </w:r>
      <w:r>
        <w:rPr>
          <w:rFonts w:eastAsia="Calibri"/>
          <w:lang w:val="id-ID"/>
        </w:rPr>
        <w:t xml:space="preserve">eksplorasi terdistribusi </w:t>
      </w:r>
      <w:r w:rsidR="00B612DB" w:rsidRPr="00B612DB">
        <w:rPr>
          <w:rFonts w:eastAsia="Calibri"/>
          <w:lang w:val="x-none"/>
        </w:rPr>
        <w:t>normal.</w:t>
      </w:r>
    </w:p>
    <w:p w14:paraId="4C047D69" w14:textId="77777777" w:rsidR="00B612DB" w:rsidRPr="00B612DB" w:rsidRDefault="00B612DB" w:rsidP="00B612DB">
      <w:pPr>
        <w:keepNext/>
        <w:widowControl/>
        <w:autoSpaceDE/>
        <w:autoSpaceDN/>
        <w:outlineLvl w:val="2"/>
        <w:rPr>
          <w:b/>
          <w:bCs/>
        </w:rPr>
      </w:pPr>
      <w:r w:rsidRPr="00B612DB">
        <w:rPr>
          <w:b/>
          <w:bCs/>
          <w:iCs/>
          <w:lang w:val="x-none"/>
        </w:rPr>
        <w:t>Uji</w:t>
      </w:r>
      <w:r w:rsidRPr="00B612DB">
        <w:rPr>
          <w:b/>
          <w:bCs/>
        </w:rPr>
        <w:t xml:space="preserve"> </w:t>
      </w:r>
      <w:r w:rsidRPr="00B612DB">
        <w:rPr>
          <w:b/>
          <w:bCs/>
          <w:iCs/>
          <w:lang w:val="x-none"/>
        </w:rPr>
        <w:t>Linieritas</w:t>
      </w:r>
    </w:p>
    <w:p w14:paraId="73E3EDD7" w14:textId="058A0A0D" w:rsidR="00B612DB" w:rsidRPr="00B612DB" w:rsidRDefault="00B612DB" w:rsidP="00B612DB">
      <w:pPr>
        <w:jc w:val="center"/>
        <w:rPr>
          <w:b/>
          <w:bCs/>
        </w:rPr>
      </w:pPr>
      <w:bookmarkStart w:id="5" w:name="OLE_LINK2"/>
      <w:bookmarkStart w:id="6" w:name="OLE_LINK3"/>
      <w:proofErr w:type="gramStart"/>
      <w:r w:rsidRPr="00B612DB">
        <w:rPr>
          <w:b/>
          <w:bCs/>
        </w:rPr>
        <w:t xml:space="preserve">Tabel </w:t>
      </w:r>
      <w:r w:rsidR="00DB4165">
        <w:rPr>
          <w:b/>
          <w:bCs/>
        </w:rPr>
        <w:t>6</w:t>
      </w:r>
      <w:r w:rsidRPr="00B612DB">
        <w:rPr>
          <w:b/>
          <w:bCs/>
        </w:rPr>
        <w:t>.</w:t>
      </w:r>
      <w:proofErr w:type="gramEnd"/>
      <w:r w:rsidRPr="00B612DB">
        <w:rPr>
          <w:b/>
          <w:bCs/>
        </w:rPr>
        <w:t xml:space="preserve"> Hasil Uji Linieritas</w:t>
      </w:r>
    </w:p>
    <w:tbl>
      <w:tblPr>
        <w:tblW w:w="5371" w:type="pct"/>
        <w:tblLook w:val="01E0" w:firstRow="1" w:lastRow="1" w:firstColumn="1" w:lastColumn="1" w:noHBand="0" w:noVBand="0"/>
      </w:tblPr>
      <w:tblGrid>
        <w:gridCol w:w="5663"/>
        <w:gridCol w:w="1864"/>
        <w:gridCol w:w="2401"/>
      </w:tblGrid>
      <w:tr w:rsidR="00B612DB" w:rsidRPr="00B612DB" w14:paraId="1A00DBAB" w14:textId="77777777" w:rsidTr="0091515B">
        <w:tc>
          <w:tcPr>
            <w:tcW w:w="2852" w:type="pct"/>
            <w:tcBorders>
              <w:top w:val="single" w:sz="4" w:space="0" w:color="auto"/>
              <w:bottom w:val="single" w:sz="4" w:space="0" w:color="auto"/>
            </w:tcBorders>
          </w:tcPr>
          <w:p w14:paraId="0A283C7B" w14:textId="77777777" w:rsidR="00B612DB" w:rsidRPr="00B612DB" w:rsidRDefault="00B612DB" w:rsidP="00B612DB">
            <w:pPr>
              <w:adjustRightInd w:val="0"/>
              <w:jc w:val="center"/>
              <w:rPr>
                <w:b/>
              </w:rPr>
            </w:pPr>
            <w:r w:rsidRPr="00B612DB">
              <w:rPr>
                <w:b/>
              </w:rPr>
              <w:t xml:space="preserve">Variabel </w:t>
            </w:r>
          </w:p>
        </w:tc>
        <w:tc>
          <w:tcPr>
            <w:tcW w:w="939" w:type="pct"/>
            <w:tcBorders>
              <w:top w:val="single" w:sz="4" w:space="0" w:color="auto"/>
              <w:bottom w:val="single" w:sz="4" w:space="0" w:color="auto"/>
            </w:tcBorders>
          </w:tcPr>
          <w:p w14:paraId="44A4F966" w14:textId="77777777" w:rsidR="00B612DB" w:rsidRPr="00B612DB" w:rsidRDefault="00B612DB" w:rsidP="00B612DB">
            <w:pPr>
              <w:jc w:val="center"/>
              <w:rPr>
                <w:b/>
              </w:rPr>
            </w:pPr>
            <w:r w:rsidRPr="00B612DB">
              <w:rPr>
                <w:b/>
              </w:rPr>
              <w:t xml:space="preserve">Signifikansi </w:t>
            </w:r>
          </w:p>
        </w:tc>
        <w:tc>
          <w:tcPr>
            <w:tcW w:w="1209" w:type="pct"/>
            <w:tcBorders>
              <w:top w:val="single" w:sz="4" w:space="0" w:color="auto"/>
              <w:bottom w:val="single" w:sz="4" w:space="0" w:color="auto"/>
            </w:tcBorders>
          </w:tcPr>
          <w:p w14:paraId="0800992C" w14:textId="77777777" w:rsidR="00B612DB" w:rsidRPr="00B612DB" w:rsidRDefault="00B612DB" w:rsidP="00B612DB">
            <w:pPr>
              <w:ind w:left="-108"/>
              <w:jc w:val="center"/>
              <w:rPr>
                <w:b/>
              </w:rPr>
            </w:pPr>
            <w:r w:rsidRPr="00B612DB">
              <w:rPr>
                <w:b/>
              </w:rPr>
              <w:t>Keterangan</w:t>
            </w:r>
          </w:p>
        </w:tc>
      </w:tr>
      <w:tr w:rsidR="00B612DB" w:rsidRPr="00B612DB" w14:paraId="66E5316A" w14:textId="77777777" w:rsidTr="0091515B">
        <w:tc>
          <w:tcPr>
            <w:tcW w:w="2852" w:type="pct"/>
            <w:tcBorders>
              <w:top w:val="single" w:sz="4" w:space="0" w:color="auto"/>
            </w:tcBorders>
          </w:tcPr>
          <w:p w14:paraId="2DF7E8D1" w14:textId="77777777" w:rsidR="00B612DB" w:rsidRPr="00B612DB" w:rsidRDefault="00B612DB" w:rsidP="00B612DB">
            <w:pPr>
              <w:jc w:val="both"/>
            </w:pPr>
            <w:r w:rsidRPr="00B612DB">
              <w:t>Kesadaran Membayar Pajak</w:t>
            </w:r>
          </w:p>
        </w:tc>
        <w:tc>
          <w:tcPr>
            <w:tcW w:w="939" w:type="pct"/>
            <w:tcBorders>
              <w:top w:val="single" w:sz="4" w:space="0" w:color="auto"/>
            </w:tcBorders>
            <w:vAlign w:val="center"/>
          </w:tcPr>
          <w:p w14:paraId="1AAB6E86" w14:textId="77777777" w:rsidR="00B612DB" w:rsidRPr="00B612DB" w:rsidRDefault="00B612DB" w:rsidP="00B612DB">
            <w:pPr>
              <w:jc w:val="center"/>
            </w:pPr>
            <w:r w:rsidRPr="00B612DB">
              <w:t>0,053</w:t>
            </w:r>
          </w:p>
        </w:tc>
        <w:tc>
          <w:tcPr>
            <w:tcW w:w="1209" w:type="pct"/>
            <w:tcBorders>
              <w:top w:val="single" w:sz="4" w:space="0" w:color="auto"/>
            </w:tcBorders>
            <w:vAlign w:val="center"/>
          </w:tcPr>
          <w:p w14:paraId="3DBBC0EE" w14:textId="77777777" w:rsidR="00B612DB" w:rsidRPr="00B612DB" w:rsidRDefault="00B612DB" w:rsidP="00B612DB">
            <w:pPr>
              <w:adjustRightInd w:val="0"/>
              <w:jc w:val="center"/>
            </w:pPr>
            <w:r w:rsidRPr="00B612DB">
              <w:t xml:space="preserve">Linier </w:t>
            </w:r>
          </w:p>
        </w:tc>
      </w:tr>
      <w:tr w:rsidR="00B612DB" w:rsidRPr="00B612DB" w14:paraId="41C8170A" w14:textId="77777777" w:rsidTr="0091515B">
        <w:trPr>
          <w:trHeight w:val="275"/>
        </w:trPr>
        <w:tc>
          <w:tcPr>
            <w:tcW w:w="2852" w:type="pct"/>
          </w:tcPr>
          <w:p w14:paraId="01A5B03D" w14:textId="7588FB89" w:rsidR="00B612DB" w:rsidRPr="00B612DB" w:rsidRDefault="0091515B" w:rsidP="00B612DB">
            <w:pPr>
              <w:jc w:val="both"/>
            </w:pPr>
            <w:r>
              <w:rPr>
                <w:lang w:val="id-ID"/>
              </w:rPr>
              <w:t xml:space="preserve">Pandangan </w:t>
            </w:r>
            <w:r w:rsidRPr="00B612DB">
              <w:t xml:space="preserve">Atas Efektivitas </w:t>
            </w:r>
            <w:r>
              <w:rPr>
                <w:lang w:val="id-ID"/>
              </w:rPr>
              <w:t>System Pajak</w:t>
            </w:r>
          </w:p>
        </w:tc>
        <w:tc>
          <w:tcPr>
            <w:tcW w:w="939" w:type="pct"/>
            <w:vAlign w:val="center"/>
          </w:tcPr>
          <w:p w14:paraId="4C66C9E2" w14:textId="77777777" w:rsidR="00B612DB" w:rsidRPr="00B612DB" w:rsidRDefault="00B612DB" w:rsidP="00B612DB">
            <w:pPr>
              <w:jc w:val="center"/>
            </w:pPr>
            <w:r w:rsidRPr="00B612DB">
              <w:t>0,074</w:t>
            </w:r>
          </w:p>
        </w:tc>
        <w:tc>
          <w:tcPr>
            <w:tcW w:w="1209" w:type="pct"/>
            <w:vAlign w:val="center"/>
          </w:tcPr>
          <w:p w14:paraId="1E5BC603" w14:textId="77777777" w:rsidR="00B612DB" w:rsidRPr="00B612DB" w:rsidRDefault="00B612DB" w:rsidP="00B612DB">
            <w:pPr>
              <w:jc w:val="center"/>
            </w:pPr>
            <w:r w:rsidRPr="00B612DB">
              <w:t>Linier</w:t>
            </w:r>
          </w:p>
        </w:tc>
      </w:tr>
      <w:tr w:rsidR="0091515B" w:rsidRPr="00B612DB" w14:paraId="224F3341" w14:textId="77777777" w:rsidTr="0091515B">
        <w:trPr>
          <w:trHeight w:val="275"/>
        </w:trPr>
        <w:tc>
          <w:tcPr>
            <w:tcW w:w="2852" w:type="pct"/>
            <w:tcBorders>
              <w:bottom w:val="single" w:sz="4" w:space="0" w:color="auto"/>
            </w:tcBorders>
          </w:tcPr>
          <w:p w14:paraId="3428AC15" w14:textId="709B2F10" w:rsidR="0091515B" w:rsidRPr="00B612DB" w:rsidRDefault="0091515B" w:rsidP="00B612DB">
            <w:pPr>
              <w:jc w:val="both"/>
            </w:pPr>
            <w:r>
              <w:rPr>
                <w:lang w:val="id-ID"/>
              </w:rPr>
              <w:t xml:space="preserve">Mengerti terkait </w:t>
            </w:r>
            <w:r w:rsidRPr="00B612DB">
              <w:t xml:space="preserve">Peraturan Pemerintah </w:t>
            </w:r>
            <w:r>
              <w:rPr>
                <w:lang w:val="id-ID"/>
              </w:rPr>
              <w:t xml:space="preserve">No. </w:t>
            </w:r>
            <w:r w:rsidRPr="00B612DB">
              <w:t>23 Tahun 2018</w:t>
            </w:r>
          </w:p>
        </w:tc>
        <w:tc>
          <w:tcPr>
            <w:tcW w:w="939" w:type="pct"/>
            <w:tcBorders>
              <w:bottom w:val="single" w:sz="4" w:space="0" w:color="auto"/>
            </w:tcBorders>
            <w:vAlign w:val="center"/>
          </w:tcPr>
          <w:p w14:paraId="175E661E" w14:textId="77777777" w:rsidR="0091515B" w:rsidRPr="00B612DB" w:rsidRDefault="0091515B" w:rsidP="00B612DB">
            <w:pPr>
              <w:jc w:val="center"/>
            </w:pPr>
            <w:r w:rsidRPr="00B612DB">
              <w:t>0,327</w:t>
            </w:r>
          </w:p>
        </w:tc>
        <w:tc>
          <w:tcPr>
            <w:tcW w:w="1209" w:type="pct"/>
            <w:tcBorders>
              <w:bottom w:val="single" w:sz="4" w:space="0" w:color="auto"/>
            </w:tcBorders>
            <w:vAlign w:val="center"/>
          </w:tcPr>
          <w:p w14:paraId="1B804120" w14:textId="77777777" w:rsidR="0091515B" w:rsidRPr="00B612DB" w:rsidRDefault="0091515B" w:rsidP="00B612DB">
            <w:pPr>
              <w:jc w:val="center"/>
            </w:pPr>
            <w:r w:rsidRPr="00B612DB">
              <w:t>Linier</w:t>
            </w:r>
          </w:p>
        </w:tc>
      </w:tr>
    </w:tbl>
    <w:p w14:paraId="42149F81" w14:textId="1BD2EA9B" w:rsidR="00B612DB" w:rsidRPr="00B612DB" w:rsidRDefault="0091515B" w:rsidP="00BA7EF3">
      <w:pPr>
        <w:tabs>
          <w:tab w:val="left" w:pos="567"/>
        </w:tabs>
        <w:ind w:firstLine="567"/>
        <w:jc w:val="both"/>
      </w:pPr>
      <w:r>
        <w:rPr>
          <w:lang w:val="id-ID"/>
        </w:rPr>
        <w:t xml:space="preserve">Capaian </w:t>
      </w:r>
      <w:r w:rsidR="00B612DB" w:rsidRPr="00B612DB">
        <w:t xml:space="preserve">uji </w:t>
      </w:r>
      <w:r>
        <w:rPr>
          <w:lang w:val="id-ID"/>
        </w:rPr>
        <w:t xml:space="preserve">ini </w:t>
      </w:r>
      <w:r>
        <w:t>pada tabel di</w:t>
      </w:r>
      <w:r w:rsidR="00B612DB" w:rsidRPr="00B612DB">
        <w:t xml:space="preserve">atas </w:t>
      </w:r>
      <w:r>
        <w:rPr>
          <w:lang w:val="id-ID"/>
        </w:rPr>
        <w:t xml:space="preserve">bisa dipahami </w:t>
      </w:r>
      <w:r w:rsidR="00B612DB" w:rsidRPr="00B612DB">
        <w:t xml:space="preserve">bahwa </w:t>
      </w:r>
      <w:r>
        <w:rPr>
          <w:lang w:val="id-ID"/>
        </w:rPr>
        <w:t xml:space="preserve">seluruh </w:t>
      </w:r>
      <w:r w:rsidR="00B612DB" w:rsidRPr="00B612DB">
        <w:t xml:space="preserve">variabel </w:t>
      </w:r>
      <w:r>
        <w:rPr>
          <w:lang w:val="id-ID"/>
        </w:rPr>
        <w:t xml:space="preserve">mempunyai </w:t>
      </w:r>
      <w:r>
        <w:t>nilai signifikan</w:t>
      </w:r>
      <w:r w:rsidR="00B612DB" w:rsidRPr="00B612DB">
        <w:t xml:space="preserve"> </w:t>
      </w:r>
      <w:r>
        <w:rPr>
          <w:lang w:val="id-ID"/>
        </w:rPr>
        <w:t xml:space="preserve">melebihi </w:t>
      </w:r>
      <w:r w:rsidR="00B612DB" w:rsidRPr="00B612DB">
        <w:t xml:space="preserve">0,05 (sig&gt;0,05), </w:t>
      </w:r>
      <w:r>
        <w:rPr>
          <w:lang w:val="id-ID"/>
        </w:rPr>
        <w:t xml:space="preserve">perihal </w:t>
      </w:r>
      <w:r w:rsidR="00B612DB" w:rsidRPr="00B612DB">
        <w:t xml:space="preserve">ini </w:t>
      </w:r>
      <w:r>
        <w:rPr>
          <w:lang w:val="id-ID"/>
        </w:rPr>
        <w:t xml:space="preserve">menampakkan </w:t>
      </w:r>
      <w:r w:rsidR="00B612DB" w:rsidRPr="00B612DB">
        <w:t xml:space="preserve">bahwa </w:t>
      </w:r>
      <w:r>
        <w:rPr>
          <w:lang w:val="id-ID"/>
        </w:rPr>
        <w:t xml:space="preserve">seluruh </w:t>
      </w:r>
      <w:r w:rsidR="00B612DB" w:rsidRPr="00B612DB">
        <w:t xml:space="preserve">variabel </w:t>
      </w:r>
      <w:r>
        <w:rPr>
          <w:lang w:val="id-ID"/>
        </w:rPr>
        <w:t xml:space="preserve">eksplorasi ialah </w:t>
      </w:r>
      <w:r w:rsidR="00B612DB" w:rsidRPr="00B612DB">
        <w:t>linier.</w:t>
      </w:r>
    </w:p>
    <w:bookmarkEnd w:id="5"/>
    <w:bookmarkEnd w:id="6"/>
    <w:p w14:paraId="779CAAF1" w14:textId="77777777" w:rsidR="00B612DB" w:rsidRPr="00B612DB" w:rsidRDefault="00B612DB" w:rsidP="00BA7EF3">
      <w:pPr>
        <w:keepNext/>
        <w:widowControl/>
        <w:autoSpaceDE/>
        <w:autoSpaceDN/>
        <w:outlineLvl w:val="2"/>
        <w:rPr>
          <w:b/>
          <w:bCs/>
          <w:iCs/>
          <w:lang w:val="es-ES_tradnl"/>
        </w:rPr>
      </w:pPr>
      <w:r w:rsidRPr="00B612DB">
        <w:rPr>
          <w:b/>
          <w:iCs/>
          <w:lang w:val="x-none"/>
        </w:rPr>
        <w:t>Uji</w:t>
      </w:r>
      <w:r w:rsidRPr="00B612DB">
        <w:rPr>
          <w:b/>
          <w:bCs/>
          <w:iCs/>
          <w:lang w:val="es-ES_tradnl"/>
        </w:rPr>
        <w:t xml:space="preserve"> </w:t>
      </w:r>
      <w:r w:rsidRPr="00B612DB">
        <w:rPr>
          <w:b/>
          <w:bCs/>
        </w:rPr>
        <w:t>Multikolinieritas</w:t>
      </w:r>
    </w:p>
    <w:p w14:paraId="5056D32A" w14:textId="5BAEC8CF" w:rsidR="00B612DB" w:rsidRPr="0091515B" w:rsidRDefault="0091515B" w:rsidP="00BA7EF3">
      <w:pPr>
        <w:tabs>
          <w:tab w:val="left" w:pos="567"/>
        </w:tabs>
        <w:ind w:firstLine="567"/>
        <w:jc w:val="both"/>
        <w:rPr>
          <w:rFonts w:eastAsia="Calibri"/>
          <w:lang w:val="id-ID"/>
        </w:rPr>
      </w:pPr>
      <w:r>
        <w:rPr>
          <w:rFonts w:eastAsia="Calibri"/>
          <w:lang w:val="id-ID"/>
        </w:rPr>
        <w:t xml:space="preserve">Capaian </w:t>
      </w:r>
      <w:r w:rsidR="00B612DB" w:rsidRPr="00B612DB">
        <w:rPr>
          <w:rFonts w:eastAsia="Calibri"/>
          <w:lang w:val="x-none"/>
        </w:rPr>
        <w:t xml:space="preserve">uji </w:t>
      </w:r>
      <w:r>
        <w:rPr>
          <w:rFonts w:eastAsia="Calibri"/>
          <w:lang w:val="id-ID"/>
        </w:rPr>
        <w:t xml:space="preserve">ini pada </w:t>
      </w:r>
      <w:r w:rsidR="00B612DB" w:rsidRPr="00B612DB">
        <w:rPr>
          <w:rFonts w:eastAsia="Calibri"/>
          <w:lang w:val="x-none"/>
        </w:rPr>
        <w:t xml:space="preserve">model regresi </w:t>
      </w:r>
      <w:r>
        <w:rPr>
          <w:rFonts w:eastAsia="Calibri"/>
          <w:lang w:val="id-ID"/>
        </w:rPr>
        <w:t xml:space="preserve">dieksplorasi </w:t>
      </w:r>
      <w:r w:rsidR="00B612DB" w:rsidRPr="00B612DB">
        <w:rPr>
          <w:rFonts w:eastAsia="Calibri"/>
          <w:lang w:val="x-none"/>
        </w:rPr>
        <w:t xml:space="preserve">ini </w:t>
      </w:r>
      <w:r>
        <w:rPr>
          <w:rFonts w:eastAsia="Calibri"/>
          <w:lang w:val="id-ID"/>
        </w:rPr>
        <w:t xml:space="preserve">ditampakkan </w:t>
      </w:r>
      <w:r w:rsidR="00B612DB" w:rsidRPr="00B612DB">
        <w:rPr>
          <w:rFonts w:eastAsia="Calibri"/>
          <w:lang w:val="x-none"/>
        </w:rPr>
        <w:t xml:space="preserve">pada tabel </w:t>
      </w:r>
      <w:r>
        <w:rPr>
          <w:rFonts w:eastAsia="Calibri"/>
          <w:lang w:val="id-ID"/>
        </w:rPr>
        <w:t>berikut:</w:t>
      </w:r>
    </w:p>
    <w:p w14:paraId="2DEFD697" w14:textId="555E57BB" w:rsidR="00B612DB" w:rsidRPr="00B612DB" w:rsidRDefault="00B612DB" w:rsidP="00B612DB">
      <w:pPr>
        <w:ind w:left="540"/>
        <w:jc w:val="center"/>
        <w:rPr>
          <w:rFonts w:eastAsia="Calibri"/>
          <w:b/>
          <w:bCs/>
          <w:noProof/>
        </w:rPr>
      </w:pPr>
      <w:r w:rsidRPr="00B612DB">
        <w:rPr>
          <w:rFonts w:eastAsia="Calibri"/>
          <w:b/>
          <w:bCs/>
          <w:noProof/>
        </w:rPr>
        <w:lastRenderedPageBreak/>
        <w:t xml:space="preserve">Tabel </w:t>
      </w:r>
      <w:r w:rsidR="00DB4165">
        <w:rPr>
          <w:rFonts w:eastAsia="Calibri"/>
          <w:b/>
          <w:bCs/>
          <w:noProof/>
        </w:rPr>
        <w:t>7</w:t>
      </w:r>
      <w:r w:rsidRPr="00B612DB">
        <w:rPr>
          <w:rFonts w:eastAsia="Calibri"/>
          <w:b/>
          <w:bCs/>
          <w:noProof/>
        </w:rPr>
        <w:t>. Hasil Uji Multikolinieritas</w:t>
      </w:r>
    </w:p>
    <w:tbl>
      <w:tblPr>
        <w:tblW w:w="5000" w:type="pct"/>
        <w:tblLook w:val="01E0" w:firstRow="1" w:lastRow="1" w:firstColumn="1" w:lastColumn="1" w:noHBand="0" w:noVBand="0"/>
      </w:tblPr>
      <w:tblGrid>
        <w:gridCol w:w="4346"/>
        <w:gridCol w:w="1606"/>
        <w:gridCol w:w="1018"/>
        <w:gridCol w:w="2272"/>
      </w:tblGrid>
      <w:tr w:rsidR="00BA7EF3" w:rsidRPr="00B612DB" w14:paraId="2828F20E" w14:textId="77777777" w:rsidTr="00BB2410">
        <w:tc>
          <w:tcPr>
            <w:tcW w:w="2351" w:type="pct"/>
            <w:tcBorders>
              <w:top w:val="single" w:sz="4" w:space="0" w:color="auto"/>
              <w:bottom w:val="single" w:sz="4" w:space="0" w:color="auto"/>
            </w:tcBorders>
          </w:tcPr>
          <w:p w14:paraId="65081AA5" w14:textId="77777777" w:rsidR="00B612DB" w:rsidRPr="00B612DB" w:rsidRDefault="00B612DB" w:rsidP="00B612DB">
            <w:pPr>
              <w:jc w:val="center"/>
              <w:rPr>
                <w:rFonts w:eastAsia="Calibri"/>
                <w:b/>
                <w:noProof/>
              </w:rPr>
            </w:pPr>
            <w:r w:rsidRPr="00B612DB">
              <w:rPr>
                <w:rFonts w:eastAsia="Calibri"/>
                <w:b/>
                <w:noProof/>
              </w:rPr>
              <w:t>Variabel</w:t>
            </w:r>
          </w:p>
        </w:tc>
        <w:tc>
          <w:tcPr>
            <w:tcW w:w="869" w:type="pct"/>
            <w:tcBorders>
              <w:top w:val="single" w:sz="4" w:space="0" w:color="auto"/>
              <w:bottom w:val="single" w:sz="4" w:space="0" w:color="auto"/>
            </w:tcBorders>
          </w:tcPr>
          <w:p w14:paraId="02F32A33" w14:textId="77777777" w:rsidR="00B612DB" w:rsidRPr="00B612DB" w:rsidRDefault="00B612DB" w:rsidP="00B612DB">
            <w:pPr>
              <w:jc w:val="center"/>
              <w:rPr>
                <w:rFonts w:eastAsia="Calibri"/>
                <w:b/>
                <w:i/>
                <w:iCs/>
                <w:noProof/>
                <w:lang w:val="nb-NO"/>
              </w:rPr>
            </w:pPr>
            <w:r w:rsidRPr="00B612DB">
              <w:rPr>
                <w:rFonts w:eastAsia="Calibri"/>
                <w:b/>
                <w:i/>
                <w:iCs/>
                <w:noProof/>
                <w:lang w:val="nb-NO"/>
              </w:rPr>
              <w:t>Tolerance</w:t>
            </w:r>
          </w:p>
        </w:tc>
        <w:tc>
          <w:tcPr>
            <w:tcW w:w="551" w:type="pct"/>
            <w:tcBorders>
              <w:top w:val="single" w:sz="4" w:space="0" w:color="auto"/>
              <w:bottom w:val="single" w:sz="4" w:space="0" w:color="auto"/>
            </w:tcBorders>
          </w:tcPr>
          <w:p w14:paraId="45A69C7A" w14:textId="77777777" w:rsidR="00B612DB" w:rsidRPr="00B612DB" w:rsidRDefault="00B612DB" w:rsidP="00B612DB">
            <w:pPr>
              <w:jc w:val="center"/>
              <w:rPr>
                <w:rFonts w:eastAsia="Calibri"/>
                <w:b/>
                <w:noProof/>
                <w:lang w:val="nb-NO"/>
              </w:rPr>
            </w:pPr>
            <w:r w:rsidRPr="00B612DB">
              <w:rPr>
                <w:rFonts w:eastAsia="Calibri"/>
                <w:b/>
                <w:noProof/>
                <w:lang w:val="nb-NO"/>
              </w:rPr>
              <w:t>VIF</w:t>
            </w:r>
          </w:p>
        </w:tc>
        <w:tc>
          <w:tcPr>
            <w:tcW w:w="1229" w:type="pct"/>
            <w:tcBorders>
              <w:top w:val="single" w:sz="4" w:space="0" w:color="auto"/>
              <w:bottom w:val="single" w:sz="4" w:space="0" w:color="auto"/>
            </w:tcBorders>
          </w:tcPr>
          <w:p w14:paraId="23CDC5C6" w14:textId="77777777" w:rsidR="00B612DB" w:rsidRPr="00B612DB" w:rsidRDefault="00B612DB" w:rsidP="00B612DB">
            <w:pPr>
              <w:jc w:val="center"/>
              <w:rPr>
                <w:rFonts w:eastAsia="Calibri"/>
                <w:b/>
                <w:noProof/>
                <w:lang w:val="nb-NO"/>
              </w:rPr>
            </w:pPr>
            <w:r w:rsidRPr="00B612DB">
              <w:rPr>
                <w:rFonts w:eastAsia="Calibri"/>
                <w:b/>
                <w:noProof/>
                <w:lang w:val="nb-NO"/>
              </w:rPr>
              <w:t>Kesimpulan</w:t>
            </w:r>
          </w:p>
        </w:tc>
      </w:tr>
      <w:tr w:rsidR="00BA7EF3" w:rsidRPr="00B612DB" w14:paraId="234E64F9" w14:textId="77777777" w:rsidTr="00BB2410">
        <w:tc>
          <w:tcPr>
            <w:tcW w:w="2351" w:type="pct"/>
            <w:tcBorders>
              <w:top w:val="single" w:sz="4" w:space="0" w:color="auto"/>
            </w:tcBorders>
          </w:tcPr>
          <w:p w14:paraId="45DAD49C" w14:textId="304F7B28" w:rsidR="00B612DB" w:rsidRPr="00B612DB" w:rsidRDefault="008810EE" w:rsidP="008810EE">
            <w:pPr>
              <w:adjustRightInd w:val="0"/>
              <w:jc w:val="both"/>
              <w:rPr>
                <w:rFonts w:eastAsia="Calibri"/>
                <w:noProof/>
                <w:color w:val="000000"/>
                <w:lang w:eastAsia="id-ID"/>
              </w:rPr>
            </w:pPr>
            <w:r>
              <w:rPr>
                <w:lang w:val="id-ID"/>
              </w:rPr>
              <w:t xml:space="preserve">Kesediaan Melunasi </w:t>
            </w:r>
            <w:r w:rsidR="00B612DB" w:rsidRPr="00B612DB">
              <w:t>Pajak</w:t>
            </w:r>
          </w:p>
        </w:tc>
        <w:tc>
          <w:tcPr>
            <w:tcW w:w="869" w:type="pct"/>
            <w:tcBorders>
              <w:top w:val="single" w:sz="4" w:space="0" w:color="auto"/>
            </w:tcBorders>
          </w:tcPr>
          <w:p w14:paraId="771B301F" w14:textId="77777777" w:rsidR="00B612DB" w:rsidRPr="00B612DB" w:rsidRDefault="00B612DB" w:rsidP="00B612DB">
            <w:pPr>
              <w:jc w:val="center"/>
              <w:rPr>
                <w:rFonts w:eastAsia="Calibri"/>
                <w:noProof/>
              </w:rPr>
            </w:pPr>
            <w:r w:rsidRPr="00B612DB">
              <w:rPr>
                <w:rFonts w:eastAsia="Calibri"/>
                <w:noProof/>
              </w:rPr>
              <w:t>0,860</w:t>
            </w:r>
          </w:p>
        </w:tc>
        <w:tc>
          <w:tcPr>
            <w:tcW w:w="551" w:type="pct"/>
            <w:tcBorders>
              <w:top w:val="single" w:sz="4" w:space="0" w:color="auto"/>
            </w:tcBorders>
          </w:tcPr>
          <w:p w14:paraId="69121217" w14:textId="77777777" w:rsidR="00B612DB" w:rsidRPr="00B612DB" w:rsidRDefault="00B612DB" w:rsidP="00B612DB">
            <w:pPr>
              <w:rPr>
                <w:rFonts w:eastAsia="Calibri"/>
                <w:noProof/>
              </w:rPr>
            </w:pPr>
            <w:r w:rsidRPr="00B612DB">
              <w:rPr>
                <w:rFonts w:eastAsia="Calibri"/>
                <w:noProof/>
              </w:rPr>
              <w:t>1,163</w:t>
            </w:r>
          </w:p>
        </w:tc>
        <w:tc>
          <w:tcPr>
            <w:tcW w:w="1229" w:type="pct"/>
            <w:tcBorders>
              <w:top w:val="single" w:sz="4" w:space="0" w:color="auto"/>
            </w:tcBorders>
          </w:tcPr>
          <w:p w14:paraId="754CEDDE" w14:textId="78BD3074" w:rsidR="00B612DB" w:rsidRPr="00B612DB" w:rsidRDefault="008810EE" w:rsidP="00B612DB">
            <w:pPr>
              <w:jc w:val="center"/>
              <w:rPr>
                <w:rFonts w:eastAsia="Calibri"/>
                <w:noProof/>
              </w:rPr>
            </w:pPr>
            <w:r>
              <w:rPr>
                <w:rFonts w:eastAsia="Calibri"/>
                <w:noProof/>
              </w:rPr>
              <w:t>Non Multikolin</w:t>
            </w:r>
            <w:r w:rsidR="00B612DB" w:rsidRPr="00B612DB">
              <w:rPr>
                <w:rFonts w:eastAsia="Calibri"/>
                <w:noProof/>
              </w:rPr>
              <w:t>e</w:t>
            </w:r>
            <w:r>
              <w:rPr>
                <w:rFonts w:eastAsia="Calibri"/>
                <w:noProof/>
                <w:lang w:val="id-ID"/>
              </w:rPr>
              <w:t>a</w:t>
            </w:r>
            <w:r w:rsidR="00B612DB" w:rsidRPr="00B612DB">
              <w:rPr>
                <w:rFonts w:eastAsia="Calibri"/>
                <w:noProof/>
              </w:rPr>
              <w:t>ritas</w:t>
            </w:r>
          </w:p>
        </w:tc>
      </w:tr>
      <w:tr w:rsidR="008810EE" w:rsidRPr="00B612DB" w14:paraId="293572AD" w14:textId="77777777" w:rsidTr="00BB2410">
        <w:tc>
          <w:tcPr>
            <w:tcW w:w="2351" w:type="pct"/>
          </w:tcPr>
          <w:p w14:paraId="118459BC" w14:textId="4980EDB6" w:rsidR="008810EE" w:rsidRPr="00B612DB" w:rsidRDefault="008810EE" w:rsidP="00B612DB">
            <w:pPr>
              <w:adjustRightInd w:val="0"/>
              <w:jc w:val="both"/>
              <w:rPr>
                <w:rFonts w:eastAsia="Calibri"/>
                <w:i/>
                <w:iCs/>
                <w:noProof/>
                <w:color w:val="000000"/>
                <w:lang w:eastAsia="id-ID"/>
              </w:rPr>
            </w:pPr>
            <w:r>
              <w:rPr>
                <w:lang w:val="id-ID"/>
              </w:rPr>
              <w:t xml:space="preserve">Pandangan </w:t>
            </w:r>
            <w:r w:rsidRPr="00B612DB">
              <w:t xml:space="preserve">Atas Efektivitas </w:t>
            </w:r>
            <w:r>
              <w:rPr>
                <w:lang w:val="id-ID"/>
              </w:rPr>
              <w:t>System Pajak</w:t>
            </w:r>
          </w:p>
        </w:tc>
        <w:tc>
          <w:tcPr>
            <w:tcW w:w="869" w:type="pct"/>
          </w:tcPr>
          <w:p w14:paraId="1D733A65" w14:textId="77777777" w:rsidR="008810EE" w:rsidRPr="00B612DB" w:rsidRDefault="008810EE" w:rsidP="00B612DB">
            <w:pPr>
              <w:jc w:val="center"/>
              <w:rPr>
                <w:rFonts w:eastAsia="Calibri"/>
                <w:noProof/>
              </w:rPr>
            </w:pPr>
            <w:r w:rsidRPr="00B612DB">
              <w:rPr>
                <w:rFonts w:eastAsia="Calibri"/>
                <w:noProof/>
              </w:rPr>
              <w:t>0,946</w:t>
            </w:r>
          </w:p>
        </w:tc>
        <w:tc>
          <w:tcPr>
            <w:tcW w:w="551" w:type="pct"/>
          </w:tcPr>
          <w:p w14:paraId="6893F7E6" w14:textId="77777777" w:rsidR="008810EE" w:rsidRPr="00B612DB" w:rsidRDefault="008810EE" w:rsidP="00B612DB">
            <w:pPr>
              <w:rPr>
                <w:rFonts w:eastAsia="Calibri"/>
                <w:noProof/>
              </w:rPr>
            </w:pPr>
            <w:r w:rsidRPr="00B612DB">
              <w:rPr>
                <w:rFonts w:eastAsia="Calibri"/>
                <w:noProof/>
              </w:rPr>
              <w:t>1,057</w:t>
            </w:r>
          </w:p>
        </w:tc>
        <w:tc>
          <w:tcPr>
            <w:tcW w:w="1229" w:type="pct"/>
          </w:tcPr>
          <w:p w14:paraId="0F9A3023" w14:textId="6880D595" w:rsidR="008810EE" w:rsidRPr="00B612DB" w:rsidRDefault="008810EE" w:rsidP="00B612DB">
            <w:pPr>
              <w:jc w:val="center"/>
              <w:rPr>
                <w:rFonts w:eastAsia="Calibri"/>
                <w:noProof/>
              </w:rPr>
            </w:pPr>
            <w:r>
              <w:rPr>
                <w:rFonts w:eastAsia="Calibri"/>
                <w:noProof/>
              </w:rPr>
              <w:t>Non Multikolin</w:t>
            </w:r>
            <w:r w:rsidRPr="00B612DB">
              <w:rPr>
                <w:rFonts w:eastAsia="Calibri"/>
                <w:noProof/>
              </w:rPr>
              <w:t>e</w:t>
            </w:r>
            <w:r>
              <w:rPr>
                <w:rFonts w:eastAsia="Calibri"/>
                <w:noProof/>
                <w:lang w:val="id-ID"/>
              </w:rPr>
              <w:t>a</w:t>
            </w:r>
            <w:r w:rsidRPr="00B612DB">
              <w:rPr>
                <w:rFonts w:eastAsia="Calibri"/>
                <w:noProof/>
              </w:rPr>
              <w:t>ritas</w:t>
            </w:r>
          </w:p>
        </w:tc>
      </w:tr>
      <w:tr w:rsidR="008810EE" w:rsidRPr="00B612DB" w14:paraId="2185D016" w14:textId="77777777" w:rsidTr="00BB2410">
        <w:tc>
          <w:tcPr>
            <w:tcW w:w="2351" w:type="pct"/>
            <w:tcBorders>
              <w:bottom w:val="single" w:sz="4" w:space="0" w:color="auto"/>
            </w:tcBorders>
          </w:tcPr>
          <w:p w14:paraId="027D2706" w14:textId="0C74AA48" w:rsidR="008810EE" w:rsidRPr="00B612DB" w:rsidRDefault="008810EE" w:rsidP="00B612DB">
            <w:pPr>
              <w:adjustRightInd w:val="0"/>
              <w:jc w:val="both"/>
              <w:rPr>
                <w:rFonts w:eastAsia="Calibri"/>
                <w:bCs/>
                <w:noProof/>
              </w:rPr>
            </w:pPr>
            <w:r>
              <w:rPr>
                <w:lang w:val="id-ID"/>
              </w:rPr>
              <w:t xml:space="preserve">Mengerti terkait </w:t>
            </w:r>
            <w:r w:rsidRPr="00B612DB">
              <w:t xml:space="preserve">Peraturan Pemerintah </w:t>
            </w:r>
            <w:r>
              <w:rPr>
                <w:lang w:val="id-ID"/>
              </w:rPr>
              <w:t xml:space="preserve">No. </w:t>
            </w:r>
            <w:r w:rsidRPr="00B612DB">
              <w:t>23 Tahun 2018</w:t>
            </w:r>
          </w:p>
        </w:tc>
        <w:tc>
          <w:tcPr>
            <w:tcW w:w="869" w:type="pct"/>
            <w:tcBorders>
              <w:bottom w:val="single" w:sz="4" w:space="0" w:color="auto"/>
            </w:tcBorders>
          </w:tcPr>
          <w:p w14:paraId="164ED24C" w14:textId="77777777" w:rsidR="008810EE" w:rsidRPr="00B612DB" w:rsidRDefault="008810EE" w:rsidP="00B612DB">
            <w:pPr>
              <w:jc w:val="center"/>
              <w:rPr>
                <w:rFonts w:eastAsia="Calibri"/>
                <w:noProof/>
              </w:rPr>
            </w:pPr>
            <w:r w:rsidRPr="00B612DB">
              <w:rPr>
                <w:rFonts w:eastAsia="Calibri"/>
                <w:noProof/>
              </w:rPr>
              <w:t>0,885</w:t>
            </w:r>
          </w:p>
        </w:tc>
        <w:tc>
          <w:tcPr>
            <w:tcW w:w="551" w:type="pct"/>
            <w:tcBorders>
              <w:bottom w:val="single" w:sz="4" w:space="0" w:color="auto"/>
            </w:tcBorders>
          </w:tcPr>
          <w:p w14:paraId="68E65B2A" w14:textId="77777777" w:rsidR="008810EE" w:rsidRPr="00B612DB" w:rsidRDefault="008810EE" w:rsidP="00B612DB">
            <w:pPr>
              <w:rPr>
                <w:rFonts w:eastAsia="Calibri"/>
                <w:noProof/>
              </w:rPr>
            </w:pPr>
            <w:r w:rsidRPr="00B612DB">
              <w:rPr>
                <w:rFonts w:eastAsia="Calibri"/>
                <w:noProof/>
              </w:rPr>
              <w:t>1,130</w:t>
            </w:r>
          </w:p>
        </w:tc>
        <w:tc>
          <w:tcPr>
            <w:tcW w:w="1229" w:type="pct"/>
            <w:tcBorders>
              <w:bottom w:val="single" w:sz="4" w:space="0" w:color="auto"/>
            </w:tcBorders>
          </w:tcPr>
          <w:p w14:paraId="68445BE2" w14:textId="02034C53" w:rsidR="008810EE" w:rsidRPr="00B612DB" w:rsidRDefault="008810EE" w:rsidP="00B612DB">
            <w:pPr>
              <w:jc w:val="center"/>
              <w:rPr>
                <w:rFonts w:eastAsia="Calibri"/>
                <w:noProof/>
              </w:rPr>
            </w:pPr>
            <w:r>
              <w:rPr>
                <w:rFonts w:eastAsia="Calibri"/>
                <w:noProof/>
              </w:rPr>
              <w:t>Non Multikolin</w:t>
            </w:r>
            <w:r w:rsidRPr="00B612DB">
              <w:rPr>
                <w:rFonts w:eastAsia="Calibri"/>
                <w:noProof/>
              </w:rPr>
              <w:t>e</w:t>
            </w:r>
            <w:r>
              <w:rPr>
                <w:rFonts w:eastAsia="Calibri"/>
                <w:noProof/>
                <w:lang w:val="id-ID"/>
              </w:rPr>
              <w:t>a</w:t>
            </w:r>
            <w:r w:rsidRPr="00B612DB">
              <w:rPr>
                <w:rFonts w:eastAsia="Calibri"/>
                <w:noProof/>
              </w:rPr>
              <w:t>ritas</w:t>
            </w:r>
          </w:p>
        </w:tc>
      </w:tr>
    </w:tbl>
    <w:p w14:paraId="1C1B23C3" w14:textId="1C0949C3" w:rsidR="00B612DB" w:rsidRPr="00B612DB" w:rsidRDefault="0091515B" w:rsidP="00BA7EF3">
      <w:pPr>
        <w:tabs>
          <w:tab w:val="left" w:pos="567"/>
        </w:tabs>
        <w:ind w:firstLine="567"/>
        <w:jc w:val="both"/>
        <w:rPr>
          <w:rFonts w:eastAsia="Calibri"/>
        </w:rPr>
      </w:pPr>
      <w:r>
        <w:rPr>
          <w:rFonts w:eastAsia="Calibri"/>
          <w:lang w:val="id-ID"/>
        </w:rPr>
        <w:t xml:space="preserve">Sesuai </w:t>
      </w:r>
      <w:r>
        <w:rPr>
          <w:rFonts w:eastAsia="Calibri"/>
          <w:lang w:val="x-none"/>
        </w:rPr>
        <w:t>tabel di</w:t>
      </w:r>
      <w:r w:rsidR="00B612DB" w:rsidRPr="00B612DB">
        <w:rPr>
          <w:rFonts w:eastAsia="Calibri"/>
          <w:lang w:val="x-none"/>
        </w:rPr>
        <w:t xml:space="preserve">atas </w:t>
      </w:r>
      <w:r>
        <w:rPr>
          <w:rFonts w:eastAsia="Calibri"/>
          <w:lang w:val="id-ID"/>
        </w:rPr>
        <w:t xml:space="preserve">tampak </w:t>
      </w:r>
      <w:r w:rsidR="00B612DB" w:rsidRPr="00B612DB">
        <w:rPr>
          <w:rFonts w:eastAsia="Calibri"/>
          <w:lang w:val="x-none"/>
        </w:rPr>
        <w:t xml:space="preserve">bahwa </w:t>
      </w:r>
      <w:r>
        <w:rPr>
          <w:rFonts w:eastAsia="Calibri"/>
          <w:lang w:val="id-ID"/>
        </w:rPr>
        <w:t xml:space="preserve">seluruh </w:t>
      </w:r>
      <w:r w:rsidR="00B612DB" w:rsidRPr="00B612DB">
        <w:rPr>
          <w:rFonts w:eastAsia="Calibri"/>
          <w:lang w:val="x-none"/>
        </w:rPr>
        <w:t xml:space="preserve">variabel </w:t>
      </w:r>
      <w:r>
        <w:rPr>
          <w:rFonts w:eastAsia="Calibri"/>
          <w:lang w:val="id-ID"/>
        </w:rPr>
        <w:t xml:space="preserve">memiliki </w:t>
      </w:r>
      <w:r w:rsidR="00B612DB" w:rsidRPr="00B612DB">
        <w:rPr>
          <w:rFonts w:eastAsia="Calibri"/>
          <w:lang w:val="es-ES"/>
        </w:rPr>
        <w:t>toleransi</w:t>
      </w:r>
      <w:r w:rsidR="00B612DB" w:rsidRPr="00B612DB">
        <w:rPr>
          <w:rFonts w:eastAsia="Calibri"/>
          <w:lang w:val="x-none"/>
        </w:rPr>
        <w:t xml:space="preserve"> </w:t>
      </w:r>
      <w:r>
        <w:rPr>
          <w:rFonts w:eastAsia="Calibri"/>
          <w:lang w:val="id-ID"/>
        </w:rPr>
        <w:t xml:space="preserve">nilai melebihi </w:t>
      </w:r>
      <w:r w:rsidR="00B612DB" w:rsidRPr="00B612DB">
        <w:rPr>
          <w:rFonts w:eastAsia="Calibri"/>
          <w:lang w:val="x-none"/>
        </w:rPr>
        <w:t xml:space="preserve">0,1 dan nilai VIF </w:t>
      </w:r>
      <w:r>
        <w:rPr>
          <w:rFonts w:eastAsia="Calibri"/>
          <w:lang w:val="id-ID"/>
        </w:rPr>
        <w:t xml:space="preserve">kurang dari </w:t>
      </w:r>
      <w:r w:rsidR="00B612DB" w:rsidRPr="00B612DB">
        <w:rPr>
          <w:rFonts w:eastAsia="Calibri"/>
          <w:lang w:val="x-none"/>
        </w:rPr>
        <w:t xml:space="preserve">10, </w:t>
      </w:r>
      <w:r>
        <w:rPr>
          <w:rFonts w:eastAsia="Calibri"/>
          <w:lang w:val="id-ID"/>
        </w:rPr>
        <w:t xml:space="preserve">maknanya </w:t>
      </w:r>
      <w:r w:rsidR="00B612DB" w:rsidRPr="00B612DB">
        <w:rPr>
          <w:rFonts w:eastAsia="Calibri"/>
          <w:lang w:val="x-none"/>
        </w:rPr>
        <w:t xml:space="preserve">bahwa model regresi pada </w:t>
      </w:r>
      <w:r>
        <w:rPr>
          <w:rFonts w:eastAsia="Calibri"/>
          <w:lang w:val="id-ID"/>
        </w:rPr>
        <w:t xml:space="preserve">eksplorasi </w:t>
      </w:r>
      <w:r w:rsidR="00B612DB" w:rsidRPr="00B612DB">
        <w:rPr>
          <w:rFonts w:eastAsia="Calibri"/>
          <w:lang w:val="x-none"/>
        </w:rPr>
        <w:t xml:space="preserve">ini </w:t>
      </w:r>
      <w:r>
        <w:rPr>
          <w:rFonts w:eastAsia="Calibri"/>
          <w:lang w:val="id-ID"/>
        </w:rPr>
        <w:t xml:space="preserve">tak timbul </w:t>
      </w:r>
      <w:r w:rsidR="00B612DB" w:rsidRPr="00B612DB">
        <w:rPr>
          <w:rFonts w:eastAsia="Calibri"/>
          <w:lang w:val="x-none"/>
        </w:rPr>
        <w:t>multikolinieritas.</w:t>
      </w:r>
    </w:p>
    <w:p w14:paraId="58379F0B" w14:textId="77777777" w:rsidR="00B612DB" w:rsidRPr="00B612DB" w:rsidRDefault="00B612DB" w:rsidP="00BA7EF3">
      <w:pPr>
        <w:keepNext/>
        <w:widowControl/>
        <w:autoSpaceDE/>
        <w:autoSpaceDN/>
        <w:outlineLvl w:val="2"/>
        <w:rPr>
          <w:b/>
          <w:bCs/>
          <w:iCs/>
          <w:lang w:val="x-none"/>
        </w:rPr>
      </w:pPr>
      <w:r w:rsidRPr="00B612DB">
        <w:rPr>
          <w:b/>
          <w:bCs/>
        </w:rPr>
        <w:t>Uji</w:t>
      </w:r>
      <w:r w:rsidRPr="00B612DB">
        <w:rPr>
          <w:b/>
          <w:bCs/>
          <w:iCs/>
          <w:lang w:val="x-none"/>
        </w:rPr>
        <w:t xml:space="preserve"> </w:t>
      </w:r>
      <w:r w:rsidRPr="00B612DB">
        <w:rPr>
          <w:b/>
          <w:bCs/>
        </w:rPr>
        <w:t>Heteroskedastisitas</w:t>
      </w:r>
      <w:r w:rsidRPr="00B612DB">
        <w:rPr>
          <w:b/>
          <w:bCs/>
          <w:iCs/>
          <w:lang w:val="x-none"/>
        </w:rPr>
        <w:t xml:space="preserve"> </w:t>
      </w:r>
    </w:p>
    <w:p w14:paraId="68DD5378" w14:textId="58DFB899" w:rsidR="00B612DB" w:rsidRPr="00B612DB" w:rsidRDefault="00B612DB" w:rsidP="00BA7EF3">
      <w:pPr>
        <w:tabs>
          <w:tab w:val="left" w:pos="567"/>
        </w:tabs>
        <w:ind w:firstLine="567"/>
        <w:jc w:val="both"/>
        <w:rPr>
          <w:rFonts w:eastAsia="Calibri"/>
          <w:lang w:val="es-ES"/>
        </w:rPr>
      </w:pPr>
      <w:r w:rsidRPr="00B612DB">
        <w:rPr>
          <w:rFonts w:eastAsia="Calibri"/>
          <w:lang w:val="es-ES"/>
        </w:rPr>
        <w:t xml:space="preserve">Berikut ini </w:t>
      </w:r>
      <w:r w:rsidR="008810EE">
        <w:rPr>
          <w:rFonts w:eastAsia="Calibri"/>
          <w:lang w:val="id-ID"/>
        </w:rPr>
        <w:t xml:space="preserve">ialah output </w:t>
      </w:r>
      <w:r w:rsidR="008810EE">
        <w:rPr>
          <w:rFonts w:eastAsia="Calibri"/>
          <w:lang w:val="es-ES"/>
        </w:rPr>
        <w:t>uji hetero</w:t>
      </w:r>
      <w:r w:rsidRPr="00B612DB">
        <w:rPr>
          <w:rFonts w:eastAsia="Calibri"/>
          <w:lang w:val="es-ES"/>
        </w:rPr>
        <w:t xml:space="preserve">kedastisitas </w:t>
      </w:r>
      <w:r w:rsidR="008810EE">
        <w:rPr>
          <w:rFonts w:eastAsia="Calibri"/>
          <w:lang w:val="id-ID"/>
        </w:rPr>
        <w:t xml:space="preserve">pada </w:t>
      </w:r>
      <w:r w:rsidRPr="00B612DB">
        <w:rPr>
          <w:rFonts w:eastAsia="Calibri"/>
          <w:lang w:val="es-ES"/>
        </w:rPr>
        <w:t xml:space="preserve">model regresi </w:t>
      </w:r>
      <w:r w:rsidR="008810EE">
        <w:rPr>
          <w:rFonts w:eastAsia="Calibri"/>
          <w:lang w:val="id-ID"/>
        </w:rPr>
        <w:t xml:space="preserve">dikajian </w:t>
      </w:r>
      <w:r w:rsidRPr="00B612DB">
        <w:rPr>
          <w:rFonts w:eastAsia="Calibri"/>
          <w:lang w:val="es-ES"/>
        </w:rPr>
        <w:t>ini.</w:t>
      </w:r>
    </w:p>
    <w:p w14:paraId="0DD800B5" w14:textId="23F726BD" w:rsidR="00B612DB" w:rsidRPr="00B612DB" w:rsidRDefault="00B612DB" w:rsidP="00B612DB">
      <w:pPr>
        <w:ind w:left="540"/>
        <w:jc w:val="center"/>
        <w:rPr>
          <w:rFonts w:eastAsia="Calibri"/>
          <w:b/>
          <w:bCs/>
          <w:noProof/>
        </w:rPr>
      </w:pPr>
      <w:r w:rsidRPr="00B612DB">
        <w:rPr>
          <w:rFonts w:eastAsia="Calibri"/>
          <w:b/>
          <w:bCs/>
          <w:noProof/>
          <w:lang w:val="es-ES"/>
        </w:rPr>
        <w:t xml:space="preserve">Tabel </w:t>
      </w:r>
      <w:r w:rsidR="00DB4165">
        <w:rPr>
          <w:rFonts w:eastAsia="Calibri"/>
          <w:b/>
          <w:bCs/>
          <w:noProof/>
          <w:lang w:val="es-ES"/>
        </w:rPr>
        <w:t>8</w:t>
      </w:r>
      <w:r w:rsidRPr="00B612DB">
        <w:rPr>
          <w:rFonts w:eastAsia="Calibri"/>
          <w:b/>
          <w:bCs/>
          <w:noProof/>
        </w:rPr>
        <w:t>.</w:t>
      </w:r>
      <w:r w:rsidRPr="00B612DB">
        <w:rPr>
          <w:rFonts w:eastAsia="Calibri"/>
          <w:b/>
          <w:bCs/>
          <w:noProof/>
          <w:lang w:val="es-ES"/>
        </w:rPr>
        <w:t xml:space="preserve"> </w:t>
      </w:r>
      <w:r w:rsidRPr="00B612DB">
        <w:rPr>
          <w:rFonts w:eastAsia="Calibri"/>
          <w:b/>
          <w:bCs/>
          <w:noProof/>
        </w:rPr>
        <w:t>Hasil Uji Heteroskedastisitas</w:t>
      </w:r>
    </w:p>
    <w:tbl>
      <w:tblPr>
        <w:tblW w:w="5000" w:type="pct"/>
        <w:tblLook w:val="01E0" w:firstRow="1" w:lastRow="1" w:firstColumn="1" w:lastColumn="1" w:noHBand="0" w:noVBand="0"/>
      </w:tblPr>
      <w:tblGrid>
        <w:gridCol w:w="4791"/>
        <w:gridCol w:w="871"/>
        <w:gridCol w:w="3580"/>
      </w:tblGrid>
      <w:tr w:rsidR="00B612DB" w:rsidRPr="00B612DB" w14:paraId="7B6A0259" w14:textId="77777777" w:rsidTr="00BB2410">
        <w:tc>
          <w:tcPr>
            <w:tcW w:w="2592" w:type="pct"/>
            <w:tcBorders>
              <w:top w:val="single" w:sz="4" w:space="0" w:color="auto"/>
              <w:bottom w:val="single" w:sz="4" w:space="0" w:color="auto"/>
            </w:tcBorders>
          </w:tcPr>
          <w:p w14:paraId="329FD8A0" w14:textId="77777777" w:rsidR="00B612DB" w:rsidRPr="00B612DB" w:rsidRDefault="00B612DB" w:rsidP="00B612DB">
            <w:pPr>
              <w:jc w:val="center"/>
              <w:rPr>
                <w:rFonts w:eastAsia="Calibri"/>
                <w:b/>
                <w:noProof/>
              </w:rPr>
            </w:pPr>
            <w:r w:rsidRPr="00B612DB">
              <w:rPr>
                <w:rFonts w:eastAsia="Calibri"/>
                <w:b/>
                <w:noProof/>
              </w:rPr>
              <w:t>Variabel</w:t>
            </w:r>
          </w:p>
        </w:tc>
        <w:tc>
          <w:tcPr>
            <w:tcW w:w="471" w:type="pct"/>
            <w:tcBorders>
              <w:top w:val="single" w:sz="4" w:space="0" w:color="auto"/>
              <w:bottom w:val="single" w:sz="4" w:space="0" w:color="auto"/>
            </w:tcBorders>
          </w:tcPr>
          <w:p w14:paraId="394646CB" w14:textId="77777777" w:rsidR="00B612DB" w:rsidRPr="00B612DB" w:rsidRDefault="00B612DB" w:rsidP="00B612DB">
            <w:pPr>
              <w:jc w:val="center"/>
              <w:rPr>
                <w:rFonts w:eastAsia="Calibri"/>
                <w:b/>
                <w:noProof/>
                <w:lang w:val="nb-NO"/>
              </w:rPr>
            </w:pPr>
            <w:r w:rsidRPr="00B612DB">
              <w:rPr>
                <w:rFonts w:eastAsia="Calibri"/>
                <w:b/>
                <w:noProof/>
                <w:lang w:val="nb-NO"/>
              </w:rPr>
              <w:t>Sig.</w:t>
            </w:r>
          </w:p>
        </w:tc>
        <w:tc>
          <w:tcPr>
            <w:tcW w:w="1937" w:type="pct"/>
            <w:tcBorders>
              <w:top w:val="single" w:sz="4" w:space="0" w:color="auto"/>
              <w:bottom w:val="single" w:sz="4" w:space="0" w:color="auto"/>
            </w:tcBorders>
          </w:tcPr>
          <w:p w14:paraId="5816BD53" w14:textId="77777777" w:rsidR="00B612DB" w:rsidRPr="00B612DB" w:rsidRDefault="00B612DB" w:rsidP="00B612DB">
            <w:pPr>
              <w:jc w:val="center"/>
              <w:rPr>
                <w:rFonts w:eastAsia="Calibri"/>
                <w:b/>
                <w:noProof/>
                <w:lang w:val="nb-NO"/>
              </w:rPr>
            </w:pPr>
            <w:r w:rsidRPr="00B612DB">
              <w:rPr>
                <w:rFonts w:eastAsia="Calibri"/>
                <w:b/>
                <w:noProof/>
                <w:lang w:val="nb-NO"/>
              </w:rPr>
              <w:t>Kesimpulan</w:t>
            </w:r>
          </w:p>
        </w:tc>
      </w:tr>
      <w:tr w:rsidR="00B612DB" w:rsidRPr="00B612DB" w14:paraId="6E6AC299" w14:textId="77777777" w:rsidTr="00BB2410">
        <w:tc>
          <w:tcPr>
            <w:tcW w:w="2592" w:type="pct"/>
            <w:tcBorders>
              <w:top w:val="single" w:sz="4" w:space="0" w:color="auto"/>
            </w:tcBorders>
          </w:tcPr>
          <w:p w14:paraId="2CE9116F" w14:textId="77777777" w:rsidR="00B612DB" w:rsidRPr="00B612DB" w:rsidRDefault="00B612DB" w:rsidP="00B612DB">
            <w:pPr>
              <w:adjustRightInd w:val="0"/>
              <w:jc w:val="both"/>
              <w:rPr>
                <w:rFonts w:eastAsia="Calibri"/>
                <w:noProof/>
                <w:color w:val="000000"/>
                <w:lang w:eastAsia="id-ID"/>
              </w:rPr>
            </w:pPr>
            <w:r w:rsidRPr="00B612DB">
              <w:t>Kesadaran Membayar Pajak</w:t>
            </w:r>
          </w:p>
        </w:tc>
        <w:tc>
          <w:tcPr>
            <w:tcW w:w="471" w:type="pct"/>
            <w:tcBorders>
              <w:top w:val="single" w:sz="4" w:space="0" w:color="auto"/>
            </w:tcBorders>
          </w:tcPr>
          <w:p w14:paraId="044EA7F8" w14:textId="77777777" w:rsidR="00B612DB" w:rsidRPr="00B612DB" w:rsidRDefault="00B612DB" w:rsidP="00B612DB">
            <w:pPr>
              <w:adjustRightInd w:val="0"/>
              <w:jc w:val="center"/>
              <w:rPr>
                <w:lang w:val="id-ID"/>
              </w:rPr>
            </w:pPr>
            <w:r w:rsidRPr="00B612DB">
              <w:t>0,267</w:t>
            </w:r>
          </w:p>
        </w:tc>
        <w:tc>
          <w:tcPr>
            <w:tcW w:w="1937" w:type="pct"/>
            <w:tcBorders>
              <w:top w:val="single" w:sz="4" w:space="0" w:color="auto"/>
            </w:tcBorders>
          </w:tcPr>
          <w:p w14:paraId="588E83FF" w14:textId="2D7FCCBA" w:rsidR="00B612DB" w:rsidRPr="00B612DB" w:rsidRDefault="00340CDB" w:rsidP="00340CDB">
            <w:pPr>
              <w:jc w:val="center"/>
              <w:rPr>
                <w:rFonts w:eastAsia="Calibri"/>
                <w:noProof/>
              </w:rPr>
            </w:pPr>
            <w:r>
              <w:rPr>
                <w:rFonts w:eastAsia="Calibri"/>
                <w:noProof/>
                <w:lang w:val="id-ID"/>
              </w:rPr>
              <w:t xml:space="preserve">Tak Timbul </w:t>
            </w:r>
            <w:r>
              <w:rPr>
                <w:rFonts w:eastAsia="Calibri"/>
                <w:noProof/>
              </w:rPr>
              <w:t>Hetero</w:t>
            </w:r>
            <w:r w:rsidR="00B612DB" w:rsidRPr="00B612DB">
              <w:rPr>
                <w:rFonts w:eastAsia="Calibri"/>
                <w:noProof/>
              </w:rPr>
              <w:t>kedastisitas</w:t>
            </w:r>
          </w:p>
        </w:tc>
      </w:tr>
      <w:tr w:rsidR="00340CDB" w:rsidRPr="00B612DB" w14:paraId="2A79AAE1" w14:textId="77777777" w:rsidTr="00BB2410">
        <w:tc>
          <w:tcPr>
            <w:tcW w:w="2592" w:type="pct"/>
          </w:tcPr>
          <w:p w14:paraId="10B8562E" w14:textId="1BEAB740" w:rsidR="00340CDB" w:rsidRPr="00B612DB" w:rsidRDefault="00340CDB" w:rsidP="00B612DB">
            <w:pPr>
              <w:adjustRightInd w:val="0"/>
              <w:jc w:val="both"/>
              <w:rPr>
                <w:rFonts w:eastAsia="Calibri"/>
                <w:noProof/>
                <w:color w:val="000000"/>
                <w:lang w:eastAsia="id-ID"/>
              </w:rPr>
            </w:pPr>
            <w:r>
              <w:rPr>
                <w:lang w:val="id-ID"/>
              </w:rPr>
              <w:t xml:space="preserve">Pandangan </w:t>
            </w:r>
            <w:r w:rsidRPr="00B612DB">
              <w:t xml:space="preserve">Atas Efektivitas </w:t>
            </w:r>
            <w:r>
              <w:rPr>
                <w:lang w:val="id-ID"/>
              </w:rPr>
              <w:t>System Pajak</w:t>
            </w:r>
          </w:p>
        </w:tc>
        <w:tc>
          <w:tcPr>
            <w:tcW w:w="471" w:type="pct"/>
          </w:tcPr>
          <w:p w14:paraId="0ACEDA16" w14:textId="77777777" w:rsidR="00340CDB" w:rsidRPr="00B612DB" w:rsidRDefault="00340CDB" w:rsidP="00B612DB">
            <w:pPr>
              <w:adjustRightInd w:val="0"/>
              <w:jc w:val="center"/>
              <w:rPr>
                <w:lang w:val="id-ID"/>
              </w:rPr>
            </w:pPr>
            <w:r w:rsidRPr="00B612DB">
              <w:t>0,724</w:t>
            </w:r>
          </w:p>
        </w:tc>
        <w:tc>
          <w:tcPr>
            <w:tcW w:w="1937" w:type="pct"/>
          </w:tcPr>
          <w:p w14:paraId="3C913A63" w14:textId="4EE34217" w:rsidR="00340CDB" w:rsidRPr="00B612DB" w:rsidRDefault="00340CDB" w:rsidP="00B612DB">
            <w:pPr>
              <w:jc w:val="center"/>
              <w:rPr>
                <w:rFonts w:eastAsia="Calibri"/>
                <w:noProof/>
              </w:rPr>
            </w:pPr>
            <w:r>
              <w:rPr>
                <w:rFonts w:eastAsia="Calibri"/>
                <w:noProof/>
                <w:lang w:val="id-ID"/>
              </w:rPr>
              <w:t xml:space="preserve">Tak Timbul </w:t>
            </w:r>
            <w:r>
              <w:rPr>
                <w:rFonts w:eastAsia="Calibri"/>
                <w:noProof/>
              </w:rPr>
              <w:t>Hetero</w:t>
            </w:r>
            <w:r w:rsidRPr="00B612DB">
              <w:rPr>
                <w:rFonts w:eastAsia="Calibri"/>
                <w:noProof/>
              </w:rPr>
              <w:t>kedastisitas</w:t>
            </w:r>
          </w:p>
        </w:tc>
      </w:tr>
      <w:tr w:rsidR="00340CDB" w:rsidRPr="00B612DB" w14:paraId="4F33FAF7" w14:textId="77777777" w:rsidTr="00BB2410">
        <w:tc>
          <w:tcPr>
            <w:tcW w:w="2592" w:type="pct"/>
            <w:tcBorders>
              <w:bottom w:val="single" w:sz="4" w:space="0" w:color="auto"/>
            </w:tcBorders>
          </w:tcPr>
          <w:p w14:paraId="189D3516" w14:textId="59D882E0" w:rsidR="00340CDB" w:rsidRPr="00B612DB" w:rsidRDefault="00340CDB" w:rsidP="00B612DB">
            <w:pPr>
              <w:adjustRightInd w:val="0"/>
              <w:jc w:val="both"/>
              <w:rPr>
                <w:rFonts w:eastAsia="Calibri"/>
                <w:bCs/>
                <w:noProof/>
              </w:rPr>
            </w:pPr>
            <w:r>
              <w:rPr>
                <w:lang w:val="id-ID"/>
              </w:rPr>
              <w:t xml:space="preserve">Mengerti terkait </w:t>
            </w:r>
            <w:r w:rsidRPr="00B612DB">
              <w:t xml:space="preserve">Peraturan Pemerintah </w:t>
            </w:r>
            <w:r>
              <w:rPr>
                <w:lang w:val="id-ID"/>
              </w:rPr>
              <w:t xml:space="preserve">No. </w:t>
            </w:r>
            <w:r w:rsidRPr="00B612DB">
              <w:t>23 Tahun 2018</w:t>
            </w:r>
          </w:p>
        </w:tc>
        <w:tc>
          <w:tcPr>
            <w:tcW w:w="471" w:type="pct"/>
            <w:tcBorders>
              <w:bottom w:val="single" w:sz="4" w:space="0" w:color="auto"/>
            </w:tcBorders>
          </w:tcPr>
          <w:p w14:paraId="620A3B12" w14:textId="77777777" w:rsidR="00340CDB" w:rsidRPr="00B612DB" w:rsidRDefault="00340CDB" w:rsidP="00B612DB">
            <w:pPr>
              <w:adjustRightInd w:val="0"/>
              <w:jc w:val="center"/>
              <w:rPr>
                <w:lang w:val="id-ID"/>
              </w:rPr>
            </w:pPr>
            <w:r w:rsidRPr="00B612DB">
              <w:t>0,300</w:t>
            </w:r>
          </w:p>
        </w:tc>
        <w:tc>
          <w:tcPr>
            <w:tcW w:w="1937" w:type="pct"/>
            <w:tcBorders>
              <w:bottom w:val="single" w:sz="4" w:space="0" w:color="auto"/>
            </w:tcBorders>
          </w:tcPr>
          <w:p w14:paraId="3D891694" w14:textId="1B62A3A4" w:rsidR="00340CDB" w:rsidRPr="00B612DB" w:rsidRDefault="00340CDB" w:rsidP="00B612DB">
            <w:pPr>
              <w:jc w:val="center"/>
              <w:rPr>
                <w:rFonts w:eastAsia="Calibri"/>
                <w:noProof/>
              </w:rPr>
            </w:pPr>
            <w:r>
              <w:rPr>
                <w:rFonts w:eastAsia="Calibri"/>
                <w:noProof/>
                <w:lang w:val="id-ID"/>
              </w:rPr>
              <w:t xml:space="preserve">Tak Timbul </w:t>
            </w:r>
            <w:r>
              <w:rPr>
                <w:rFonts w:eastAsia="Calibri"/>
                <w:noProof/>
              </w:rPr>
              <w:t>Hetero</w:t>
            </w:r>
            <w:r w:rsidRPr="00B612DB">
              <w:rPr>
                <w:rFonts w:eastAsia="Calibri"/>
                <w:noProof/>
              </w:rPr>
              <w:t>kedastisitas</w:t>
            </w:r>
          </w:p>
        </w:tc>
      </w:tr>
    </w:tbl>
    <w:p w14:paraId="7866A619" w14:textId="1EC6920E" w:rsidR="00B612DB" w:rsidRPr="00B612DB" w:rsidRDefault="00B612DB" w:rsidP="00BA7EF3">
      <w:pPr>
        <w:tabs>
          <w:tab w:val="left" w:pos="567"/>
        </w:tabs>
        <w:ind w:firstLine="567"/>
        <w:jc w:val="both"/>
        <w:rPr>
          <w:rFonts w:eastAsia="Calibri"/>
        </w:rPr>
      </w:pPr>
      <w:r w:rsidRPr="00B612DB">
        <w:rPr>
          <w:rFonts w:eastAsia="Calibri"/>
          <w:lang w:val="x-none"/>
        </w:rPr>
        <w:t xml:space="preserve">Tabel </w:t>
      </w:r>
      <w:r w:rsidR="0091515B">
        <w:rPr>
          <w:rFonts w:eastAsia="Calibri"/>
          <w:lang w:val="id-ID"/>
        </w:rPr>
        <w:t xml:space="preserve">itu menampakkan </w:t>
      </w:r>
      <w:r w:rsidRPr="00B612DB">
        <w:rPr>
          <w:rFonts w:eastAsia="Calibri"/>
          <w:lang w:val="x-none"/>
        </w:rPr>
        <w:t xml:space="preserve">bahwa </w:t>
      </w:r>
      <w:r w:rsidR="0091515B">
        <w:rPr>
          <w:rFonts w:eastAsia="Calibri"/>
          <w:lang w:val="id-ID"/>
        </w:rPr>
        <w:t xml:space="preserve">seluruh </w:t>
      </w:r>
      <w:r w:rsidRPr="00B612DB">
        <w:rPr>
          <w:rFonts w:eastAsia="Calibri"/>
          <w:lang w:val="x-none"/>
        </w:rPr>
        <w:t xml:space="preserve">variabel </w:t>
      </w:r>
      <w:r w:rsidR="0091515B">
        <w:rPr>
          <w:rFonts w:eastAsia="Calibri"/>
          <w:lang w:val="id-ID"/>
        </w:rPr>
        <w:t xml:space="preserve">memiliki </w:t>
      </w:r>
      <w:r w:rsidR="0091515B">
        <w:rPr>
          <w:rFonts w:eastAsia="Calibri"/>
          <w:lang w:val="x-none"/>
        </w:rPr>
        <w:t>nilai signifikan</w:t>
      </w:r>
      <w:r w:rsidRPr="00B612DB">
        <w:rPr>
          <w:rFonts w:eastAsia="Calibri"/>
          <w:lang w:val="x-none"/>
        </w:rPr>
        <w:t xml:space="preserve"> </w:t>
      </w:r>
      <w:r w:rsidR="0091515B">
        <w:rPr>
          <w:rFonts w:eastAsia="Calibri"/>
          <w:lang w:val="id-ID"/>
        </w:rPr>
        <w:t xml:space="preserve">melebihi </w:t>
      </w:r>
      <w:r w:rsidRPr="00B612DB">
        <w:rPr>
          <w:rFonts w:eastAsia="Calibri"/>
          <w:lang w:val="x-none"/>
        </w:rPr>
        <w:t xml:space="preserve">0,05 </w:t>
      </w:r>
      <w:r w:rsidR="0091515B">
        <w:rPr>
          <w:rFonts w:eastAsia="Calibri"/>
          <w:lang w:val="id-ID"/>
        </w:rPr>
        <w:t xml:space="preserve">maknanya </w:t>
      </w:r>
      <w:r w:rsidRPr="00B612DB">
        <w:rPr>
          <w:rFonts w:eastAsia="Calibri"/>
          <w:lang w:val="x-none"/>
        </w:rPr>
        <w:t xml:space="preserve">bahwa model regresi pada </w:t>
      </w:r>
      <w:r w:rsidR="0091515B">
        <w:rPr>
          <w:rFonts w:eastAsia="Calibri"/>
          <w:lang w:val="id-ID"/>
        </w:rPr>
        <w:t xml:space="preserve">eksplorasi </w:t>
      </w:r>
      <w:r w:rsidRPr="00B612DB">
        <w:rPr>
          <w:rFonts w:eastAsia="Calibri"/>
          <w:lang w:val="x-none"/>
        </w:rPr>
        <w:t xml:space="preserve">ini </w:t>
      </w:r>
      <w:r w:rsidR="0091515B">
        <w:rPr>
          <w:rFonts w:eastAsia="Calibri"/>
          <w:lang w:val="id-ID"/>
        </w:rPr>
        <w:t xml:space="preserve">tak timbul </w:t>
      </w:r>
      <w:r w:rsidRPr="00B612DB">
        <w:rPr>
          <w:rFonts w:eastAsia="Calibri"/>
          <w:lang w:val="x-none"/>
        </w:rPr>
        <w:t>heteroskedastisitas.</w:t>
      </w:r>
    </w:p>
    <w:p w14:paraId="14FEF2D6" w14:textId="77777777" w:rsidR="00B612DB" w:rsidRPr="00BA7EF3" w:rsidRDefault="00B612DB" w:rsidP="00BA7EF3">
      <w:pPr>
        <w:pStyle w:val="ListParagraph"/>
        <w:numPr>
          <w:ilvl w:val="0"/>
          <w:numId w:val="8"/>
        </w:numPr>
        <w:tabs>
          <w:tab w:val="left" w:pos="284"/>
        </w:tabs>
        <w:spacing w:after="0"/>
        <w:ind w:left="284" w:right="28" w:hanging="284"/>
        <w:jc w:val="both"/>
        <w:rPr>
          <w:rFonts w:ascii="Times New Roman" w:eastAsia="Calibri" w:hAnsi="Times New Roman" w:cs="Times New Roman"/>
          <w:b/>
          <w:noProof/>
        </w:rPr>
      </w:pPr>
      <w:bookmarkStart w:id="7" w:name="_Toc499149620"/>
      <w:r w:rsidRPr="00BA7EF3">
        <w:rPr>
          <w:rFonts w:ascii="Times New Roman" w:eastAsia="Calibri" w:hAnsi="Times New Roman" w:cs="Times New Roman"/>
          <w:b/>
          <w:noProof/>
        </w:rPr>
        <w:t xml:space="preserve">Analisis </w:t>
      </w:r>
      <w:r w:rsidRPr="00BA7EF3">
        <w:rPr>
          <w:rFonts w:ascii="Times New Roman" w:eastAsia="Calibri" w:hAnsi="Times New Roman" w:cs="Times New Roman"/>
          <w:b/>
          <w:bCs/>
          <w:noProof/>
        </w:rPr>
        <w:t>Regresi</w:t>
      </w:r>
      <w:r w:rsidRPr="00BA7EF3">
        <w:rPr>
          <w:rFonts w:ascii="Times New Roman" w:eastAsia="Calibri" w:hAnsi="Times New Roman" w:cs="Times New Roman"/>
          <w:b/>
          <w:noProof/>
        </w:rPr>
        <w:t xml:space="preserve"> Berganda</w:t>
      </w:r>
      <w:bookmarkEnd w:id="7"/>
    </w:p>
    <w:p w14:paraId="13B6C8FF" w14:textId="737C98FB" w:rsidR="00B612DB" w:rsidRDefault="009C0269" w:rsidP="00BA7EF3">
      <w:pPr>
        <w:tabs>
          <w:tab w:val="left" w:pos="567"/>
        </w:tabs>
        <w:ind w:firstLine="567"/>
        <w:jc w:val="both"/>
        <w:rPr>
          <w:rFonts w:eastAsia="Calibri"/>
          <w:noProof/>
        </w:rPr>
      </w:pPr>
      <w:r w:rsidRPr="009C0269">
        <w:rPr>
          <w:rFonts w:eastAsia="Calibri"/>
          <w:lang w:val="x-none"/>
        </w:rPr>
        <w:t xml:space="preserve">Pemeriksaan </w:t>
      </w:r>
      <w:r>
        <w:rPr>
          <w:rFonts w:eastAsia="Calibri"/>
          <w:lang w:val="id-ID"/>
        </w:rPr>
        <w:t xml:space="preserve">pada eksplorasi </w:t>
      </w:r>
      <w:r w:rsidRPr="009C0269">
        <w:rPr>
          <w:rFonts w:eastAsia="Calibri"/>
          <w:lang w:val="x-none"/>
        </w:rPr>
        <w:t xml:space="preserve">ini </w:t>
      </w:r>
      <w:r>
        <w:rPr>
          <w:rFonts w:eastAsia="Calibri"/>
          <w:lang w:val="id-ID"/>
        </w:rPr>
        <w:t xml:space="preserve">ialah </w:t>
      </w:r>
      <w:r w:rsidRPr="009C0269">
        <w:rPr>
          <w:rFonts w:eastAsia="Calibri"/>
          <w:lang w:val="x-none"/>
        </w:rPr>
        <w:t>berbagai pemeriksaan relaps langsung. Investigasi ini digunakan untuk menentukan dampak kesadaran penyelesaian dakwaan, melihat kelayakan kerangka kerja, pemahaman Undang-Undang Unggulan Nomor 23 Tahun 2018, dan kesiapan untuk memperbaiki dakwaan. Konsekuensi dari berbagai tes relaps langsung ditampilkan pada tabel terlampir:</w:t>
      </w:r>
    </w:p>
    <w:p w14:paraId="66499C87" w14:textId="4B400CF3" w:rsidR="00B612DB" w:rsidRPr="00B612DB" w:rsidRDefault="00B612DB" w:rsidP="00B612DB">
      <w:pPr>
        <w:keepNext/>
        <w:ind w:left="720"/>
        <w:jc w:val="center"/>
        <w:rPr>
          <w:b/>
          <w:bCs/>
          <w:iCs/>
          <w:color w:val="000000"/>
        </w:rPr>
      </w:pPr>
      <w:proofErr w:type="gramStart"/>
      <w:r w:rsidRPr="00B612DB">
        <w:rPr>
          <w:b/>
          <w:bCs/>
          <w:iCs/>
        </w:rPr>
        <w:t xml:space="preserve">Tabel </w:t>
      </w:r>
      <w:r w:rsidR="00DB4165">
        <w:rPr>
          <w:b/>
          <w:bCs/>
          <w:iCs/>
        </w:rPr>
        <w:t>9.</w:t>
      </w:r>
      <w:proofErr w:type="gramEnd"/>
      <w:r w:rsidRPr="00B612DB">
        <w:rPr>
          <w:b/>
          <w:bCs/>
          <w:iCs/>
        </w:rPr>
        <w:t xml:space="preserve"> Hasil Regresi Linier Berganda </w:t>
      </w:r>
    </w:p>
    <w:tbl>
      <w:tblPr>
        <w:tblW w:w="526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04"/>
        <w:gridCol w:w="2842"/>
        <w:gridCol w:w="1283"/>
        <w:gridCol w:w="1285"/>
        <w:gridCol w:w="1416"/>
        <w:gridCol w:w="987"/>
        <w:gridCol w:w="987"/>
      </w:tblGrid>
      <w:tr w:rsidR="00B612DB" w:rsidRPr="00B612DB" w14:paraId="6B562D71" w14:textId="77777777" w:rsidTr="00FA1A43">
        <w:trPr>
          <w:cantSplit/>
        </w:trPr>
        <w:tc>
          <w:tcPr>
            <w:tcW w:w="5000" w:type="pct"/>
            <w:gridSpan w:val="7"/>
            <w:tcBorders>
              <w:top w:val="nil"/>
              <w:left w:val="nil"/>
              <w:bottom w:val="nil"/>
              <w:right w:val="nil"/>
            </w:tcBorders>
            <w:shd w:val="clear" w:color="auto" w:fill="auto"/>
            <w:vAlign w:val="center"/>
          </w:tcPr>
          <w:p w14:paraId="3106C23B" w14:textId="77777777" w:rsidR="00B612DB" w:rsidRPr="00B612DB" w:rsidRDefault="00B612DB" w:rsidP="00B612DB">
            <w:pPr>
              <w:adjustRightInd w:val="0"/>
              <w:ind w:left="60" w:right="60"/>
              <w:jc w:val="center"/>
              <w:rPr>
                <w14:ligatures w14:val="standardContextual"/>
              </w:rPr>
            </w:pPr>
            <w:r w:rsidRPr="00B612DB">
              <w:rPr>
                <w:b/>
                <w:bCs/>
                <w14:ligatures w14:val="standardContextual"/>
              </w:rPr>
              <w:t>Coefficients</w:t>
            </w:r>
            <w:r w:rsidRPr="00B612DB">
              <w:rPr>
                <w:b/>
                <w:bCs/>
                <w:vertAlign w:val="superscript"/>
                <w14:ligatures w14:val="standardContextual"/>
              </w:rPr>
              <w:t>a</w:t>
            </w:r>
          </w:p>
        </w:tc>
      </w:tr>
      <w:tr w:rsidR="00B612DB" w:rsidRPr="00B612DB" w14:paraId="65BEBDEE" w14:textId="77777777" w:rsidTr="00FA1A43">
        <w:trPr>
          <w:cantSplit/>
        </w:trPr>
        <w:tc>
          <w:tcPr>
            <w:tcW w:w="1866" w:type="pct"/>
            <w:gridSpan w:val="2"/>
            <w:vMerge w:val="restart"/>
            <w:tcBorders>
              <w:top w:val="nil"/>
              <w:left w:val="nil"/>
              <w:bottom w:val="nil"/>
              <w:right w:val="nil"/>
            </w:tcBorders>
            <w:shd w:val="clear" w:color="auto" w:fill="auto"/>
            <w:vAlign w:val="bottom"/>
          </w:tcPr>
          <w:p w14:paraId="641A4A59" w14:textId="77777777" w:rsidR="00B612DB" w:rsidRPr="00B612DB" w:rsidRDefault="00B612DB" w:rsidP="00B612DB">
            <w:pPr>
              <w:adjustRightInd w:val="0"/>
              <w:ind w:left="60" w:right="60"/>
              <w:rPr>
                <w14:ligatures w14:val="standardContextual"/>
              </w:rPr>
            </w:pPr>
            <w:r w:rsidRPr="00B612DB">
              <w:rPr>
                <w14:ligatures w14:val="standardContextual"/>
              </w:rPr>
              <w:t>Model</w:t>
            </w:r>
          </w:p>
        </w:tc>
        <w:tc>
          <w:tcPr>
            <w:tcW w:w="1351" w:type="pct"/>
            <w:gridSpan w:val="2"/>
            <w:tcBorders>
              <w:top w:val="nil"/>
              <w:left w:val="nil"/>
              <w:bottom w:val="nil"/>
              <w:right w:val="nil"/>
            </w:tcBorders>
            <w:shd w:val="clear" w:color="auto" w:fill="auto"/>
            <w:vAlign w:val="bottom"/>
          </w:tcPr>
          <w:p w14:paraId="5FA333BD" w14:textId="77777777" w:rsidR="00B612DB" w:rsidRPr="00B612DB" w:rsidRDefault="00B612DB" w:rsidP="00B612DB">
            <w:pPr>
              <w:adjustRightInd w:val="0"/>
              <w:ind w:left="60" w:right="60"/>
              <w:jc w:val="center"/>
              <w:rPr>
                <w14:ligatures w14:val="standardContextual"/>
              </w:rPr>
            </w:pPr>
            <w:r w:rsidRPr="00B612DB">
              <w:rPr>
                <w14:ligatures w14:val="standardContextual"/>
              </w:rPr>
              <w:t>Unstandardized Coefficients</w:t>
            </w:r>
          </w:p>
        </w:tc>
        <w:tc>
          <w:tcPr>
            <w:tcW w:w="745" w:type="pct"/>
            <w:tcBorders>
              <w:top w:val="nil"/>
              <w:left w:val="single" w:sz="8" w:space="0" w:color="E0E0E0"/>
              <w:bottom w:val="nil"/>
              <w:right w:val="nil"/>
            </w:tcBorders>
            <w:shd w:val="clear" w:color="auto" w:fill="auto"/>
            <w:vAlign w:val="bottom"/>
          </w:tcPr>
          <w:p w14:paraId="1304B9B9" w14:textId="77777777" w:rsidR="00B612DB" w:rsidRPr="00B612DB" w:rsidRDefault="00B612DB" w:rsidP="00B612DB">
            <w:pPr>
              <w:adjustRightInd w:val="0"/>
              <w:ind w:left="60" w:right="60"/>
              <w:jc w:val="center"/>
              <w:rPr>
                <w14:ligatures w14:val="standardContextual"/>
              </w:rPr>
            </w:pPr>
            <w:r w:rsidRPr="00B612DB">
              <w:rPr>
                <w14:ligatures w14:val="standardContextual"/>
              </w:rPr>
              <w:t>Standardized Coefficients</w:t>
            </w:r>
          </w:p>
        </w:tc>
        <w:tc>
          <w:tcPr>
            <w:tcW w:w="519" w:type="pct"/>
            <w:vMerge w:val="restart"/>
            <w:tcBorders>
              <w:top w:val="nil"/>
              <w:left w:val="single" w:sz="8" w:space="0" w:color="E0E0E0"/>
              <w:bottom w:val="nil"/>
              <w:right w:val="single" w:sz="8" w:space="0" w:color="E0E0E0"/>
            </w:tcBorders>
            <w:shd w:val="clear" w:color="auto" w:fill="auto"/>
            <w:vAlign w:val="bottom"/>
          </w:tcPr>
          <w:p w14:paraId="37559C70" w14:textId="77777777" w:rsidR="00B612DB" w:rsidRPr="00B612DB" w:rsidRDefault="00B612DB" w:rsidP="00B612DB">
            <w:pPr>
              <w:adjustRightInd w:val="0"/>
              <w:ind w:left="60" w:right="60"/>
              <w:jc w:val="center"/>
              <w:rPr>
                <w14:ligatures w14:val="standardContextual"/>
              </w:rPr>
            </w:pPr>
            <w:r w:rsidRPr="00B612DB">
              <w:rPr>
                <w14:ligatures w14:val="standardContextual"/>
              </w:rPr>
              <w:t>t</w:t>
            </w:r>
          </w:p>
        </w:tc>
        <w:tc>
          <w:tcPr>
            <w:tcW w:w="519" w:type="pct"/>
            <w:vMerge w:val="restart"/>
            <w:tcBorders>
              <w:top w:val="nil"/>
              <w:left w:val="single" w:sz="8" w:space="0" w:color="E0E0E0"/>
              <w:bottom w:val="nil"/>
              <w:right w:val="nil"/>
            </w:tcBorders>
            <w:shd w:val="clear" w:color="auto" w:fill="auto"/>
            <w:vAlign w:val="bottom"/>
          </w:tcPr>
          <w:p w14:paraId="6A5F514C" w14:textId="77777777" w:rsidR="00B612DB" w:rsidRPr="00B612DB" w:rsidRDefault="00B612DB" w:rsidP="00B612DB">
            <w:pPr>
              <w:adjustRightInd w:val="0"/>
              <w:ind w:left="60" w:right="60"/>
              <w:jc w:val="center"/>
              <w:rPr>
                <w14:ligatures w14:val="standardContextual"/>
              </w:rPr>
            </w:pPr>
            <w:r w:rsidRPr="00B612DB">
              <w:rPr>
                <w14:ligatures w14:val="standardContextual"/>
              </w:rPr>
              <w:t>Sig.</w:t>
            </w:r>
          </w:p>
        </w:tc>
      </w:tr>
      <w:tr w:rsidR="00B612DB" w:rsidRPr="00B612DB" w14:paraId="6D0E9E03" w14:textId="77777777" w:rsidTr="00FA1A43">
        <w:trPr>
          <w:cantSplit/>
        </w:trPr>
        <w:tc>
          <w:tcPr>
            <w:tcW w:w="1866" w:type="pct"/>
            <w:gridSpan w:val="2"/>
            <w:vMerge/>
            <w:tcBorders>
              <w:top w:val="nil"/>
              <w:left w:val="nil"/>
              <w:bottom w:val="nil"/>
              <w:right w:val="nil"/>
            </w:tcBorders>
            <w:shd w:val="clear" w:color="auto" w:fill="auto"/>
            <w:vAlign w:val="bottom"/>
          </w:tcPr>
          <w:p w14:paraId="61892DD3" w14:textId="77777777" w:rsidR="00B612DB" w:rsidRPr="00B612DB" w:rsidRDefault="00B612DB" w:rsidP="00B612DB">
            <w:pPr>
              <w:adjustRightInd w:val="0"/>
              <w:rPr>
                <w14:ligatures w14:val="standardContextual"/>
              </w:rPr>
            </w:pPr>
          </w:p>
        </w:tc>
        <w:tc>
          <w:tcPr>
            <w:tcW w:w="675" w:type="pct"/>
            <w:tcBorders>
              <w:top w:val="nil"/>
              <w:left w:val="nil"/>
              <w:bottom w:val="single" w:sz="8" w:space="0" w:color="152935"/>
              <w:right w:val="nil"/>
            </w:tcBorders>
            <w:shd w:val="clear" w:color="auto" w:fill="auto"/>
            <w:vAlign w:val="bottom"/>
          </w:tcPr>
          <w:p w14:paraId="66AFD3BD" w14:textId="77777777" w:rsidR="00B612DB" w:rsidRPr="00B612DB" w:rsidRDefault="00B612DB" w:rsidP="00B612DB">
            <w:pPr>
              <w:adjustRightInd w:val="0"/>
              <w:ind w:left="60" w:right="60"/>
              <w:jc w:val="center"/>
              <w:rPr>
                <w14:ligatures w14:val="standardContextual"/>
              </w:rPr>
            </w:pPr>
            <w:r w:rsidRPr="00B612DB">
              <w:rPr>
                <w14:ligatures w14:val="standardContextual"/>
              </w:rPr>
              <w:t>B</w:t>
            </w:r>
          </w:p>
        </w:tc>
        <w:tc>
          <w:tcPr>
            <w:tcW w:w="676" w:type="pct"/>
            <w:tcBorders>
              <w:top w:val="nil"/>
              <w:left w:val="single" w:sz="8" w:space="0" w:color="E0E0E0"/>
              <w:bottom w:val="single" w:sz="8" w:space="0" w:color="152935"/>
              <w:right w:val="single" w:sz="8" w:space="0" w:color="E0E0E0"/>
            </w:tcBorders>
            <w:shd w:val="clear" w:color="auto" w:fill="auto"/>
            <w:vAlign w:val="bottom"/>
          </w:tcPr>
          <w:p w14:paraId="025ADC92" w14:textId="77777777" w:rsidR="00B612DB" w:rsidRPr="00B612DB" w:rsidRDefault="00B612DB" w:rsidP="00B612DB">
            <w:pPr>
              <w:adjustRightInd w:val="0"/>
              <w:ind w:left="60" w:right="60"/>
              <w:jc w:val="center"/>
              <w:rPr>
                <w14:ligatures w14:val="standardContextual"/>
              </w:rPr>
            </w:pPr>
            <w:r w:rsidRPr="00B612DB">
              <w:rPr>
                <w14:ligatures w14:val="standardContextual"/>
              </w:rPr>
              <w:t>Std. Error</w:t>
            </w:r>
          </w:p>
        </w:tc>
        <w:tc>
          <w:tcPr>
            <w:tcW w:w="745" w:type="pct"/>
            <w:tcBorders>
              <w:top w:val="nil"/>
              <w:left w:val="single" w:sz="8" w:space="0" w:color="E0E0E0"/>
              <w:bottom w:val="single" w:sz="8" w:space="0" w:color="152935"/>
              <w:right w:val="nil"/>
            </w:tcBorders>
            <w:shd w:val="clear" w:color="auto" w:fill="auto"/>
            <w:vAlign w:val="bottom"/>
          </w:tcPr>
          <w:p w14:paraId="72CC7785" w14:textId="77777777" w:rsidR="00B612DB" w:rsidRPr="00B612DB" w:rsidRDefault="00B612DB" w:rsidP="00B612DB">
            <w:pPr>
              <w:adjustRightInd w:val="0"/>
              <w:ind w:left="60" w:right="60"/>
              <w:jc w:val="center"/>
              <w:rPr>
                <w14:ligatures w14:val="standardContextual"/>
              </w:rPr>
            </w:pPr>
            <w:r w:rsidRPr="00B612DB">
              <w:rPr>
                <w14:ligatures w14:val="standardContextual"/>
              </w:rPr>
              <w:t>Beta</w:t>
            </w:r>
          </w:p>
        </w:tc>
        <w:tc>
          <w:tcPr>
            <w:tcW w:w="519" w:type="pct"/>
            <w:vMerge/>
            <w:tcBorders>
              <w:top w:val="nil"/>
              <w:left w:val="single" w:sz="8" w:space="0" w:color="E0E0E0"/>
              <w:bottom w:val="nil"/>
              <w:right w:val="single" w:sz="8" w:space="0" w:color="E0E0E0"/>
            </w:tcBorders>
            <w:shd w:val="clear" w:color="auto" w:fill="auto"/>
            <w:vAlign w:val="bottom"/>
          </w:tcPr>
          <w:p w14:paraId="29122926" w14:textId="77777777" w:rsidR="00B612DB" w:rsidRPr="00B612DB" w:rsidRDefault="00B612DB" w:rsidP="00B612DB">
            <w:pPr>
              <w:adjustRightInd w:val="0"/>
              <w:rPr>
                <w14:ligatures w14:val="standardContextual"/>
              </w:rPr>
            </w:pPr>
          </w:p>
        </w:tc>
        <w:tc>
          <w:tcPr>
            <w:tcW w:w="519" w:type="pct"/>
            <w:vMerge/>
            <w:tcBorders>
              <w:top w:val="nil"/>
              <w:left w:val="single" w:sz="8" w:space="0" w:color="E0E0E0"/>
              <w:bottom w:val="nil"/>
              <w:right w:val="nil"/>
            </w:tcBorders>
            <w:shd w:val="clear" w:color="auto" w:fill="auto"/>
            <w:vAlign w:val="bottom"/>
          </w:tcPr>
          <w:p w14:paraId="38C15CB7" w14:textId="77777777" w:rsidR="00B612DB" w:rsidRPr="00B612DB" w:rsidRDefault="00B612DB" w:rsidP="00B612DB">
            <w:pPr>
              <w:adjustRightInd w:val="0"/>
              <w:rPr>
                <w14:ligatures w14:val="standardContextual"/>
              </w:rPr>
            </w:pPr>
          </w:p>
        </w:tc>
      </w:tr>
      <w:tr w:rsidR="00B612DB" w:rsidRPr="00B612DB" w14:paraId="07FD9717" w14:textId="77777777" w:rsidTr="00BA7EF3">
        <w:trPr>
          <w:cantSplit/>
        </w:trPr>
        <w:tc>
          <w:tcPr>
            <w:tcW w:w="371" w:type="pct"/>
            <w:vMerge w:val="restart"/>
            <w:tcBorders>
              <w:top w:val="single" w:sz="8" w:space="0" w:color="152935"/>
              <w:left w:val="nil"/>
              <w:bottom w:val="single" w:sz="8" w:space="0" w:color="152935"/>
              <w:right w:val="nil"/>
            </w:tcBorders>
            <w:shd w:val="clear" w:color="auto" w:fill="auto"/>
          </w:tcPr>
          <w:p w14:paraId="64D0C882" w14:textId="77777777" w:rsidR="00B612DB" w:rsidRPr="00B612DB" w:rsidRDefault="00B612DB" w:rsidP="00B612DB">
            <w:pPr>
              <w:adjustRightInd w:val="0"/>
              <w:ind w:left="60" w:right="60"/>
              <w:rPr>
                <w14:ligatures w14:val="standardContextual"/>
              </w:rPr>
            </w:pPr>
            <w:r w:rsidRPr="00B612DB">
              <w:rPr>
                <w14:ligatures w14:val="standardContextual"/>
              </w:rPr>
              <w:t>1</w:t>
            </w:r>
          </w:p>
        </w:tc>
        <w:tc>
          <w:tcPr>
            <w:tcW w:w="1494" w:type="pct"/>
            <w:tcBorders>
              <w:top w:val="single" w:sz="8" w:space="0" w:color="152935"/>
              <w:left w:val="nil"/>
              <w:bottom w:val="single" w:sz="8" w:space="0" w:color="AEAEAE"/>
              <w:right w:val="nil"/>
            </w:tcBorders>
            <w:shd w:val="clear" w:color="auto" w:fill="auto"/>
          </w:tcPr>
          <w:p w14:paraId="38A900F6" w14:textId="77777777" w:rsidR="00B612DB" w:rsidRPr="00B612DB" w:rsidRDefault="00B612DB" w:rsidP="00B612DB">
            <w:pPr>
              <w:adjustRightInd w:val="0"/>
              <w:ind w:left="60" w:right="60"/>
              <w:rPr>
                <w14:ligatures w14:val="standardContextual"/>
              </w:rPr>
            </w:pPr>
            <w:r w:rsidRPr="00B612DB">
              <w:rPr>
                <w14:ligatures w14:val="standardContextual"/>
              </w:rPr>
              <w:t>(Constant)</w:t>
            </w:r>
          </w:p>
        </w:tc>
        <w:tc>
          <w:tcPr>
            <w:tcW w:w="675" w:type="pct"/>
            <w:tcBorders>
              <w:top w:val="single" w:sz="8" w:space="0" w:color="152935"/>
              <w:left w:val="nil"/>
              <w:bottom w:val="single" w:sz="8" w:space="0" w:color="AEAEAE"/>
              <w:right w:val="nil"/>
            </w:tcBorders>
            <w:shd w:val="clear" w:color="auto" w:fill="auto"/>
          </w:tcPr>
          <w:p w14:paraId="4696C01F" w14:textId="77777777" w:rsidR="00B612DB" w:rsidRPr="00B612DB" w:rsidRDefault="00B612DB" w:rsidP="00B612DB">
            <w:pPr>
              <w:adjustRightInd w:val="0"/>
              <w:ind w:left="60" w:right="60"/>
              <w:jc w:val="right"/>
              <w:rPr>
                <w14:ligatures w14:val="standardContextual"/>
              </w:rPr>
            </w:pPr>
            <w:r w:rsidRPr="00B612DB">
              <w:rPr>
                <w14:ligatures w14:val="standardContextual"/>
              </w:rPr>
              <w:t>-1,065</w:t>
            </w:r>
          </w:p>
        </w:tc>
        <w:tc>
          <w:tcPr>
            <w:tcW w:w="676" w:type="pct"/>
            <w:tcBorders>
              <w:top w:val="single" w:sz="8" w:space="0" w:color="152935"/>
              <w:left w:val="single" w:sz="8" w:space="0" w:color="E0E0E0"/>
              <w:bottom w:val="single" w:sz="8" w:space="0" w:color="AEAEAE"/>
              <w:right w:val="single" w:sz="8" w:space="0" w:color="E0E0E0"/>
            </w:tcBorders>
            <w:shd w:val="clear" w:color="auto" w:fill="auto"/>
          </w:tcPr>
          <w:p w14:paraId="20554E8A" w14:textId="77777777" w:rsidR="00B612DB" w:rsidRPr="00B612DB" w:rsidRDefault="00B612DB" w:rsidP="00B612DB">
            <w:pPr>
              <w:adjustRightInd w:val="0"/>
              <w:ind w:left="60" w:right="60"/>
              <w:jc w:val="right"/>
              <w:rPr>
                <w14:ligatures w14:val="standardContextual"/>
              </w:rPr>
            </w:pPr>
            <w:r w:rsidRPr="00B612DB">
              <w:rPr>
                <w14:ligatures w14:val="standardContextual"/>
              </w:rPr>
              <w:t>2,597</w:t>
            </w:r>
          </w:p>
        </w:tc>
        <w:tc>
          <w:tcPr>
            <w:tcW w:w="745" w:type="pct"/>
            <w:tcBorders>
              <w:top w:val="single" w:sz="8" w:space="0" w:color="152935"/>
              <w:left w:val="single" w:sz="8" w:space="0" w:color="E0E0E0"/>
              <w:bottom w:val="single" w:sz="8" w:space="0" w:color="AEAEAE"/>
              <w:right w:val="nil"/>
            </w:tcBorders>
            <w:shd w:val="clear" w:color="auto" w:fill="auto"/>
            <w:vAlign w:val="center"/>
          </w:tcPr>
          <w:p w14:paraId="03B2BF7B" w14:textId="77777777" w:rsidR="00B612DB" w:rsidRPr="00B612DB" w:rsidRDefault="00B612DB" w:rsidP="00B612DB">
            <w:pPr>
              <w:adjustRightInd w:val="0"/>
              <w:rPr>
                <w14:ligatures w14:val="standardContextual"/>
              </w:rPr>
            </w:pPr>
          </w:p>
        </w:tc>
        <w:tc>
          <w:tcPr>
            <w:tcW w:w="519" w:type="pct"/>
            <w:tcBorders>
              <w:top w:val="single" w:sz="8" w:space="0" w:color="152935"/>
              <w:left w:val="single" w:sz="8" w:space="0" w:color="E0E0E0"/>
              <w:bottom w:val="single" w:sz="8" w:space="0" w:color="AEAEAE"/>
              <w:right w:val="single" w:sz="8" w:space="0" w:color="E0E0E0"/>
            </w:tcBorders>
            <w:shd w:val="clear" w:color="auto" w:fill="auto"/>
          </w:tcPr>
          <w:p w14:paraId="7B687FC3" w14:textId="77777777" w:rsidR="00B612DB" w:rsidRPr="00B612DB" w:rsidRDefault="00B612DB" w:rsidP="00B612DB">
            <w:pPr>
              <w:adjustRightInd w:val="0"/>
              <w:ind w:left="60" w:right="60"/>
              <w:jc w:val="right"/>
              <w:rPr>
                <w14:ligatures w14:val="standardContextual"/>
              </w:rPr>
            </w:pPr>
            <w:r w:rsidRPr="00B612DB">
              <w:rPr>
                <w14:ligatures w14:val="standardContextual"/>
              </w:rPr>
              <w:t>-0,410</w:t>
            </w:r>
          </w:p>
        </w:tc>
        <w:tc>
          <w:tcPr>
            <w:tcW w:w="519" w:type="pct"/>
            <w:tcBorders>
              <w:top w:val="single" w:sz="8" w:space="0" w:color="152935"/>
              <w:left w:val="single" w:sz="8" w:space="0" w:color="E0E0E0"/>
              <w:bottom w:val="single" w:sz="8" w:space="0" w:color="AEAEAE"/>
              <w:right w:val="nil"/>
            </w:tcBorders>
            <w:shd w:val="clear" w:color="auto" w:fill="auto"/>
          </w:tcPr>
          <w:p w14:paraId="72FA50E0" w14:textId="77777777" w:rsidR="00B612DB" w:rsidRPr="00B612DB" w:rsidRDefault="00B612DB" w:rsidP="00B612DB">
            <w:pPr>
              <w:adjustRightInd w:val="0"/>
              <w:ind w:left="60" w:right="60"/>
              <w:jc w:val="right"/>
              <w:rPr>
                <w14:ligatures w14:val="standardContextual"/>
              </w:rPr>
            </w:pPr>
            <w:r w:rsidRPr="00B612DB">
              <w:rPr>
                <w14:ligatures w14:val="standardContextual"/>
              </w:rPr>
              <w:t>0,683</w:t>
            </w:r>
          </w:p>
        </w:tc>
      </w:tr>
      <w:tr w:rsidR="00B612DB" w:rsidRPr="00B612DB" w14:paraId="0C391B1A" w14:textId="77777777" w:rsidTr="00BA7EF3">
        <w:trPr>
          <w:cantSplit/>
        </w:trPr>
        <w:tc>
          <w:tcPr>
            <w:tcW w:w="371" w:type="pct"/>
            <w:vMerge/>
            <w:tcBorders>
              <w:top w:val="single" w:sz="8" w:space="0" w:color="152935"/>
              <w:left w:val="nil"/>
              <w:bottom w:val="single" w:sz="8" w:space="0" w:color="152935"/>
              <w:right w:val="nil"/>
            </w:tcBorders>
            <w:shd w:val="clear" w:color="auto" w:fill="auto"/>
          </w:tcPr>
          <w:p w14:paraId="269A0E9F" w14:textId="77777777" w:rsidR="00B612DB" w:rsidRPr="00B612DB" w:rsidRDefault="00B612DB" w:rsidP="00B612DB">
            <w:pPr>
              <w:adjustRightInd w:val="0"/>
              <w:rPr>
                <w14:ligatures w14:val="standardContextual"/>
              </w:rPr>
            </w:pPr>
          </w:p>
        </w:tc>
        <w:tc>
          <w:tcPr>
            <w:tcW w:w="1494" w:type="pct"/>
            <w:tcBorders>
              <w:top w:val="single" w:sz="8" w:space="0" w:color="AEAEAE"/>
              <w:left w:val="nil"/>
              <w:bottom w:val="single" w:sz="8" w:space="0" w:color="AEAEAE"/>
              <w:right w:val="nil"/>
            </w:tcBorders>
            <w:shd w:val="clear" w:color="auto" w:fill="auto"/>
          </w:tcPr>
          <w:p w14:paraId="7F2FA540" w14:textId="77777777" w:rsidR="00B612DB" w:rsidRPr="00B612DB" w:rsidRDefault="00B612DB" w:rsidP="00B612DB">
            <w:pPr>
              <w:adjustRightInd w:val="0"/>
              <w:ind w:left="60" w:right="60"/>
              <w:rPr>
                <w14:ligatures w14:val="standardContextual"/>
              </w:rPr>
            </w:pPr>
            <w:r w:rsidRPr="00B612DB">
              <w:rPr>
                <w14:ligatures w14:val="standardContextual"/>
              </w:rPr>
              <w:t>Kesadaran Membayar Pajak</w:t>
            </w:r>
          </w:p>
        </w:tc>
        <w:tc>
          <w:tcPr>
            <w:tcW w:w="675" w:type="pct"/>
            <w:tcBorders>
              <w:top w:val="single" w:sz="8" w:space="0" w:color="AEAEAE"/>
              <w:left w:val="nil"/>
              <w:bottom w:val="single" w:sz="8" w:space="0" w:color="AEAEAE"/>
              <w:right w:val="nil"/>
            </w:tcBorders>
            <w:shd w:val="clear" w:color="auto" w:fill="auto"/>
          </w:tcPr>
          <w:p w14:paraId="61E390FE" w14:textId="77777777" w:rsidR="00B612DB" w:rsidRPr="00B612DB" w:rsidRDefault="00B612DB" w:rsidP="00B612DB">
            <w:pPr>
              <w:adjustRightInd w:val="0"/>
              <w:ind w:left="60" w:right="60"/>
              <w:jc w:val="right"/>
              <w:rPr>
                <w14:ligatures w14:val="standardContextual"/>
              </w:rPr>
            </w:pPr>
            <w:r w:rsidRPr="00B612DB">
              <w:rPr>
                <w14:ligatures w14:val="standardContextual"/>
              </w:rPr>
              <w:t>0,335</w:t>
            </w:r>
          </w:p>
        </w:tc>
        <w:tc>
          <w:tcPr>
            <w:tcW w:w="676" w:type="pct"/>
            <w:tcBorders>
              <w:top w:val="single" w:sz="8" w:space="0" w:color="AEAEAE"/>
              <w:left w:val="single" w:sz="8" w:space="0" w:color="E0E0E0"/>
              <w:bottom w:val="single" w:sz="8" w:space="0" w:color="AEAEAE"/>
              <w:right w:val="single" w:sz="8" w:space="0" w:color="E0E0E0"/>
            </w:tcBorders>
            <w:shd w:val="clear" w:color="auto" w:fill="auto"/>
          </w:tcPr>
          <w:p w14:paraId="723E4D24" w14:textId="77777777" w:rsidR="00B612DB" w:rsidRPr="00B612DB" w:rsidRDefault="00B612DB" w:rsidP="00B612DB">
            <w:pPr>
              <w:adjustRightInd w:val="0"/>
              <w:ind w:left="60" w:right="60"/>
              <w:jc w:val="right"/>
              <w:rPr>
                <w14:ligatures w14:val="standardContextual"/>
              </w:rPr>
            </w:pPr>
            <w:r w:rsidRPr="00B612DB">
              <w:rPr>
                <w14:ligatures w14:val="standardContextual"/>
              </w:rPr>
              <w:t>0,056</w:t>
            </w:r>
          </w:p>
        </w:tc>
        <w:tc>
          <w:tcPr>
            <w:tcW w:w="745" w:type="pct"/>
            <w:tcBorders>
              <w:top w:val="single" w:sz="8" w:space="0" w:color="AEAEAE"/>
              <w:left w:val="single" w:sz="8" w:space="0" w:color="E0E0E0"/>
              <w:bottom w:val="single" w:sz="8" w:space="0" w:color="AEAEAE"/>
              <w:right w:val="nil"/>
            </w:tcBorders>
            <w:shd w:val="clear" w:color="auto" w:fill="auto"/>
          </w:tcPr>
          <w:p w14:paraId="5B225B5B" w14:textId="77777777" w:rsidR="00B612DB" w:rsidRPr="00B612DB" w:rsidRDefault="00B612DB" w:rsidP="00B612DB">
            <w:pPr>
              <w:adjustRightInd w:val="0"/>
              <w:ind w:left="60" w:right="60"/>
              <w:jc w:val="right"/>
              <w:rPr>
                <w14:ligatures w14:val="standardContextual"/>
              </w:rPr>
            </w:pPr>
            <w:r w:rsidRPr="00B612DB">
              <w:rPr>
                <w14:ligatures w14:val="standardContextual"/>
              </w:rPr>
              <w:t>0,437</w:t>
            </w:r>
          </w:p>
        </w:tc>
        <w:tc>
          <w:tcPr>
            <w:tcW w:w="519" w:type="pct"/>
            <w:tcBorders>
              <w:top w:val="single" w:sz="8" w:space="0" w:color="AEAEAE"/>
              <w:left w:val="single" w:sz="8" w:space="0" w:color="E0E0E0"/>
              <w:bottom w:val="single" w:sz="8" w:space="0" w:color="AEAEAE"/>
              <w:right w:val="single" w:sz="8" w:space="0" w:color="E0E0E0"/>
            </w:tcBorders>
            <w:shd w:val="clear" w:color="auto" w:fill="auto"/>
          </w:tcPr>
          <w:p w14:paraId="5017A6DF" w14:textId="77777777" w:rsidR="00B612DB" w:rsidRPr="00B612DB" w:rsidRDefault="00B612DB" w:rsidP="00B612DB">
            <w:pPr>
              <w:adjustRightInd w:val="0"/>
              <w:ind w:left="60" w:right="60"/>
              <w:jc w:val="right"/>
              <w:rPr>
                <w14:ligatures w14:val="standardContextual"/>
              </w:rPr>
            </w:pPr>
            <w:r w:rsidRPr="00B612DB">
              <w:rPr>
                <w14:ligatures w14:val="standardContextual"/>
              </w:rPr>
              <w:t>6,023</w:t>
            </w:r>
          </w:p>
        </w:tc>
        <w:tc>
          <w:tcPr>
            <w:tcW w:w="519" w:type="pct"/>
            <w:tcBorders>
              <w:top w:val="single" w:sz="8" w:space="0" w:color="AEAEAE"/>
              <w:left w:val="single" w:sz="8" w:space="0" w:color="E0E0E0"/>
              <w:bottom w:val="single" w:sz="8" w:space="0" w:color="AEAEAE"/>
              <w:right w:val="nil"/>
            </w:tcBorders>
            <w:shd w:val="clear" w:color="auto" w:fill="auto"/>
          </w:tcPr>
          <w:p w14:paraId="366999AC" w14:textId="77777777" w:rsidR="00B612DB" w:rsidRPr="00B612DB" w:rsidRDefault="00B612DB" w:rsidP="00B612DB">
            <w:pPr>
              <w:adjustRightInd w:val="0"/>
              <w:ind w:left="60" w:right="60"/>
              <w:jc w:val="right"/>
              <w:rPr>
                <w14:ligatures w14:val="standardContextual"/>
              </w:rPr>
            </w:pPr>
            <w:r w:rsidRPr="00B612DB">
              <w:rPr>
                <w14:ligatures w14:val="standardContextual"/>
              </w:rPr>
              <w:t>0,000</w:t>
            </w:r>
          </w:p>
        </w:tc>
      </w:tr>
      <w:tr w:rsidR="00B612DB" w:rsidRPr="00B612DB" w14:paraId="2ADC2863" w14:textId="77777777" w:rsidTr="00BA7EF3">
        <w:trPr>
          <w:cantSplit/>
        </w:trPr>
        <w:tc>
          <w:tcPr>
            <w:tcW w:w="371" w:type="pct"/>
            <w:vMerge/>
            <w:tcBorders>
              <w:top w:val="single" w:sz="8" w:space="0" w:color="152935"/>
              <w:left w:val="nil"/>
              <w:bottom w:val="single" w:sz="8" w:space="0" w:color="152935"/>
              <w:right w:val="nil"/>
            </w:tcBorders>
            <w:shd w:val="clear" w:color="auto" w:fill="auto"/>
          </w:tcPr>
          <w:p w14:paraId="05D17018" w14:textId="77777777" w:rsidR="00B612DB" w:rsidRPr="00B612DB" w:rsidRDefault="00B612DB" w:rsidP="00B612DB">
            <w:pPr>
              <w:adjustRightInd w:val="0"/>
              <w:rPr>
                <w14:ligatures w14:val="standardContextual"/>
              </w:rPr>
            </w:pPr>
          </w:p>
        </w:tc>
        <w:tc>
          <w:tcPr>
            <w:tcW w:w="1494" w:type="pct"/>
            <w:tcBorders>
              <w:top w:val="single" w:sz="8" w:space="0" w:color="AEAEAE"/>
              <w:left w:val="nil"/>
              <w:bottom w:val="single" w:sz="8" w:space="0" w:color="AEAEAE"/>
              <w:right w:val="nil"/>
            </w:tcBorders>
            <w:shd w:val="clear" w:color="auto" w:fill="auto"/>
          </w:tcPr>
          <w:p w14:paraId="4EC5EC4F" w14:textId="77777777" w:rsidR="00B612DB" w:rsidRPr="00B612DB" w:rsidRDefault="00B612DB" w:rsidP="00B612DB">
            <w:pPr>
              <w:adjustRightInd w:val="0"/>
              <w:ind w:left="60" w:right="60"/>
              <w:rPr>
                <w14:ligatures w14:val="standardContextual"/>
              </w:rPr>
            </w:pPr>
            <w:r w:rsidRPr="00B612DB">
              <w:rPr>
                <w14:ligatures w14:val="standardContextual"/>
              </w:rPr>
              <w:t>Persepsi Atas Efektivitas Sistem Perpajakan</w:t>
            </w:r>
          </w:p>
        </w:tc>
        <w:tc>
          <w:tcPr>
            <w:tcW w:w="675" w:type="pct"/>
            <w:tcBorders>
              <w:top w:val="single" w:sz="8" w:space="0" w:color="AEAEAE"/>
              <w:left w:val="nil"/>
              <w:bottom w:val="single" w:sz="8" w:space="0" w:color="AEAEAE"/>
              <w:right w:val="nil"/>
            </w:tcBorders>
            <w:shd w:val="clear" w:color="auto" w:fill="auto"/>
          </w:tcPr>
          <w:p w14:paraId="1A077741" w14:textId="77777777" w:rsidR="00B612DB" w:rsidRPr="00B612DB" w:rsidRDefault="00B612DB" w:rsidP="00B612DB">
            <w:pPr>
              <w:adjustRightInd w:val="0"/>
              <w:ind w:left="60" w:right="60"/>
              <w:jc w:val="right"/>
              <w:rPr>
                <w14:ligatures w14:val="standardContextual"/>
              </w:rPr>
            </w:pPr>
            <w:r w:rsidRPr="00B612DB">
              <w:rPr>
                <w14:ligatures w14:val="standardContextual"/>
              </w:rPr>
              <w:t>0,270</w:t>
            </w:r>
          </w:p>
        </w:tc>
        <w:tc>
          <w:tcPr>
            <w:tcW w:w="676" w:type="pct"/>
            <w:tcBorders>
              <w:top w:val="single" w:sz="8" w:space="0" w:color="AEAEAE"/>
              <w:left w:val="single" w:sz="8" w:space="0" w:color="E0E0E0"/>
              <w:bottom w:val="single" w:sz="8" w:space="0" w:color="AEAEAE"/>
              <w:right w:val="single" w:sz="8" w:space="0" w:color="E0E0E0"/>
            </w:tcBorders>
            <w:shd w:val="clear" w:color="auto" w:fill="auto"/>
          </w:tcPr>
          <w:p w14:paraId="2B76C950" w14:textId="77777777" w:rsidR="00B612DB" w:rsidRPr="00B612DB" w:rsidRDefault="00B612DB" w:rsidP="00B612DB">
            <w:pPr>
              <w:adjustRightInd w:val="0"/>
              <w:ind w:left="60" w:right="60"/>
              <w:jc w:val="right"/>
              <w:rPr>
                <w14:ligatures w14:val="standardContextual"/>
              </w:rPr>
            </w:pPr>
            <w:r w:rsidRPr="00B612DB">
              <w:rPr>
                <w14:ligatures w14:val="standardContextual"/>
              </w:rPr>
              <w:t>0,048</w:t>
            </w:r>
          </w:p>
        </w:tc>
        <w:tc>
          <w:tcPr>
            <w:tcW w:w="745" w:type="pct"/>
            <w:tcBorders>
              <w:top w:val="single" w:sz="8" w:space="0" w:color="AEAEAE"/>
              <w:left w:val="single" w:sz="8" w:space="0" w:color="E0E0E0"/>
              <w:bottom w:val="single" w:sz="8" w:space="0" w:color="AEAEAE"/>
              <w:right w:val="nil"/>
            </w:tcBorders>
            <w:shd w:val="clear" w:color="auto" w:fill="auto"/>
          </w:tcPr>
          <w:p w14:paraId="0715CD98" w14:textId="77777777" w:rsidR="00B612DB" w:rsidRPr="00B612DB" w:rsidRDefault="00B612DB" w:rsidP="00B612DB">
            <w:pPr>
              <w:adjustRightInd w:val="0"/>
              <w:ind w:left="60" w:right="60"/>
              <w:jc w:val="right"/>
              <w:rPr>
                <w14:ligatures w14:val="standardContextual"/>
              </w:rPr>
            </w:pPr>
            <w:r w:rsidRPr="00B612DB">
              <w:rPr>
                <w14:ligatures w14:val="standardContextual"/>
              </w:rPr>
              <w:t>0,388</w:t>
            </w:r>
          </w:p>
        </w:tc>
        <w:tc>
          <w:tcPr>
            <w:tcW w:w="519" w:type="pct"/>
            <w:tcBorders>
              <w:top w:val="single" w:sz="8" w:space="0" w:color="AEAEAE"/>
              <w:left w:val="single" w:sz="8" w:space="0" w:color="E0E0E0"/>
              <w:bottom w:val="single" w:sz="8" w:space="0" w:color="AEAEAE"/>
              <w:right w:val="single" w:sz="8" w:space="0" w:color="E0E0E0"/>
            </w:tcBorders>
            <w:shd w:val="clear" w:color="auto" w:fill="auto"/>
          </w:tcPr>
          <w:p w14:paraId="6A7CF74A" w14:textId="77777777" w:rsidR="00B612DB" w:rsidRPr="00B612DB" w:rsidRDefault="00B612DB" w:rsidP="00B612DB">
            <w:pPr>
              <w:adjustRightInd w:val="0"/>
              <w:ind w:left="60" w:right="60"/>
              <w:jc w:val="right"/>
              <w:rPr>
                <w14:ligatures w14:val="standardContextual"/>
              </w:rPr>
            </w:pPr>
            <w:r w:rsidRPr="00B612DB">
              <w:rPr>
                <w14:ligatures w14:val="standardContextual"/>
              </w:rPr>
              <w:t>5,619</w:t>
            </w:r>
          </w:p>
        </w:tc>
        <w:tc>
          <w:tcPr>
            <w:tcW w:w="519" w:type="pct"/>
            <w:tcBorders>
              <w:top w:val="single" w:sz="8" w:space="0" w:color="AEAEAE"/>
              <w:left w:val="single" w:sz="8" w:space="0" w:color="E0E0E0"/>
              <w:bottom w:val="single" w:sz="8" w:space="0" w:color="AEAEAE"/>
              <w:right w:val="nil"/>
            </w:tcBorders>
            <w:shd w:val="clear" w:color="auto" w:fill="auto"/>
          </w:tcPr>
          <w:p w14:paraId="5727BF21" w14:textId="77777777" w:rsidR="00B612DB" w:rsidRPr="00B612DB" w:rsidRDefault="00B612DB" w:rsidP="00B612DB">
            <w:pPr>
              <w:adjustRightInd w:val="0"/>
              <w:ind w:left="60" w:right="60"/>
              <w:jc w:val="right"/>
              <w:rPr>
                <w14:ligatures w14:val="standardContextual"/>
              </w:rPr>
            </w:pPr>
            <w:r w:rsidRPr="00B612DB">
              <w:rPr>
                <w14:ligatures w14:val="standardContextual"/>
              </w:rPr>
              <w:t>0,000</w:t>
            </w:r>
          </w:p>
        </w:tc>
      </w:tr>
      <w:tr w:rsidR="00B612DB" w:rsidRPr="00B612DB" w14:paraId="6E85E523" w14:textId="77777777" w:rsidTr="00BA7EF3">
        <w:trPr>
          <w:cantSplit/>
        </w:trPr>
        <w:tc>
          <w:tcPr>
            <w:tcW w:w="371" w:type="pct"/>
            <w:vMerge/>
            <w:tcBorders>
              <w:top w:val="single" w:sz="8" w:space="0" w:color="152935"/>
              <w:left w:val="nil"/>
              <w:bottom w:val="single" w:sz="8" w:space="0" w:color="152935"/>
              <w:right w:val="nil"/>
            </w:tcBorders>
            <w:shd w:val="clear" w:color="auto" w:fill="auto"/>
          </w:tcPr>
          <w:p w14:paraId="5B0617CF" w14:textId="77777777" w:rsidR="00B612DB" w:rsidRPr="00B612DB" w:rsidRDefault="00B612DB" w:rsidP="00B612DB">
            <w:pPr>
              <w:adjustRightInd w:val="0"/>
              <w:rPr>
                <w14:ligatures w14:val="standardContextual"/>
              </w:rPr>
            </w:pPr>
          </w:p>
        </w:tc>
        <w:tc>
          <w:tcPr>
            <w:tcW w:w="1494" w:type="pct"/>
            <w:tcBorders>
              <w:top w:val="single" w:sz="8" w:space="0" w:color="AEAEAE"/>
              <w:left w:val="nil"/>
              <w:bottom w:val="single" w:sz="8" w:space="0" w:color="152935"/>
              <w:right w:val="nil"/>
            </w:tcBorders>
            <w:shd w:val="clear" w:color="auto" w:fill="auto"/>
          </w:tcPr>
          <w:p w14:paraId="13CC42BC" w14:textId="77777777" w:rsidR="00B612DB" w:rsidRPr="00B612DB" w:rsidRDefault="00B612DB" w:rsidP="00B612DB">
            <w:pPr>
              <w:adjustRightInd w:val="0"/>
              <w:ind w:left="60" w:right="60"/>
              <w:rPr>
                <w14:ligatures w14:val="standardContextual"/>
              </w:rPr>
            </w:pPr>
            <w:r w:rsidRPr="00B612DB">
              <w:rPr>
                <w14:ligatures w14:val="standardContextual"/>
              </w:rPr>
              <w:t>Pemahaman PP No 23 Tahun 2018</w:t>
            </w:r>
          </w:p>
        </w:tc>
        <w:tc>
          <w:tcPr>
            <w:tcW w:w="675" w:type="pct"/>
            <w:tcBorders>
              <w:top w:val="single" w:sz="8" w:space="0" w:color="AEAEAE"/>
              <w:left w:val="nil"/>
              <w:bottom w:val="single" w:sz="8" w:space="0" w:color="152935"/>
              <w:right w:val="nil"/>
            </w:tcBorders>
            <w:shd w:val="clear" w:color="auto" w:fill="auto"/>
          </w:tcPr>
          <w:p w14:paraId="1E28D44E" w14:textId="77777777" w:rsidR="00B612DB" w:rsidRPr="00B612DB" w:rsidRDefault="00B612DB" w:rsidP="00B612DB">
            <w:pPr>
              <w:adjustRightInd w:val="0"/>
              <w:ind w:left="60" w:right="60"/>
              <w:jc w:val="right"/>
              <w:rPr>
                <w14:ligatures w14:val="standardContextual"/>
              </w:rPr>
            </w:pPr>
            <w:r w:rsidRPr="00B612DB">
              <w:rPr>
                <w14:ligatures w14:val="standardContextual"/>
              </w:rPr>
              <w:t>0,328</w:t>
            </w:r>
          </w:p>
        </w:tc>
        <w:tc>
          <w:tcPr>
            <w:tcW w:w="676" w:type="pct"/>
            <w:tcBorders>
              <w:top w:val="single" w:sz="8" w:space="0" w:color="AEAEAE"/>
              <w:left w:val="single" w:sz="8" w:space="0" w:color="E0E0E0"/>
              <w:bottom w:val="single" w:sz="8" w:space="0" w:color="152935"/>
              <w:right w:val="single" w:sz="8" w:space="0" w:color="E0E0E0"/>
            </w:tcBorders>
            <w:shd w:val="clear" w:color="auto" w:fill="auto"/>
          </w:tcPr>
          <w:p w14:paraId="1F657C0B" w14:textId="77777777" w:rsidR="00B612DB" w:rsidRPr="00B612DB" w:rsidRDefault="00B612DB" w:rsidP="00B612DB">
            <w:pPr>
              <w:adjustRightInd w:val="0"/>
              <w:ind w:left="60" w:right="60"/>
              <w:jc w:val="right"/>
              <w:rPr>
                <w14:ligatures w14:val="standardContextual"/>
              </w:rPr>
            </w:pPr>
            <w:r w:rsidRPr="00B612DB">
              <w:rPr>
                <w14:ligatures w14:val="standardContextual"/>
              </w:rPr>
              <w:t>0,099</w:t>
            </w:r>
          </w:p>
        </w:tc>
        <w:tc>
          <w:tcPr>
            <w:tcW w:w="745" w:type="pct"/>
            <w:tcBorders>
              <w:top w:val="single" w:sz="8" w:space="0" w:color="AEAEAE"/>
              <w:left w:val="single" w:sz="8" w:space="0" w:color="E0E0E0"/>
              <w:bottom w:val="single" w:sz="8" w:space="0" w:color="152935"/>
              <w:right w:val="nil"/>
            </w:tcBorders>
            <w:shd w:val="clear" w:color="auto" w:fill="auto"/>
          </w:tcPr>
          <w:p w14:paraId="13548552" w14:textId="77777777" w:rsidR="00B612DB" w:rsidRPr="00B612DB" w:rsidRDefault="00B612DB" w:rsidP="00B612DB">
            <w:pPr>
              <w:adjustRightInd w:val="0"/>
              <w:ind w:left="60" w:right="60"/>
              <w:jc w:val="right"/>
              <w:rPr>
                <w14:ligatures w14:val="standardContextual"/>
              </w:rPr>
            </w:pPr>
            <w:r w:rsidRPr="00B612DB">
              <w:rPr>
                <w14:ligatures w14:val="standardContextual"/>
              </w:rPr>
              <w:t>0,235</w:t>
            </w:r>
          </w:p>
        </w:tc>
        <w:tc>
          <w:tcPr>
            <w:tcW w:w="519" w:type="pct"/>
            <w:tcBorders>
              <w:top w:val="single" w:sz="8" w:space="0" w:color="AEAEAE"/>
              <w:left w:val="single" w:sz="8" w:space="0" w:color="E0E0E0"/>
              <w:bottom w:val="single" w:sz="8" w:space="0" w:color="152935"/>
              <w:right w:val="single" w:sz="8" w:space="0" w:color="E0E0E0"/>
            </w:tcBorders>
            <w:shd w:val="clear" w:color="auto" w:fill="auto"/>
          </w:tcPr>
          <w:p w14:paraId="2C8B4DAB" w14:textId="77777777" w:rsidR="00B612DB" w:rsidRPr="00B612DB" w:rsidRDefault="00B612DB" w:rsidP="00B612DB">
            <w:pPr>
              <w:adjustRightInd w:val="0"/>
              <w:ind w:left="60" w:right="60"/>
              <w:jc w:val="right"/>
              <w:rPr>
                <w14:ligatures w14:val="standardContextual"/>
              </w:rPr>
            </w:pPr>
            <w:r w:rsidRPr="00B612DB">
              <w:rPr>
                <w14:ligatures w14:val="standardContextual"/>
              </w:rPr>
              <w:t>3,293</w:t>
            </w:r>
          </w:p>
        </w:tc>
        <w:tc>
          <w:tcPr>
            <w:tcW w:w="519" w:type="pct"/>
            <w:tcBorders>
              <w:top w:val="single" w:sz="8" w:space="0" w:color="AEAEAE"/>
              <w:left w:val="single" w:sz="8" w:space="0" w:color="E0E0E0"/>
              <w:bottom w:val="single" w:sz="8" w:space="0" w:color="152935"/>
              <w:right w:val="nil"/>
            </w:tcBorders>
            <w:shd w:val="clear" w:color="auto" w:fill="auto"/>
          </w:tcPr>
          <w:p w14:paraId="772F5968" w14:textId="77777777" w:rsidR="00B612DB" w:rsidRPr="00B612DB" w:rsidRDefault="00B612DB" w:rsidP="00B612DB">
            <w:pPr>
              <w:adjustRightInd w:val="0"/>
              <w:ind w:left="60" w:right="60"/>
              <w:jc w:val="right"/>
              <w:rPr>
                <w14:ligatures w14:val="standardContextual"/>
              </w:rPr>
            </w:pPr>
            <w:r w:rsidRPr="00B612DB">
              <w:rPr>
                <w14:ligatures w14:val="standardContextual"/>
              </w:rPr>
              <w:t>0,001</w:t>
            </w:r>
          </w:p>
        </w:tc>
      </w:tr>
    </w:tbl>
    <w:p w14:paraId="185D78A9" w14:textId="7A0892E2" w:rsidR="00B612DB" w:rsidRPr="00B612DB" w:rsidRDefault="00B612DB" w:rsidP="00BA7EF3">
      <w:pPr>
        <w:keepNext/>
        <w:widowControl/>
        <w:tabs>
          <w:tab w:val="left" w:pos="851"/>
        </w:tabs>
        <w:autoSpaceDE/>
        <w:autoSpaceDN/>
        <w:jc w:val="both"/>
        <w:rPr>
          <w:bCs/>
          <w:iCs/>
        </w:rPr>
      </w:pPr>
      <w:r w:rsidRPr="00B612DB">
        <w:rPr>
          <w:b/>
          <w:bCs/>
          <w:iCs/>
        </w:rPr>
        <w:t>Hipotesis Pertama</w:t>
      </w:r>
    </w:p>
    <w:p w14:paraId="54EAB8DF" w14:textId="52A7CA3D" w:rsidR="00B612DB" w:rsidRPr="00B612DB" w:rsidRDefault="009C0269" w:rsidP="00BA7EF3">
      <w:pPr>
        <w:tabs>
          <w:tab w:val="left" w:pos="567"/>
        </w:tabs>
        <w:ind w:firstLine="567"/>
        <w:jc w:val="both"/>
        <w:rPr>
          <w:rFonts w:eastAsia="Calibri"/>
          <w:b/>
          <w:lang w:val="x-none"/>
        </w:rPr>
      </w:pPr>
      <w:r w:rsidRPr="009C0269">
        <w:rPr>
          <w:rFonts w:eastAsia="Calibri"/>
          <w:lang w:val="sv-SE"/>
        </w:rPr>
        <w:t xml:space="preserve">Konsekuensi terukur dari uji t untuk variabel kesadaran membayar biaya mendapat nilai t </w:t>
      </w:r>
      <w:r w:rsidR="00340CDB">
        <w:rPr>
          <w:rFonts w:eastAsia="Calibri"/>
          <w:lang w:val="id-ID"/>
        </w:rPr>
        <w:t xml:space="preserve">senilai </w:t>
      </w:r>
      <w:r w:rsidRPr="009C0269">
        <w:rPr>
          <w:rFonts w:eastAsia="Calibri"/>
          <w:lang w:val="sv-SE"/>
        </w:rPr>
        <w:t xml:space="preserve">6,023 dengan nilai </w:t>
      </w:r>
      <w:r w:rsidR="00340CDB">
        <w:rPr>
          <w:rFonts w:eastAsia="Calibri"/>
          <w:lang w:val="id-ID"/>
        </w:rPr>
        <w:t xml:space="preserve">keperluan </w:t>
      </w:r>
      <w:r w:rsidRPr="009C0269">
        <w:rPr>
          <w:rFonts w:eastAsia="Calibri"/>
          <w:lang w:val="sv-SE"/>
        </w:rPr>
        <w:t>0,000 di bawah 0,05 (0,000 &lt; 0,05), dan koefisien relaps bernilai positif 0,335; maka, pada saat itulah spekulasi menyatakan "Kesadaran membayar bea secara tegas mempengaruhi keinginan untuk membayar biaya"</w:t>
      </w:r>
      <w:r w:rsidR="00B612DB" w:rsidRPr="00B612DB">
        <w:rPr>
          <w:rFonts w:eastAsia="Calibri"/>
          <w:lang w:val="x-none"/>
        </w:rPr>
        <w:t xml:space="preserve"> </w:t>
      </w:r>
      <w:r w:rsidR="00B612DB" w:rsidRPr="00B612DB">
        <w:rPr>
          <w:rFonts w:eastAsia="Calibri"/>
          <w:b/>
          <w:lang w:val="x-none"/>
        </w:rPr>
        <w:t>diterima.</w:t>
      </w:r>
    </w:p>
    <w:p w14:paraId="4BC32CCF" w14:textId="77777777" w:rsidR="00B612DB" w:rsidRPr="00B612DB" w:rsidRDefault="00B612DB" w:rsidP="00BA7EF3">
      <w:pPr>
        <w:keepNext/>
        <w:widowControl/>
        <w:tabs>
          <w:tab w:val="left" w:pos="851"/>
        </w:tabs>
        <w:autoSpaceDE/>
        <w:autoSpaceDN/>
        <w:jc w:val="both"/>
        <w:rPr>
          <w:bCs/>
          <w:iCs/>
        </w:rPr>
      </w:pPr>
      <w:r w:rsidRPr="00B612DB">
        <w:rPr>
          <w:b/>
          <w:bCs/>
          <w:iCs/>
        </w:rPr>
        <w:t>Hipotesis Kedua</w:t>
      </w:r>
    </w:p>
    <w:p w14:paraId="199AED53" w14:textId="2DC5A972" w:rsidR="00B612DB" w:rsidRPr="00B612DB" w:rsidRDefault="009C0269" w:rsidP="00BA7EF3">
      <w:pPr>
        <w:tabs>
          <w:tab w:val="left" w:pos="567"/>
        </w:tabs>
        <w:ind w:firstLine="567"/>
        <w:jc w:val="both"/>
        <w:rPr>
          <w:rFonts w:eastAsia="Calibri"/>
          <w:b/>
          <w:lang w:val="x-none"/>
        </w:rPr>
      </w:pPr>
      <w:r w:rsidRPr="009C0269">
        <w:rPr>
          <w:rFonts w:eastAsia="Calibri"/>
          <w:lang w:val="sv-SE"/>
        </w:rPr>
        <w:t>Konsekuensi pengukuran uji-t untuk variabel impresi kelayakan kerangka pemungutan pajak diperoleh nilai t sebesar 5,619 dengan nilai kepentingan 0,000 yang berada di bawah 0,05 (0,000 &lt; 0,05), dan koefisien relaps bertanda positif. senilai 0,270; Hal itulah yang kemudian diutarakan spekulasi “Melihat kelayakan kerangka pemungutan pajak secara tegas mempengaruhi kesiapan membayar retribusi UMKM di daerah penukaran”</w:t>
      </w:r>
      <w:r w:rsidR="00B612DB" w:rsidRPr="00B612DB">
        <w:rPr>
          <w:rFonts w:eastAsia="Calibri"/>
          <w:lang w:val="x-none"/>
        </w:rPr>
        <w:t xml:space="preserve"> </w:t>
      </w:r>
      <w:r w:rsidR="00B612DB" w:rsidRPr="00B612DB">
        <w:rPr>
          <w:rFonts w:eastAsia="Calibri"/>
          <w:b/>
          <w:lang w:val="x-none"/>
        </w:rPr>
        <w:t>diterima.</w:t>
      </w:r>
    </w:p>
    <w:p w14:paraId="678F40BF" w14:textId="77777777" w:rsidR="00B612DB" w:rsidRPr="00B612DB" w:rsidRDefault="00B612DB" w:rsidP="00BA7EF3">
      <w:pPr>
        <w:keepNext/>
        <w:widowControl/>
        <w:tabs>
          <w:tab w:val="left" w:pos="851"/>
        </w:tabs>
        <w:autoSpaceDE/>
        <w:autoSpaceDN/>
        <w:jc w:val="both"/>
        <w:rPr>
          <w:bCs/>
          <w:iCs/>
        </w:rPr>
      </w:pPr>
      <w:r w:rsidRPr="00B612DB">
        <w:rPr>
          <w:b/>
          <w:bCs/>
          <w:iCs/>
        </w:rPr>
        <w:t>Hipotesis Ketiga</w:t>
      </w:r>
    </w:p>
    <w:p w14:paraId="7DB3D70B" w14:textId="62702BC7" w:rsidR="00B612DB" w:rsidRPr="00B612DB" w:rsidRDefault="009C0269" w:rsidP="00BA7EF3">
      <w:pPr>
        <w:tabs>
          <w:tab w:val="left" w:pos="567"/>
        </w:tabs>
        <w:ind w:firstLine="567"/>
        <w:jc w:val="both"/>
        <w:rPr>
          <w:rFonts w:eastAsia="Calibri"/>
          <w:b/>
          <w:lang w:val="x-none"/>
        </w:rPr>
      </w:pPr>
      <w:r w:rsidRPr="009C0269">
        <w:rPr>
          <w:rFonts w:eastAsia="Calibri"/>
          <w:lang w:val="sv-SE"/>
        </w:rPr>
        <w:t>Konsekuensi dari pengukuran uji-t untuk variabel pemahaman Undang-undang Unofficial Nomor 23 Tahun 2018 mendapatkan nilai t sebesar 3,293 dengan nilai kepentingan 0,001 di bawah 0,05 (0,001 &lt; 0,05), dan koefisien relaps bernilai positif sebesar 0,328 ; Hal itulah yang kemudian diungkap spekulasi “Pemahaman UU Unresmi Nomor 23 Tahun 2018 secara tegas mempengaruhi keinginan membayar retribusi di kawasan bursa UMKM”</w:t>
      </w:r>
      <w:r w:rsidR="00B612DB" w:rsidRPr="00B612DB">
        <w:rPr>
          <w:rFonts w:eastAsia="Calibri"/>
          <w:lang w:val="x-none"/>
        </w:rPr>
        <w:t xml:space="preserve"> </w:t>
      </w:r>
      <w:r w:rsidR="00B612DB" w:rsidRPr="00B612DB">
        <w:rPr>
          <w:rFonts w:eastAsia="Calibri"/>
          <w:b/>
          <w:lang w:val="x-none"/>
        </w:rPr>
        <w:t>diterima.</w:t>
      </w:r>
    </w:p>
    <w:p w14:paraId="774DC444" w14:textId="77777777" w:rsidR="00B612DB" w:rsidRPr="00B612DB" w:rsidRDefault="00B612DB" w:rsidP="00BA7EF3">
      <w:pPr>
        <w:widowControl/>
        <w:adjustRightInd w:val="0"/>
        <w:jc w:val="both"/>
        <w:rPr>
          <w:b/>
          <w:bCs/>
        </w:rPr>
      </w:pPr>
      <w:bookmarkStart w:id="8" w:name="_Toc499149633"/>
      <w:r w:rsidRPr="00B612DB">
        <w:rPr>
          <w:b/>
          <w:bCs/>
          <w:iCs/>
        </w:rPr>
        <w:t>Uji</w:t>
      </w:r>
      <w:r w:rsidRPr="00B612DB">
        <w:rPr>
          <w:b/>
          <w:bCs/>
        </w:rPr>
        <w:t xml:space="preserve"> F (Simultan)</w:t>
      </w:r>
    </w:p>
    <w:p w14:paraId="36D7DA83" w14:textId="707F3AB6" w:rsidR="00B612DB" w:rsidRPr="00B612DB" w:rsidRDefault="00B612DB" w:rsidP="00B612DB">
      <w:pPr>
        <w:adjustRightInd w:val="0"/>
        <w:ind w:left="284"/>
        <w:jc w:val="center"/>
        <w:rPr>
          <w:b/>
          <w:bCs/>
        </w:rPr>
      </w:pPr>
      <w:proofErr w:type="gramStart"/>
      <w:r w:rsidRPr="00B612DB">
        <w:rPr>
          <w:b/>
          <w:bCs/>
        </w:rPr>
        <w:lastRenderedPageBreak/>
        <w:t>Tabel 1</w:t>
      </w:r>
      <w:r w:rsidR="00DB4165">
        <w:rPr>
          <w:b/>
          <w:bCs/>
        </w:rPr>
        <w:t>0</w:t>
      </w:r>
      <w:r w:rsidRPr="00B612DB">
        <w:rPr>
          <w:b/>
          <w:bCs/>
        </w:rPr>
        <w:t>.</w:t>
      </w:r>
      <w:proofErr w:type="gramEnd"/>
      <w:r w:rsidRPr="00B612DB">
        <w:rPr>
          <w:b/>
          <w:bCs/>
        </w:rPr>
        <w:t xml:space="preserve"> Hasil Uji F</w:t>
      </w:r>
    </w:p>
    <w:tbl>
      <w:tblPr>
        <w:tblW w:w="4911" w:type="pct"/>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30"/>
        <w:gridCol w:w="1456"/>
        <w:gridCol w:w="1663"/>
        <w:gridCol w:w="1161"/>
        <w:gridCol w:w="1594"/>
        <w:gridCol w:w="1161"/>
        <w:gridCol w:w="1000"/>
      </w:tblGrid>
      <w:tr w:rsidR="00B612DB" w:rsidRPr="00B612DB" w14:paraId="55765639" w14:textId="77777777" w:rsidTr="00FA1A43">
        <w:trPr>
          <w:cantSplit/>
        </w:trPr>
        <w:tc>
          <w:tcPr>
            <w:tcW w:w="5000" w:type="pct"/>
            <w:gridSpan w:val="7"/>
            <w:tcBorders>
              <w:top w:val="nil"/>
              <w:left w:val="nil"/>
              <w:bottom w:val="nil"/>
              <w:right w:val="nil"/>
            </w:tcBorders>
            <w:shd w:val="clear" w:color="auto" w:fill="FFFFFF"/>
            <w:vAlign w:val="center"/>
          </w:tcPr>
          <w:p w14:paraId="11E691DC" w14:textId="77777777" w:rsidR="00B612DB" w:rsidRPr="00B612DB" w:rsidRDefault="00B612DB" w:rsidP="00B612DB">
            <w:pPr>
              <w:adjustRightInd w:val="0"/>
              <w:ind w:left="60" w:right="60"/>
              <w:jc w:val="center"/>
              <w:rPr>
                <w:color w:val="010205"/>
              </w:rPr>
            </w:pPr>
            <w:r w:rsidRPr="00B612DB">
              <w:rPr>
                <w:b/>
                <w:bCs/>
                <w:color w:val="010205"/>
              </w:rPr>
              <w:t>ANOVA</w:t>
            </w:r>
            <w:r w:rsidRPr="00B612DB">
              <w:rPr>
                <w:b/>
                <w:bCs/>
                <w:color w:val="010205"/>
                <w:vertAlign w:val="superscript"/>
              </w:rPr>
              <w:t>a</w:t>
            </w:r>
          </w:p>
        </w:tc>
      </w:tr>
      <w:tr w:rsidR="00B612DB" w:rsidRPr="00B612DB" w14:paraId="6A265100" w14:textId="77777777" w:rsidTr="00FA1A43">
        <w:trPr>
          <w:cantSplit/>
        </w:trPr>
        <w:tc>
          <w:tcPr>
            <w:tcW w:w="1289" w:type="pct"/>
            <w:gridSpan w:val="2"/>
            <w:tcBorders>
              <w:top w:val="nil"/>
              <w:left w:val="nil"/>
              <w:bottom w:val="single" w:sz="8" w:space="0" w:color="152935"/>
              <w:right w:val="nil"/>
            </w:tcBorders>
            <w:shd w:val="clear" w:color="auto" w:fill="FFFFFF"/>
            <w:vAlign w:val="bottom"/>
          </w:tcPr>
          <w:p w14:paraId="37D6B67A" w14:textId="77777777" w:rsidR="00B612DB" w:rsidRPr="00B612DB" w:rsidRDefault="00B612DB" w:rsidP="00B612DB">
            <w:pPr>
              <w:adjustRightInd w:val="0"/>
              <w:ind w:left="60" w:right="60"/>
              <w:rPr>
                <w:color w:val="264A60"/>
              </w:rPr>
            </w:pPr>
            <w:r w:rsidRPr="00B612DB">
              <w:rPr>
                <w:color w:val="264A60"/>
              </w:rPr>
              <w:t>Model</w:t>
            </w:r>
          </w:p>
        </w:tc>
        <w:tc>
          <w:tcPr>
            <w:tcW w:w="938" w:type="pct"/>
            <w:tcBorders>
              <w:top w:val="nil"/>
              <w:left w:val="nil"/>
              <w:bottom w:val="single" w:sz="8" w:space="0" w:color="152935"/>
              <w:right w:val="nil"/>
            </w:tcBorders>
            <w:shd w:val="clear" w:color="auto" w:fill="FFFFFF"/>
            <w:vAlign w:val="bottom"/>
          </w:tcPr>
          <w:p w14:paraId="43234421" w14:textId="77777777" w:rsidR="00B612DB" w:rsidRPr="00B612DB" w:rsidRDefault="00B612DB" w:rsidP="00B612DB">
            <w:pPr>
              <w:adjustRightInd w:val="0"/>
              <w:ind w:left="60" w:right="60"/>
              <w:jc w:val="center"/>
              <w:rPr>
                <w:color w:val="264A60"/>
              </w:rPr>
            </w:pPr>
            <w:r w:rsidRPr="00B612DB">
              <w:rPr>
                <w:color w:val="264A60"/>
              </w:rPr>
              <w:t>Sum of Squares</w:t>
            </w:r>
          </w:p>
        </w:tc>
        <w:tc>
          <w:tcPr>
            <w:tcW w:w="655" w:type="pct"/>
            <w:tcBorders>
              <w:top w:val="nil"/>
              <w:left w:val="single" w:sz="8" w:space="0" w:color="E0E0E0"/>
              <w:bottom w:val="single" w:sz="8" w:space="0" w:color="152935"/>
              <w:right w:val="single" w:sz="8" w:space="0" w:color="E0E0E0"/>
            </w:tcBorders>
            <w:shd w:val="clear" w:color="auto" w:fill="FFFFFF"/>
            <w:vAlign w:val="bottom"/>
          </w:tcPr>
          <w:p w14:paraId="3AF98FB6" w14:textId="77777777" w:rsidR="00B612DB" w:rsidRPr="00B612DB" w:rsidRDefault="00B612DB" w:rsidP="00B612DB">
            <w:pPr>
              <w:adjustRightInd w:val="0"/>
              <w:ind w:left="60" w:right="60"/>
              <w:jc w:val="center"/>
              <w:rPr>
                <w:color w:val="264A60"/>
              </w:rPr>
            </w:pPr>
            <w:r w:rsidRPr="00B612DB">
              <w:rPr>
                <w:color w:val="264A60"/>
              </w:rPr>
              <w:t>df</w:t>
            </w:r>
          </w:p>
        </w:tc>
        <w:tc>
          <w:tcPr>
            <w:tcW w:w="899" w:type="pct"/>
            <w:tcBorders>
              <w:top w:val="nil"/>
              <w:left w:val="single" w:sz="8" w:space="0" w:color="E0E0E0"/>
              <w:bottom w:val="single" w:sz="8" w:space="0" w:color="152935"/>
              <w:right w:val="nil"/>
            </w:tcBorders>
            <w:shd w:val="clear" w:color="auto" w:fill="FFFFFF"/>
            <w:vAlign w:val="bottom"/>
          </w:tcPr>
          <w:p w14:paraId="130B1E46" w14:textId="77777777" w:rsidR="00B612DB" w:rsidRPr="00B612DB" w:rsidRDefault="00B612DB" w:rsidP="00B612DB">
            <w:pPr>
              <w:adjustRightInd w:val="0"/>
              <w:ind w:left="60" w:right="60"/>
              <w:jc w:val="center"/>
              <w:rPr>
                <w:color w:val="264A60"/>
              </w:rPr>
            </w:pPr>
            <w:r w:rsidRPr="00B612DB">
              <w:rPr>
                <w:color w:val="264A60"/>
              </w:rPr>
              <w:t>Mean Square</w:t>
            </w:r>
          </w:p>
        </w:tc>
        <w:tc>
          <w:tcPr>
            <w:tcW w:w="655" w:type="pct"/>
            <w:tcBorders>
              <w:top w:val="nil"/>
              <w:left w:val="single" w:sz="8" w:space="0" w:color="E0E0E0"/>
              <w:bottom w:val="single" w:sz="8" w:space="0" w:color="152935"/>
              <w:right w:val="single" w:sz="8" w:space="0" w:color="E0E0E0"/>
            </w:tcBorders>
            <w:shd w:val="clear" w:color="auto" w:fill="FFFFFF"/>
            <w:vAlign w:val="bottom"/>
          </w:tcPr>
          <w:p w14:paraId="2C951F26" w14:textId="77777777" w:rsidR="00B612DB" w:rsidRPr="00B612DB" w:rsidRDefault="00B612DB" w:rsidP="00B612DB">
            <w:pPr>
              <w:adjustRightInd w:val="0"/>
              <w:ind w:left="60" w:right="60"/>
              <w:jc w:val="center"/>
              <w:rPr>
                <w:color w:val="264A60"/>
              </w:rPr>
            </w:pPr>
            <w:r w:rsidRPr="00B612DB">
              <w:rPr>
                <w:color w:val="264A60"/>
              </w:rPr>
              <w:t>F</w:t>
            </w:r>
          </w:p>
        </w:tc>
        <w:tc>
          <w:tcPr>
            <w:tcW w:w="564" w:type="pct"/>
            <w:tcBorders>
              <w:top w:val="nil"/>
              <w:left w:val="single" w:sz="8" w:space="0" w:color="E0E0E0"/>
              <w:bottom w:val="single" w:sz="8" w:space="0" w:color="152935"/>
              <w:right w:val="nil"/>
            </w:tcBorders>
            <w:shd w:val="clear" w:color="auto" w:fill="FFFFFF"/>
            <w:vAlign w:val="bottom"/>
          </w:tcPr>
          <w:p w14:paraId="6FD8C5BA" w14:textId="77777777" w:rsidR="00B612DB" w:rsidRPr="00B612DB" w:rsidRDefault="00B612DB" w:rsidP="00B612DB">
            <w:pPr>
              <w:adjustRightInd w:val="0"/>
              <w:ind w:left="60" w:right="60"/>
              <w:jc w:val="center"/>
              <w:rPr>
                <w:color w:val="264A60"/>
              </w:rPr>
            </w:pPr>
            <w:r w:rsidRPr="00B612DB">
              <w:rPr>
                <w:color w:val="264A60"/>
              </w:rPr>
              <w:t>Sig.</w:t>
            </w:r>
          </w:p>
        </w:tc>
      </w:tr>
      <w:tr w:rsidR="00B612DB" w:rsidRPr="00B612DB" w14:paraId="4608AAF6" w14:textId="77777777" w:rsidTr="00FA1A43">
        <w:trPr>
          <w:cantSplit/>
        </w:trPr>
        <w:tc>
          <w:tcPr>
            <w:tcW w:w="468" w:type="pct"/>
            <w:vMerge w:val="restart"/>
            <w:tcBorders>
              <w:top w:val="single" w:sz="8" w:space="0" w:color="152935"/>
              <w:left w:val="nil"/>
              <w:bottom w:val="single" w:sz="8" w:space="0" w:color="152935"/>
              <w:right w:val="nil"/>
            </w:tcBorders>
            <w:shd w:val="clear" w:color="auto" w:fill="E0E0E0"/>
          </w:tcPr>
          <w:p w14:paraId="5AFE6482" w14:textId="77777777" w:rsidR="00B612DB" w:rsidRPr="00B612DB" w:rsidRDefault="00B612DB" w:rsidP="00B612DB">
            <w:pPr>
              <w:adjustRightInd w:val="0"/>
              <w:ind w:left="60" w:right="60"/>
              <w:rPr>
                <w:color w:val="264A60"/>
              </w:rPr>
            </w:pPr>
            <w:r w:rsidRPr="00B612DB">
              <w:rPr>
                <w:color w:val="264A60"/>
              </w:rPr>
              <w:t>1</w:t>
            </w:r>
          </w:p>
        </w:tc>
        <w:tc>
          <w:tcPr>
            <w:tcW w:w="821" w:type="pct"/>
            <w:tcBorders>
              <w:top w:val="single" w:sz="8" w:space="0" w:color="152935"/>
              <w:left w:val="nil"/>
              <w:bottom w:val="single" w:sz="8" w:space="0" w:color="AEAEAE"/>
              <w:right w:val="nil"/>
            </w:tcBorders>
            <w:shd w:val="clear" w:color="auto" w:fill="E0E0E0"/>
          </w:tcPr>
          <w:p w14:paraId="6C62C490" w14:textId="77777777" w:rsidR="00B612DB" w:rsidRPr="00B612DB" w:rsidRDefault="00B612DB" w:rsidP="00B612DB">
            <w:pPr>
              <w:adjustRightInd w:val="0"/>
              <w:ind w:left="60" w:right="60"/>
              <w:rPr>
                <w:color w:val="264A60"/>
              </w:rPr>
            </w:pPr>
            <w:r w:rsidRPr="00B612DB">
              <w:rPr>
                <w:color w:val="264A60"/>
              </w:rPr>
              <w:t>Regression</w:t>
            </w:r>
          </w:p>
        </w:tc>
        <w:tc>
          <w:tcPr>
            <w:tcW w:w="938" w:type="pct"/>
            <w:tcBorders>
              <w:top w:val="single" w:sz="8" w:space="0" w:color="152935"/>
              <w:left w:val="nil"/>
              <w:bottom w:val="single" w:sz="8" w:space="0" w:color="AEAEAE"/>
              <w:right w:val="nil"/>
            </w:tcBorders>
            <w:shd w:val="clear" w:color="auto" w:fill="FFFFFF"/>
          </w:tcPr>
          <w:p w14:paraId="241BB363" w14:textId="77777777" w:rsidR="00B612DB" w:rsidRPr="00B612DB" w:rsidRDefault="00B612DB" w:rsidP="00B612DB">
            <w:pPr>
              <w:adjustRightInd w:val="0"/>
              <w:ind w:left="60" w:right="60"/>
              <w:jc w:val="right"/>
              <w:rPr>
                <w:color w:val="010205"/>
              </w:rPr>
            </w:pPr>
            <w:r w:rsidRPr="00B612DB">
              <w:rPr>
                <w:color w:val="010205"/>
              </w:rPr>
              <w:t>642.364</w:t>
            </w:r>
          </w:p>
        </w:tc>
        <w:tc>
          <w:tcPr>
            <w:tcW w:w="655" w:type="pct"/>
            <w:tcBorders>
              <w:top w:val="single" w:sz="8" w:space="0" w:color="152935"/>
              <w:left w:val="single" w:sz="8" w:space="0" w:color="E0E0E0"/>
              <w:bottom w:val="single" w:sz="8" w:space="0" w:color="AEAEAE"/>
              <w:right w:val="single" w:sz="8" w:space="0" w:color="E0E0E0"/>
            </w:tcBorders>
            <w:shd w:val="clear" w:color="auto" w:fill="FFFFFF"/>
          </w:tcPr>
          <w:p w14:paraId="55BDA62B" w14:textId="77777777" w:rsidR="00B612DB" w:rsidRPr="00B612DB" w:rsidRDefault="00B612DB" w:rsidP="00B612DB">
            <w:pPr>
              <w:adjustRightInd w:val="0"/>
              <w:ind w:left="60" w:right="60"/>
              <w:jc w:val="right"/>
              <w:rPr>
                <w:color w:val="010205"/>
              </w:rPr>
            </w:pPr>
            <w:r w:rsidRPr="00B612DB">
              <w:rPr>
                <w:color w:val="010205"/>
              </w:rPr>
              <w:t>3</w:t>
            </w:r>
          </w:p>
        </w:tc>
        <w:tc>
          <w:tcPr>
            <w:tcW w:w="899" w:type="pct"/>
            <w:tcBorders>
              <w:top w:val="single" w:sz="8" w:space="0" w:color="152935"/>
              <w:left w:val="single" w:sz="8" w:space="0" w:color="E0E0E0"/>
              <w:bottom w:val="single" w:sz="8" w:space="0" w:color="AEAEAE"/>
              <w:right w:val="nil"/>
            </w:tcBorders>
            <w:shd w:val="clear" w:color="auto" w:fill="FFFFFF"/>
          </w:tcPr>
          <w:p w14:paraId="679CAB37" w14:textId="77777777" w:rsidR="00B612DB" w:rsidRPr="00B612DB" w:rsidRDefault="00B612DB" w:rsidP="00B612DB">
            <w:pPr>
              <w:adjustRightInd w:val="0"/>
              <w:ind w:left="60" w:right="60"/>
              <w:jc w:val="right"/>
              <w:rPr>
                <w:color w:val="010205"/>
              </w:rPr>
            </w:pPr>
            <w:r w:rsidRPr="00B612DB">
              <w:rPr>
                <w:color w:val="010205"/>
              </w:rPr>
              <w:t>214.121</w:t>
            </w:r>
          </w:p>
        </w:tc>
        <w:tc>
          <w:tcPr>
            <w:tcW w:w="655" w:type="pct"/>
            <w:tcBorders>
              <w:top w:val="single" w:sz="8" w:space="0" w:color="152935"/>
              <w:left w:val="single" w:sz="8" w:space="0" w:color="E0E0E0"/>
              <w:bottom w:val="single" w:sz="8" w:space="0" w:color="AEAEAE"/>
              <w:right w:val="single" w:sz="8" w:space="0" w:color="E0E0E0"/>
            </w:tcBorders>
            <w:shd w:val="clear" w:color="auto" w:fill="FFFFFF"/>
          </w:tcPr>
          <w:p w14:paraId="006156E5" w14:textId="77777777" w:rsidR="00B612DB" w:rsidRPr="00B612DB" w:rsidRDefault="00B612DB" w:rsidP="00B612DB">
            <w:pPr>
              <w:adjustRightInd w:val="0"/>
              <w:ind w:left="60" w:right="60"/>
              <w:jc w:val="right"/>
              <w:rPr>
                <w:color w:val="010205"/>
              </w:rPr>
            </w:pPr>
            <w:r w:rsidRPr="00B612DB">
              <w:rPr>
                <w:color w:val="010205"/>
              </w:rPr>
              <w:t>41.747</w:t>
            </w:r>
          </w:p>
        </w:tc>
        <w:tc>
          <w:tcPr>
            <w:tcW w:w="564" w:type="pct"/>
            <w:tcBorders>
              <w:top w:val="single" w:sz="8" w:space="0" w:color="152935"/>
              <w:left w:val="single" w:sz="8" w:space="0" w:color="E0E0E0"/>
              <w:bottom w:val="single" w:sz="8" w:space="0" w:color="AEAEAE"/>
              <w:right w:val="nil"/>
            </w:tcBorders>
            <w:shd w:val="clear" w:color="auto" w:fill="FFFFFF"/>
          </w:tcPr>
          <w:p w14:paraId="314F309C" w14:textId="77777777" w:rsidR="00B612DB" w:rsidRPr="00B612DB" w:rsidRDefault="00B612DB" w:rsidP="00B612DB">
            <w:pPr>
              <w:adjustRightInd w:val="0"/>
              <w:ind w:left="60" w:right="60"/>
              <w:jc w:val="right"/>
              <w:rPr>
                <w:color w:val="010205"/>
              </w:rPr>
            </w:pPr>
            <w:r w:rsidRPr="00B612DB">
              <w:rPr>
                <w:color w:val="010205"/>
              </w:rPr>
              <w:t>.000</w:t>
            </w:r>
            <w:r w:rsidRPr="00B612DB">
              <w:rPr>
                <w:color w:val="010205"/>
                <w:vertAlign w:val="superscript"/>
              </w:rPr>
              <w:t>b</w:t>
            </w:r>
          </w:p>
        </w:tc>
      </w:tr>
      <w:tr w:rsidR="00B612DB" w:rsidRPr="00B612DB" w14:paraId="4F22ED09" w14:textId="77777777" w:rsidTr="00FA1A43">
        <w:trPr>
          <w:cantSplit/>
        </w:trPr>
        <w:tc>
          <w:tcPr>
            <w:tcW w:w="468" w:type="pct"/>
            <w:vMerge/>
            <w:tcBorders>
              <w:top w:val="single" w:sz="8" w:space="0" w:color="152935"/>
              <w:left w:val="nil"/>
              <w:bottom w:val="single" w:sz="8" w:space="0" w:color="152935"/>
              <w:right w:val="nil"/>
            </w:tcBorders>
            <w:shd w:val="clear" w:color="auto" w:fill="E0E0E0"/>
          </w:tcPr>
          <w:p w14:paraId="559382DF" w14:textId="77777777" w:rsidR="00B612DB" w:rsidRPr="00B612DB" w:rsidRDefault="00B612DB" w:rsidP="00B612DB">
            <w:pPr>
              <w:adjustRightInd w:val="0"/>
              <w:rPr>
                <w:color w:val="010205"/>
              </w:rPr>
            </w:pPr>
          </w:p>
        </w:tc>
        <w:tc>
          <w:tcPr>
            <w:tcW w:w="821" w:type="pct"/>
            <w:tcBorders>
              <w:top w:val="single" w:sz="8" w:space="0" w:color="AEAEAE"/>
              <w:left w:val="nil"/>
              <w:bottom w:val="single" w:sz="8" w:space="0" w:color="AEAEAE"/>
              <w:right w:val="nil"/>
            </w:tcBorders>
            <w:shd w:val="clear" w:color="auto" w:fill="E0E0E0"/>
          </w:tcPr>
          <w:p w14:paraId="1710873F" w14:textId="77777777" w:rsidR="00B612DB" w:rsidRPr="00B612DB" w:rsidRDefault="00B612DB" w:rsidP="00B612DB">
            <w:pPr>
              <w:adjustRightInd w:val="0"/>
              <w:ind w:left="60" w:right="60"/>
              <w:rPr>
                <w:color w:val="264A60"/>
              </w:rPr>
            </w:pPr>
            <w:r w:rsidRPr="00B612DB">
              <w:rPr>
                <w:color w:val="264A60"/>
              </w:rPr>
              <w:t>Residual</w:t>
            </w:r>
          </w:p>
        </w:tc>
        <w:tc>
          <w:tcPr>
            <w:tcW w:w="938" w:type="pct"/>
            <w:tcBorders>
              <w:top w:val="single" w:sz="8" w:space="0" w:color="AEAEAE"/>
              <w:left w:val="nil"/>
              <w:bottom w:val="single" w:sz="8" w:space="0" w:color="AEAEAE"/>
              <w:right w:val="nil"/>
            </w:tcBorders>
            <w:shd w:val="clear" w:color="auto" w:fill="FFFFFF"/>
          </w:tcPr>
          <w:p w14:paraId="70213461" w14:textId="77777777" w:rsidR="00B612DB" w:rsidRPr="00B612DB" w:rsidRDefault="00B612DB" w:rsidP="00B612DB">
            <w:pPr>
              <w:adjustRightInd w:val="0"/>
              <w:ind w:left="60" w:right="60"/>
              <w:jc w:val="right"/>
              <w:rPr>
                <w:color w:val="010205"/>
              </w:rPr>
            </w:pPr>
            <w:r w:rsidRPr="00B612DB">
              <w:rPr>
                <w:color w:val="010205"/>
              </w:rPr>
              <w:t>492.386</w:t>
            </w:r>
          </w:p>
        </w:tc>
        <w:tc>
          <w:tcPr>
            <w:tcW w:w="655" w:type="pct"/>
            <w:tcBorders>
              <w:top w:val="single" w:sz="8" w:space="0" w:color="AEAEAE"/>
              <w:left w:val="single" w:sz="8" w:space="0" w:color="E0E0E0"/>
              <w:bottom w:val="single" w:sz="8" w:space="0" w:color="AEAEAE"/>
              <w:right w:val="single" w:sz="8" w:space="0" w:color="E0E0E0"/>
            </w:tcBorders>
            <w:shd w:val="clear" w:color="auto" w:fill="FFFFFF"/>
          </w:tcPr>
          <w:p w14:paraId="44E36BCB" w14:textId="77777777" w:rsidR="00B612DB" w:rsidRPr="00B612DB" w:rsidRDefault="00B612DB" w:rsidP="00B612DB">
            <w:pPr>
              <w:adjustRightInd w:val="0"/>
              <w:ind w:left="60" w:right="60"/>
              <w:jc w:val="right"/>
              <w:rPr>
                <w:color w:val="010205"/>
              </w:rPr>
            </w:pPr>
            <w:r w:rsidRPr="00B612DB">
              <w:rPr>
                <w:color w:val="010205"/>
              </w:rPr>
              <w:t>96</w:t>
            </w:r>
          </w:p>
        </w:tc>
        <w:tc>
          <w:tcPr>
            <w:tcW w:w="899" w:type="pct"/>
            <w:tcBorders>
              <w:top w:val="single" w:sz="8" w:space="0" w:color="AEAEAE"/>
              <w:left w:val="single" w:sz="8" w:space="0" w:color="E0E0E0"/>
              <w:bottom w:val="single" w:sz="8" w:space="0" w:color="AEAEAE"/>
              <w:right w:val="nil"/>
            </w:tcBorders>
            <w:shd w:val="clear" w:color="auto" w:fill="FFFFFF"/>
          </w:tcPr>
          <w:p w14:paraId="63AB1CA4" w14:textId="77777777" w:rsidR="00B612DB" w:rsidRPr="00B612DB" w:rsidRDefault="00B612DB" w:rsidP="00B612DB">
            <w:pPr>
              <w:adjustRightInd w:val="0"/>
              <w:ind w:left="60" w:right="60"/>
              <w:jc w:val="right"/>
              <w:rPr>
                <w:color w:val="010205"/>
              </w:rPr>
            </w:pPr>
            <w:r w:rsidRPr="00B612DB">
              <w:rPr>
                <w:color w:val="010205"/>
              </w:rPr>
              <w:t>5.129</w:t>
            </w:r>
          </w:p>
        </w:tc>
        <w:tc>
          <w:tcPr>
            <w:tcW w:w="65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3676ADE0" w14:textId="77777777" w:rsidR="00B612DB" w:rsidRPr="00B612DB" w:rsidRDefault="00B612DB" w:rsidP="00B612DB">
            <w:pPr>
              <w:adjustRightInd w:val="0"/>
            </w:pPr>
          </w:p>
        </w:tc>
        <w:tc>
          <w:tcPr>
            <w:tcW w:w="564" w:type="pct"/>
            <w:tcBorders>
              <w:top w:val="single" w:sz="8" w:space="0" w:color="AEAEAE"/>
              <w:left w:val="single" w:sz="8" w:space="0" w:color="E0E0E0"/>
              <w:bottom w:val="single" w:sz="8" w:space="0" w:color="AEAEAE"/>
              <w:right w:val="nil"/>
            </w:tcBorders>
            <w:shd w:val="clear" w:color="auto" w:fill="FFFFFF"/>
            <w:vAlign w:val="center"/>
          </w:tcPr>
          <w:p w14:paraId="01F92C3E" w14:textId="77777777" w:rsidR="00B612DB" w:rsidRPr="00B612DB" w:rsidRDefault="00B612DB" w:rsidP="00B612DB">
            <w:pPr>
              <w:adjustRightInd w:val="0"/>
            </w:pPr>
          </w:p>
        </w:tc>
      </w:tr>
      <w:tr w:rsidR="00B612DB" w:rsidRPr="00B612DB" w14:paraId="431522F8" w14:textId="77777777" w:rsidTr="00FA1A43">
        <w:trPr>
          <w:cantSplit/>
        </w:trPr>
        <w:tc>
          <w:tcPr>
            <w:tcW w:w="468" w:type="pct"/>
            <w:vMerge/>
            <w:tcBorders>
              <w:top w:val="single" w:sz="8" w:space="0" w:color="152935"/>
              <w:left w:val="nil"/>
              <w:bottom w:val="single" w:sz="8" w:space="0" w:color="152935"/>
              <w:right w:val="nil"/>
            </w:tcBorders>
            <w:shd w:val="clear" w:color="auto" w:fill="E0E0E0"/>
          </w:tcPr>
          <w:p w14:paraId="09EC5A0D" w14:textId="77777777" w:rsidR="00B612DB" w:rsidRPr="00B612DB" w:rsidRDefault="00B612DB" w:rsidP="00B612DB">
            <w:pPr>
              <w:adjustRightInd w:val="0"/>
            </w:pPr>
          </w:p>
        </w:tc>
        <w:tc>
          <w:tcPr>
            <w:tcW w:w="821" w:type="pct"/>
            <w:tcBorders>
              <w:top w:val="single" w:sz="8" w:space="0" w:color="AEAEAE"/>
              <w:left w:val="nil"/>
              <w:bottom w:val="single" w:sz="8" w:space="0" w:color="152935"/>
              <w:right w:val="nil"/>
            </w:tcBorders>
            <w:shd w:val="clear" w:color="auto" w:fill="E0E0E0"/>
          </w:tcPr>
          <w:p w14:paraId="4B475ECB" w14:textId="77777777" w:rsidR="00B612DB" w:rsidRPr="00B612DB" w:rsidRDefault="00B612DB" w:rsidP="00B612DB">
            <w:pPr>
              <w:adjustRightInd w:val="0"/>
              <w:ind w:left="60" w:right="60"/>
              <w:rPr>
                <w:color w:val="264A60"/>
              </w:rPr>
            </w:pPr>
            <w:r w:rsidRPr="00B612DB">
              <w:rPr>
                <w:color w:val="264A60"/>
              </w:rPr>
              <w:t>Total</w:t>
            </w:r>
          </w:p>
        </w:tc>
        <w:tc>
          <w:tcPr>
            <w:tcW w:w="938" w:type="pct"/>
            <w:tcBorders>
              <w:top w:val="single" w:sz="8" w:space="0" w:color="AEAEAE"/>
              <w:left w:val="nil"/>
              <w:bottom w:val="single" w:sz="8" w:space="0" w:color="152935"/>
              <w:right w:val="nil"/>
            </w:tcBorders>
            <w:shd w:val="clear" w:color="auto" w:fill="FFFFFF"/>
          </w:tcPr>
          <w:p w14:paraId="0C0C62D2" w14:textId="77777777" w:rsidR="00B612DB" w:rsidRPr="00B612DB" w:rsidRDefault="00B612DB" w:rsidP="00B612DB">
            <w:pPr>
              <w:adjustRightInd w:val="0"/>
              <w:ind w:left="60" w:right="60"/>
              <w:jc w:val="right"/>
              <w:rPr>
                <w:color w:val="010205"/>
              </w:rPr>
            </w:pPr>
            <w:r w:rsidRPr="00B612DB">
              <w:rPr>
                <w:color w:val="010205"/>
              </w:rPr>
              <w:t>1134.750</w:t>
            </w:r>
          </w:p>
        </w:tc>
        <w:tc>
          <w:tcPr>
            <w:tcW w:w="655" w:type="pct"/>
            <w:tcBorders>
              <w:top w:val="single" w:sz="8" w:space="0" w:color="AEAEAE"/>
              <w:left w:val="single" w:sz="8" w:space="0" w:color="E0E0E0"/>
              <w:bottom w:val="single" w:sz="8" w:space="0" w:color="152935"/>
              <w:right w:val="single" w:sz="8" w:space="0" w:color="E0E0E0"/>
            </w:tcBorders>
            <w:shd w:val="clear" w:color="auto" w:fill="FFFFFF"/>
          </w:tcPr>
          <w:p w14:paraId="5237DA4B" w14:textId="77777777" w:rsidR="00B612DB" w:rsidRPr="00B612DB" w:rsidRDefault="00B612DB" w:rsidP="00B612DB">
            <w:pPr>
              <w:adjustRightInd w:val="0"/>
              <w:ind w:left="60" w:right="60"/>
              <w:jc w:val="right"/>
              <w:rPr>
                <w:color w:val="010205"/>
              </w:rPr>
            </w:pPr>
            <w:r w:rsidRPr="00B612DB">
              <w:rPr>
                <w:color w:val="010205"/>
              </w:rPr>
              <w:t>99</w:t>
            </w:r>
          </w:p>
        </w:tc>
        <w:tc>
          <w:tcPr>
            <w:tcW w:w="899" w:type="pct"/>
            <w:tcBorders>
              <w:top w:val="single" w:sz="8" w:space="0" w:color="AEAEAE"/>
              <w:left w:val="single" w:sz="8" w:space="0" w:color="E0E0E0"/>
              <w:bottom w:val="single" w:sz="8" w:space="0" w:color="152935"/>
              <w:right w:val="nil"/>
            </w:tcBorders>
            <w:shd w:val="clear" w:color="auto" w:fill="FFFFFF"/>
            <w:vAlign w:val="center"/>
          </w:tcPr>
          <w:p w14:paraId="43BE5E71" w14:textId="77777777" w:rsidR="00B612DB" w:rsidRPr="00B612DB" w:rsidRDefault="00B612DB" w:rsidP="00B612DB">
            <w:pPr>
              <w:adjustRightInd w:val="0"/>
            </w:pPr>
          </w:p>
        </w:tc>
        <w:tc>
          <w:tcPr>
            <w:tcW w:w="655"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7939DDCE" w14:textId="77777777" w:rsidR="00B612DB" w:rsidRPr="00B612DB" w:rsidRDefault="00B612DB" w:rsidP="00B612DB">
            <w:pPr>
              <w:adjustRightInd w:val="0"/>
            </w:pPr>
          </w:p>
        </w:tc>
        <w:tc>
          <w:tcPr>
            <w:tcW w:w="564" w:type="pct"/>
            <w:tcBorders>
              <w:top w:val="single" w:sz="8" w:space="0" w:color="AEAEAE"/>
              <w:left w:val="single" w:sz="8" w:space="0" w:color="E0E0E0"/>
              <w:bottom w:val="single" w:sz="8" w:space="0" w:color="152935"/>
              <w:right w:val="nil"/>
            </w:tcBorders>
            <w:shd w:val="clear" w:color="auto" w:fill="FFFFFF"/>
            <w:vAlign w:val="center"/>
          </w:tcPr>
          <w:p w14:paraId="3BFF0FFD" w14:textId="77777777" w:rsidR="00B612DB" w:rsidRPr="00B612DB" w:rsidRDefault="00B612DB" w:rsidP="00B612DB">
            <w:pPr>
              <w:adjustRightInd w:val="0"/>
            </w:pPr>
          </w:p>
        </w:tc>
      </w:tr>
    </w:tbl>
    <w:p w14:paraId="79BE1816" w14:textId="32B82157" w:rsidR="00B612DB" w:rsidRPr="00B612DB" w:rsidRDefault="009C0269" w:rsidP="00BA7EF3">
      <w:pPr>
        <w:tabs>
          <w:tab w:val="left" w:pos="567"/>
        </w:tabs>
        <w:ind w:firstLine="567"/>
        <w:jc w:val="both"/>
      </w:pPr>
      <w:r>
        <w:rPr>
          <w:lang w:val="id-ID"/>
        </w:rPr>
        <w:t xml:space="preserve">Dari </w:t>
      </w:r>
      <w:r w:rsidRPr="009C0269">
        <w:t>tabel di atas disadari bahwa konsekuensi uji F memiliki nilai kepentingan 0,000 &lt;0,05; kemudian, pada saat itu, spekulasi keempat yang menyatakan “Kesadaran Mencakup Biaya, Kesan Kecukupan Kerangka Tugas, dan Pemahaman Undang-undang Unresmi Nomor 23 Tahun 2018 mempengaruhi kemampuan membayar retribusi pada UMKM di kawasan bursa”.</w:t>
      </w:r>
    </w:p>
    <w:bookmarkEnd w:id="8"/>
    <w:p w14:paraId="0CAF015A" w14:textId="77777777" w:rsidR="00B612DB" w:rsidRPr="00B612DB" w:rsidRDefault="00B612DB" w:rsidP="00BA7EF3">
      <w:pPr>
        <w:widowControl/>
        <w:adjustRightInd w:val="0"/>
        <w:jc w:val="both"/>
        <w:rPr>
          <w:rFonts w:eastAsia="Calibri"/>
          <w:b/>
          <w:noProof/>
        </w:rPr>
      </w:pPr>
      <w:r w:rsidRPr="00B612DB">
        <w:rPr>
          <w:rFonts w:eastAsia="Calibri"/>
          <w:b/>
          <w:noProof/>
        </w:rPr>
        <w:t xml:space="preserve">Koefisien </w:t>
      </w:r>
      <w:r w:rsidRPr="00B612DB">
        <w:rPr>
          <w:b/>
          <w:bCs/>
          <w:iCs/>
        </w:rPr>
        <w:t>Determinasi</w:t>
      </w:r>
      <w:r w:rsidRPr="00B612DB">
        <w:rPr>
          <w:rFonts w:eastAsia="Calibri"/>
          <w:b/>
          <w:noProof/>
        </w:rPr>
        <w:t xml:space="preserve"> (R</w:t>
      </w:r>
      <w:r w:rsidRPr="00B612DB">
        <w:rPr>
          <w:rFonts w:eastAsia="Calibri"/>
          <w:b/>
          <w:noProof/>
          <w:vertAlign w:val="superscript"/>
        </w:rPr>
        <w:t>2</w:t>
      </w:r>
      <w:r w:rsidRPr="00B612DB">
        <w:rPr>
          <w:rFonts w:eastAsia="Calibri"/>
          <w:b/>
          <w:noProof/>
        </w:rPr>
        <w:t>)</w:t>
      </w:r>
    </w:p>
    <w:p w14:paraId="3E34EA28" w14:textId="6F1AE668" w:rsidR="00B612DB" w:rsidRPr="00B612DB" w:rsidRDefault="00B612DB" w:rsidP="00B612DB">
      <w:pPr>
        <w:ind w:left="284"/>
        <w:jc w:val="center"/>
        <w:rPr>
          <w:rFonts w:eastAsia="Calibri"/>
          <w:b/>
          <w:noProof/>
        </w:rPr>
      </w:pPr>
      <w:r w:rsidRPr="00B612DB">
        <w:rPr>
          <w:rFonts w:eastAsia="Calibri"/>
          <w:b/>
          <w:noProof/>
        </w:rPr>
        <w:t xml:space="preserve">Tabel </w:t>
      </w:r>
      <w:r w:rsidR="00DB4165">
        <w:rPr>
          <w:rFonts w:eastAsia="Calibri"/>
          <w:b/>
          <w:noProof/>
        </w:rPr>
        <w:t>11</w:t>
      </w:r>
      <w:r w:rsidRPr="00B612DB">
        <w:rPr>
          <w:rFonts w:eastAsia="Calibri"/>
          <w:b/>
          <w:noProof/>
        </w:rPr>
        <w:t>. Hasil Uji Koefisien Determinasi (R</w:t>
      </w:r>
      <w:r w:rsidRPr="00B612DB">
        <w:rPr>
          <w:rFonts w:eastAsia="Calibri"/>
          <w:b/>
          <w:noProof/>
          <w:vertAlign w:val="superscript"/>
        </w:rPr>
        <w:t>2</w:t>
      </w:r>
      <w:r w:rsidRPr="00B612DB">
        <w:rPr>
          <w:rFonts w:eastAsia="Calibri"/>
          <w:b/>
          <w:noProof/>
        </w:rPr>
        <w:t>)</w:t>
      </w:r>
    </w:p>
    <w:tbl>
      <w:tblPr>
        <w:tblW w:w="65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B612DB" w:rsidRPr="00B612DB" w14:paraId="3F540F96" w14:textId="77777777" w:rsidTr="00BA7EF3">
        <w:trPr>
          <w:cantSplit/>
          <w:jc w:val="center"/>
        </w:trPr>
        <w:tc>
          <w:tcPr>
            <w:tcW w:w="887" w:type="dxa"/>
            <w:tcBorders>
              <w:top w:val="nil"/>
              <w:left w:val="nil"/>
              <w:bottom w:val="single" w:sz="8" w:space="0" w:color="152935"/>
              <w:right w:val="nil"/>
            </w:tcBorders>
            <w:shd w:val="clear" w:color="auto" w:fill="FFFFFF"/>
            <w:vAlign w:val="bottom"/>
          </w:tcPr>
          <w:p w14:paraId="75E67837" w14:textId="77777777" w:rsidR="00B612DB" w:rsidRPr="00B612DB" w:rsidRDefault="00B612DB" w:rsidP="00B612DB">
            <w:pPr>
              <w:adjustRightInd w:val="0"/>
              <w:ind w:left="60" w:right="60"/>
              <w:rPr>
                <w:color w:val="264A60"/>
              </w:rPr>
            </w:pPr>
            <w:r w:rsidRPr="00B612DB">
              <w:rPr>
                <w:color w:val="264A60"/>
              </w:rPr>
              <w:t>Model</w:t>
            </w:r>
          </w:p>
        </w:tc>
        <w:tc>
          <w:tcPr>
            <w:tcW w:w="1143" w:type="dxa"/>
            <w:tcBorders>
              <w:top w:val="nil"/>
              <w:left w:val="nil"/>
              <w:bottom w:val="single" w:sz="8" w:space="0" w:color="152935"/>
              <w:right w:val="single" w:sz="8" w:space="0" w:color="E0E0E0"/>
            </w:tcBorders>
            <w:shd w:val="clear" w:color="auto" w:fill="FFFFFF"/>
            <w:vAlign w:val="bottom"/>
          </w:tcPr>
          <w:p w14:paraId="259ECE2B" w14:textId="77777777" w:rsidR="00B612DB" w:rsidRPr="00B612DB" w:rsidRDefault="00B612DB" w:rsidP="00B612DB">
            <w:pPr>
              <w:adjustRightInd w:val="0"/>
              <w:ind w:left="60" w:right="60"/>
              <w:jc w:val="center"/>
              <w:rPr>
                <w:color w:val="264A60"/>
              </w:rPr>
            </w:pPr>
            <w:r w:rsidRPr="00B612DB">
              <w:rPr>
                <w:color w:val="264A60"/>
              </w:rPr>
              <w:t>R</w:t>
            </w:r>
          </w:p>
        </w:tc>
        <w:tc>
          <w:tcPr>
            <w:tcW w:w="1211" w:type="dxa"/>
            <w:tcBorders>
              <w:top w:val="nil"/>
              <w:left w:val="single" w:sz="8" w:space="0" w:color="E0E0E0"/>
              <w:bottom w:val="single" w:sz="8" w:space="0" w:color="152935"/>
              <w:right w:val="nil"/>
            </w:tcBorders>
            <w:shd w:val="clear" w:color="auto" w:fill="FFFFFF"/>
            <w:vAlign w:val="bottom"/>
          </w:tcPr>
          <w:p w14:paraId="58580895" w14:textId="77777777" w:rsidR="00B612DB" w:rsidRPr="00B612DB" w:rsidRDefault="00B612DB" w:rsidP="00B612DB">
            <w:pPr>
              <w:adjustRightInd w:val="0"/>
              <w:ind w:left="60" w:right="60"/>
              <w:jc w:val="center"/>
              <w:rPr>
                <w:color w:val="264A60"/>
              </w:rPr>
            </w:pPr>
            <w:r w:rsidRPr="00B612DB">
              <w:rPr>
                <w:color w:val="264A60"/>
              </w:rPr>
              <w:t>R Square</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444E287A" w14:textId="77777777" w:rsidR="00B612DB" w:rsidRPr="00B612DB" w:rsidRDefault="00B612DB" w:rsidP="00B612DB">
            <w:pPr>
              <w:adjustRightInd w:val="0"/>
              <w:ind w:left="60" w:right="60"/>
              <w:jc w:val="center"/>
              <w:rPr>
                <w:color w:val="264A60"/>
              </w:rPr>
            </w:pPr>
            <w:r w:rsidRPr="00B612DB">
              <w:rPr>
                <w:color w:val="264A60"/>
              </w:rPr>
              <w:t>Adjusted R Square</w:t>
            </w:r>
          </w:p>
        </w:tc>
        <w:tc>
          <w:tcPr>
            <w:tcW w:w="1638" w:type="dxa"/>
            <w:tcBorders>
              <w:top w:val="nil"/>
              <w:left w:val="single" w:sz="8" w:space="0" w:color="E0E0E0"/>
              <w:bottom w:val="single" w:sz="8" w:space="0" w:color="152935"/>
              <w:right w:val="nil"/>
            </w:tcBorders>
            <w:shd w:val="clear" w:color="auto" w:fill="FFFFFF"/>
            <w:vAlign w:val="bottom"/>
          </w:tcPr>
          <w:p w14:paraId="05739CD3" w14:textId="77777777" w:rsidR="00B612DB" w:rsidRPr="00B612DB" w:rsidRDefault="00B612DB" w:rsidP="00B612DB">
            <w:pPr>
              <w:adjustRightInd w:val="0"/>
              <w:ind w:left="60" w:right="60"/>
              <w:jc w:val="center"/>
              <w:rPr>
                <w:color w:val="264A60"/>
              </w:rPr>
            </w:pPr>
            <w:r w:rsidRPr="00B612DB">
              <w:rPr>
                <w:color w:val="264A60"/>
              </w:rPr>
              <w:t>Std. Error of the Estimate</w:t>
            </w:r>
          </w:p>
        </w:tc>
      </w:tr>
      <w:tr w:rsidR="00B612DB" w:rsidRPr="00B612DB" w14:paraId="72898D74" w14:textId="77777777" w:rsidTr="00BA7EF3">
        <w:trPr>
          <w:cantSplit/>
          <w:jc w:val="center"/>
        </w:trPr>
        <w:tc>
          <w:tcPr>
            <w:tcW w:w="887" w:type="dxa"/>
            <w:tcBorders>
              <w:top w:val="single" w:sz="8" w:space="0" w:color="152935"/>
              <w:left w:val="nil"/>
              <w:bottom w:val="single" w:sz="8" w:space="0" w:color="152935"/>
              <w:right w:val="nil"/>
            </w:tcBorders>
            <w:shd w:val="clear" w:color="auto" w:fill="E0E0E0"/>
          </w:tcPr>
          <w:p w14:paraId="16E6CB88" w14:textId="77777777" w:rsidR="00B612DB" w:rsidRPr="00B612DB" w:rsidRDefault="00B612DB" w:rsidP="00B612DB">
            <w:pPr>
              <w:adjustRightInd w:val="0"/>
              <w:ind w:left="60" w:right="60"/>
              <w:rPr>
                <w:color w:val="264A60"/>
              </w:rPr>
            </w:pPr>
            <w:r w:rsidRPr="00B612DB">
              <w:rPr>
                <w:color w:val="264A60"/>
              </w:rPr>
              <w:t>1</w:t>
            </w:r>
          </w:p>
        </w:tc>
        <w:tc>
          <w:tcPr>
            <w:tcW w:w="1143" w:type="dxa"/>
            <w:tcBorders>
              <w:top w:val="single" w:sz="8" w:space="0" w:color="152935"/>
              <w:left w:val="nil"/>
              <w:bottom w:val="single" w:sz="8" w:space="0" w:color="152935"/>
              <w:right w:val="single" w:sz="8" w:space="0" w:color="E0E0E0"/>
            </w:tcBorders>
            <w:shd w:val="clear" w:color="auto" w:fill="FFFFFF"/>
          </w:tcPr>
          <w:p w14:paraId="2F1AD24F" w14:textId="77777777" w:rsidR="00B612DB" w:rsidRPr="00B612DB" w:rsidRDefault="00B612DB" w:rsidP="00B612DB">
            <w:pPr>
              <w:adjustRightInd w:val="0"/>
              <w:ind w:left="60" w:right="60"/>
              <w:jc w:val="right"/>
              <w:rPr>
                <w:color w:val="010205"/>
              </w:rPr>
            </w:pPr>
            <w:r w:rsidRPr="00B612DB">
              <w:rPr>
                <w:color w:val="010205"/>
              </w:rPr>
              <w:t>.752</w:t>
            </w:r>
            <w:r w:rsidRPr="00B612DB">
              <w:rPr>
                <w:color w:val="010205"/>
                <w:vertAlign w:val="superscript"/>
              </w:rPr>
              <w:t>a</w:t>
            </w:r>
          </w:p>
        </w:tc>
        <w:tc>
          <w:tcPr>
            <w:tcW w:w="1211" w:type="dxa"/>
            <w:tcBorders>
              <w:top w:val="single" w:sz="8" w:space="0" w:color="152935"/>
              <w:left w:val="single" w:sz="8" w:space="0" w:color="E0E0E0"/>
              <w:bottom w:val="single" w:sz="8" w:space="0" w:color="152935"/>
              <w:right w:val="nil"/>
            </w:tcBorders>
            <w:shd w:val="clear" w:color="auto" w:fill="FFFFFF"/>
          </w:tcPr>
          <w:p w14:paraId="3302F97E" w14:textId="77777777" w:rsidR="00B612DB" w:rsidRPr="00B612DB" w:rsidRDefault="00B612DB" w:rsidP="00B612DB">
            <w:pPr>
              <w:adjustRightInd w:val="0"/>
              <w:ind w:left="60" w:right="60"/>
              <w:jc w:val="right"/>
              <w:rPr>
                <w:color w:val="010205"/>
              </w:rPr>
            </w:pPr>
            <w:r w:rsidRPr="00B612DB">
              <w:rPr>
                <w:color w:val="010205"/>
              </w:rPr>
              <w:t>.566</w:t>
            </w:r>
          </w:p>
        </w:tc>
        <w:tc>
          <w:tcPr>
            <w:tcW w:w="1638" w:type="dxa"/>
            <w:tcBorders>
              <w:top w:val="single" w:sz="8" w:space="0" w:color="152935"/>
              <w:left w:val="single" w:sz="8" w:space="0" w:color="E0E0E0"/>
              <w:bottom w:val="single" w:sz="8" w:space="0" w:color="152935"/>
              <w:right w:val="single" w:sz="8" w:space="0" w:color="E0E0E0"/>
            </w:tcBorders>
            <w:shd w:val="clear" w:color="auto" w:fill="FFFFFF"/>
          </w:tcPr>
          <w:p w14:paraId="142A139E" w14:textId="77777777" w:rsidR="00B612DB" w:rsidRPr="00B612DB" w:rsidRDefault="00B612DB" w:rsidP="00B612DB">
            <w:pPr>
              <w:adjustRightInd w:val="0"/>
              <w:ind w:left="60" w:right="60"/>
              <w:jc w:val="right"/>
              <w:rPr>
                <w:color w:val="010205"/>
              </w:rPr>
            </w:pPr>
            <w:r w:rsidRPr="00B612DB">
              <w:rPr>
                <w:color w:val="010205"/>
              </w:rPr>
              <w:t>.553</w:t>
            </w:r>
          </w:p>
        </w:tc>
        <w:tc>
          <w:tcPr>
            <w:tcW w:w="1638" w:type="dxa"/>
            <w:tcBorders>
              <w:top w:val="single" w:sz="8" w:space="0" w:color="152935"/>
              <w:left w:val="single" w:sz="8" w:space="0" w:color="E0E0E0"/>
              <w:bottom w:val="single" w:sz="8" w:space="0" w:color="152935"/>
              <w:right w:val="nil"/>
            </w:tcBorders>
            <w:shd w:val="clear" w:color="auto" w:fill="FFFFFF"/>
          </w:tcPr>
          <w:p w14:paraId="2D3F5AC2" w14:textId="77777777" w:rsidR="00B612DB" w:rsidRPr="00B612DB" w:rsidRDefault="00B612DB" w:rsidP="00B612DB">
            <w:pPr>
              <w:adjustRightInd w:val="0"/>
              <w:ind w:left="60" w:right="60"/>
              <w:jc w:val="right"/>
              <w:rPr>
                <w:color w:val="010205"/>
              </w:rPr>
            </w:pPr>
            <w:r w:rsidRPr="00B612DB">
              <w:rPr>
                <w:color w:val="010205"/>
              </w:rPr>
              <w:t>2.26473</w:t>
            </w:r>
          </w:p>
        </w:tc>
      </w:tr>
    </w:tbl>
    <w:p w14:paraId="793FFD6D" w14:textId="092334D1" w:rsidR="00B612DB" w:rsidRPr="00B612DB" w:rsidRDefault="009C0269" w:rsidP="00BA7EF3">
      <w:pPr>
        <w:tabs>
          <w:tab w:val="left" w:pos="567"/>
        </w:tabs>
        <w:ind w:firstLine="567"/>
        <w:jc w:val="both"/>
        <w:rPr>
          <w:rFonts w:eastAsia="Calibri"/>
          <w:noProof/>
        </w:rPr>
      </w:pPr>
      <w:r>
        <w:rPr>
          <w:rFonts w:eastAsia="Calibri"/>
          <w:noProof/>
          <w:lang w:val="id-ID"/>
        </w:rPr>
        <w:t xml:space="preserve">Output </w:t>
      </w:r>
      <w:r w:rsidRPr="009C0269">
        <w:rPr>
          <w:rFonts w:eastAsia="Calibri"/>
          <w:noProof/>
        </w:rPr>
        <w:t xml:space="preserve">uji R2 hasil review ini mendapat nilai 0,566. </w:t>
      </w:r>
      <w:r w:rsidR="00340CDB">
        <w:rPr>
          <w:rFonts w:eastAsia="Calibri"/>
          <w:noProof/>
          <w:lang w:val="id-ID"/>
        </w:rPr>
        <w:t xml:space="preserve">Perihal </w:t>
      </w:r>
      <w:r w:rsidRPr="009C0269">
        <w:rPr>
          <w:rFonts w:eastAsia="Calibri"/>
          <w:noProof/>
        </w:rPr>
        <w:t xml:space="preserve">ini </w:t>
      </w:r>
      <w:r w:rsidR="00340CDB">
        <w:rPr>
          <w:rFonts w:eastAsia="Calibri"/>
          <w:noProof/>
          <w:lang w:val="id-ID"/>
        </w:rPr>
        <w:t xml:space="preserve">menampakkan </w:t>
      </w:r>
      <w:r w:rsidRPr="009C0269">
        <w:rPr>
          <w:rFonts w:eastAsia="Calibri"/>
          <w:noProof/>
        </w:rPr>
        <w:t xml:space="preserve">bahwa kemampuan membayar retribusi dipengaruhi oleh faktor Perhatian untuk Mewujudkan Penilaian, Dilihat dari Kecukupan Kerangka Biaya, dan Pemahaman terhadap Undang-Undang Unres Nomor 23 Tahun 2018 </w:t>
      </w:r>
      <w:r w:rsidR="00340CDB">
        <w:rPr>
          <w:rFonts w:eastAsia="Calibri"/>
          <w:noProof/>
          <w:lang w:val="id-ID"/>
        </w:rPr>
        <w:t xml:space="preserve">senilai </w:t>
      </w:r>
      <w:r w:rsidRPr="009C0269">
        <w:rPr>
          <w:rFonts w:eastAsia="Calibri"/>
          <w:noProof/>
        </w:rPr>
        <w:t xml:space="preserve">56,6%, </w:t>
      </w:r>
      <w:r w:rsidR="00340CDB">
        <w:rPr>
          <w:rFonts w:eastAsia="Calibri"/>
          <w:noProof/>
          <w:lang w:val="id-ID"/>
        </w:rPr>
        <w:t xml:space="preserve">selebihnya senilai </w:t>
      </w:r>
      <w:r w:rsidRPr="009C0269">
        <w:rPr>
          <w:rFonts w:eastAsia="Calibri"/>
          <w:noProof/>
        </w:rPr>
        <w:t>43,4% dipengaruhi oleh berbagai variabel.</w:t>
      </w:r>
    </w:p>
    <w:p w14:paraId="26EA45B2" w14:textId="77777777" w:rsidR="00B612DB" w:rsidRPr="00B612DB" w:rsidRDefault="00B612DB" w:rsidP="00B612DB">
      <w:pPr>
        <w:pStyle w:val="ListParagraph"/>
        <w:tabs>
          <w:tab w:val="left" w:pos="284"/>
        </w:tabs>
        <w:spacing w:after="0" w:line="240" w:lineRule="auto"/>
        <w:ind w:left="284" w:firstLine="709"/>
        <w:jc w:val="both"/>
        <w:rPr>
          <w:rFonts w:ascii="Times New Roman" w:eastAsia="Calibri" w:hAnsi="Times New Roman" w:cs="Times New Roman"/>
          <w:noProof/>
        </w:rPr>
      </w:pPr>
    </w:p>
    <w:p w14:paraId="6F7D9CDE" w14:textId="6240C27C" w:rsidR="00565289" w:rsidRPr="00BA7EF3" w:rsidRDefault="00BA7EF3" w:rsidP="00BA7EF3">
      <w:pPr>
        <w:pStyle w:val="ListParagraph"/>
        <w:tabs>
          <w:tab w:val="left" w:pos="284"/>
          <w:tab w:val="left" w:pos="440"/>
          <w:tab w:val="left" w:pos="1210"/>
          <w:tab w:val="left" w:pos="3080"/>
        </w:tabs>
        <w:spacing w:after="0" w:line="240" w:lineRule="auto"/>
        <w:ind w:left="0" w:right="28"/>
        <w:jc w:val="both"/>
        <w:rPr>
          <w:rFonts w:ascii="Times New Roman" w:hAnsi="Times New Roman" w:cs="Times New Roman"/>
          <w:b/>
        </w:rPr>
      </w:pPr>
      <w:r w:rsidRPr="00BA7EF3">
        <w:rPr>
          <w:rFonts w:ascii="Times New Roman" w:hAnsi="Times New Roman" w:cs="Times New Roman"/>
          <w:b/>
        </w:rPr>
        <w:t>PEMBAHASAN</w:t>
      </w:r>
    </w:p>
    <w:p w14:paraId="4F1EF772" w14:textId="77777777" w:rsidR="00BA7EF3" w:rsidRPr="00BA7EF3" w:rsidRDefault="00BA7EF3" w:rsidP="00BA7EF3">
      <w:pPr>
        <w:widowControl/>
        <w:autoSpaceDE/>
        <w:autoSpaceDN/>
        <w:contextualSpacing/>
        <w:jc w:val="both"/>
        <w:rPr>
          <w:rFonts w:eastAsia="Calibri"/>
          <w:b/>
          <w:lang w:val="x-none"/>
        </w:rPr>
      </w:pPr>
      <w:r w:rsidRPr="00BA7EF3">
        <w:rPr>
          <w:rFonts w:eastAsia="Calibri"/>
          <w:b/>
          <w:lang w:val="x-none"/>
        </w:rPr>
        <w:t>Peng</w:t>
      </w:r>
      <w:r w:rsidRPr="00BA7EF3">
        <w:rPr>
          <w:rFonts w:eastAsia="Calibri"/>
          <w:b/>
          <w:shd w:val="clear" w:color="auto" w:fill="FFFFFF"/>
          <w:lang w:val="x-none"/>
        </w:rPr>
        <w:t>a</w:t>
      </w:r>
      <w:r w:rsidRPr="00BA7EF3">
        <w:rPr>
          <w:rFonts w:eastAsia="Calibri"/>
          <w:b/>
          <w:lang w:val="x-none"/>
        </w:rPr>
        <w:t xml:space="preserve">ruh </w:t>
      </w:r>
      <w:r w:rsidRPr="00BA7EF3">
        <w:rPr>
          <w:b/>
          <w:color w:val="000000" w:themeColor="text1"/>
        </w:rPr>
        <w:t xml:space="preserve">Kesadaran Membayar Pajak </w:t>
      </w:r>
      <w:r w:rsidRPr="00BA7EF3">
        <w:rPr>
          <w:b/>
        </w:rPr>
        <w:t>terhadap Kemauan Membayar Pajak</w:t>
      </w:r>
    </w:p>
    <w:p w14:paraId="28923E09" w14:textId="141DEC9D" w:rsidR="00A130B8" w:rsidRPr="00A130B8" w:rsidRDefault="00A130B8" w:rsidP="00A130B8">
      <w:pPr>
        <w:tabs>
          <w:tab w:val="left" w:pos="567"/>
        </w:tabs>
        <w:ind w:firstLine="567"/>
        <w:jc w:val="both"/>
        <w:rPr>
          <w:rFonts w:eastAsia="Calibri"/>
          <w:noProof/>
          <w:lang w:val="sv-SE"/>
        </w:rPr>
      </w:pPr>
      <w:bookmarkStart w:id="9" w:name="_Hlk88911636"/>
      <w:r w:rsidRPr="00A130B8">
        <w:rPr>
          <w:rFonts w:eastAsia="Calibri"/>
          <w:noProof/>
          <w:lang w:val="sv-SE"/>
        </w:rPr>
        <w:t xml:space="preserve">Hasilnya </w:t>
      </w:r>
      <w:r w:rsidR="008810EE">
        <w:rPr>
          <w:rFonts w:eastAsia="Calibri"/>
          <w:noProof/>
          <w:lang w:val="id-ID"/>
        </w:rPr>
        <w:t xml:space="preserve">menampakkan </w:t>
      </w:r>
      <w:r w:rsidRPr="00A130B8">
        <w:rPr>
          <w:rFonts w:eastAsia="Calibri"/>
          <w:noProof/>
          <w:lang w:val="sv-SE"/>
        </w:rPr>
        <w:t xml:space="preserve">bahwa keakraban dengan </w:t>
      </w:r>
      <w:r w:rsidR="008810EE">
        <w:rPr>
          <w:rFonts w:eastAsia="Calibri"/>
          <w:noProof/>
          <w:lang w:val="id-ID"/>
        </w:rPr>
        <w:t xml:space="preserve">melunasi </w:t>
      </w:r>
      <w:r w:rsidRPr="00A130B8">
        <w:rPr>
          <w:rFonts w:eastAsia="Calibri"/>
          <w:noProof/>
          <w:lang w:val="sv-SE"/>
        </w:rPr>
        <w:t xml:space="preserve">biaya secara tegas mempengaruhi kemampuan untuk menyelesaikan biaya. Kesadaran membayar biaya menyiratkan suatu keadaan di mana seseorang tahu, tanpa henti memahami bagaimana memanfaatkan biaya. Keakraban dengan membayar biaya pada tingkat skala penuh akan melahirkan kematian pemungutan pajak publik. Individu yang memiliki kualitas yang mendalam akan merasa bahwa membayar iuran adalah komitmen negara yang </w:t>
      </w:r>
      <w:r w:rsidR="00340CDB">
        <w:rPr>
          <w:rFonts w:eastAsia="Calibri"/>
          <w:noProof/>
          <w:lang w:val="id-ID"/>
        </w:rPr>
        <w:t xml:space="preserve">mesti dicukupi menjadi </w:t>
      </w:r>
      <w:r w:rsidRPr="00A130B8">
        <w:rPr>
          <w:rFonts w:eastAsia="Calibri"/>
          <w:noProof/>
          <w:lang w:val="sv-SE"/>
        </w:rPr>
        <w:t xml:space="preserve">individu dari asosiasi negara yang </w:t>
      </w:r>
      <w:r w:rsidR="00340CDB">
        <w:rPr>
          <w:rFonts w:eastAsia="Calibri"/>
          <w:noProof/>
          <w:lang w:val="id-ID"/>
        </w:rPr>
        <w:t xml:space="preserve">sudah menyediakan </w:t>
      </w:r>
      <w:r w:rsidRPr="00A130B8">
        <w:rPr>
          <w:rFonts w:eastAsia="Calibri"/>
          <w:noProof/>
          <w:lang w:val="sv-SE"/>
        </w:rPr>
        <w:t>asuransi dan jabatan kepada mereka (Purnamasari dan Oktaviani, 2020).</w:t>
      </w:r>
    </w:p>
    <w:p w14:paraId="0D629DC3" w14:textId="4BA5545A" w:rsidR="00A130B8" w:rsidRPr="00A130B8" w:rsidRDefault="00A130B8" w:rsidP="00A130B8">
      <w:pPr>
        <w:tabs>
          <w:tab w:val="left" w:pos="567"/>
        </w:tabs>
        <w:ind w:firstLine="567"/>
        <w:jc w:val="both"/>
        <w:rPr>
          <w:rFonts w:eastAsia="Calibri"/>
          <w:noProof/>
          <w:lang w:val="sv-SE"/>
        </w:rPr>
      </w:pPr>
      <w:r w:rsidRPr="00A130B8">
        <w:rPr>
          <w:rFonts w:eastAsia="Calibri"/>
          <w:noProof/>
          <w:lang w:val="sv-SE"/>
        </w:rPr>
        <w:t xml:space="preserve">Masyarakat akan merasa bahwa pungutan dibutuhkan oleh negara dalam </w:t>
      </w:r>
      <w:r w:rsidR="00340CDB">
        <w:rPr>
          <w:rFonts w:eastAsia="Calibri"/>
          <w:noProof/>
          <w:lang w:val="id-ID"/>
        </w:rPr>
        <w:t xml:space="preserve">melangsungkan </w:t>
      </w:r>
      <w:r w:rsidRPr="00A130B8">
        <w:rPr>
          <w:rFonts w:eastAsia="Calibri"/>
          <w:noProof/>
          <w:lang w:val="sv-SE"/>
        </w:rPr>
        <w:t>kewajiban dan kemampuannya, dan sebagai warga negara yang mendukung setiap kegiatan pemerintahan adalah wajib. Perhatian publik sangat rendah karena ketidaktahuan mereka tentang jenis remunerasi yang substansial untuk uang tunai yang dikeluarkan untuk menutupi biaya. Ini sering kali merupakan hambatan dalam masalah pengumpulan biaya dari masyarakat umum. Kesadaran masyarakat akan pemungutan pajak diharapkan dapat memperluas keinginan untuk menutupi biaya.</w:t>
      </w:r>
    </w:p>
    <w:p w14:paraId="455B542E" w14:textId="70C4F3E4" w:rsidR="00BA7EF3" w:rsidRPr="00340CDB" w:rsidRDefault="00A130B8" w:rsidP="00A130B8">
      <w:pPr>
        <w:tabs>
          <w:tab w:val="left" w:pos="567"/>
        </w:tabs>
        <w:ind w:firstLine="567"/>
        <w:jc w:val="both"/>
        <w:rPr>
          <w:rFonts w:eastAsia="Calibri"/>
          <w:bCs/>
          <w:lang w:val="sv-SE"/>
        </w:rPr>
      </w:pPr>
      <w:r w:rsidRPr="00A130B8">
        <w:rPr>
          <w:rFonts w:eastAsia="Calibri"/>
          <w:noProof/>
          <w:lang w:val="sv-SE"/>
        </w:rPr>
        <w:t xml:space="preserve">Konsekuensi dari studi ini mendukung pemeriksaan masa lalu yang dipimpin oleh Ernawati (2018) mengarahkan eksplorasi pada "Dampak Keakraban dengan Penilaian Penyelesaian, Pedoman Informasi dan Pemahaman Biaya, Pandangan Kecukupan Kerangka Tugas dan Administrasi Moneter pada Kapasitas untuk Membuat Baik on Retribusi (Perorangan Warga di KPP Pratama </w:t>
      </w:r>
      <w:r w:rsidR="00340CDB">
        <w:rPr>
          <w:rFonts w:eastAsia="Calibri"/>
          <w:noProof/>
          <w:lang w:val="sv-SE"/>
        </w:rPr>
        <w:t>Barabai)". Hasil kajian menunju</w:t>
      </w:r>
      <w:r w:rsidRPr="00A130B8">
        <w:rPr>
          <w:rFonts w:eastAsia="Calibri"/>
          <w:noProof/>
          <w:lang w:val="sv-SE"/>
        </w:rPr>
        <w:t xml:space="preserve">kan bahwa </w:t>
      </w:r>
      <w:r w:rsidR="00340CDB">
        <w:rPr>
          <w:rFonts w:eastAsia="Calibri"/>
          <w:noProof/>
          <w:lang w:val="id-ID"/>
        </w:rPr>
        <w:t xml:space="preserve">kesediaan melunasi </w:t>
      </w:r>
      <w:r w:rsidRPr="00A130B8">
        <w:rPr>
          <w:rFonts w:eastAsia="Calibri"/>
          <w:noProof/>
          <w:lang w:val="sv-SE"/>
        </w:rPr>
        <w:t xml:space="preserve">biaya </w:t>
      </w:r>
      <w:r w:rsidR="00340CDB">
        <w:rPr>
          <w:rFonts w:eastAsia="Calibri"/>
          <w:noProof/>
          <w:lang w:val="id-ID"/>
        </w:rPr>
        <w:t xml:space="preserve">pengaruhnya pada </w:t>
      </w:r>
      <w:r w:rsidRPr="00A130B8">
        <w:rPr>
          <w:rFonts w:eastAsia="Calibri"/>
          <w:noProof/>
          <w:lang w:val="sv-SE"/>
        </w:rPr>
        <w:t xml:space="preserve">kemampuan </w:t>
      </w:r>
      <w:r w:rsidR="00340CDB">
        <w:rPr>
          <w:rFonts w:eastAsia="Calibri"/>
          <w:noProof/>
          <w:lang w:val="id-ID"/>
        </w:rPr>
        <w:t xml:space="preserve">melunasi </w:t>
      </w:r>
      <w:r w:rsidRPr="00A130B8">
        <w:rPr>
          <w:rFonts w:eastAsia="Calibri"/>
          <w:noProof/>
          <w:lang w:val="sv-SE"/>
        </w:rPr>
        <w:t>biaya (Warga Perorangan di KPP Pratama Barabai).</w:t>
      </w:r>
    </w:p>
    <w:bookmarkEnd w:id="9"/>
    <w:p w14:paraId="5BB9301E" w14:textId="77777777" w:rsidR="00BA7EF3" w:rsidRPr="00BA7EF3" w:rsidRDefault="00BA7EF3" w:rsidP="00BA7EF3">
      <w:pPr>
        <w:widowControl/>
        <w:autoSpaceDE/>
        <w:autoSpaceDN/>
        <w:contextualSpacing/>
        <w:jc w:val="both"/>
        <w:rPr>
          <w:rFonts w:eastAsia="Calibri"/>
          <w:b/>
          <w:lang w:val="x-none"/>
        </w:rPr>
      </w:pPr>
      <w:r w:rsidRPr="00BA7EF3">
        <w:rPr>
          <w:rFonts w:eastAsia="Calibri"/>
          <w:b/>
          <w:lang w:val="x-none"/>
        </w:rPr>
        <w:t>Peng</w:t>
      </w:r>
      <w:r w:rsidRPr="00BA7EF3">
        <w:rPr>
          <w:rFonts w:eastAsia="Calibri"/>
          <w:b/>
          <w:shd w:val="clear" w:color="auto" w:fill="FFFFFF"/>
          <w:lang w:val="x-none"/>
        </w:rPr>
        <w:t>a</w:t>
      </w:r>
      <w:r w:rsidRPr="00BA7EF3">
        <w:rPr>
          <w:rFonts w:eastAsia="Calibri"/>
          <w:b/>
          <w:lang w:val="x-none"/>
        </w:rPr>
        <w:t xml:space="preserve">ruh </w:t>
      </w:r>
      <w:r w:rsidRPr="00BA7EF3">
        <w:rPr>
          <w:b/>
          <w:color w:val="000000" w:themeColor="text1"/>
        </w:rPr>
        <w:t>Persepsi Atas Efektivitas Sistem Perpajakan t</w:t>
      </w:r>
      <w:r w:rsidRPr="00BA7EF3">
        <w:rPr>
          <w:b/>
        </w:rPr>
        <w:t>erhadap Kemauan Membayar Pajak</w:t>
      </w:r>
    </w:p>
    <w:p w14:paraId="726198C5" w14:textId="443B593C" w:rsidR="00A130B8" w:rsidRPr="00A130B8" w:rsidRDefault="00A130B8" w:rsidP="00A130B8">
      <w:pPr>
        <w:tabs>
          <w:tab w:val="left" w:pos="567"/>
        </w:tabs>
        <w:ind w:firstLine="567"/>
        <w:jc w:val="both"/>
        <w:rPr>
          <w:rFonts w:eastAsia="Calibri"/>
          <w:lang w:val="sv-SE"/>
        </w:rPr>
      </w:pPr>
      <w:r w:rsidRPr="00A130B8">
        <w:rPr>
          <w:rFonts w:eastAsia="Calibri"/>
          <w:lang w:val="sv-SE"/>
        </w:rPr>
        <w:t xml:space="preserve">Konsekuensi dari tinjauan tersebut menunjukkan bahwa pandangan tentang kelayakan kerangka pemungutan pajak secara tegas mempengaruhi kesiapan untuk membayar retribusi di area pertukaran UKM. Faktor kedua yang mempengaruhi kemampuan membayar biaya adalah pandangan tentang kelayakan kerangka biaya. Warga negara memiliki pemahaman atau keuntungan sendiri dari kerangka pengumpulan pajak. Kelangsungan kerangka tugas adalah proporsi dari bagaimana tujuan kerangka telah dicapai (kualitas, jumlah dan waktu). Viability memiliki makna suatu estimasi yang </w:t>
      </w:r>
      <w:r w:rsidR="00340CDB">
        <w:rPr>
          <w:rFonts w:eastAsia="Calibri"/>
          <w:lang w:val="id-ID"/>
        </w:rPr>
        <w:t xml:space="preserve">memaparkan sejauhmana </w:t>
      </w:r>
      <w:r w:rsidRPr="00A130B8">
        <w:rPr>
          <w:rFonts w:eastAsia="Calibri"/>
          <w:lang w:val="sv-SE"/>
        </w:rPr>
        <w:t>tujuan (kualitas, jumlah, dan waktu) telah tercapai.</w:t>
      </w:r>
    </w:p>
    <w:p w14:paraId="252EA1AD" w14:textId="245C0A4A" w:rsidR="00A130B8" w:rsidRPr="00A130B8" w:rsidRDefault="00A130B8" w:rsidP="00A130B8">
      <w:pPr>
        <w:tabs>
          <w:tab w:val="left" w:pos="567"/>
        </w:tabs>
        <w:ind w:firstLine="567"/>
        <w:jc w:val="both"/>
        <w:rPr>
          <w:rFonts w:eastAsia="Calibri"/>
          <w:lang w:val="sv-SE"/>
        </w:rPr>
      </w:pPr>
      <w:r w:rsidRPr="00A130B8">
        <w:rPr>
          <w:rFonts w:eastAsia="Calibri"/>
          <w:lang w:val="sv-SE"/>
        </w:rPr>
        <w:t xml:space="preserve">Keberlangsungan kerangka pemungutan pajak </w:t>
      </w:r>
      <w:r w:rsidR="00340CDB">
        <w:rPr>
          <w:rFonts w:eastAsia="Calibri"/>
          <w:lang w:val="id-ID"/>
        </w:rPr>
        <w:t xml:space="preserve">bisa </w:t>
      </w:r>
      <w:r w:rsidRPr="00A130B8">
        <w:rPr>
          <w:rFonts w:eastAsia="Calibri"/>
          <w:lang w:val="sv-SE"/>
        </w:rPr>
        <w:t>di</w:t>
      </w:r>
      <w:r w:rsidR="00340CDB">
        <w:rPr>
          <w:rFonts w:eastAsia="Calibri"/>
          <w:lang w:val="id-ID"/>
        </w:rPr>
        <w:t xml:space="preserve"> </w:t>
      </w:r>
      <w:r w:rsidRPr="00A130B8">
        <w:rPr>
          <w:rFonts w:eastAsia="Calibri"/>
          <w:lang w:val="sv-SE"/>
        </w:rPr>
        <w:t xml:space="preserve">rasakan oleh warga, </w:t>
      </w:r>
      <w:r w:rsidR="00340CDB">
        <w:rPr>
          <w:rFonts w:eastAsia="Calibri"/>
          <w:lang w:val="id-ID"/>
        </w:rPr>
        <w:t xml:space="preserve">yakni terdapat </w:t>
      </w:r>
      <w:r w:rsidRPr="00A130B8">
        <w:rPr>
          <w:rFonts w:eastAsia="Calibri"/>
          <w:lang w:val="sv-SE"/>
        </w:rPr>
        <w:t xml:space="preserve">kerangka detailing </w:t>
      </w:r>
      <w:r w:rsidR="00340CDB">
        <w:rPr>
          <w:rFonts w:eastAsia="Calibri"/>
          <w:lang w:val="id-ID"/>
        </w:rPr>
        <w:t xml:space="preserve">dengan </w:t>
      </w:r>
      <w:r w:rsidRPr="00A130B8">
        <w:rPr>
          <w:rFonts w:eastAsia="Calibri"/>
          <w:lang w:val="sv-SE"/>
        </w:rPr>
        <w:t xml:space="preserve">e-SPT dan e-Filling, cicilan </w:t>
      </w:r>
      <w:r w:rsidR="00340CDB">
        <w:rPr>
          <w:rFonts w:eastAsia="Calibri"/>
          <w:lang w:val="id-ID"/>
        </w:rPr>
        <w:t xml:space="preserve">dengan </w:t>
      </w:r>
      <w:r w:rsidRPr="00A130B8">
        <w:rPr>
          <w:rFonts w:eastAsia="Calibri"/>
          <w:lang w:val="sv-SE"/>
        </w:rPr>
        <w:t xml:space="preserve">e-Banking, akomodasi SPT </w:t>
      </w:r>
      <w:r w:rsidR="00340CDB">
        <w:rPr>
          <w:rFonts w:eastAsia="Calibri"/>
          <w:lang w:val="id-ID"/>
        </w:rPr>
        <w:t xml:space="preserve">dengan </w:t>
      </w:r>
      <w:r w:rsidRPr="00A130B8">
        <w:rPr>
          <w:rFonts w:eastAsia="Calibri"/>
          <w:lang w:val="sv-SE"/>
        </w:rPr>
        <w:t xml:space="preserve">web yang </w:t>
      </w:r>
      <w:r w:rsidR="00340CDB">
        <w:rPr>
          <w:rFonts w:eastAsia="Calibri"/>
          <w:lang w:val="id-ID"/>
        </w:rPr>
        <w:t xml:space="preserve">bisa dilaksanakan </w:t>
      </w:r>
      <w:r w:rsidRPr="00A130B8">
        <w:rPr>
          <w:rFonts w:eastAsia="Calibri"/>
          <w:lang w:val="sv-SE"/>
        </w:rPr>
        <w:t xml:space="preserve">di </w:t>
      </w:r>
      <w:r w:rsidR="00340CDB">
        <w:rPr>
          <w:rFonts w:eastAsia="Calibri"/>
          <w:lang w:val="id-ID"/>
        </w:rPr>
        <w:t>beragam lokasi</w:t>
      </w:r>
      <w:r w:rsidRPr="00A130B8">
        <w:rPr>
          <w:rFonts w:eastAsia="Calibri"/>
          <w:lang w:val="sv-SE"/>
        </w:rPr>
        <w:t xml:space="preserve">, </w:t>
      </w:r>
      <w:r w:rsidR="00340CDB">
        <w:rPr>
          <w:rFonts w:eastAsia="Calibri"/>
          <w:lang w:val="id-ID"/>
        </w:rPr>
        <w:t xml:space="preserve">tak </w:t>
      </w:r>
      <w:r w:rsidRPr="00A130B8">
        <w:rPr>
          <w:rFonts w:eastAsia="Calibri"/>
          <w:lang w:val="sv-SE"/>
        </w:rPr>
        <w:t xml:space="preserve">perlu datang ke KPP, panduan biaya </w:t>
      </w:r>
      <w:r w:rsidR="00340CDB">
        <w:rPr>
          <w:rFonts w:eastAsia="Calibri"/>
          <w:lang w:val="id-ID"/>
        </w:rPr>
        <w:t xml:space="preserve">bisa </w:t>
      </w:r>
      <w:r w:rsidRPr="00A130B8">
        <w:rPr>
          <w:rFonts w:eastAsia="Calibri"/>
          <w:lang w:val="sv-SE"/>
        </w:rPr>
        <w:t xml:space="preserve">diakses </w:t>
      </w:r>
      <w:r w:rsidR="00340CDB">
        <w:rPr>
          <w:rFonts w:eastAsia="Calibri"/>
          <w:lang w:val="id-ID"/>
        </w:rPr>
        <w:t xml:space="preserve">dengan cara </w:t>
      </w:r>
      <w:r w:rsidRPr="00A130B8">
        <w:rPr>
          <w:rFonts w:eastAsia="Calibri"/>
          <w:lang w:val="sv-SE"/>
        </w:rPr>
        <w:t xml:space="preserve">online dengan cepat melalui web. Semakin baik jabatan yang diberikan oleh warga negara akan membangun kesiapan untuk membayar pungutan. Jika warga negara dapat memperkuat </w:t>
      </w:r>
      <w:r w:rsidRPr="00A130B8">
        <w:rPr>
          <w:rFonts w:eastAsia="Calibri"/>
          <w:lang w:val="sv-SE"/>
        </w:rPr>
        <w:lastRenderedPageBreak/>
        <w:t>kerangka pengumpulan pajak baru melalui web, membayar pajak mereka akan mudah. Warga negara yang mengetahui kerangka cicilan yang sedang berlangsung seharusnya wajib melunasi retribusi.</w:t>
      </w:r>
    </w:p>
    <w:p w14:paraId="4B4FD28E" w14:textId="08FD1F20" w:rsidR="00BA7EF3" w:rsidRPr="00BA7EF3" w:rsidRDefault="00A130B8" w:rsidP="00A130B8">
      <w:pPr>
        <w:tabs>
          <w:tab w:val="left" w:pos="567"/>
        </w:tabs>
        <w:ind w:firstLine="567"/>
        <w:jc w:val="both"/>
      </w:pPr>
      <w:r w:rsidRPr="00A130B8">
        <w:rPr>
          <w:rFonts w:eastAsia="Calibri"/>
          <w:lang w:val="sv-SE"/>
        </w:rPr>
        <w:t>Konsekuensi penelitian ini mendukung eksplorasi masa lalu yang dipimpin oleh Fauziati dan Syahri (2015) penelitian terkemuka tentang "Dampak Kecukupan Kerangka Pengeluaran dan Administrasi Moneter terhadap Kesiapan Membayar Tugas dengan Memperhatikan Membayar Biaya sebagai Variabel Mediasi". Hasilnya menunjukkan bahwa pandangan tentang kelayakan kerangka biaya berdampak pada kesadaran untuk memanfaatkan biaya.</w:t>
      </w:r>
    </w:p>
    <w:p w14:paraId="504D7205" w14:textId="77777777" w:rsidR="00BA7EF3" w:rsidRPr="00BA7EF3" w:rsidRDefault="00BA7EF3" w:rsidP="00A40BCA">
      <w:pPr>
        <w:widowControl/>
        <w:autoSpaceDE/>
        <w:autoSpaceDN/>
        <w:contextualSpacing/>
        <w:jc w:val="both"/>
        <w:rPr>
          <w:rFonts w:eastAsia="Calibri"/>
          <w:b/>
          <w:lang w:val="x-none"/>
        </w:rPr>
      </w:pPr>
      <w:r w:rsidRPr="00BA7EF3">
        <w:rPr>
          <w:rFonts w:eastAsia="Calibri"/>
          <w:b/>
          <w:lang w:val="x-none"/>
        </w:rPr>
        <w:t>Peng</w:t>
      </w:r>
      <w:r w:rsidRPr="00BA7EF3">
        <w:rPr>
          <w:rFonts w:eastAsia="Calibri"/>
          <w:b/>
          <w:shd w:val="clear" w:color="auto" w:fill="FFFFFF"/>
          <w:lang w:val="x-none"/>
        </w:rPr>
        <w:t>a</w:t>
      </w:r>
      <w:r w:rsidRPr="00BA7EF3">
        <w:rPr>
          <w:rFonts w:eastAsia="Calibri"/>
          <w:b/>
          <w:lang w:val="x-none"/>
        </w:rPr>
        <w:t xml:space="preserve">ruh </w:t>
      </w:r>
      <w:r w:rsidRPr="00BA7EF3">
        <w:rPr>
          <w:b/>
          <w:color w:val="000000" w:themeColor="text1"/>
        </w:rPr>
        <w:t xml:space="preserve">Pemahaman Peraturan Pemerintah Nomor 23 Tahun 2018 </w:t>
      </w:r>
      <w:r w:rsidRPr="00BA7EF3">
        <w:rPr>
          <w:b/>
        </w:rPr>
        <w:t>terhadap Kemauan Membayar Pajak</w:t>
      </w:r>
    </w:p>
    <w:p w14:paraId="20EA76E1" w14:textId="785CED8C" w:rsidR="00A130B8" w:rsidRPr="00A130B8" w:rsidRDefault="00A130B8" w:rsidP="00A130B8">
      <w:pPr>
        <w:tabs>
          <w:tab w:val="left" w:pos="567"/>
        </w:tabs>
        <w:ind w:firstLine="567"/>
        <w:jc w:val="both"/>
        <w:rPr>
          <w:rFonts w:eastAsia="Calibri"/>
          <w:noProof/>
          <w:lang w:val="sv-SE"/>
        </w:rPr>
      </w:pPr>
      <w:r w:rsidRPr="00A130B8">
        <w:rPr>
          <w:rFonts w:eastAsia="Calibri"/>
          <w:noProof/>
          <w:lang w:val="sv-SE"/>
        </w:rPr>
        <w:t xml:space="preserve">Konsekuensi dari kajian tersebut </w:t>
      </w:r>
      <w:r w:rsidR="00E953B2">
        <w:rPr>
          <w:rFonts w:eastAsia="Calibri"/>
          <w:noProof/>
          <w:lang w:val="id-ID"/>
        </w:rPr>
        <w:t xml:space="preserve">menampakkan </w:t>
      </w:r>
      <w:r w:rsidRPr="00A130B8">
        <w:rPr>
          <w:rFonts w:eastAsia="Calibri"/>
          <w:noProof/>
          <w:lang w:val="sv-SE"/>
        </w:rPr>
        <w:t>bahwa pemahaman UU No 23 Tahun 2018 secara tegas mempengaruhi keinginan membayar retribusi UMKM di kawasan bursa. Faktor lain yang mempengaruhi adalah pemahaman terhadap undang-undang tidak resmi No</w:t>
      </w:r>
      <w:r w:rsidR="00E953B2">
        <w:rPr>
          <w:rFonts w:eastAsia="Calibri"/>
          <w:noProof/>
          <w:lang w:val="id-ID"/>
        </w:rPr>
        <w:t>.</w:t>
      </w:r>
      <w:r w:rsidRPr="00A130B8">
        <w:rPr>
          <w:rFonts w:eastAsia="Calibri"/>
          <w:noProof/>
          <w:lang w:val="sv-SE"/>
        </w:rPr>
        <w:t>23 Tahun 2018. Sebagaimana ditunjukkan oleh Hardiningsih, Pancawati dan Nila (2011) pemahaman warga dapat menafsirkan pedoman pungutan adalah pendekatan warga untuk mengetahui pedoman tugas yang ada. Badan publik juga secara resmi telah memberikan Undang-Undang Tidak Resmi No</w:t>
      </w:r>
      <w:r w:rsidR="00E953B2">
        <w:rPr>
          <w:rFonts w:eastAsia="Calibri"/>
          <w:noProof/>
          <w:lang w:val="id-ID"/>
        </w:rPr>
        <w:t>.</w:t>
      </w:r>
      <w:r w:rsidRPr="00A130B8">
        <w:rPr>
          <w:rFonts w:eastAsia="Calibri"/>
          <w:noProof/>
          <w:lang w:val="sv-SE"/>
        </w:rPr>
        <w:t xml:space="preserve"> 23 Tahun 2018 </w:t>
      </w:r>
      <w:r w:rsidR="00E953B2">
        <w:rPr>
          <w:rFonts w:eastAsia="Calibri"/>
          <w:noProof/>
          <w:lang w:val="id-ID"/>
        </w:rPr>
        <w:t xml:space="preserve">terkait </w:t>
      </w:r>
      <w:r w:rsidRPr="00A130B8">
        <w:rPr>
          <w:rFonts w:eastAsia="Calibri"/>
          <w:noProof/>
          <w:lang w:val="sv-SE"/>
        </w:rPr>
        <w:t xml:space="preserve">Kewajiban Pribadi atas upah dari usaha yang diperoleh oleh warga negara yang </w:t>
      </w:r>
      <w:r w:rsidR="00E953B2">
        <w:rPr>
          <w:rFonts w:eastAsia="Calibri"/>
          <w:noProof/>
          <w:lang w:val="id-ID"/>
        </w:rPr>
        <w:t xml:space="preserve">mempunyai </w:t>
      </w:r>
      <w:r w:rsidRPr="00A130B8">
        <w:rPr>
          <w:rFonts w:eastAsia="Calibri"/>
          <w:noProof/>
          <w:lang w:val="sv-SE"/>
        </w:rPr>
        <w:t>penghasilan kotor tertentu.</w:t>
      </w:r>
    </w:p>
    <w:p w14:paraId="2CB00E93" w14:textId="5DDF67A2" w:rsidR="00BA7EF3" w:rsidRPr="00BA7EF3" w:rsidRDefault="00A130B8" w:rsidP="00A130B8">
      <w:pPr>
        <w:tabs>
          <w:tab w:val="left" w:pos="567"/>
        </w:tabs>
        <w:ind w:firstLine="567"/>
        <w:jc w:val="both"/>
      </w:pPr>
      <w:r w:rsidRPr="00A130B8">
        <w:rPr>
          <w:rFonts w:eastAsia="Calibri"/>
          <w:noProof/>
          <w:lang w:val="sv-SE"/>
        </w:rPr>
        <w:t>Pedoman yang lugas dan sederhana untuk dilaksanakan harus memberdayakan warga untuk melakukan kewajiban penilaiannya dengan tepat. Selain itu, warga negara yang memiliki pemahaman yang baik tentang pedoman pengeluaran terkait umumnya akan mematuhi dan menyelesaikan komitmen tugasnya dengan baik. Semakin banyak warga memahami pedoman biaya, semakin mereka akan memahami persetujuan yang akan diperoleh jika mereka mengabaikan komitmen mereka. Pemahaman terhadap undang-undang tidak resmi no. 23 Tahun 2018 jelas mempengaruhi kemampuan membayar retribusi UMKM di kawasan bursa (Pangesti, 2019).</w:t>
      </w:r>
    </w:p>
    <w:p w14:paraId="242974AF" w14:textId="77777777" w:rsidR="00BA7EF3" w:rsidRPr="00BA7EF3" w:rsidRDefault="00BA7EF3" w:rsidP="00A40BCA">
      <w:pPr>
        <w:widowControl/>
        <w:autoSpaceDE/>
        <w:autoSpaceDN/>
        <w:contextualSpacing/>
        <w:jc w:val="both"/>
        <w:rPr>
          <w:rFonts w:eastAsia="Calibri"/>
          <w:b/>
          <w:bCs/>
        </w:rPr>
      </w:pPr>
      <w:r w:rsidRPr="00BA7EF3">
        <w:rPr>
          <w:b/>
          <w:bCs/>
          <w:color w:val="000000" w:themeColor="text1"/>
        </w:rPr>
        <w:t>Pengaruh Kesadaran Membayar Pajak, Persepsi Atas Efektivitas Sistem Perpajakan, dan Pemahaman Peraturan Pemerintah Nomor 23 Tahun 2018 t</w:t>
      </w:r>
      <w:r w:rsidRPr="00BA7EF3">
        <w:rPr>
          <w:b/>
          <w:bCs/>
        </w:rPr>
        <w:t>erhadap Kemauan Membayar Pajak</w:t>
      </w:r>
    </w:p>
    <w:p w14:paraId="27FF7FAF" w14:textId="44625826" w:rsidR="00A130B8" w:rsidRPr="00A130B8" w:rsidRDefault="00A130B8" w:rsidP="00A130B8">
      <w:pPr>
        <w:tabs>
          <w:tab w:val="left" w:pos="567"/>
        </w:tabs>
        <w:ind w:firstLine="567"/>
        <w:jc w:val="both"/>
        <w:rPr>
          <w:color w:val="000000" w:themeColor="text1"/>
        </w:rPr>
      </w:pPr>
      <w:proofErr w:type="gramStart"/>
      <w:r w:rsidRPr="00A130B8">
        <w:rPr>
          <w:color w:val="000000" w:themeColor="text1"/>
        </w:rPr>
        <w:t>Pemahaman Unofficial Law No</w:t>
      </w:r>
      <w:r w:rsidR="008810EE">
        <w:rPr>
          <w:color w:val="000000" w:themeColor="text1"/>
          <w:lang w:val="id-ID"/>
        </w:rPr>
        <w:t>.</w:t>
      </w:r>
      <w:r w:rsidRPr="00A130B8">
        <w:rPr>
          <w:color w:val="000000" w:themeColor="text1"/>
        </w:rPr>
        <w:t xml:space="preserve"> 23 Tahun 2018 </w:t>
      </w:r>
      <w:r w:rsidR="008810EE">
        <w:rPr>
          <w:color w:val="000000" w:themeColor="text1"/>
          <w:lang w:val="id-ID"/>
        </w:rPr>
        <w:t xml:space="preserve">memberikan pengaruh pada </w:t>
      </w:r>
      <w:r w:rsidRPr="00A130B8">
        <w:rPr>
          <w:color w:val="000000" w:themeColor="text1"/>
        </w:rPr>
        <w:t xml:space="preserve">kesiapan </w:t>
      </w:r>
      <w:r w:rsidR="008810EE">
        <w:rPr>
          <w:color w:val="000000" w:themeColor="text1"/>
          <w:lang w:val="id-ID"/>
        </w:rPr>
        <w:t xml:space="preserve">melunasi </w:t>
      </w:r>
      <w:r w:rsidRPr="00A130B8">
        <w:rPr>
          <w:color w:val="000000" w:themeColor="text1"/>
        </w:rPr>
        <w:t>retribusi UMKM di kawasan bursa.</w:t>
      </w:r>
      <w:proofErr w:type="gramEnd"/>
      <w:r w:rsidRPr="00A130B8">
        <w:rPr>
          <w:color w:val="000000" w:themeColor="text1"/>
        </w:rPr>
        <w:t xml:space="preserve"> Kesiapan membayar retribusi dipengaruhi oleh faktor Kesadaran Menyetujui Penilaian, Dilihat dari Kelayakan Kerangka Beban, dan Pemahaman terhadap Undang-Undang Unres Nomor 23 Tahun 2018 sebesar 56,6%, kelebihan 43,4% dipengaruhi oleh unsur yang berbeda. Perhatian yang digerakkan oleh orang-orang adalah perhatian, di sekitar diri sendiri, masa lalu, dan kesempatan yang mewakili hal-hal yang </w:t>
      </w:r>
      <w:proofErr w:type="gramStart"/>
      <w:r w:rsidRPr="00A130B8">
        <w:rPr>
          <w:color w:val="000000" w:themeColor="text1"/>
        </w:rPr>
        <w:t>akan</w:t>
      </w:r>
      <w:proofErr w:type="gramEnd"/>
      <w:r w:rsidRPr="00A130B8">
        <w:rPr>
          <w:color w:val="000000" w:themeColor="text1"/>
        </w:rPr>
        <w:t xml:space="preserve"> datang. </w:t>
      </w:r>
      <w:proofErr w:type="gramStart"/>
      <w:r w:rsidRPr="00A130B8">
        <w:rPr>
          <w:color w:val="000000" w:themeColor="text1"/>
        </w:rPr>
        <w:t>Perhatian yang tinggi itu sendiri sebenarnya muncul dari inspirasi warga.</w:t>
      </w:r>
      <w:proofErr w:type="gramEnd"/>
      <w:r w:rsidRPr="00A130B8">
        <w:rPr>
          <w:color w:val="000000" w:themeColor="text1"/>
        </w:rPr>
        <w:t xml:space="preserve"> Dengan asumsi kesadaran warga negara tinggi, yang bersumber dari semangat untuk melunasi pungutan, maka kesiapan membayar </w:t>
      </w:r>
      <w:proofErr w:type="gramStart"/>
      <w:r w:rsidRPr="00A130B8">
        <w:rPr>
          <w:color w:val="000000" w:themeColor="text1"/>
        </w:rPr>
        <w:t>bea</w:t>
      </w:r>
      <w:proofErr w:type="gramEnd"/>
      <w:r w:rsidRPr="00A130B8">
        <w:rPr>
          <w:color w:val="000000" w:themeColor="text1"/>
        </w:rPr>
        <w:t xml:space="preserve"> akan tinggi dan gaji negara dari penilaian akan meningkat.</w:t>
      </w:r>
    </w:p>
    <w:p w14:paraId="0FD22495" w14:textId="77777777" w:rsidR="00A130B8" w:rsidRPr="00A130B8" w:rsidRDefault="00A130B8" w:rsidP="00A130B8">
      <w:pPr>
        <w:tabs>
          <w:tab w:val="left" w:pos="567"/>
        </w:tabs>
        <w:ind w:firstLine="567"/>
        <w:jc w:val="both"/>
        <w:rPr>
          <w:color w:val="000000" w:themeColor="text1"/>
        </w:rPr>
      </w:pPr>
      <w:proofErr w:type="gramStart"/>
      <w:r w:rsidRPr="00A130B8">
        <w:rPr>
          <w:color w:val="000000" w:themeColor="text1"/>
        </w:rPr>
        <w:t>Dikuatkan dengan pandangan kecukupan kerangka biaya yang merupakan impresi atau manfaat yang terlihat dari kerangka penilaian tersebut.</w:t>
      </w:r>
      <w:proofErr w:type="gramEnd"/>
      <w:r w:rsidRPr="00A130B8">
        <w:rPr>
          <w:color w:val="000000" w:themeColor="text1"/>
        </w:rPr>
        <w:t xml:space="preserve"> Melalui kerangka penilaian pajak berbasis web yang baru, warga negara dapat mendaftar dan mengakses informasi pengeluaran mereka tanpa batasan pengaturan keseluruhan. </w:t>
      </w:r>
      <w:proofErr w:type="gramStart"/>
      <w:r w:rsidRPr="00A130B8">
        <w:rPr>
          <w:color w:val="000000" w:themeColor="text1"/>
        </w:rPr>
        <w:t>DJP telah memberikan framework office untuk membantu kepuasan masyarakat, misalnya framework E-Filling berbasis web, E-SPT yang mempermudah pembayaran atau pelaporan beban dengan lebih cepat.</w:t>
      </w:r>
      <w:proofErr w:type="gramEnd"/>
      <w:r w:rsidRPr="00A130B8">
        <w:rPr>
          <w:color w:val="000000" w:themeColor="text1"/>
        </w:rPr>
        <w:t xml:space="preserve"> Sehingga dengan berbagai usulan </w:t>
      </w:r>
      <w:proofErr w:type="gramStart"/>
      <w:r w:rsidRPr="00A130B8">
        <w:rPr>
          <w:color w:val="000000" w:themeColor="text1"/>
        </w:rPr>
        <w:t>kantor</w:t>
      </w:r>
      <w:proofErr w:type="gramEnd"/>
      <w:r w:rsidRPr="00A130B8">
        <w:rPr>
          <w:color w:val="000000" w:themeColor="text1"/>
        </w:rPr>
        <w:t xml:space="preserve"> yang memudahkan warga untuk membayar iuran akan mendorong wawasan yang baik dan kesiapan membayar iuran juga akan meningkat.</w:t>
      </w:r>
    </w:p>
    <w:p w14:paraId="0BD230F6" w14:textId="0DBF0ADE" w:rsidR="00A130B8" w:rsidRPr="00A130B8" w:rsidRDefault="00A130B8" w:rsidP="00A130B8">
      <w:pPr>
        <w:tabs>
          <w:tab w:val="left" w:pos="567"/>
        </w:tabs>
        <w:ind w:firstLine="567"/>
        <w:jc w:val="both"/>
        <w:rPr>
          <w:color w:val="000000" w:themeColor="text1"/>
        </w:rPr>
      </w:pPr>
      <w:proofErr w:type="gramStart"/>
      <w:r w:rsidRPr="00A130B8">
        <w:rPr>
          <w:color w:val="000000" w:themeColor="text1"/>
        </w:rPr>
        <w:t>Kemudian lagi, adanya pemahaman warga dapat menafsirkan pedoman biaya adalah pendekatan warga untuk mengetahui pedoman biaya yang ada.</w:t>
      </w:r>
      <w:proofErr w:type="gramEnd"/>
      <w:r w:rsidRPr="00A130B8">
        <w:rPr>
          <w:color w:val="000000" w:themeColor="text1"/>
        </w:rPr>
        <w:t xml:space="preserve"> Seseorang yang memahami prinsip dengan baik, </w:t>
      </w:r>
      <w:proofErr w:type="gramStart"/>
      <w:r w:rsidRPr="00A130B8">
        <w:rPr>
          <w:color w:val="000000" w:themeColor="text1"/>
        </w:rPr>
        <w:t>akan</w:t>
      </w:r>
      <w:proofErr w:type="gramEnd"/>
      <w:r w:rsidRPr="00A130B8">
        <w:rPr>
          <w:color w:val="000000" w:themeColor="text1"/>
        </w:rPr>
        <w:t xml:space="preserve"> terlihat kegiatan-kegiatan yang menyatu sebagai satu kesatuan dengan pedoman. Warga memahami UU No 23 Tahun 2018 </w:t>
      </w:r>
      <w:r w:rsidR="008810EE">
        <w:rPr>
          <w:color w:val="000000" w:themeColor="text1"/>
          <w:lang w:val="id-ID"/>
        </w:rPr>
        <w:t>secara bagus</w:t>
      </w:r>
      <w:r w:rsidRPr="00A130B8">
        <w:rPr>
          <w:color w:val="000000" w:themeColor="text1"/>
        </w:rPr>
        <w:t xml:space="preserve">, </w:t>
      </w:r>
      <w:r w:rsidR="008810EE">
        <w:rPr>
          <w:color w:val="000000" w:themeColor="text1"/>
          <w:lang w:val="id-ID"/>
        </w:rPr>
        <w:t xml:space="preserve">pengertian </w:t>
      </w:r>
      <w:r w:rsidRPr="00A130B8">
        <w:rPr>
          <w:color w:val="000000" w:themeColor="text1"/>
        </w:rPr>
        <w:t xml:space="preserve">ini </w:t>
      </w:r>
      <w:r w:rsidR="008810EE">
        <w:rPr>
          <w:color w:val="000000" w:themeColor="text1"/>
          <w:lang w:val="id-ID"/>
        </w:rPr>
        <w:t xml:space="preserve">nantinya tampak </w:t>
      </w:r>
      <w:r w:rsidRPr="00A130B8">
        <w:rPr>
          <w:color w:val="000000" w:themeColor="text1"/>
        </w:rPr>
        <w:t xml:space="preserve">dari </w:t>
      </w:r>
      <w:proofErr w:type="gramStart"/>
      <w:r w:rsidRPr="00A130B8">
        <w:rPr>
          <w:color w:val="000000" w:themeColor="text1"/>
        </w:rPr>
        <w:t>apa</w:t>
      </w:r>
      <w:proofErr w:type="gramEnd"/>
      <w:r w:rsidRPr="00A130B8">
        <w:rPr>
          <w:color w:val="000000" w:themeColor="text1"/>
        </w:rPr>
        <w:t xml:space="preserve"> yang warga </w:t>
      </w:r>
      <w:r w:rsidR="008810EE">
        <w:rPr>
          <w:color w:val="000000" w:themeColor="text1"/>
          <w:lang w:val="id-ID"/>
        </w:rPr>
        <w:t>kerjakan</w:t>
      </w:r>
      <w:r w:rsidRPr="00A130B8">
        <w:rPr>
          <w:color w:val="000000" w:themeColor="text1"/>
        </w:rPr>
        <w:t xml:space="preserve">. </w:t>
      </w:r>
      <w:proofErr w:type="gramStart"/>
      <w:r w:rsidRPr="00A130B8">
        <w:rPr>
          <w:color w:val="000000" w:themeColor="text1"/>
        </w:rPr>
        <w:t xml:space="preserve">Warga negara yang </w:t>
      </w:r>
      <w:r w:rsidR="008810EE">
        <w:rPr>
          <w:color w:val="000000" w:themeColor="text1"/>
          <w:lang w:val="id-ID"/>
        </w:rPr>
        <w:t xml:space="preserve">mengerti </w:t>
      </w:r>
      <w:r w:rsidRPr="00A130B8">
        <w:rPr>
          <w:color w:val="000000" w:themeColor="text1"/>
        </w:rPr>
        <w:t xml:space="preserve">pedoman dengan </w:t>
      </w:r>
      <w:r w:rsidR="008810EE">
        <w:rPr>
          <w:color w:val="000000" w:themeColor="text1"/>
          <w:lang w:val="id-ID"/>
        </w:rPr>
        <w:t xml:space="preserve">bagus nantinya berusaha menambah </w:t>
      </w:r>
      <w:r w:rsidRPr="00A130B8">
        <w:rPr>
          <w:color w:val="000000" w:themeColor="text1"/>
        </w:rPr>
        <w:t>kesiapannya untuk mengedarkan tugasnya.</w:t>
      </w:r>
      <w:proofErr w:type="gramEnd"/>
    </w:p>
    <w:p w14:paraId="03FD18D3" w14:textId="19AD1620" w:rsidR="00BA7EF3" w:rsidRPr="00BA7EF3" w:rsidRDefault="00A130B8" w:rsidP="00A130B8">
      <w:pPr>
        <w:tabs>
          <w:tab w:val="left" w:pos="567"/>
        </w:tabs>
        <w:ind w:firstLine="567"/>
        <w:jc w:val="both"/>
        <w:rPr>
          <w:rFonts w:eastAsia="Calibri"/>
          <w:bCs/>
        </w:rPr>
      </w:pPr>
      <w:proofErr w:type="gramStart"/>
      <w:r w:rsidRPr="00A130B8">
        <w:rPr>
          <w:color w:val="000000" w:themeColor="text1"/>
        </w:rPr>
        <w:t>Konsekuensi penelitian ini mendukung pemeriksaan masa lalu yang diarahkan oleh Ernawati (2018).</w:t>
      </w:r>
      <w:proofErr w:type="gramEnd"/>
      <w:r w:rsidRPr="00A130B8">
        <w:rPr>
          <w:color w:val="000000" w:themeColor="text1"/>
        </w:rPr>
        <w:t xml:space="preserve"> </w:t>
      </w:r>
      <w:proofErr w:type="gramStart"/>
      <w:r w:rsidRPr="00A130B8">
        <w:rPr>
          <w:color w:val="000000" w:themeColor="text1"/>
        </w:rPr>
        <w:t>Hasilnya menunjukkan bahwa pengetahuan tentang membuat biaya yang baik, informasi dan pemahaman tentang pedoman tugas, pandangan tentang kelayakan kerangka penilaian dan ahli biaya tentang kemampuan untuk menyelesaikan biaya.</w:t>
      </w:r>
      <w:proofErr w:type="gramEnd"/>
    </w:p>
    <w:p w14:paraId="399947AB" w14:textId="77777777" w:rsidR="00565289" w:rsidRPr="00565289" w:rsidRDefault="00565289" w:rsidP="00565289">
      <w:pPr>
        <w:tabs>
          <w:tab w:val="left" w:pos="2552"/>
        </w:tabs>
        <w:ind w:right="53"/>
        <w:jc w:val="both"/>
        <w:rPr>
          <w:rFonts w:eastAsia="Arial"/>
          <w:bCs/>
        </w:rPr>
      </w:pPr>
    </w:p>
    <w:p w14:paraId="485F4496" w14:textId="787C4F17" w:rsidR="00565289" w:rsidRPr="00565289" w:rsidRDefault="00A40BCA" w:rsidP="00565289">
      <w:pPr>
        <w:tabs>
          <w:tab w:val="left" w:pos="2552"/>
        </w:tabs>
        <w:ind w:right="53"/>
        <w:jc w:val="both"/>
        <w:rPr>
          <w:rFonts w:eastAsia="Arial"/>
          <w:b/>
        </w:rPr>
      </w:pPr>
      <w:r w:rsidRPr="00565289">
        <w:rPr>
          <w:rFonts w:eastAsia="Arial"/>
          <w:b/>
        </w:rPr>
        <w:lastRenderedPageBreak/>
        <w:t>KESIMPULAN</w:t>
      </w:r>
    </w:p>
    <w:p w14:paraId="279B8A0E" w14:textId="2C5BE491" w:rsidR="009F0219" w:rsidRPr="009F0219" w:rsidRDefault="009F0219" w:rsidP="009F0219">
      <w:pPr>
        <w:pStyle w:val="ListParagraph"/>
        <w:numPr>
          <w:ilvl w:val="0"/>
          <w:numId w:val="10"/>
        </w:numPr>
        <w:tabs>
          <w:tab w:val="left" w:pos="284"/>
        </w:tabs>
        <w:spacing w:after="0" w:line="240" w:lineRule="auto"/>
        <w:ind w:left="284" w:hanging="284"/>
        <w:jc w:val="both"/>
        <w:rPr>
          <w:rFonts w:ascii="Times New Roman" w:eastAsia="Calibri" w:hAnsi="Times New Roman" w:cs="Times New Roman"/>
          <w:lang w:val="sv-SE"/>
        </w:rPr>
      </w:pPr>
      <w:r>
        <w:rPr>
          <w:rFonts w:ascii="Times New Roman" w:eastAsia="Times New Roman" w:hAnsi="Times New Roman" w:cs="Times New Roman"/>
          <w:lang w:val="id-ID" w:eastAsia="en-ID"/>
        </w:rPr>
        <w:t xml:space="preserve">Kemauan melunasi </w:t>
      </w:r>
      <w:r w:rsidRPr="009F0219">
        <w:rPr>
          <w:rFonts w:ascii="Times New Roman" w:eastAsia="Times New Roman" w:hAnsi="Times New Roman" w:cs="Times New Roman"/>
          <w:lang w:eastAsia="en-ID"/>
        </w:rPr>
        <w:t xml:space="preserve">biaya jelas mempengaruhi kemampuan membayar biaya pada UMKM di wilayah bursa. </w:t>
      </w:r>
      <w:r w:rsidR="008810EE">
        <w:rPr>
          <w:rFonts w:ascii="Times New Roman" w:eastAsia="Times New Roman" w:hAnsi="Times New Roman" w:cs="Times New Roman"/>
          <w:lang w:val="id-ID" w:eastAsia="en-ID"/>
        </w:rPr>
        <w:t xml:space="preserve">Dikuatkan </w:t>
      </w:r>
      <w:r w:rsidRPr="009F0219">
        <w:rPr>
          <w:rFonts w:ascii="Times New Roman" w:eastAsia="Times New Roman" w:hAnsi="Times New Roman" w:cs="Times New Roman"/>
          <w:lang w:eastAsia="en-ID"/>
        </w:rPr>
        <w:t xml:space="preserve">nilai t yang ditentukan </w:t>
      </w:r>
      <w:r w:rsidR="008810EE">
        <w:rPr>
          <w:rFonts w:ascii="Times New Roman" w:eastAsia="Times New Roman" w:hAnsi="Times New Roman" w:cs="Times New Roman"/>
          <w:lang w:val="id-ID" w:eastAsia="en-ID"/>
        </w:rPr>
        <w:t xml:space="preserve">senilai </w:t>
      </w:r>
      <w:r w:rsidRPr="009F0219">
        <w:rPr>
          <w:rFonts w:ascii="Times New Roman" w:eastAsia="Times New Roman" w:hAnsi="Times New Roman" w:cs="Times New Roman"/>
          <w:lang w:eastAsia="en-ID"/>
        </w:rPr>
        <w:t xml:space="preserve">6,023 </w:t>
      </w:r>
      <w:r w:rsidR="008810EE">
        <w:rPr>
          <w:rFonts w:ascii="Times New Roman" w:eastAsia="Times New Roman" w:hAnsi="Times New Roman" w:cs="Times New Roman"/>
          <w:lang w:val="id-ID" w:eastAsia="en-ID"/>
        </w:rPr>
        <w:t xml:space="preserve">yang </w:t>
      </w:r>
      <w:r w:rsidRPr="009F0219">
        <w:rPr>
          <w:rFonts w:ascii="Times New Roman" w:eastAsia="Times New Roman" w:hAnsi="Times New Roman" w:cs="Times New Roman"/>
          <w:lang w:eastAsia="en-ID"/>
        </w:rPr>
        <w:t>nilai kepentingan</w:t>
      </w:r>
      <w:r w:rsidR="008810EE">
        <w:rPr>
          <w:rFonts w:ascii="Times New Roman" w:eastAsia="Times New Roman" w:hAnsi="Times New Roman" w:cs="Times New Roman"/>
          <w:lang w:val="id-ID" w:eastAsia="en-ID"/>
        </w:rPr>
        <w:t>nya</w:t>
      </w:r>
      <w:r w:rsidRPr="009F0219">
        <w:rPr>
          <w:rFonts w:ascii="Times New Roman" w:eastAsia="Times New Roman" w:hAnsi="Times New Roman" w:cs="Times New Roman"/>
          <w:lang w:eastAsia="en-ID"/>
        </w:rPr>
        <w:t xml:space="preserve"> 0,000 &lt; 0,05; dan koefisien relaps bernilai positif sebesar 0,335.</w:t>
      </w:r>
    </w:p>
    <w:p w14:paraId="3D683E89" w14:textId="6152D8B2" w:rsidR="009F0219" w:rsidRPr="009F0219" w:rsidRDefault="009F0219" w:rsidP="009F0219">
      <w:pPr>
        <w:pStyle w:val="ListParagraph"/>
        <w:numPr>
          <w:ilvl w:val="0"/>
          <w:numId w:val="10"/>
        </w:numPr>
        <w:tabs>
          <w:tab w:val="left" w:pos="284"/>
        </w:tabs>
        <w:spacing w:after="0" w:line="240" w:lineRule="auto"/>
        <w:ind w:left="284" w:hanging="284"/>
        <w:jc w:val="both"/>
        <w:rPr>
          <w:rFonts w:ascii="Times New Roman" w:eastAsia="Calibri" w:hAnsi="Times New Roman" w:cs="Times New Roman"/>
          <w:lang w:val="sv-SE"/>
        </w:rPr>
      </w:pPr>
      <w:r w:rsidRPr="009F0219">
        <w:rPr>
          <w:rFonts w:ascii="Times New Roman" w:eastAsia="Times New Roman" w:hAnsi="Times New Roman" w:cs="Times New Roman"/>
          <w:lang w:eastAsia="en-ID"/>
        </w:rPr>
        <w:t xml:space="preserve">Kesan kelayakan sistem pemungutan pajak secara tegas mempengaruhi keinginan membayar retribusi UKM di kawasan bursa. Dikonfirmasi dengan nilai t yang ditentukan </w:t>
      </w:r>
      <w:r w:rsidR="008810EE">
        <w:rPr>
          <w:rFonts w:ascii="Times New Roman" w:eastAsia="Times New Roman" w:hAnsi="Times New Roman" w:cs="Times New Roman"/>
          <w:lang w:val="id-ID" w:eastAsia="en-ID"/>
        </w:rPr>
        <w:t xml:space="preserve">senilai </w:t>
      </w:r>
      <w:r w:rsidRPr="009F0219">
        <w:rPr>
          <w:rFonts w:ascii="Times New Roman" w:eastAsia="Times New Roman" w:hAnsi="Times New Roman" w:cs="Times New Roman"/>
          <w:lang w:eastAsia="en-ID"/>
        </w:rPr>
        <w:t>5,619 dengan nilai kepentingan 0,000 &lt; 0,05; dan koefisien relaps bernilai positif sebesar 0,270.</w:t>
      </w:r>
    </w:p>
    <w:p w14:paraId="44A0C615" w14:textId="3ADDCBD6" w:rsidR="009F0219" w:rsidRPr="009F0219" w:rsidRDefault="009F0219" w:rsidP="009F0219">
      <w:pPr>
        <w:pStyle w:val="ListParagraph"/>
        <w:numPr>
          <w:ilvl w:val="0"/>
          <w:numId w:val="10"/>
        </w:numPr>
        <w:tabs>
          <w:tab w:val="left" w:pos="284"/>
        </w:tabs>
        <w:spacing w:after="0" w:line="240" w:lineRule="auto"/>
        <w:ind w:left="284" w:hanging="284"/>
        <w:jc w:val="both"/>
        <w:rPr>
          <w:rFonts w:ascii="Times New Roman" w:eastAsia="Calibri" w:hAnsi="Times New Roman" w:cs="Times New Roman"/>
          <w:lang w:val="sv-SE"/>
        </w:rPr>
      </w:pPr>
      <w:r w:rsidRPr="009F0219">
        <w:rPr>
          <w:rFonts w:ascii="Times New Roman" w:eastAsia="Times New Roman" w:hAnsi="Times New Roman" w:cs="Times New Roman"/>
          <w:lang w:eastAsia="en-ID"/>
        </w:rPr>
        <w:t xml:space="preserve">Pemahaman </w:t>
      </w:r>
      <w:r>
        <w:rPr>
          <w:rFonts w:ascii="Times New Roman" w:eastAsia="Times New Roman" w:hAnsi="Times New Roman" w:cs="Times New Roman"/>
          <w:lang w:val="id-ID" w:eastAsia="en-ID"/>
        </w:rPr>
        <w:t xml:space="preserve">UU </w:t>
      </w:r>
      <w:r w:rsidRPr="009F0219">
        <w:rPr>
          <w:rFonts w:ascii="Times New Roman" w:eastAsia="Times New Roman" w:hAnsi="Times New Roman" w:cs="Times New Roman"/>
          <w:lang w:eastAsia="en-ID"/>
        </w:rPr>
        <w:t xml:space="preserve">Unresmi </w:t>
      </w:r>
      <w:r>
        <w:rPr>
          <w:rFonts w:ascii="Times New Roman" w:eastAsia="Times New Roman" w:hAnsi="Times New Roman" w:cs="Times New Roman"/>
          <w:lang w:val="id-ID" w:eastAsia="en-ID"/>
        </w:rPr>
        <w:t>No.</w:t>
      </w:r>
      <w:r w:rsidRPr="009F0219">
        <w:rPr>
          <w:rFonts w:ascii="Times New Roman" w:eastAsia="Times New Roman" w:hAnsi="Times New Roman" w:cs="Times New Roman"/>
          <w:lang w:eastAsia="en-ID"/>
        </w:rPr>
        <w:t xml:space="preserve">23 Tahun 2018 secara tegas mempengaruhi keinginan membayar retribusi UMKM di kawasan bursa. </w:t>
      </w:r>
      <w:r w:rsidR="008810EE">
        <w:rPr>
          <w:rFonts w:ascii="Times New Roman" w:eastAsia="Times New Roman" w:hAnsi="Times New Roman" w:cs="Times New Roman"/>
          <w:lang w:val="id-ID" w:eastAsia="en-ID"/>
        </w:rPr>
        <w:t xml:space="preserve">Dikuatkan </w:t>
      </w:r>
      <w:r w:rsidR="008810EE">
        <w:rPr>
          <w:rFonts w:ascii="Times New Roman" w:eastAsia="Times New Roman" w:hAnsi="Times New Roman" w:cs="Times New Roman"/>
          <w:lang w:eastAsia="en-ID"/>
        </w:rPr>
        <w:t>nilai t</w:t>
      </w:r>
      <w:r w:rsidRPr="009F0219">
        <w:rPr>
          <w:rFonts w:ascii="Times New Roman" w:eastAsia="Times New Roman" w:hAnsi="Times New Roman" w:cs="Times New Roman"/>
          <w:lang w:eastAsia="en-ID"/>
        </w:rPr>
        <w:t xml:space="preserve">hitung </w:t>
      </w:r>
      <w:r w:rsidR="008810EE">
        <w:rPr>
          <w:rFonts w:ascii="Times New Roman" w:eastAsia="Times New Roman" w:hAnsi="Times New Roman" w:cs="Times New Roman"/>
          <w:lang w:val="id-ID" w:eastAsia="en-ID"/>
        </w:rPr>
        <w:t xml:space="preserve">senilai </w:t>
      </w:r>
      <w:r w:rsidRPr="009F0219">
        <w:rPr>
          <w:rFonts w:ascii="Times New Roman" w:eastAsia="Times New Roman" w:hAnsi="Times New Roman" w:cs="Times New Roman"/>
          <w:lang w:eastAsia="en-ID"/>
        </w:rPr>
        <w:t xml:space="preserve">3,293 </w:t>
      </w:r>
      <w:r w:rsidR="008810EE">
        <w:rPr>
          <w:rFonts w:ascii="Times New Roman" w:eastAsia="Times New Roman" w:hAnsi="Times New Roman" w:cs="Times New Roman"/>
          <w:lang w:val="id-ID" w:eastAsia="en-ID"/>
        </w:rPr>
        <w:t xml:space="preserve">yang </w:t>
      </w:r>
      <w:r w:rsidRPr="009F0219">
        <w:rPr>
          <w:rFonts w:ascii="Times New Roman" w:eastAsia="Times New Roman" w:hAnsi="Times New Roman" w:cs="Times New Roman"/>
          <w:lang w:eastAsia="en-ID"/>
        </w:rPr>
        <w:t>nilai kepentingan</w:t>
      </w:r>
      <w:r w:rsidR="008810EE">
        <w:rPr>
          <w:rFonts w:ascii="Times New Roman" w:eastAsia="Times New Roman" w:hAnsi="Times New Roman" w:cs="Times New Roman"/>
          <w:lang w:val="id-ID" w:eastAsia="en-ID"/>
        </w:rPr>
        <w:t>nya</w:t>
      </w:r>
      <w:r w:rsidRPr="009F0219">
        <w:rPr>
          <w:rFonts w:ascii="Times New Roman" w:eastAsia="Times New Roman" w:hAnsi="Times New Roman" w:cs="Times New Roman"/>
          <w:lang w:eastAsia="en-ID"/>
        </w:rPr>
        <w:t xml:space="preserve"> 0,001 &lt; 0,05; dan koefisien relaps bernilai positif sebesar 0,328.</w:t>
      </w:r>
    </w:p>
    <w:p w14:paraId="085C6AAE" w14:textId="48D542A9" w:rsidR="00A40BCA" w:rsidRPr="009F0219" w:rsidRDefault="009F0219" w:rsidP="009F0219">
      <w:pPr>
        <w:pStyle w:val="ListParagraph"/>
        <w:numPr>
          <w:ilvl w:val="0"/>
          <w:numId w:val="10"/>
        </w:numPr>
        <w:tabs>
          <w:tab w:val="left" w:pos="284"/>
        </w:tabs>
        <w:spacing w:after="0" w:line="240" w:lineRule="auto"/>
        <w:ind w:left="284" w:hanging="284"/>
        <w:jc w:val="both"/>
        <w:rPr>
          <w:rFonts w:ascii="Times New Roman" w:eastAsia="Calibri" w:hAnsi="Times New Roman" w:cs="Times New Roman"/>
          <w:lang w:val="sv-SE"/>
        </w:rPr>
      </w:pPr>
      <w:r w:rsidRPr="009F0219">
        <w:rPr>
          <w:rFonts w:ascii="Times New Roman" w:eastAsia="Times New Roman" w:hAnsi="Times New Roman" w:cs="Times New Roman"/>
          <w:lang w:eastAsia="en-ID"/>
        </w:rPr>
        <w:t>Kesadaran Menetap Biaya, Melihat Keberlangsungan Kerangka Tugas, dan Pemahaman terhadap</w:t>
      </w:r>
      <w:r w:rsidR="008810EE">
        <w:rPr>
          <w:rFonts w:ascii="Times New Roman" w:eastAsia="Times New Roman" w:hAnsi="Times New Roman" w:cs="Times New Roman"/>
          <w:lang w:eastAsia="en-ID"/>
        </w:rPr>
        <w:t xml:space="preserve"> Undang-undang Tidak Resmi No</w:t>
      </w:r>
      <w:r w:rsidR="008810EE">
        <w:rPr>
          <w:rFonts w:ascii="Times New Roman" w:eastAsia="Times New Roman" w:hAnsi="Times New Roman" w:cs="Times New Roman"/>
          <w:lang w:val="id-ID" w:eastAsia="en-ID"/>
        </w:rPr>
        <w:t>.</w:t>
      </w:r>
      <w:r w:rsidRPr="009F0219">
        <w:rPr>
          <w:rFonts w:ascii="Times New Roman" w:eastAsia="Times New Roman" w:hAnsi="Times New Roman" w:cs="Times New Roman"/>
          <w:lang w:eastAsia="en-ID"/>
        </w:rPr>
        <w:t xml:space="preserve">23 Tahun 2018 </w:t>
      </w:r>
      <w:r w:rsidR="008810EE">
        <w:rPr>
          <w:rFonts w:ascii="Times New Roman" w:eastAsia="Times New Roman" w:hAnsi="Times New Roman" w:cs="Times New Roman"/>
          <w:lang w:val="id-ID" w:eastAsia="en-ID"/>
        </w:rPr>
        <w:t xml:space="preserve">memberikan pengaruh </w:t>
      </w:r>
      <w:r w:rsidRPr="009F0219">
        <w:rPr>
          <w:rFonts w:ascii="Times New Roman" w:eastAsia="Times New Roman" w:hAnsi="Times New Roman" w:cs="Times New Roman"/>
          <w:lang w:eastAsia="en-ID"/>
        </w:rPr>
        <w:t xml:space="preserve">kesiapan </w:t>
      </w:r>
      <w:r w:rsidR="008810EE">
        <w:rPr>
          <w:rFonts w:ascii="Times New Roman" w:eastAsia="Times New Roman" w:hAnsi="Times New Roman" w:cs="Times New Roman"/>
          <w:lang w:val="id-ID" w:eastAsia="en-ID"/>
        </w:rPr>
        <w:t xml:space="preserve">melunasi </w:t>
      </w:r>
      <w:r w:rsidRPr="009F0219">
        <w:rPr>
          <w:rFonts w:ascii="Times New Roman" w:eastAsia="Times New Roman" w:hAnsi="Times New Roman" w:cs="Times New Roman"/>
          <w:lang w:eastAsia="en-ID"/>
        </w:rPr>
        <w:t xml:space="preserve">retribusi pada UMKM di kawasan bursa. </w:t>
      </w:r>
      <w:r w:rsidR="008810EE">
        <w:rPr>
          <w:rFonts w:ascii="Times New Roman" w:eastAsia="Times New Roman" w:hAnsi="Times New Roman" w:cs="Times New Roman"/>
          <w:lang w:val="id-ID" w:eastAsia="en-ID"/>
        </w:rPr>
        <w:t xml:space="preserve">Dikuatkan </w:t>
      </w:r>
      <w:r w:rsidRPr="009F0219">
        <w:rPr>
          <w:rFonts w:ascii="Times New Roman" w:eastAsia="Times New Roman" w:hAnsi="Times New Roman" w:cs="Times New Roman"/>
          <w:lang w:eastAsia="en-ID"/>
        </w:rPr>
        <w:t>nilai kepentingan</w:t>
      </w:r>
      <w:r w:rsidR="008810EE">
        <w:rPr>
          <w:rFonts w:ascii="Times New Roman" w:eastAsia="Times New Roman" w:hAnsi="Times New Roman" w:cs="Times New Roman"/>
          <w:lang w:val="id-ID" w:eastAsia="en-ID"/>
        </w:rPr>
        <w:t>nya</w:t>
      </w:r>
      <w:r w:rsidRPr="009F0219">
        <w:rPr>
          <w:rFonts w:ascii="Times New Roman" w:eastAsia="Times New Roman" w:hAnsi="Times New Roman" w:cs="Times New Roman"/>
          <w:lang w:eastAsia="en-ID"/>
        </w:rPr>
        <w:t xml:space="preserve"> 0,000 &lt; 0,05.</w:t>
      </w:r>
    </w:p>
    <w:p w14:paraId="2491EE58" w14:textId="77777777" w:rsidR="00565289" w:rsidRDefault="00565289" w:rsidP="00D47585">
      <w:pPr>
        <w:autoSpaceDE/>
        <w:autoSpaceDN/>
        <w:ind w:left="284" w:right="28" w:firstLine="283"/>
        <w:contextualSpacing/>
        <w:jc w:val="both"/>
        <w:rPr>
          <w:color w:val="000000"/>
        </w:rPr>
      </w:pPr>
    </w:p>
    <w:p w14:paraId="5365876D" w14:textId="34C5A821" w:rsidR="007843D9" w:rsidRPr="00565289" w:rsidRDefault="00A40BCA" w:rsidP="00C30C6B">
      <w:pPr>
        <w:pStyle w:val="10Judulbab"/>
        <w:spacing w:before="0" w:after="0"/>
        <w:jc w:val="both"/>
        <w:rPr>
          <w:rFonts w:ascii="Times New Roman" w:hAnsi="Times New Roman" w:cs="Times New Roman"/>
          <w:noProof/>
          <w:color w:val="auto"/>
          <w:sz w:val="22"/>
          <w:szCs w:val="22"/>
        </w:rPr>
      </w:pPr>
      <w:r w:rsidRPr="00565289">
        <w:rPr>
          <w:rFonts w:ascii="Times New Roman" w:hAnsi="Times New Roman" w:cs="Times New Roman"/>
          <w:noProof/>
          <w:color w:val="auto"/>
          <w:sz w:val="22"/>
          <w:szCs w:val="22"/>
        </w:rPr>
        <w:t>DAFTAR PUSTAKA</w:t>
      </w:r>
    </w:p>
    <w:p w14:paraId="2417D300" w14:textId="77777777" w:rsidR="0038477E" w:rsidRPr="0038477E" w:rsidRDefault="0038477E" w:rsidP="0038477E">
      <w:pPr>
        <w:shd w:val="clear" w:color="auto" w:fill="FFFFFF"/>
        <w:ind w:left="993" w:hanging="993"/>
        <w:jc w:val="both"/>
        <w:rPr>
          <w:lang w:eastAsia="en-ID"/>
        </w:rPr>
      </w:pPr>
      <w:proofErr w:type="gramStart"/>
      <w:r w:rsidRPr="0038477E">
        <w:rPr>
          <w:lang w:eastAsia="en-ID"/>
        </w:rPr>
        <w:t>Ernawati.</w:t>
      </w:r>
      <w:proofErr w:type="gramEnd"/>
      <w:r w:rsidRPr="0038477E">
        <w:rPr>
          <w:lang w:eastAsia="en-ID"/>
        </w:rPr>
        <w:t xml:space="preserve"> </w:t>
      </w:r>
      <w:proofErr w:type="gramStart"/>
      <w:r w:rsidRPr="0038477E">
        <w:rPr>
          <w:lang w:eastAsia="en-ID"/>
        </w:rPr>
        <w:t>(2018). Pengaruh Kesadaran Membayar Pajak, Pengetahuan Dan Pemahaman Peraturan Perpajakan, Perseps Iefektifitas Sistem Perpajakan Dan Pelayanan Fiskus Terhadap Kemampuan Membayar Pajak (Wajib Pajak Pribadi Pada KPP Pratama Barabai).</w:t>
      </w:r>
      <w:proofErr w:type="gramEnd"/>
      <w:r w:rsidRPr="0038477E">
        <w:rPr>
          <w:lang w:eastAsia="en-ID"/>
        </w:rPr>
        <w:t xml:space="preserve"> </w:t>
      </w:r>
      <w:r w:rsidRPr="0038477E">
        <w:rPr>
          <w:i/>
          <w:iCs/>
          <w:lang w:eastAsia="en-ID"/>
        </w:rPr>
        <w:t>Kindai</w:t>
      </w:r>
      <w:r w:rsidRPr="0038477E">
        <w:rPr>
          <w:lang w:eastAsia="en-ID"/>
        </w:rPr>
        <w:t>, 14(2): 152-169.</w:t>
      </w:r>
    </w:p>
    <w:p w14:paraId="41065CB9" w14:textId="77777777" w:rsidR="0038477E" w:rsidRPr="0038477E" w:rsidRDefault="0038477E" w:rsidP="0038477E">
      <w:pPr>
        <w:ind w:left="993" w:hanging="993"/>
        <w:jc w:val="both"/>
      </w:pPr>
      <w:proofErr w:type="gramStart"/>
      <w:r w:rsidRPr="0038477E">
        <w:t>Hardiningsih, P., &amp; Yulianawati, N. (2011).</w:t>
      </w:r>
      <w:proofErr w:type="gramEnd"/>
      <w:r w:rsidRPr="0038477E">
        <w:t xml:space="preserve"> </w:t>
      </w:r>
      <w:proofErr w:type="gramStart"/>
      <w:r w:rsidRPr="0038477E">
        <w:rPr>
          <w:iCs/>
        </w:rPr>
        <w:t>Faktor-Faktor Yang Mempengaruhi Kemauan Membayar Pajak</w:t>
      </w:r>
      <w:r w:rsidRPr="0038477E">
        <w:rPr>
          <w:i/>
        </w:rPr>
        <w:t>.</w:t>
      </w:r>
      <w:proofErr w:type="gramEnd"/>
      <w:r w:rsidRPr="0038477E">
        <w:t xml:space="preserve"> </w:t>
      </w:r>
      <w:proofErr w:type="gramStart"/>
      <w:r w:rsidRPr="0038477E">
        <w:rPr>
          <w:i/>
          <w:iCs/>
        </w:rPr>
        <w:t>Dinamika Keuangan dan Perbankan</w:t>
      </w:r>
      <w:r w:rsidRPr="0038477E">
        <w:t>.</w:t>
      </w:r>
      <w:proofErr w:type="gramEnd"/>
      <w:r w:rsidRPr="0038477E">
        <w:t xml:space="preserve"> </w:t>
      </w:r>
      <w:proofErr w:type="gramStart"/>
      <w:r w:rsidRPr="0038477E">
        <w:t>Vol. 3, No. 1.</w:t>
      </w:r>
      <w:proofErr w:type="gramEnd"/>
      <w:r w:rsidRPr="0038477E">
        <w:t xml:space="preserve"> </w:t>
      </w:r>
      <w:proofErr w:type="gramStart"/>
      <w:r w:rsidRPr="0038477E">
        <w:t>Hal.</w:t>
      </w:r>
      <w:proofErr w:type="gramEnd"/>
      <w:r w:rsidRPr="0038477E">
        <w:t xml:space="preserve"> 126 – 142.</w:t>
      </w:r>
    </w:p>
    <w:p w14:paraId="2C20081D" w14:textId="77777777" w:rsidR="0038477E" w:rsidRPr="0038477E" w:rsidRDefault="0038477E" w:rsidP="0038477E">
      <w:pPr>
        <w:shd w:val="clear" w:color="auto" w:fill="FFFFFF"/>
        <w:ind w:left="993" w:hanging="993"/>
        <w:jc w:val="both"/>
        <w:rPr>
          <w:lang w:eastAsia="en-ID"/>
        </w:rPr>
      </w:pPr>
      <w:proofErr w:type="gramStart"/>
      <w:r w:rsidRPr="0038477E">
        <w:rPr>
          <w:lang w:eastAsia="en-ID"/>
        </w:rPr>
        <w:t>Pangesti, Dea Mayang dan Yushita.</w:t>
      </w:r>
      <w:proofErr w:type="gramEnd"/>
      <w:r w:rsidRPr="0038477E">
        <w:rPr>
          <w:lang w:eastAsia="en-ID"/>
        </w:rPr>
        <w:t xml:space="preserve"> 2019. Pengaruh Kesadaran Membayar Pajak, Persepsi atas Efektivitas Sistem Perpajakan, dan Pemahaman Peraturan Pemerintah Nomor 23 Tahun 2018 Terhadap Kemauan Membayar Pajak (Pada UMKM Sektor Perdagangan di Kabupaten Klaten). </w:t>
      </w:r>
      <w:r w:rsidRPr="0038477E">
        <w:rPr>
          <w:i/>
          <w:iCs/>
          <w:lang w:eastAsia="en-ID"/>
        </w:rPr>
        <w:t>Jurnal Nominal: Barometer Riset Akuntansi dan Manajemen</w:t>
      </w:r>
      <w:r w:rsidRPr="0038477E">
        <w:rPr>
          <w:lang w:eastAsia="en-ID"/>
        </w:rPr>
        <w:t>. (Volume 8; 166–178).</w:t>
      </w:r>
    </w:p>
    <w:p w14:paraId="63E41162" w14:textId="77777777" w:rsidR="0038477E" w:rsidRPr="0038477E" w:rsidRDefault="0038477E" w:rsidP="0038477E">
      <w:pPr>
        <w:ind w:left="993" w:hanging="993"/>
        <w:jc w:val="both"/>
        <w:rPr>
          <w:shd w:val="clear" w:color="auto" w:fill="FFFFFF"/>
        </w:rPr>
      </w:pPr>
      <w:proofErr w:type="gramStart"/>
      <w:r w:rsidRPr="0038477E">
        <w:rPr>
          <w:shd w:val="clear" w:color="auto" w:fill="FFFFFF"/>
        </w:rPr>
        <w:t>Purnamasari, P., &amp; Oktaviani, R. M. (2020).</w:t>
      </w:r>
      <w:proofErr w:type="gramEnd"/>
      <w:r w:rsidRPr="0038477E">
        <w:rPr>
          <w:shd w:val="clear" w:color="auto" w:fill="FFFFFF"/>
        </w:rPr>
        <w:t xml:space="preserve"> Kesadaran Membayar Pajak Memediasi Hubungan Pengetahuan Perpajakan Terhadap Kemauan Membayar Pajak. </w:t>
      </w:r>
      <w:proofErr w:type="gramStart"/>
      <w:r w:rsidRPr="0038477E">
        <w:rPr>
          <w:i/>
          <w:iCs/>
          <w:shd w:val="clear" w:color="auto" w:fill="FFFFFF"/>
        </w:rPr>
        <w:t>Jurnal Akuntansi Dan Pajak</w:t>
      </w:r>
      <w:r w:rsidRPr="0038477E">
        <w:rPr>
          <w:shd w:val="clear" w:color="auto" w:fill="FFFFFF"/>
        </w:rPr>
        <w:t>, </w:t>
      </w:r>
      <w:r w:rsidRPr="0038477E">
        <w:rPr>
          <w:i/>
          <w:iCs/>
          <w:shd w:val="clear" w:color="auto" w:fill="FFFFFF"/>
        </w:rPr>
        <w:t>21</w:t>
      </w:r>
      <w:r w:rsidRPr="0038477E">
        <w:rPr>
          <w:shd w:val="clear" w:color="auto" w:fill="FFFFFF"/>
        </w:rPr>
        <w:t>(01).</w:t>
      </w:r>
      <w:proofErr w:type="gramEnd"/>
    </w:p>
    <w:p w14:paraId="3F7BB611" w14:textId="77777777" w:rsidR="0038477E" w:rsidRPr="0038477E" w:rsidRDefault="0038477E" w:rsidP="0038477E">
      <w:pPr>
        <w:shd w:val="clear" w:color="auto" w:fill="FFFFFF"/>
        <w:ind w:left="993" w:hanging="993"/>
        <w:jc w:val="both"/>
        <w:rPr>
          <w:lang w:eastAsia="en-ID"/>
        </w:rPr>
      </w:pPr>
      <w:proofErr w:type="gramStart"/>
      <w:r w:rsidRPr="0038477E">
        <w:rPr>
          <w:lang w:eastAsia="en-ID"/>
        </w:rPr>
        <w:t>Tatiana &amp; Hari.</w:t>
      </w:r>
      <w:proofErr w:type="gramEnd"/>
      <w:r w:rsidRPr="0038477E">
        <w:rPr>
          <w:lang w:eastAsia="en-ID"/>
        </w:rPr>
        <w:t xml:space="preserve"> </w:t>
      </w:r>
      <w:proofErr w:type="gramStart"/>
      <w:r w:rsidRPr="0038477E">
        <w:rPr>
          <w:lang w:eastAsia="en-ID"/>
        </w:rPr>
        <w:t>(2009). Dampak Program Sunset Policy Terhadap Faktor-Faktor yang mempengaruhi kemauan Untuk membayar Pajak.</w:t>
      </w:r>
      <w:proofErr w:type="gramEnd"/>
      <w:r w:rsidRPr="0038477E">
        <w:rPr>
          <w:lang w:eastAsia="en-ID"/>
        </w:rPr>
        <w:t> </w:t>
      </w:r>
      <w:proofErr w:type="gramStart"/>
      <w:r w:rsidRPr="0038477E">
        <w:rPr>
          <w:i/>
          <w:iCs/>
          <w:lang w:eastAsia="en-ID"/>
        </w:rPr>
        <w:t>Proceding Simposium Nasional XL Pontianak</w:t>
      </w:r>
      <w:r w:rsidRPr="0038477E">
        <w:rPr>
          <w:lang w:eastAsia="en-ID"/>
        </w:rPr>
        <w:t>.</w:t>
      </w:r>
      <w:proofErr w:type="gramEnd"/>
    </w:p>
    <w:p w14:paraId="6FEDB45A" w14:textId="77777777" w:rsidR="00D47585" w:rsidRPr="0038477E" w:rsidRDefault="00D47585" w:rsidP="00D47585">
      <w:pPr>
        <w:ind w:left="851" w:right="266" w:hanging="851"/>
        <w:jc w:val="both"/>
        <w:rPr>
          <w:rFonts w:eastAsia="Arial"/>
        </w:rPr>
      </w:pPr>
    </w:p>
    <w:p w14:paraId="0D2CD536" w14:textId="77777777" w:rsidR="007817E7" w:rsidRPr="0038477E" w:rsidRDefault="007817E7" w:rsidP="00C30C6B">
      <w:pPr>
        <w:pStyle w:val="HTMLPreformatted"/>
        <w:tabs>
          <w:tab w:val="clear" w:pos="916"/>
          <w:tab w:val="left" w:pos="567"/>
        </w:tabs>
        <w:jc w:val="both"/>
        <w:rPr>
          <w:rFonts w:ascii="Times New Roman" w:hAnsi="Times New Roman" w:cs="Times New Roman"/>
          <w:noProof/>
          <w:sz w:val="22"/>
          <w:szCs w:val="22"/>
          <w:lang w:val="id-ID"/>
        </w:rPr>
      </w:pPr>
    </w:p>
    <w:sectPr w:rsidR="007817E7" w:rsidRPr="0038477E" w:rsidSect="00367306">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42600" w14:textId="77777777" w:rsidR="00183171" w:rsidRDefault="00183171" w:rsidP="00BE4157">
      <w:r>
        <w:separator/>
      </w:r>
    </w:p>
  </w:endnote>
  <w:endnote w:type="continuationSeparator" w:id="0">
    <w:p w14:paraId="1C0E3129" w14:textId="77777777" w:rsidR="00183171" w:rsidRDefault="00183171" w:rsidP="00B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770924"/>
      <w:docPartObj>
        <w:docPartGallery w:val="Page Numbers (Bottom of Page)"/>
        <w:docPartUnique/>
      </w:docPartObj>
    </w:sdtPr>
    <w:sdtEndPr>
      <w:rPr>
        <w:noProof/>
      </w:rPr>
    </w:sdtEndPr>
    <w:sdtContent>
      <w:p w14:paraId="75CE2A89" w14:textId="77777777" w:rsidR="00C30C6B" w:rsidRDefault="00C30C6B">
        <w:pPr>
          <w:pStyle w:val="Footer"/>
          <w:jc w:val="right"/>
        </w:pPr>
        <w:r>
          <w:fldChar w:fldCharType="begin"/>
        </w:r>
        <w:r>
          <w:instrText xml:space="preserve"> PAGE   \* MERGEFORMAT </w:instrText>
        </w:r>
        <w:r>
          <w:fldChar w:fldCharType="separate"/>
        </w:r>
        <w:r w:rsidR="00536977">
          <w:rPr>
            <w:noProof/>
          </w:rPr>
          <w:t>3</w:t>
        </w:r>
        <w:r>
          <w:rPr>
            <w:noProof/>
          </w:rPr>
          <w:fldChar w:fldCharType="end"/>
        </w:r>
      </w:p>
    </w:sdtContent>
  </w:sdt>
  <w:p w14:paraId="0142D1EB" w14:textId="77777777" w:rsidR="00C30C6B" w:rsidRDefault="00C30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6E68D" w14:textId="77777777" w:rsidR="00183171" w:rsidRDefault="00183171" w:rsidP="00BE4157">
      <w:r>
        <w:separator/>
      </w:r>
    </w:p>
  </w:footnote>
  <w:footnote w:type="continuationSeparator" w:id="0">
    <w:p w14:paraId="4772FFA5" w14:textId="77777777" w:rsidR="00183171" w:rsidRDefault="00183171" w:rsidP="00BE4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BF1"/>
    <w:multiLevelType w:val="hybridMultilevel"/>
    <w:tmpl w:val="DAC6747C"/>
    <w:lvl w:ilvl="0" w:tplc="04090019">
      <w:start w:val="1"/>
      <w:numFmt w:val="lowerLetter"/>
      <w:lvlText w:val="%1."/>
      <w:lvlJc w:val="left"/>
      <w:pPr>
        <w:ind w:left="1070" w:hanging="360"/>
      </w:pPr>
      <w:rPr>
        <w:b/>
        <w:i w:val="0"/>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
    <w:nsid w:val="09FF30B0"/>
    <w:multiLevelType w:val="hybridMultilevel"/>
    <w:tmpl w:val="35545BB0"/>
    <w:lvl w:ilvl="0" w:tplc="F71EDB0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AC3FAB"/>
    <w:multiLevelType w:val="hybridMultilevel"/>
    <w:tmpl w:val="997CAD66"/>
    <w:lvl w:ilvl="0" w:tplc="A9A6EB2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9">
      <w:start w:val="1"/>
      <w:numFmt w:val="lowerLetter"/>
      <w:lvlText w:val="%3."/>
      <w:lvlJc w:val="left"/>
      <w:pPr>
        <w:ind w:left="1070" w:hanging="36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BE153A"/>
    <w:multiLevelType w:val="hybridMultilevel"/>
    <w:tmpl w:val="8B304F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45749EC"/>
    <w:multiLevelType w:val="multilevel"/>
    <w:tmpl w:val="AE66FCF0"/>
    <w:lvl w:ilvl="0">
      <w:start w:val="1"/>
      <w:numFmt w:val="lowerLetter"/>
      <w:lvlText w:val="%1."/>
      <w:lvlJc w:val="left"/>
      <w:pPr>
        <w:ind w:left="928" w:hanging="360"/>
      </w:pPr>
      <w:rPr>
        <w:sz w:val="24"/>
        <w:szCs w:val="24"/>
      </w:r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rPr>
        <w:b/>
      </w:r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5">
    <w:nsid w:val="3DCF7D54"/>
    <w:multiLevelType w:val="hybridMultilevel"/>
    <w:tmpl w:val="C7F6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753CC3"/>
    <w:multiLevelType w:val="multilevel"/>
    <w:tmpl w:val="AD5414A2"/>
    <w:lvl w:ilvl="0">
      <w:start w:val="1"/>
      <w:numFmt w:val="decimal"/>
      <w:lvlText w:val="%1."/>
      <w:lvlJc w:val="left"/>
      <w:pPr>
        <w:ind w:left="720" w:hanging="360"/>
      </w:pPr>
    </w:lvl>
    <w:lvl w:ilvl="1">
      <w:start w:val="3"/>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7">
    <w:nsid w:val="62855869"/>
    <w:multiLevelType w:val="hybridMultilevel"/>
    <w:tmpl w:val="D62C1786"/>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nsid w:val="65F7090D"/>
    <w:multiLevelType w:val="hybridMultilevel"/>
    <w:tmpl w:val="72BC2F1C"/>
    <w:lvl w:ilvl="0" w:tplc="E8F6A646">
      <w:start w:val="1"/>
      <w:numFmt w:val="decimal"/>
      <w:lvlText w:val="%1."/>
      <w:lvlJc w:val="left"/>
      <w:pPr>
        <w:ind w:left="1500" w:hanging="3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9">
    <w:nsid w:val="79895CB0"/>
    <w:multiLevelType w:val="hybridMultilevel"/>
    <w:tmpl w:val="02562076"/>
    <w:lvl w:ilvl="0" w:tplc="04090011">
      <w:start w:val="1"/>
      <w:numFmt w:val="decimal"/>
      <w:lvlText w:val="%1)"/>
      <w:lvlJc w:val="left"/>
      <w:pPr>
        <w:ind w:left="1440" w:hanging="360"/>
      </w:pPr>
      <w:rPr>
        <w:rFonts w:hint="default"/>
        <w:b/>
        <w:spacing w:val="-15"/>
        <w:w w:val="99"/>
        <w:sz w:val="24"/>
        <w:szCs w:val="24"/>
        <w:lang w:val="id"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0"/>
  </w:num>
  <w:num w:numId="4">
    <w:abstractNumId w:val="8"/>
  </w:num>
  <w:num w:numId="5">
    <w:abstractNumId w:val="2"/>
  </w:num>
  <w:num w:numId="6">
    <w:abstractNumId w:val="9"/>
  </w:num>
  <w:num w:numId="7">
    <w:abstractNumId w:val="7"/>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4E"/>
    <w:rsid w:val="00007518"/>
    <w:rsid w:val="00060CD6"/>
    <w:rsid w:val="00074CE7"/>
    <w:rsid w:val="000B2535"/>
    <w:rsid w:val="000B6261"/>
    <w:rsid w:val="000C472C"/>
    <w:rsid w:val="0010678A"/>
    <w:rsid w:val="0013563F"/>
    <w:rsid w:val="001363D2"/>
    <w:rsid w:val="00163F4A"/>
    <w:rsid w:val="00180792"/>
    <w:rsid w:val="00183171"/>
    <w:rsid w:val="001A4ACA"/>
    <w:rsid w:val="001B57E5"/>
    <w:rsid w:val="001F4554"/>
    <w:rsid w:val="00220CFE"/>
    <w:rsid w:val="00236EFE"/>
    <w:rsid w:val="00261045"/>
    <w:rsid w:val="002732AE"/>
    <w:rsid w:val="002F0E3B"/>
    <w:rsid w:val="00316119"/>
    <w:rsid w:val="00340CDB"/>
    <w:rsid w:val="00367306"/>
    <w:rsid w:val="0038477E"/>
    <w:rsid w:val="003A340A"/>
    <w:rsid w:val="003C6D41"/>
    <w:rsid w:val="003F2D97"/>
    <w:rsid w:val="00422812"/>
    <w:rsid w:val="004D2DE7"/>
    <w:rsid w:val="005304D5"/>
    <w:rsid w:val="00536977"/>
    <w:rsid w:val="00565289"/>
    <w:rsid w:val="00574738"/>
    <w:rsid w:val="006407D3"/>
    <w:rsid w:val="00681813"/>
    <w:rsid w:val="0069480A"/>
    <w:rsid w:val="0070409B"/>
    <w:rsid w:val="007817E7"/>
    <w:rsid w:val="007843D9"/>
    <w:rsid w:val="00785731"/>
    <w:rsid w:val="0080415D"/>
    <w:rsid w:val="0082077E"/>
    <w:rsid w:val="008810EE"/>
    <w:rsid w:val="00890D1F"/>
    <w:rsid w:val="008945B7"/>
    <w:rsid w:val="008A13EE"/>
    <w:rsid w:val="008D727C"/>
    <w:rsid w:val="0091253E"/>
    <w:rsid w:val="0091515B"/>
    <w:rsid w:val="009519F0"/>
    <w:rsid w:val="009A21F6"/>
    <w:rsid w:val="009A7619"/>
    <w:rsid w:val="009C0269"/>
    <w:rsid w:val="009C67B3"/>
    <w:rsid w:val="009F0219"/>
    <w:rsid w:val="00A130B8"/>
    <w:rsid w:val="00A32C4C"/>
    <w:rsid w:val="00A40BCA"/>
    <w:rsid w:val="00A70C9A"/>
    <w:rsid w:val="00AF535D"/>
    <w:rsid w:val="00B27129"/>
    <w:rsid w:val="00B362A7"/>
    <w:rsid w:val="00B54C85"/>
    <w:rsid w:val="00B612DB"/>
    <w:rsid w:val="00B8118A"/>
    <w:rsid w:val="00BA7EF3"/>
    <w:rsid w:val="00BB2410"/>
    <w:rsid w:val="00BB6F58"/>
    <w:rsid w:val="00BD659B"/>
    <w:rsid w:val="00BE4157"/>
    <w:rsid w:val="00C04F4E"/>
    <w:rsid w:val="00C103BC"/>
    <w:rsid w:val="00C27765"/>
    <w:rsid w:val="00C30C6B"/>
    <w:rsid w:val="00C42A2F"/>
    <w:rsid w:val="00C7754C"/>
    <w:rsid w:val="00CA189F"/>
    <w:rsid w:val="00CA3A3A"/>
    <w:rsid w:val="00CC728E"/>
    <w:rsid w:val="00D47585"/>
    <w:rsid w:val="00D7453F"/>
    <w:rsid w:val="00DB4165"/>
    <w:rsid w:val="00E22DCE"/>
    <w:rsid w:val="00E25AA1"/>
    <w:rsid w:val="00E953B2"/>
    <w:rsid w:val="00EA147B"/>
    <w:rsid w:val="00F07F2E"/>
    <w:rsid w:val="00F167B3"/>
    <w:rsid w:val="00F600D7"/>
    <w:rsid w:val="00FB3961"/>
    <w:rsid w:val="00FC47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E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4F4E"/>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next w:val="Normal"/>
    <w:link w:val="Heading1Char"/>
    <w:uiPriority w:val="9"/>
    <w:qFormat/>
    <w:rsid w:val="00236E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UB BAB"/>
    <w:basedOn w:val="Normal"/>
    <w:link w:val="Heading2Char"/>
    <w:uiPriority w:val="99"/>
    <w:qFormat/>
    <w:rsid w:val="00C04F4E"/>
    <w:pPr>
      <w:ind w:left="974"/>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1"/>
    <w:rsid w:val="00C04F4E"/>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C04F4E"/>
    <w:rPr>
      <w:sz w:val="20"/>
      <w:szCs w:val="20"/>
    </w:rPr>
  </w:style>
  <w:style w:type="character" w:customStyle="1" w:styleId="BodyTextChar">
    <w:name w:val="Body Text Char"/>
    <w:basedOn w:val="DefaultParagraphFont"/>
    <w:link w:val="BodyText"/>
    <w:uiPriority w:val="1"/>
    <w:rsid w:val="00C04F4E"/>
    <w:rPr>
      <w:rFonts w:ascii="Times New Roman" w:eastAsia="Times New Roman" w:hAnsi="Times New Roman" w:cs="Times New Roman"/>
      <w:sz w:val="20"/>
      <w:szCs w:val="20"/>
      <w:lang w:val="en-US" w:bidi="en-US"/>
    </w:rPr>
  </w:style>
  <w:style w:type="paragraph" w:styleId="HTMLPreformatted">
    <w:name w:val="HTML Preformatted"/>
    <w:basedOn w:val="Normal"/>
    <w:link w:val="HTMLPreformattedChar"/>
    <w:uiPriority w:val="99"/>
    <w:unhideWhenUsed/>
    <w:rsid w:val="00C04F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C04F4E"/>
    <w:rPr>
      <w:rFonts w:ascii="Courier New" w:eastAsia="Times New Roman" w:hAnsi="Courier New" w:cs="Courier New"/>
      <w:sz w:val="20"/>
      <w:szCs w:val="20"/>
      <w:lang w:val="en-US"/>
    </w:rPr>
  </w:style>
  <w:style w:type="paragraph" w:customStyle="1" w:styleId="00Judulartikel">
    <w:name w:val="0.0_Judul artikel"/>
    <w:basedOn w:val="Heading1"/>
    <w:link w:val="00JudulartikelChar"/>
    <w:qFormat/>
    <w:rsid w:val="00236EFE"/>
    <w:pPr>
      <w:widowControl/>
      <w:autoSpaceDE/>
      <w:autoSpaceDN/>
      <w:spacing w:after="60"/>
    </w:pPr>
    <w:rPr>
      <w:rFonts w:ascii="Myriad Pro" w:hAnsi="Myriad Pro"/>
      <w:b/>
      <w:bCs/>
      <w:color w:val="000000" w:themeColor="text1"/>
      <w:spacing w:val="5"/>
      <w:kern w:val="28"/>
      <w:szCs w:val="28"/>
      <w:lang w:bidi="ar-SA"/>
    </w:rPr>
  </w:style>
  <w:style w:type="character" w:customStyle="1" w:styleId="00JudulartikelChar">
    <w:name w:val="0.0_Judul artikel Char"/>
    <w:basedOn w:val="DefaultParagraphFont"/>
    <w:link w:val="00Judulartikel"/>
    <w:rsid w:val="00236EFE"/>
    <w:rPr>
      <w:rFonts w:ascii="Myriad Pro" w:eastAsiaTheme="majorEastAsia" w:hAnsi="Myriad Pro" w:cstheme="majorBidi"/>
      <w:b/>
      <w:bCs/>
      <w:color w:val="000000" w:themeColor="text1"/>
      <w:spacing w:val="5"/>
      <w:kern w:val="28"/>
      <w:sz w:val="32"/>
      <w:szCs w:val="28"/>
      <w:lang w:val="en-US"/>
    </w:rPr>
  </w:style>
  <w:style w:type="character" w:customStyle="1" w:styleId="Heading1Char">
    <w:name w:val="Heading 1 Char"/>
    <w:basedOn w:val="DefaultParagraphFont"/>
    <w:link w:val="Heading1"/>
    <w:uiPriority w:val="9"/>
    <w:rsid w:val="00236EFE"/>
    <w:rPr>
      <w:rFonts w:asciiTheme="majorHAnsi" w:eastAsiaTheme="majorEastAsia" w:hAnsiTheme="majorHAnsi" w:cstheme="majorBidi"/>
      <w:color w:val="2E74B5" w:themeColor="accent1" w:themeShade="BF"/>
      <w:sz w:val="32"/>
      <w:szCs w:val="32"/>
      <w:lang w:val="en-US" w:bidi="en-US"/>
    </w:rPr>
  </w:style>
  <w:style w:type="paragraph" w:customStyle="1" w:styleId="03Instansi">
    <w:name w:val="0.3_Instansi"/>
    <w:basedOn w:val="Normal"/>
    <w:link w:val="03InstansiChar"/>
    <w:qFormat/>
    <w:rsid w:val="00236EFE"/>
    <w:pPr>
      <w:widowControl/>
      <w:autoSpaceDE/>
      <w:autoSpaceDN/>
      <w:spacing w:line="276" w:lineRule="auto"/>
    </w:pPr>
    <w:rPr>
      <w:rFonts w:ascii="Myriad Pro" w:eastAsia="Batang" w:hAnsi="Myriad Pro" w:cs="Arial"/>
      <w:color w:val="000000" w:themeColor="text1"/>
      <w:sz w:val="16"/>
      <w:szCs w:val="18"/>
      <w:lang w:val="id-ID" w:bidi="ar-SA"/>
    </w:rPr>
  </w:style>
  <w:style w:type="paragraph" w:customStyle="1" w:styleId="04Korespondensi">
    <w:name w:val="0.4_Korespondensi"/>
    <w:basedOn w:val="Normal"/>
    <w:link w:val="04KorespondensiChar"/>
    <w:qFormat/>
    <w:rsid w:val="00236EFE"/>
    <w:pPr>
      <w:widowControl/>
      <w:autoSpaceDE/>
      <w:autoSpaceDN/>
      <w:spacing w:after="120" w:line="276" w:lineRule="auto"/>
    </w:pPr>
    <w:rPr>
      <w:rFonts w:ascii="Myriad Pro" w:eastAsia="Batang" w:hAnsi="Myriad Pro" w:cs="Arial"/>
      <w:sz w:val="16"/>
      <w:szCs w:val="18"/>
      <w:lang w:val="id-ID" w:bidi="ar-SA"/>
    </w:rPr>
  </w:style>
  <w:style w:type="character" w:customStyle="1" w:styleId="03InstansiChar">
    <w:name w:val="0.3_Instansi Char"/>
    <w:basedOn w:val="DefaultParagraphFont"/>
    <w:link w:val="03Instansi"/>
    <w:rsid w:val="00236EFE"/>
    <w:rPr>
      <w:rFonts w:ascii="Myriad Pro" w:eastAsia="Batang" w:hAnsi="Myriad Pro" w:cs="Arial"/>
      <w:color w:val="000000" w:themeColor="text1"/>
      <w:sz w:val="16"/>
      <w:szCs w:val="18"/>
    </w:rPr>
  </w:style>
  <w:style w:type="character" w:customStyle="1" w:styleId="04KorespondensiChar">
    <w:name w:val="0.4_Korespondensi Char"/>
    <w:basedOn w:val="DefaultParagraphFont"/>
    <w:link w:val="04Korespondensi"/>
    <w:rsid w:val="00236EFE"/>
    <w:rPr>
      <w:rFonts w:ascii="Myriad Pro" w:eastAsia="Batang" w:hAnsi="Myriad Pro" w:cs="Arial"/>
      <w:sz w:val="16"/>
      <w:szCs w:val="18"/>
    </w:rPr>
  </w:style>
  <w:style w:type="table" w:styleId="TableGrid">
    <w:name w:val="Table Grid"/>
    <w:basedOn w:val="TableNormal"/>
    <w:uiPriority w:val="59"/>
    <w:rsid w:val="00236E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Abstractenglish">
    <w:name w:val="0.6_Abstract english"/>
    <w:basedOn w:val="Normal"/>
    <w:link w:val="06AbstractenglishChar"/>
    <w:qFormat/>
    <w:rsid w:val="00236EFE"/>
    <w:pPr>
      <w:widowControl/>
      <w:autoSpaceDE/>
      <w:autoSpaceDN/>
      <w:spacing w:before="60" w:after="60" w:line="276" w:lineRule="auto"/>
      <w:jc w:val="both"/>
    </w:pPr>
    <w:rPr>
      <w:rFonts w:ascii="Myriad Pro" w:eastAsia="Batang" w:hAnsi="Myriad Pro" w:cs="Arial"/>
      <w:bCs/>
      <w:i/>
      <w:color w:val="000000" w:themeColor="text1"/>
      <w:sz w:val="20"/>
      <w:szCs w:val="18"/>
      <w:lang w:bidi="ar-SA"/>
    </w:rPr>
  </w:style>
  <w:style w:type="paragraph" w:customStyle="1" w:styleId="07Abstrakbahasa">
    <w:name w:val="0.7_Abstrak bahasa"/>
    <w:basedOn w:val="Normal"/>
    <w:link w:val="07AbstrakbahasaChar"/>
    <w:qFormat/>
    <w:rsid w:val="00236EFE"/>
    <w:pPr>
      <w:widowControl/>
      <w:autoSpaceDE/>
      <w:autoSpaceDN/>
      <w:spacing w:before="60" w:after="60" w:line="276" w:lineRule="auto"/>
      <w:jc w:val="both"/>
    </w:pPr>
    <w:rPr>
      <w:rFonts w:ascii="Myriad Pro" w:eastAsia="Batang" w:hAnsi="Myriad Pro" w:cs="Arial"/>
      <w:sz w:val="20"/>
      <w:szCs w:val="18"/>
      <w:lang w:bidi="ar-SA"/>
    </w:rPr>
  </w:style>
  <w:style w:type="character" w:customStyle="1" w:styleId="06AbstractenglishChar">
    <w:name w:val="0.6_Abstract english Char"/>
    <w:basedOn w:val="DefaultParagraphFont"/>
    <w:link w:val="06Abstractenglish"/>
    <w:rsid w:val="00236EFE"/>
    <w:rPr>
      <w:rFonts w:ascii="Myriad Pro" w:eastAsia="Batang" w:hAnsi="Myriad Pro" w:cs="Arial"/>
      <w:bCs/>
      <w:i/>
      <w:color w:val="000000" w:themeColor="text1"/>
      <w:sz w:val="20"/>
      <w:szCs w:val="18"/>
      <w:lang w:val="en-US"/>
    </w:rPr>
  </w:style>
  <w:style w:type="character" w:customStyle="1" w:styleId="07AbstrakbahasaChar">
    <w:name w:val="0.7_Abstrak bahasa Char"/>
    <w:basedOn w:val="DefaultParagraphFont"/>
    <w:link w:val="07Abstrakbahasa"/>
    <w:rsid w:val="00236EFE"/>
    <w:rPr>
      <w:rFonts w:ascii="Myriad Pro" w:eastAsia="Batang" w:hAnsi="Myriad Pro" w:cs="Arial"/>
      <w:sz w:val="20"/>
      <w:szCs w:val="18"/>
      <w:lang w:val="en-US"/>
    </w:rPr>
  </w:style>
  <w:style w:type="paragraph" w:customStyle="1" w:styleId="10Judulbab">
    <w:name w:val="1.0_Judul bab"/>
    <w:basedOn w:val="Normal"/>
    <w:link w:val="10JudulbabChar"/>
    <w:qFormat/>
    <w:rsid w:val="00367306"/>
    <w:pPr>
      <w:widowControl/>
      <w:autoSpaceDE/>
      <w:autoSpaceDN/>
      <w:spacing w:before="120" w:after="120" w:line="276" w:lineRule="auto"/>
      <w:outlineLvl w:val="0"/>
    </w:pPr>
    <w:rPr>
      <w:rFonts w:ascii="Myriad Pro" w:eastAsia="Batang" w:hAnsi="Myriad Pro" w:cs="Arial"/>
      <w:b/>
      <w:bCs/>
      <w:color w:val="000000" w:themeColor="text1"/>
      <w:sz w:val="26"/>
      <w:szCs w:val="18"/>
      <w:lang w:val="id-ID" w:bidi="ar-SA"/>
    </w:rPr>
  </w:style>
  <w:style w:type="paragraph" w:customStyle="1" w:styleId="12Teks">
    <w:name w:val="1.2_Teks"/>
    <w:basedOn w:val="Normal"/>
    <w:link w:val="12TeksChar"/>
    <w:qFormat/>
    <w:rsid w:val="00367306"/>
    <w:pPr>
      <w:widowControl/>
      <w:tabs>
        <w:tab w:val="left" w:pos="284"/>
      </w:tabs>
      <w:autoSpaceDE/>
      <w:autoSpaceDN/>
      <w:spacing w:after="120" w:line="276" w:lineRule="auto"/>
      <w:ind w:firstLine="284"/>
      <w:contextualSpacing/>
      <w:jc w:val="both"/>
    </w:pPr>
    <w:rPr>
      <w:rFonts w:ascii="Myriad Pro" w:eastAsia="Batang" w:hAnsi="Myriad Pro" w:cs="Arial"/>
      <w:color w:val="000000" w:themeColor="text1"/>
      <w:szCs w:val="18"/>
      <w:lang w:val="id-ID" w:bidi="ar-SA"/>
    </w:rPr>
  </w:style>
  <w:style w:type="character" w:customStyle="1" w:styleId="10JudulbabChar">
    <w:name w:val="1.0_Judul bab Char"/>
    <w:basedOn w:val="DefaultParagraphFont"/>
    <w:link w:val="10Judulbab"/>
    <w:rsid w:val="00367306"/>
    <w:rPr>
      <w:rFonts w:ascii="Myriad Pro" w:eastAsia="Batang" w:hAnsi="Myriad Pro" w:cs="Arial"/>
      <w:b/>
      <w:bCs/>
      <w:color w:val="000000" w:themeColor="text1"/>
      <w:sz w:val="26"/>
      <w:szCs w:val="18"/>
    </w:rPr>
  </w:style>
  <w:style w:type="character" w:customStyle="1" w:styleId="12TeksChar">
    <w:name w:val="1.2_Teks Char"/>
    <w:basedOn w:val="DefaultParagraphFont"/>
    <w:link w:val="12Teks"/>
    <w:rsid w:val="00367306"/>
    <w:rPr>
      <w:rFonts w:ascii="Myriad Pro" w:eastAsia="Batang" w:hAnsi="Myriad Pro" w:cs="Arial"/>
      <w:color w:val="000000" w:themeColor="text1"/>
      <w:szCs w:val="18"/>
    </w:rPr>
  </w:style>
  <w:style w:type="paragraph" w:customStyle="1" w:styleId="11Judulsub-bab">
    <w:name w:val="1.1_Judul sub-bab"/>
    <w:basedOn w:val="Normal"/>
    <w:link w:val="11Judulsub-babChar"/>
    <w:qFormat/>
    <w:rsid w:val="00367306"/>
    <w:pPr>
      <w:widowControl/>
      <w:autoSpaceDE/>
      <w:autoSpaceDN/>
      <w:spacing w:before="120" w:after="120" w:line="276" w:lineRule="auto"/>
      <w:outlineLvl w:val="1"/>
    </w:pPr>
    <w:rPr>
      <w:rFonts w:ascii="Myriad Pro" w:eastAsia="Batang" w:hAnsi="Myriad Pro" w:cs="Arial"/>
      <w:b/>
      <w:bCs/>
      <w:i/>
      <w:szCs w:val="18"/>
      <w:lang w:val="id-ID" w:bidi="ar-SA"/>
    </w:rPr>
  </w:style>
  <w:style w:type="character" w:customStyle="1" w:styleId="11Judulsub-babChar">
    <w:name w:val="1.1_Judul sub-bab Char"/>
    <w:basedOn w:val="DefaultParagraphFont"/>
    <w:link w:val="11Judulsub-bab"/>
    <w:rsid w:val="00367306"/>
    <w:rPr>
      <w:rFonts w:ascii="Myriad Pro" w:eastAsia="Batang" w:hAnsi="Myriad Pro" w:cs="Arial"/>
      <w:b/>
      <w:bCs/>
      <w:i/>
      <w:szCs w:val="18"/>
    </w:rPr>
  </w:style>
  <w:style w:type="paragraph" w:styleId="Header">
    <w:name w:val="header"/>
    <w:basedOn w:val="Normal"/>
    <w:link w:val="HeaderChar"/>
    <w:uiPriority w:val="99"/>
    <w:rsid w:val="00180792"/>
    <w:pPr>
      <w:widowControl/>
      <w:tabs>
        <w:tab w:val="center" w:pos="4680"/>
        <w:tab w:val="right" w:pos="9360"/>
      </w:tabs>
      <w:autoSpaceDE/>
      <w:autoSpaceDN/>
      <w:ind w:firstLine="284"/>
      <w:jc w:val="both"/>
    </w:pPr>
    <w:rPr>
      <w:sz w:val="20"/>
      <w:szCs w:val="20"/>
      <w:lang w:val="id-ID" w:bidi="ar-SA"/>
    </w:rPr>
  </w:style>
  <w:style w:type="character" w:customStyle="1" w:styleId="HeaderChar">
    <w:name w:val="Header Char"/>
    <w:basedOn w:val="DefaultParagraphFont"/>
    <w:link w:val="Header"/>
    <w:uiPriority w:val="99"/>
    <w:rsid w:val="00180792"/>
    <w:rPr>
      <w:rFonts w:ascii="Times New Roman" w:eastAsia="Times New Roman" w:hAnsi="Times New Roman" w:cs="Times New Roman"/>
      <w:sz w:val="20"/>
      <w:szCs w:val="20"/>
    </w:rPr>
  </w:style>
  <w:style w:type="paragraph" w:customStyle="1" w:styleId="21Judulgambar">
    <w:name w:val="2.1_Judul gambar"/>
    <w:basedOn w:val="Normal"/>
    <w:link w:val="21JudulgambarChar"/>
    <w:qFormat/>
    <w:rsid w:val="00316119"/>
    <w:pPr>
      <w:widowControl/>
      <w:autoSpaceDE/>
      <w:autoSpaceDN/>
      <w:spacing w:before="60" w:after="120"/>
      <w:jc w:val="both"/>
    </w:pPr>
    <w:rPr>
      <w:rFonts w:ascii="Myriad Pro" w:eastAsia="Batang" w:hAnsi="Myriad Pro" w:cs="Arial"/>
      <w:sz w:val="20"/>
      <w:szCs w:val="18"/>
      <w:lang w:val="id-ID" w:bidi="ar-SA"/>
    </w:rPr>
  </w:style>
  <w:style w:type="character" w:customStyle="1" w:styleId="21JudulgambarChar">
    <w:name w:val="2.1_Judul gambar Char"/>
    <w:basedOn w:val="DefaultParagraphFont"/>
    <w:link w:val="21Judulgambar"/>
    <w:rsid w:val="00316119"/>
    <w:rPr>
      <w:rFonts w:ascii="Myriad Pro" w:eastAsia="Batang" w:hAnsi="Myriad Pro" w:cs="Arial"/>
      <w:sz w:val="20"/>
      <w:szCs w:val="18"/>
    </w:rPr>
  </w:style>
  <w:style w:type="paragraph" w:customStyle="1" w:styleId="23Judultabel">
    <w:name w:val="2.3_Judul tabel"/>
    <w:basedOn w:val="Normal"/>
    <w:link w:val="23JudultabelChar"/>
    <w:qFormat/>
    <w:rsid w:val="00D7453F"/>
    <w:pPr>
      <w:widowControl/>
      <w:autoSpaceDE/>
      <w:autoSpaceDN/>
      <w:spacing w:before="120" w:after="60"/>
      <w:jc w:val="both"/>
    </w:pPr>
    <w:rPr>
      <w:rFonts w:ascii="Myriad Pro" w:eastAsia="Batang" w:hAnsi="Myriad Pro" w:cs="Arial"/>
      <w:sz w:val="20"/>
      <w:szCs w:val="18"/>
      <w:lang w:val="id-ID" w:bidi="ar-SA"/>
    </w:rPr>
  </w:style>
  <w:style w:type="paragraph" w:customStyle="1" w:styleId="22Tekstabel">
    <w:name w:val="2.2_Teks tabel"/>
    <w:basedOn w:val="Normal"/>
    <w:link w:val="22TekstabelChar"/>
    <w:qFormat/>
    <w:rsid w:val="00D7453F"/>
    <w:pPr>
      <w:widowControl/>
      <w:autoSpaceDE/>
      <w:autoSpaceDN/>
    </w:pPr>
    <w:rPr>
      <w:rFonts w:ascii="Myriad Pro" w:eastAsia="Batang" w:hAnsi="Myriad Pro" w:cs="Arial"/>
      <w:sz w:val="20"/>
      <w:szCs w:val="18"/>
      <w:lang w:val="id-ID" w:bidi="ar-SA"/>
    </w:rPr>
  </w:style>
  <w:style w:type="character" w:customStyle="1" w:styleId="23JudultabelChar">
    <w:name w:val="2.3_Judul tabel Char"/>
    <w:basedOn w:val="DefaultParagraphFont"/>
    <w:link w:val="23Judultabel"/>
    <w:rsid w:val="00D7453F"/>
    <w:rPr>
      <w:rFonts w:ascii="Myriad Pro" w:eastAsia="Batang" w:hAnsi="Myriad Pro" w:cs="Arial"/>
      <w:sz w:val="20"/>
      <w:szCs w:val="18"/>
    </w:rPr>
  </w:style>
  <w:style w:type="paragraph" w:customStyle="1" w:styleId="24Keterangantabelgambar">
    <w:name w:val="2.4_Keterangan tabel/gambar"/>
    <w:basedOn w:val="Normal"/>
    <w:link w:val="24KeterangantabelgambarChar"/>
    <w:qFormat/>
    <w:rsid w:val="00D7453F"/>
    <w:pPr>
      <w:widowControl/>
      <w:autoSpaceDE/>
      <w:autoSpaceDN/>
      <w:spacing w:before="120" w:after="120"/>
      <w:jc w:val="both"/>
    </w:pPr>
    <w:rPr>
      <w:rFonts w:ascii="Myriad Pro" w:eastAsia="Batang" w:hAnsi="Myriad Pro" w:cs="Arial"/>
      <w:sz w:val="20"/>
      <w:szCs w:val="18"/>
      <w:lang w:val="id-ID" w:bidi="ar-SA"/>
    </w:rPr>
  </w:style>
  <w:style w:type="character" w:customStyle="1" w:styleId="22TekstabelChar">
    <w:name w:val="2.2_Teks tabel Char"/>
    <w:basedOn w:val="DefaultParagraphFont"/>
    <w:link w:val="22Tekstabel"/>
    <w:rsid w:val="00D7453F"/>
    <w:rPr>
      <w:rFonts w:ascii="Myriad Pro" w:eastAsia="Batang" w:hAnsi="Myriad Pro" w:cs="Arial"/>
      <w:sz w:val="20"/>
      <w:szCs w:val="18"/>
    </w:rPr>
  </w:style>
  <w:style w:type="character" w:customStyle="1" w:styleId="24KeterangantabelgambarChar">
    <w:name w:val="2.4_Keterangan tabel/gambar Char"/>
    <w:basedOn w:val="DefaultParagraphFont"/>
    <w:link w:val="24Keterangantabelgambar"/>
    <w:rsid w:val="00D7453F"/>
    <w:rPr>
      <w:rFonts w:ascii="Myriad Pro" w:eastAsia="Batang" w:hAnsi="Myriad Pro" w:cs="Arial"/>
      <w:sz w:val="20"/>
      <w:szCs w:val="18"/>
    </w:rPr>
  </w:style>
  <w:style w:type="paragraph" w:customStyle="1" w:styleId="30Daftarpustaka">
    <w:name w:val="3.0_Daftar pustaka"/>
    <w:basedOn w:val="Normal"/>
    <w:link w:val="30DaftarpustakaChar"/>
    <w:qFormat/>
    <w:rsid w:val="007843D9"/>
    <w:pPr>
      <w:widowControl/>
      <w:autoSpaceDE/>
      <w:autoSpaceDN/>
      <w:spacing w:line="276" w:lineRule="auto"/>
      <w:ind w:left="284" w:hanging="284"/>
      <w:jc w:val="both"/>
    </w:pPr>
    <w:rPr>
      <w:rFonts w:ascii="Myriad Pro" w:eastAsia="Batang" w:hAnsi="Myriad Pro" w:cs="Arial"/>
      <w:szCs w:val="18"/>
      <w:lang w:val="id-ID" w:bidi="ar-SA"/>
    </w:rPr>
  </w:style>
  <w:style w:type="character" w:customStyle="1" w:styleId="30DaftarpustakaChar">
    <w:name w:val="3.0_Daftar pustaka Char"/>
    <w:basedOn w:val="DefaultParagraphFont"/>
    <w:link w:val="30Daftarpustaka"/>
    <w:rsid w:val="007843D9"/>
    <w:rPr>
      <w:rFonts w:ascii="Myriad Pro" w:eastAsia="Batang" w:hAnsi="Myriad Pro" w:cs="Arial"/>
      <w:szCs w:val="18"/>
    </w:rPr>
  </w:style>
  <w:style w:type="character" w:styleId="Hyperlink">
    <w:name w:val="Hyperlink"/>
    <w:basedOn w:val="DefaultParagraphFont"/>
    <w:uiPriority w:val="99"/>
    <w:unhideWhenUsed/>
    <w:rsid w:val="00A32C4C"/>
    <w:rPr>
      <w:color w:val="0563C1" w:themeColor="hyperlink"/>
      <w:u w:val="single"/>
    </w:rPr>
  </w:style>
  <w:style w:type="paragraph" w:styleId="Footer">
    <w:name w:val="footer"/>
    <w:basedOn w:val="Normal"/>
    <w:link w:val="FooterChar"/>
    <w:uiPriority w:val="99"/>
    <w:unhideWhenUsed/>
    <w:rsid w:val="00BE4157"/>
    <w:pPr>
      <w:tabs>
        <w:tab w:val="center" w:pos="4513"/>
        <w:tab w:val="right" w:pos="9026"/>
      </w:tabs>
    </w:pPr>
  </w:style>
  <w:style w:type="character" w:customStyle="1" w:styleId="FooterChar">
    <w:name w:val="Footer Char"/>
    <w:basedOn w:val="DefaultParagraphFont"/>
    <w:link w:val="Footer"/>
    <w:uiPriority w:val="99"/>
    <w:rsid w:val="00BE4157"/>
    <w:rPr>
      <w:rFonts w:ascii="Times New Roman" w:eastAsia="Times New Roman" w:hAnsi="Times New Roman" w:cs="Times New Roman"/>
      <w:lang w:val="en-US" w:bidi="en-US"/>
    </w:rPr>
  </w:style>
  <w:style w:type="paragraph" w:customStyle="1" w:styleId="40HeaderJTIHP">
    <w:name w:val="4.0_Header JTIHP"/>
    <w:basedOn w:val="Header"/>
    <w:link w:val="40HeaderJTIHPChar"/>
    <w:qFormat/>
    <w:rsid w:val="00BE4157"/>
    <w:pPr>
      <w:ind w:firstLine="0"/>
    </w:pPr>
    <w:rPr>
      <w:rFonts w:ascii="Myriad Pro" w:eastAsia="Batang" w:hAnsi="Myriad Pro" w:cs="Arial"/>
      <w:b/>
      <w:caps/>
      <w:color w:val="808080" w:themeColor="background1" w:themeShade="80"/>
      <w:sz w:val="16"/>
      <w:szCs w:val="18"/>
      <w:lang w:val="en-US"/>
    </w:rPr>
  </w:style>
  <w:style w:type="paragraph" w:customStyle="1" w:styleId="41HeaderlinkJTIHP">
    <w:name w:val="4.1_Header link JTIHP"/>
    <w:basedOn w:val="40HeaderJTIHP"/>
    <w:link w:val="41HeaderlinkJTIHPChar"/>
    <w:qFormat/>
    <w:rsid w:val="00BE4157"/>
    <w:pPr>
      <w:spacing w:line="480" w:lineRule="auto"/>
    </w:pPr>
    <w:rPr>
      <w:b w:val="0"/>
      <w:caps w:val="0"/>
    </w:rPr>
  </w:style>
  <w:style w:type="character" w:customStyle="1" w:styleId="40HeaderJTIHPChar">
    <w:name w:val="4.0_Header JTIHP Char"/>
    <w:basedOn w:val="HeaderChar"/>
    <w:link w:val="40HeaderJTIHP"/>
    <w:rsid w:val="00BE4157"/>
    <w:rPr>
      <w:rFonts w:ascii="Myriad Pro" w:eastAsia="Batang" w:hAnsi="Myriad Pro" w:cs="Arial"/>
      <w:b/>
      <w:caps/>
      <w:color w:val="808080" w:themeColor="background1" w:themeShade="80"/>
      <w:sz w:val="16"/>
      <w:szCs w:val="18"/>
      <w:lang w:val="en-US"/>
    </w:rPr>
  </w:style>
  <w:style w:type="character" w:customStyle="1" w:styleId="41HeaderlinkJTIHPChar">
    <w:name w:val="4.1_Header link JTIHP Char"/>
    <w:basedOn w:val="40HeaderJTIHPChar"/>
    <w:link w:val="41HeaderlinkJTIHP"/>
    <w:rsid w:val="00BE4157"/>
    <w:rPr>
      <w:rFonts w:ascii="Myriad Pro" w:eastAsia="Batang" w:hAnsi="Myriad Pro" w:cs="Arial"/>
      <w:b w:val="0"/>
      <w:caps w:val="0"/>
      <w:color w:val="808080" w:themeColor="background1" w:themeShade="80"/>
      <w:sz w:val="16"/>
      <w:szCs w:val="18"/>
      <w:lang w:val="en-US"/>
    </w:rPr>
  </w:style>
  <w:style w:type="paragraph" w:styleId="BalloonText">
    <w:name w:val="Balloon Text"/>
    <w:basedOn w:val="Normal"/>
    <w:link w:val="BalloonTextChar"/>
    <w:uiPriority w:val="99"/>
    <w:semiHidden/>
    <w:unhideWhenUsed/>
    <w:rsid w:val="003F2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D97"/>
    <w:rPr>
      <w:rFonts w:ascii="Segoe UI" w:eastAsia="Times New Roman" w:hAnsi="Segoe UI" w:cs="Segoe UI"/>
      <w:sz w:val="18"/>
      <w:szCs w:val="18"/>
      <w:lang w:val="en-US" w:bidi="en-US"/>
    </w:rPr>
  </w:style>
  <w:style w:type="character" w:styleId="PlaceholderText">
    <w:name w:val="Placeholder Text"/>
    <w:basedOn w:val="DefaultParagraphFont"/>
    <w:uiPriority w:val="99"/>
    <w:semiHidden/>
    <w:rsid w:val="00220CFE"/>
    <w:rPr>
      <w:color w:val="808080"/>
    </w:rPr>
  </w:style>
  <w:style w:type="paragraph" w:styleId="ListParagraph">
    <w:name w:val="List Paragraph"/>
    <w:aliases w:val="Body of text,Heading 31,Heading 32,skripsi,List Paragraph1,spasi 2 taiiii,1.2 Dst...,Heading 1 Char1,Body Text Char1,Char Char2,Paragraf ISI,heading 3,Heading 33,Sub Sub Bab,Body of text+1,Body of text+2,Body of text+3,List Paragraph11"/>
    <w:basedOn w:val="Normal"/>
    <w:link w:val="ListParagraphChar"/>
    <w:uiPriority w:val="34"/>
    <w:qFormat/>
    <w:rsid w:val="00D47585"/>
    <w:pPr>
      <w:widowControl/>
      <w:autoSpaceDE/>
      <w:autoSpaceDN/>
      <w:spacing w:after="200" w:line="276" w:lineRule="auto"/>
      <w:ind w:left="720"/>
      <w:contextualSpacing/>
    </w:pPr>
    <w:rPr>
      <w:rFonts w:asciiTheme="minorHAnsi" w:eastAsiaTheme="minorHAnsi" w:hAnsiTheme="minorHAnsi" w:cstheme="minorBidi"/>
      <w:lang w:bidi="ar-SA"/>
    </w:rPr>
  </w:style>
  <w:style w:type="character" w:customStyle="1" w:styleId="ListParagraphChar">
    <w:name w:val="List Paragraph Char"/>
    <w:aliases w:val="Body of text Char,Heading 31 Char,Heading 32 Char,skripsi Char,List Paragraph1 Char,spasi 2 taiiii Char,1.2 Dst... Char,Heading 1 Char1 Char,Body Text Char1 Char,Char Char2 Char,Paragraf ISI Char,heading 3 Char,Heading 33 Char"/>
    <w:link w:val="ListParagraph"/>
    <w:uiPriority w:val="34"/>
    <w:qFormat/>
    <w:locked/>
    <w:rsid w:val="00D47585"/>
    <w:rPr>
      <w:lang w:val="en-US"/>
    </w:rPr>
  </w:style>
  <w:style w:type="character" w:styleId="Emphasis">
    <w:name w:val="Emphasis"/>
    <w:uiPriority w:val="20"/>
    <w:qFormat/>
    <w:rsid w:val="00D475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4F4E"/>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next w:val="Normal"/>
    <w:link w:val="Heading1Char"/>
    <w:uiPriority w:val="9"/>
    <w:qFormat/>
    <w:rsid w:val="00236E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UB BAB"/>
    <w:basedOn w:val="Normal"/>
    <w:link w:val="Heading2Char"/>
    <w:uiPriority w:val="99"/>
    <w:qFormat/>
    <w:rsid w:val="00C04F4E"/>
    <w:pPr>
      <w:ind w:left="974"/>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1"/>
    <w:rsid w:val="00C04F4E"/>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C04F4E"/>
    <w:rPr>
      <w:sz w:val="20"/>
      <w:szCs w:val="20"/>
    </w:rPr>
  </w:style>
  <w:style w:type="character" w:customStyle="1" w:styleId="BodyTextChar">
    <w:name w:val="Body Text Char"/>
    <w:basedOn w:val="DefaultParagraphFont"/>
    <w:link w:val="BodyText"/>
    <w:uiPriority w:val="1"/>
    <w:rsid w:val="00C04F4E"/>
    <w:rPr>
      <w:rFonts w:ascii="Times New Roman" w:eastAsia="Times New Roman" w:hAnsi="Times New Roman" w:cs="Times New Roman"/>
      <w:sz w:val="20"/>
      <w:szCs w:val="20"/>
      <w:lang w:val="en-US" w:bidi="en-US"/>
    </w:rPr>
  </w:style>
  <w:style w:type="paragraph" w:styleId="HTMLPreformatted">
    <w:name w:val="HTML Preformatted"/>
    <w:basedOn w:val="Normal"/>
    <w:link w:val="HTMLPreformattedChar"/>
    <w:uiPriority w:val="99"/>
    <w:unhideWhenUsed/>
    <w:rsid w:val="00C04F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C04F4E"/>
    <w:rPr>
      <w:rFonts w:ascii="Courier New" w:eastAsia="Times New Roman" w:hAnsi="Courier New" w:cs="Courier New"/>
      <w:sz w:val="20"/>
      <w:szCs w:val="20"/>
      <w:lang w:val="en-US"/>
    </w:rPr>
  </w:style>
  <w:style w:type="paragraph" w:customStyle="1" w:styleId="00Judulartikel">
    <w:name w:val="0.0_Judul artikel"/>
    <w:basedOn w:val="Heading1"/>
    <w:link w:val="00JudulartikelChar"/>
    <w:qFormat/>
    <w:rsid w:val="00236EFE"/>
    <w:pPr>
      <w:widowControl/>
      <w:autoSpaceDE/>
      <w:autoSpaceDN/>
      <w:spacing w:after="60"/>
    </w:pPr>
    <w:rPr>
      <w:rFonts w:ascii="Myriad Pro" w:hAnsi="Myriad Pro"/>
      <w:b/>
      <w:bCs/>
      <w:color w:val="000000" w:themeColor="text1"/>
      <w:spacing w:val="5"/>
      <w:kern w:val="28"/>
      <w:szCs w:val="28"/>
      <w:lang w:bidi="ar-SA"/>
    </w:rPr>
  </w:style>
  <w:style w:type="character" w:customStyle="1" w:styleId="00JudulartikelChar">
    <w:name w:val="0.0_Judul artikel Char"/>
    <w:basedOn w:val="DefaultParagraphFont"/>
    <w:link w:val="00Judulartikel"/>
    <w:rsid w:val="00236EFE"/>
    <w:rPr>
      <w:rFonts w:ascii="Myriad Pro" w:eastAsiaTheme="majorEastAsia" w:hAnsi="Myriad Pro" w:cstheme="majorBidi"/>
      <w:b/>
      <w:bCs/>
      <w:color w:val="000000" w:themeColor="text1"/>
      <w:spacing w:val="5"/>
      <w:kern w:val="28"/>
      <w:sz w:val="32"/>
      <w:szCs w:val="28"/>
      <w:lang w:val="en-US"/>
    </w:rPr>
  </w:style>
  <w:style w:type="character" w:customStyle="1" w:styleId="Heading1Char">
    <w:name w:val="Heading 1 Char"/>
    <w:basedOn w:val="DefaultParagraphFont"/>
    <w:link w:val="Heading1"/>
    <w:uiPriority w:val="9"/>
    <w:rsid w:val="00236EFE"/>
    <w:rPr>
      <w:rFonts w:asciiTheme="majorHAnsi" w:eastAsiaTheme="majorEastAsia" w:hAnsiTheme="majorHAnsi" w:cstheme="majorBidi"/>
      <w:color w:val="2E74B5" w:themeColor="accent1" w:themeShade="BF"/>
      <w:sz w:val="32"/>
      <w:szCs w:val="32"/>
      <w:lang w:val="en-US" w:bidi="en-US"/>
    </w:rPr>
  </w:style>
  <w:style w:type="paragraph" w:customStyle="1" w:styleId="03Instansi">
    <w:name w:val="0.3_Instansi"/>
    <w:basedOn w:val="Normal"/>
    <w:link w:val="03InstansiChar"/>
    <w:qFormat/>
    <w:rsid w:val="00236EFE"/>
    <w:pPr>
      <w:widowControl/>
      <w:autoSpaceDE/>
      <w:autoSpaceDN/>
      <w:spacing w:line="276" w:lineRule="auto"/>
    </w:pPr>
    <w:rPr>
      <w:rFonts w:ascii="Myriad Pro" w:eastAsia="Batang" w:hAnsi="Myriad Pro" w:cs="Arial"/>
      <w:color w:val="000000" w:themeColor="text1"/>
      <w:sz w:val="16"/>
      <w:szCs w:val="18"/>
      <w:lang w:val="id-ID" w:bidi="ar-SA"/>
    </w:rPr>
  </w:style>
  <w:style w:type="paragraph" w:customStyle="1" w:styleId="04Korespondensi">
    <w:name w:val="0.4_Korespondensi"/>
    <w:basedOn w:val="Normal"/>
    <w:link w:val="04KorespondensiChar"/>
    <w:qFormat/>
    <w:rsid w:val="00236EFE"/>
    <w:pPr>
      <w:widowControl/>
      <w:autoSpaceDE/>
      <w:autoSpaceDN/>
      <w:spacing w:after="120" w:line="276" w:lineRule="auto"/>
    </w:pPr>
    <w:rPr>
      <w:rFonts w:ascii="Myriad Pro" w:eastAsia="Batang" w:hAnsi="Myriad Pro" w:cs="Arial"/>
      <w:sz w:val="16"/>
      <w:szCs w:val="18"/>
      <w:lang w:val="id-ID" w:bidi="ar-SA"/>
    </w:rPr>
  </w:style>
  <w:style w:type="character" w:customStyle="1" w:styleId="03InstansiChar">
    <w:name w:val="0.3_Instansi Char"/>
    <w:basedOn w:val="DefaultParagraphFont"/>
    <w:link w:val="03Instansi"/>
    <w:rsid w:val="00236EFE"/>
    <w:rPr>
      <w:rFonts w:ascii="Myriad Pro" w:eastAsia="Batang" w:hAnsi="Myriad Pro" w:cs="Arial"/>
      <w:color w:val="000000" w:themeColor="text1"/>
      <w:sz w:val="16"/>
      <w:szCs w:val="18"/>
    </w:rPr>
  </w:style>
  <w:style w:type="character" w:customStyle="1" w:styleId="04KorespondensiChar">
    <w:name w:val="0.4_Korespondensi Char"/>
    <w:basedOn w:val="DefaultParagraphFont"/>
    <w:link w:val="04Korespondensi"/>
    <w:rsid w:val="00236EFE"/>
    <w:rPr>
      <w:rFonts w:ascii="Myriad Pro" w:eastAsia="Batang" w:hAnsi="Myriad Pro" w:cs="Arial"/>
      <w:sz w:val="16"/>
      <w:szCs w:val="18"/>
    </w:rPr>
  </w:style>
  <w:style w:type="table" w:styleId="TableGrid">
    <w:name w:val="Table Grid"/>
    <w:basedOn w:val="TableNormal"/>
    <w:uiPriority w:val="59"/>
    <w:rsid w:val="00236E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Abstractenglish">
    <w:name w:val="0.6_Abstract english"/>
    <w:basedOn w:val="Normal"/>
    <w:link w:val="06AbstractenglishChar"/>
    <w:qFormat/>
    <w:rsid w:val="00236EFE"/>
    <w:pPr>
      <w:widowControl/>
      <w:autoSpaceDE/>
      <w:autoSpaceDN/>
      <w:spacing w:before="60" w:after="60" w:line="276" w:lineRule="auto"/>
      <w:jc w:val="both"/>
    </w:pPr>
    <w:rPr>
      <w:rFonts w:ascii="Myriad Pro" w:eastAsia="Batang" w:hAnsi="Myriad Pro" w:cs="Arial"/>
      <w:bCs/>
      <w:i/>
      <w:color w:val="000000" w:themeColor="text1"/>
      <w:sz w:val="20"/>
      <w:szCs w:val="18"/>
      <w:lang w:bidi="ar-SA"/>
    </w:rPr>
  </w:style>
  <w:style w:type="paragraph" w:customStyle="1" w:styleId="07Abstrakbahasa">
    <w:name w:val="0.7_Abstrak bahasa"/>
    <w:basedOn w:val="Normal"/>
    <w:link w:val="07AbstrakbahasaChar"/>
    <w:qFormat/>
    <w:rsid w:val="00236EFE"/>
    <w:pPr>
      <w:widowControl/>
      <w:autoSpaceDE/>
      <w:autoSpaceDN/>
      <w:spacing w:before="60" w:after="60" w:line="276" w:lineRule="auto"/>
      <w:jc w:val="both"/>
    </w:pPr>
    <w:rPr>
      <w:rFonts w:ascii="Myriad Pro" w:eastAsia="Batang" w:hAnsi="Myriad Pro" w:cs="Arial"/>
      <w:sz w:val="20"/>
      <w:szCs w:val="18"/>
      <w:lang w:bidi="ar-SA"/>
    </w:rPr>
  </w:style>
  <w:style w:type="character" w:customStyle="1" w:styleId="06AbstractenglishChar">
    <w:name w:val="0.6_Abstract english Char"/>
    <w:basedOn w:val="DefaultParagraphFont"/>
    <w:link w:val="06Abstractenglish"/>
    <w:rsid w:val="00236EFE"/>
    <w:rPr>
      <w:rFonts w:ascii="Myriad Pro" w:eastAsia="Batang" w:hAnsi="Myriad Pro" w:cs="Arial"/>
      <w:bCs/>
      <w:i/>
      <w:color w:val="000000" w:themeColor="text1"/>
      <w:sz w:val="20"/>
      <w:szCs w:val="18"/>
      <w:lang w:val="en-US"/>
    </w:rPr>
  </w:style>
  <w:style w:type="character" w:customStyle="1" w:styleId="07AbstrakbahasaChar">
    <w:name w:val="0.7_Abstrak bahasa Char"/>
    <w:basedOn w:val="DefaultParagraphFont"/>
    <w:link w:val="07Abstrakbahasa"/>
    <w:rsid w:val="00236EFE"/>
    <w:rPr>
      <w:rFonts w:ascii="Myriad Pro" w:eastAsia="Batang" w:hAnsi="Myriad Pro" w:cs="Arial"/>
      <w:sz w:val="20"/>
      <w:szCs w:val="18"/>
      <w:lang w:val="en-US"/>
    </w:rPr>
  </w:style>
  <w:style w:type="paragraph" w:customStyle="1" w:styleId="10Judulbab">
    <w:name w:val="1.0_Judul bab"/>
    <w:basedOn w:val="Normal"/>
    <w:link w:val="10JudulbabChar"/>
    <w:qFormat/>
    <w:rsid w:val="00367306"/>
    <w:pPr>
      <w:widowControl/>
      <w:autoSpaceDE/>
      <w:autoSpaceDN/>
      <w:spacing w:before="120" w:after="120" w:line="276" w:lineRule="auto"/>
      <w:outlineLvl w:val="0"/>
    </w:pPr>
    <w:rPr>
      <w:rFonts w:ascii="Myriad Pro" w:eastAsia="Batang" w:hAnsi="Myriad Pro" w:cs="Arial"/>
      <w:b/>
      <w:bCs/>
      <w:color w:val="000000" w:themeColor="text1"/>
      <w:sz w:val="26"/>
      <w:szCs w:val="18"/>
      <w:lang w:val="id-ID" w:bidi="ar-SA"/>
    </w:rPr>
  </w:style>
  <w:style w:type="paragraph" w:customStyle="1" w:styleId="12Teks">
    <w:name w:val="1.2_Teks"/>
    <w:basedOn w:val="Normal"/>
    <w:link w:val="12TeksChar"/>
    <w:qFormat/>
    <w:rsid w:val="00367306"/>
    <w:pPr>
      <w:widowControl/>
      <w:tabs>
        <w:tab w:val="left" w:pos="284"/>
      </w:tabs>
      <w:autoSpaceDE/>
      <w:autoSpaceDN/>
      <w:spacing w:after="120" w:line="276" w:lineRule="auto"/>
      <w:ind w:firstLine="284"/>
      <w:contextualSpacing/>
      <w:jc w:val="both"/>
    </w:pPr>
    <w:rPr>
      <w:rFonts w:ascii="Myriad Pro" w:eastAsia="Batang" w:hAnsi="Myriad Pro" w:cs="Arial"/>
      <w:color w:val="000000" w:themeColor="text1"/>
      <w:szCs w:val="18"/>
      <w:lang w:val="id-ID" w:bidi="ar-SA"/>
    </w:rPr>
  </w:style>
  <w:style w:type="character" w:customStyle="1" w:styleId="10JudulbabChar">
    <w:name w:val="1.0_Judul bab Char"/>
    <w:basedOn w:val="DefaultParagraphFont"/>
    <w:link w:val="10Judulbab"/>
    <w:rsid w:val="00367306"/>
    <w:rPr>
      <w:rFonts w:ascii="Myriad Pro" w:eastAsia="Batang" w:hAnsi="Myriad Pro" w:cs="Arial"/>
      <w:b/>
      <w:bCs/>
      <w:color w:val="000000" w:themeColor="text1"/>
      <w:sz w:val="26"/>
      <w:szCs w:val="18"/>
    </w:rPr>
  </w:style>
  <w:style w:type="character" w:customStyle="1" w:styleId="12TeksChar">
    <w:name w:val="1.2_Teks Char"/>
    <w:basedOn w:val="DefaultParagraphFont"/>
    <w:link w:val="12Teks"/>
    <w:rsid w:val="00367306"/>
    <w:rPr>
      <w:rFonts w:ascii="Myriad Pro" w:eastAsia="Batang" w:hAnsi="Myriad Pro" w:cs="Arial"/>
      <w:color w:val="000000" w:themeColor="text1"/>
      <w:szCs w:val="18"/>
    </w:rPr>
  </w:style>
  <w:style w:type="paragraph" w:customStyle="1" w:styleId="11Judulsub-bab">
    <w:name w:val="1.1_Judul sub-bab"/>
    <w:basedOn w:val="Normal"/>
    <w:link w:val="11Judulsub-babChar"/>
    <w:qFormat/>
    <w:rsid w:val="00367306"/>
    <w:pPr>
      <w:widowControl/>
      <w:autoSpaceDE/>
      <w:autoSpaceDN/>
      <w:spacing w:before="120" w:after="120" w:line="276" w:lineRule="auto"/>
      <w:outlineLvl w:val="1"/>
    </w:pPr>
    <w:rPr>
      <w:rFonts w:ascii="Myriad Pro" w:eastAsia="Batang" w:hAnsi="Myriad Pro" w:cs="Arial"/>
      <w:b/>
      <w:bCs/>
      <w:i/>
      <w:szCs w:val="18"/>
      <w:lang w:val="id-ID" w:bidi="ar-SA"/>
    </w:rPr>
  </w:style>
  <w:style w:type="character" w:customStyle="1" w:styleId="11Judulsub-babChar">
    <w:name w:val="1.1_Judul sub-bab Char"/>
    <w:basedOn w:val="DefaultParagraphFont"/>
    <w:link w:val="11Judulsub-bab"/>
    <w:rsid w:val="00367306"/>
    <w:rPr>
      <w:rFonts w:ascii="Myriad Pro" w:eastAsia="Batang" w:hAnsi="Myriad Pro" w:cs="Arial"/>
      <w:b/>
      <w:bCs/>
      <w:i/>
      <w:szCs w:val="18"/>
    </w:rPr>
  </w:style>
  <w:style w:type="paragraph" w:styleId="Header">
    <w:name w:val="header"/>
    <w:basedOn w:val="Normal"/>
    <w:link w:val="HeaderChar"/>
    <w:uiPriority w:val="99"/>
    <w:rsid w:val="00180792"/>
    <w:pPr>
      <w:widowControl/>
      <w:tabs>
        <w:tab w:val="center" w:pos="4680"/>
        <w:tab w:val="right" w:pos="9360"/>
      </w:tabs>
      <w:autoSpaceDE/>
      <w:autoSpaceDN/>
      <w:ind w:firstLine="284"/>
      <w:jc w:val="both"/>
    </w:pPr>
    <w:rPr>
      <w:sz w:val="20"/>
      <w:szCs w:val="20"/>
      <w:lang w:val="id-ID" w:bidi="ar-SA"/>
    </w:rPr>
  </w:style>
  <w:style w:type="character" w:customStyle="1" w:styleId="HeaderChar">
    <w:name w:val="Header Char"/>
    <w:basedOn w:val="DefaultParagraphFont"/>
    <w:link w:val="Header"/>
    <w:uiPriority w:val="99"/>
    <w:rsid w:val="00180792"/>
    <w:rPr>
      <w:rFonts w:ascii="Times New Roman" w:eastAsia="Times New Roman" w:hAnsi="Times New Roman" w:cs="Times New Roman"/>
      <w:sz w:val="20"/>
      <w:szCs w:val="20"/>
    </w:rPr>
  </w:style>
  <w:style w:type="paragraph" w:customStyle="1" w:styleId="21Judulgambar">
    <w:name w:val="2.1_Judul gambar"/>
    <w:basedOn w:val="Normal"/>
    <w:link w:val="21JudulgambarChar"/>
    <w:qFormat/>
    <w:rsid w:val="00316119"/>
    <w:pPr>
      <w:widowControl/>
      <w:autoSpaceDE/>
      <w:autoSpaceDN/>
      <w:spacing w:before="60" w:after="120"/>
      <w:jc w:val="both"/>
    </w:pPr>
    <w:rPr>
      <w:rFonts w:ascii="Myriad Pro" w:eastAsia="Batang" w:hAnsi="Myriad Pro" w:cs="Arial"/>
      <w:sz w:val="20"/>
      <w:szCs w:val="18"/>
      <w:lang w:val="id-ID" w:bidi="ar-SA"/>
    </w:rPr>
  </w:style>
  <w:style w:type="character" w:customStyle="1" w:styleId="21JudulgambarChar">
    <w:name w:val="2.1_Judul gambar Char"/>
    <w:basedOn w:val="DefaultParagraphFont"/>
    <w:link w:val="21Judulgambar"/>
    <w:rsid w:val="00316119"/>
    <w:rPr>
      <w:rFonts w:ascii="Myriad Pro" w:eastAsia="Batang" w:hAnsi="Myriad Pro" w:cs="Arial"/>
      <w:sz w:val="20"/>
      <w:szCs w:val="18"/>
    </w:rPr>
  </w:style>
  <w:style w:type="paragraph" w:customStyle="1" w:styleId="23Judultabel">
    <w:name w:val="2.3_Judul tabel"/>
    <w:basedOn w:val="Normal"/>
    <w:link w:val="23JudultabelChar"/>
    <w:qFormat/>
    <w:rsid w:val="00D7453F"/>
    <w:pPr>
      <w:widowControl/>
      <w:autoSpaceDE/>
      <w:autoSpaceDN/>
      <w:spacing w:before="120" w:after="60"/>
      <w:jc w:val="both"/>
    </w:pPr>
    <w:rPr>
      <w:rFonts w:ascii="Myriad Pro" w:eastAsia="Batang" w:hAnsi="Myriad Pro" w:cs="Arial"/>
      <w:sz w:val="20"/>
      <w:szCs w:val="18"/>
      <w:lang w:val="id-ID" w:bidi="ar-SA"/>
    </w:rPr>
  </w:style>
  <w:style w:type="paragraph" w:customStyle="1" w:styleId="22Tekstabel">
    <w:name w:val="2.2_Teks tabel"/>
    <w:basedOn w:val="Normal"/>
    <w:link w:val="22TekstabelChar"/>
    <w:qFormat/>
    <w:rsid w:val="00D7453F"/>
    <w:pPr>
      <w:widowControl/>
      <w:autoSpaceDE/>
      <w:autoSpaceDN/>
    </w:pPr>
    <w:rPr>
      <w:rFonts w:ascii="Myriad Pro" w:eastAsia="Batang" w:hAnsi="Myriad Pro" w:cs="Arial"/>
      <w:sz w:val="20"/>
      <w:szCs w:val="18"/>
      <w:lang w:val="id-ID" w:bidi="ar-SA"/>
    </w:rPr>
  </w:style>
  <w:style w:type="character" w:customStyle="1" w:styleId="23JudultabelChar">
    <w:name w:val="2.3_Judul tabel Char"/>
    <w:basedOn w:val="DefaultParagraphFont"/>
    <w:link w:val="23Judultabel"/>
    <w:rsid w:val="00D7453F"/>
    <w:rPr>
      <w:rFonts w:ascii="Myriad Pro" w:eastAsia="Batang" w:hAnsi="Myriad Pro" w:cs="Arial"/>
      <w:sz w:val="20"/>
      <w:szCs w:val="18"/>
    </w:rPr>
  </w:style>
  <w:style w:type="paragraph" w:customStyle="1" w:styleId="24Keterangantabelgambar">
    <w:name w:val="2.4_Keterangan tabel/gambar"/>
    <w:basedOn w:val="Normal"/>
    <w:link w:val="24KeterangantabelgambarChar"/>
    <w:qFormat/>
    <w:rsid w:val="00D7453F"/>
    <w:pPr>
      <w:widowControl/>
      <w:autoSpaceDE/>
      <w:autoSpaceDN/>
      <w:spacing w:before="120" w:after="120"/>
      <w:jc w:val="both"/>
    </w:pPr>
    <w:rPr>
      <w:rFonts w:ascii="Myriad Pro" w:eastAsia="Batang" w:hAnsi="Myriad Pro" w:cs="Arial"/>
      <w:sz w:val="20"/>
      <w:szCs w:val="18"/>
      <w:lang w:val="id-ID" w:bidi="ar-SA"/>
    </w:rPr>
  </w:style>
  <w:style w:type="character" w:customStyle="1" w:styleId="22TekstabelChar">
    <w:name w:val="2.2_Teks tabel Char"/>
    <w:basedOn w:val="DefaultParagraphFont"/>
    <w:link w:val="22Tekstabel"/>
    <w:rsid w:val="00D7453F"/>
    <w:rPr>
      <w:rFonts w:ascii="Myriad Pro" w:eastAsia="Batang" w:hAnsi="Myriad Pro" w:cs="Arial"/>
      <w:sz w:val="20"/>
      <w:szCs w:val="18"/>
    </w:rPr>
  </w:style>
  <w:style w:type="character" w:customStyle="1" w:styleId="24KeterangantabelgambarChar">
    <w:name w:val="2.4_Keterangan tabel/gambar Char"/>
    <w:basedOn w:val="DefaultParagraphFont"/>
    <w:link w:val="24Keterangantabelgambar"/>
    <w:rsid w:val="00D7453F"/>
    <w:rPr>
      <w:rFonts w:ascii="Myriad Pro" w:eastAsia="Batang" w:hAnsi="Myriad Pro" w:cs="Arial"/>
      <w:sz w:val="20"/>
      <w:szCs w:val="18"/>
    </w:rPr>
  </w:style>
  <w:style w:type="paragraph" w:customStyle="1" w:styleId="30Daftarpustaka">
    <w:name w:val="3.0_Daftar pustaka"/>
    <w:basedOn w:val="Normal"/>
    <w:link w:val="30DaftarpustakaChar"/>
    <w:qFormat/>
    <w:rsid w:val="007843D9"/>
    <w:pPr>
      <w:widowControl/>
      <w:autoSpaceDE/>
      <w:autoSpaceDN/>
      <w:spacing w:line="276" w:lineRule="auto"/>
      <w:ind w:left="284" w:hanging="284"/>
      <w:jc w:val="both"/>
    </w:pPr>
    <w:rPr>
      <w:rFonts w:ascii="Myriad Pro" w:eastAsia="Batang" w:hAnsi="Myriad Pro" w:cs="Arial"/>
      <w:szCs w:val="18"/>
      <w:lang w:val="id-ID" w:bidi="ar-SA"/>
    </w:rPr>
  </w:style>
  <w:style w:type="character" w:customStyle="1" w:styleId="30DaftarpustakaChar">
    <w:name w:val="3.0_Daftar pustaka Char"/>
    <w:basedOn w:val="DefaultParagraphFont"/>
    <w:link w:val="30Daftarpustaka"/>
    <w:rsid w:val="007843D9"/>
    <w:rPr>
      <w:rFonts w:ascii="Myriad Pro" w:eastAsia="Batang" w:hAnsi="Myriad Pro" w:cs="Arial"/>
      <w:szCs w:val="18"/>
    </w:rPr>
  </w:style>
  <w:style w:type="character" w:styleId="Hyperlink">
    <w:name w:val="Hyperlink"/>
    <w:basedOn w:val="DefaultParagraphFont"/>
    <w:uiPriority w:val="99"/>
    <w:unhideWhenUsed/>
    <w:rsid w:val="00A32C4C"/>
    <w:rPr>
      <w:color w:val="0563C1" w:themeColor="hyperlink"/>
      <w:u w:val="single"/>
    </w:rPr>
  </w:style>
  <w:style w:type="paragraph" w:styleId="Footer">
    <w:name w:val="footer"/>
    <w:basedOn w:val="Normal"/>
    <w:link w:val="FooterChar"/>
    <w:uiPriority w:val="99"/>
    <w:unhideWhenUsed/>
    <w:rsid w:val="00BE4157"/>
    <w:pPr>
      <w:tabs>
        <w:tab w:val="center" w:pos="4513"/>
        <w:tab w:val="right" w:pos="9026"/>
      </w:tabs>
    </w:pPr>
  </w:style>
  <w:style w:type="character" w:customStyle="1" w:styleId="FooterChar">
    <w:name w:val="Footer Char"/>
    <w:basedOn w:val="DefaultParagraphFont"/>
    <w:link w:val="Footer"/>
    <w:uiPriority w:val="99"/>
    <w:rsid w:val="00BE4157"/>
    <w:rPr>
      <w:rFonts w:ascii="Times New Roman" w:eastAsia="Times New Roman" w:hAnsi="Times New Roman" w:cs="Times New Roman"/>
      <w:lang w:val="en-US" w:bidi="en-US"/>
    </w:rPr>
  </w:style>
  <w:style w:type="paragraph" w:customStyle="1" w:styleId="40HeaderJTIHP">
    <w:name w:val="4.0_Header JTIHP"/>
    <w:basedOn w:val="Header"/>
    <w:link w:val="40HeaderJTIHPChar"/>
    <w:qFormat/>
    <w:rsid w:val="00BE4157"/>
    <w:pPr>
      <w:ind w:firstLine="0"/>
    </w:pPr>
    <w:rPr>
      <w:rFonts w:ascii="Myriad Pro" w:eastAsia="Batang" w:hAnsi="Myriad Pro" w:cs="Arial"/>
      <w:b/>
      <w:caps/>
      <w:color w:val="808080" w:themeColor="background1" w:themeShade="80"/>
      <w:sz w:val="16"/>
      <w:szCs w:val="18"/>
      <w:lang w:val="en-US"/>
    </w:rPr>
  </w:style>
  <w:style w:type="paragraph" w:customStyle="1" w:styleId="41HeaderlinkJTIHP">
    <w:name w:val="4.1_Header link JTIHP"/>
    <w:basedOn w:val="40HeaderJTIHP"/>
    <w:link w:val="41HeaderlinkJTIHPChar"/>
    <w:qFormat/>
    <w:rsid w:val="00BE4157"/>
    <w:pPr>
      <w:spacing w:line="480" w:lineRule="auto"/>
    </w:pPr>
    <w:rPr>
      <w:b w:val="0"/>
      <w:caps w:val="0"/>
    </w:rPr>
  </w:style>
  <w:style w:type="character" w:customStyle="1" w:styleId="40HeaderJTIHPChar">
    <w:name w:val="4.0_Header JTIHP Char"/>
    <w:basedOn w:val="HeaderChar"/>
    <w:link w:val="40HeaderJTIHP"/>
    <w:rsid w:val="00BE4157"/>
    <w:rPr>
      <w:rFonts w:ascii="Myriad Pro" w:eastAsia="Batang" w:hAnsi="Myriad Pro" w:cs="Arial"/>
      <w:b/>
      <w:caps/>
      <w:color w:val="808080" w:themeColor="background1" w:themeShade="80"/>
      <w:sz w:val="16"/>
      <w:szCs w:val="18"/>
      <w:lang w:val="en-US"/>
    </w:rPr>
  </w:style>
  <w:style w:type="character" w:customStyle="1" w:styleId="41HeaderlinkJTIHPChar">
    <w:name w:val="4.1_Header link JTIHP Char"/>
    <w:basedOn w:val="40HeaderJTIHPChar"/>
    <w:link w:val="41HeaderlinkJTIHP"/>
    <w:rsid w:val="00BE4157"/>
    <w:rPr>
      <w:rFonts w:ascii="Myriad Pro" w:eastAsia="Batang" w:hAnsi="Myriad Pro" w:cs="Arial"/>
      <w:b w:val="0"/>
      <w:caps w:val="0"/>
      <w:color w:val="808080" w:themeColor="background1" w:themeShade="80"/>
      <w:sz w:val="16"/>
      <w:szCs w:val="18"/>
      <w:lang w:val="en-US"/>
    </w:rPr>
  </w:style>
  <w:style w:type="paragraph" w:styleId="BalloonText">
    <w:name w:val="Balloon Text"/>
    <w:basedOn w:val="Normal"/>
    <w:link w:val="BalloonTextChar"/>
    <w:uiPriority w:val="99"/>
    <w:semiHidden/>
    <w:unhideWhenUsed/>
    <w:rsid w:val="003F2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D97"/>
    <w:rPr>
      <w:rFonts w:ascii="Segoe UI" w:eastAsia="Times New Roman" w:hAnsi="Segoe UI" w:cs="Segoe UI"/>
      <w:sz w:val="18"/>
      <w:szCs w:val="18"/>
      <w:lang w:val="en-US" w:bidi="en-US"/>
    </w:rPr>
  </w:style>
  <w:style w:type="character" w:styleId="PlaceholderText">
    <w:name w:val="Placeholder Text"/>
    <w:basedOn w:val="DefaultParagraphFont"/>
    <w:uiPriority w:val="99"/>
    <w:semiHidden/>
    <w:rsid w:val="00220CFE"/>
    <w:rPr>
      <w:color w:val="808080"/>
    </w:rPr>
  </w:style>
  <w:style w:type="paragraph" w:styleId="ListParagraph">
    <w:name w:val="List Paragraph"/>
    <w:aliases w:val="Body of text,Heading 31,Heading 32,skripsi,List Paragraph1,spasi 2 taiiii,1.2 Dst...,Heading 1 Char1,Body Text Char1,Char Char2,Paragraf ISI,heading 3,Heading 33,Sub Sub Bab,Body of text+1,Body of text+2,Body of text+3,List Paragraph11"/>
    <w:basedOn w:val="Normal"/>
    <w:link w:val="ListParagraphChar"/>
    <w:uiPriority w:val="34"/>
    <w:qFormat/>
    <w:rsid w:val="00D47585"/>
    <w:pPr>
      <w:widowControl/>
      <w:autoSpaceDE/>
      <w:autoSpaceDN/>
      <w:spacing w:after="200" w:line="276" w:lineRule="auto"/>
      <w:ind w:left="720"/>
      <w:contextualSpacing/>
    </w:pPr>
    <w:rPr>
      <w:rFonts w:asciiTheme="minorHAnsi" w:eastAsiaTheme="minorHAnsi" w:hAnsiTheme="minorHAnsi" w:cstheme="minorBidi"/>
      <w:lang w:bidi="ar-SA"/>
    </w:rPr>
  </w:style>
  <w:style w:type="character" w:customStyle="1" w:styleId="ListParagraphChar">
    <w:name w:val="List Paragraph Char"/>
    <w:aliases w:val="Body of text Char,Heading 31 Char,Heading 32 Char,skripsi Char,List Paragraph1 Char,spasi 2 taiiii Char,1.2 Dst... Char,Heading 1 Char1 Char,Body Text Char1 Char,Char Char2 Char,Paragraf ISI Char,heading 3 Char,Heading 33 Char"/>
    <w:link w:val="ListParagraph"/>
    <w:uiPriority w:val="34"/>
    <w:qFormat/>
    <w:locked/>
    <w:rsid w:val="00D47585"/>
    <w:rPr>
      <w:lang w:val="en-US"/>
    </w:rPr>
  </w:style>
  <w:style w:type="character" w:styleId="Emphasis">
    <w:name w:val="Emphasis"/>
    <w:uiPriority w:val="20"/>
    <w:qFormat/>
    <w:rsid w:val="00D47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8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ABC3C-78DD-4505-A06B-9C1DF4D3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4071</Words>
  <Characters>23210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Mardiyana</dc:creator>
  <cp:keywords/>
  <dc:description/>
  <cp:lastModifiedBy>sovy</cp:lastModifiedBy>
  <cp:revision>22</cp:revision>
  <cp:lastPrinted>2020-11-24T03:20:00Z</cp:lastPrinted>
  <dcterms:created xsi:type="dcterms:W3CDTF">2023-08-05T00:14:00Z</dcterms:created>
  <dcterms:modified xsi:type="dcterms:W3CDTF">2023-08-05T05:09:00Z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fc5b3534-e82c-35e7-9682-b448c3fa70b3</vt:lpwstr>
  </property>
</Properties>
</file>