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2F4" w:rsidRPr="00747556" w:rsidRDefault="0025282B" w:rsidP="00747556">
      <w:pPr>
        <w:pStyle w:val="StyleTitle"/>
        <w:rPr>
          <w:rFonts w:asciiTheme="majorBidi" w:hAnsiTheme="majorBidi" w:cstheme="majorBidi"/>
          <w:szCs w:val="24"/>
          <w:lang w:val="id-ID"/>
        </w:rPr>
      </w:pPr>
      <w:r>
        <w:rPr>
          <w:rFonts w:asciiTheme="majorBidi" w:hAnsiTheme="majorBidi" w:cstheme="majorBidi"/>
          <w:szCs w:val="24"/>
          <w:lang w:val="id-ID"/>
        </w:rPr>
        <w:t xml:space="preserve">Evaluasi </w:t>
      </w:r>
      <w:r w:rsidR="00040B24">
        <w:rPr>
          <w:rFonts w:asciiTheme="majorBidi" w:hAnsiTheme="majorBidi" w:cstheme="majorBidi"/>
          <w:szCs w:val="24"/>
          <w:lang w:val="id-ID"/>
        </w:rPr>
        <w:t xml:space="preserve">Kandungan </w:t>
      </w:r>
      <w:r>
        <w:rPr>
          <w:rFonts w:asciiTheme="majorBidi" w:hAnsiTheme="majorBidi" w:cstheme="majorBidi"/>
          <w:szCs w:val="24"/>
          <w:lang w:val="id-ID"/>
        </w:rPr>
        <w:t>Natrium Benzoat</w:t>
      </w:r>
      <w:r w:rsidR="003623F4">
        <w:rPr>
          <w:rFonts w:asciiTheme="majorBidi" w:hAnsiTheme="majorBidi" w:cstheme="majorBidi"/>
          <w:szCs w:val="24"/>
          <w:lang w:val="id-ID"/>
        </w:rPr>
        <w:t xml:space="preserve"> dan Kontaminasi Mikroba</w:t>
      </w:r>
      <w:r w:rsidR="00040B24">
        <w:rPr>
          <w:rFonts w:asciiTheme="majorBidi" w:hAnsiTheme="majorBidi" w:cstheme="majorBidi"/>
          <w:szCs w:val="24"/>
          <w:lang w:val="id-ID"/>
        </w:rPr>
        <w:t xml:space="preserve"> pada Saus </w:t>
      </w:r>
      <w:r>
        <w:rPr>
          <w:rFonts w:asciiTheme="majorBidi" w:hAnsiTheme="majorBidi" w:cstheme="majorBidi"/>
          <w:szCs w:val="24"/>
          <w:lang w:val="id-ID"/>
        </w:rPr>
        <w:t>di Warung Mi Ayam</w:t>
      </w:r>
      <w:r w:rsidR="00EB2A81">
        <w:rPr>
          <w:rFonts w:asciiTheme="majorBidi" w:hAnsiTheme="majorBidi" w:cstheme="majorBidi"/>
          <w:szCs w:val="24"/>
          <w:lang w:val="id-ID"/>
        </w:rPr>
        <w:t xml:space="preserve"> di Kelurahan</w:t>
      </w:r>
      <w:r w:rsidR="002711BB">
        <w:rPr>
          <w:rFonts w:asciiTheme="majorBidi" w:hAnsiTheme="majorBidi" w:cstheme="majorBidi"/>
          <w:szCs w:val="24"/>
          <w:lang w:val="id-ID"/>
        </w:rPr>
        <w:t xml:space="preserve"> </w:t>
      </w:r>
      <w:r w:rsidR="00EB2A81">
        <w:rPr>
          <w:rFonts w:asciiTheme="majorBidi" w:hAnsiTheme="majorBidi" w:cstheme="majorBidi"/>
          <w:szCs w:val="24"/>
          <w:lang w:val="id-ID"/>
        </w:rPr>
        <w:t>Caturtunggal</w:t>
      </w:r>
      <w:r w:rsidR="002711BB">
        <w:rPr>
          <w:rFonts w:asciiTheme="majorBidi" w:hAnsiTheme="majorBidi" w:cstheme="majorBidi"/>
          <w:szCs w:val="24"/>
          <w:lang w:val="id-ID"/>
        </w:rPr>
        <w:t>,</w:t>
      </w:r>
      <w:r w:rsidR="00EB2A81">
        <w:rPr>
          <w:rFonts w:asciiTheme="majorBidi" w:hAnsiTheme="majorBidi" w:cstheme="majorBidi"/>
          <w:szCs w:val="24"/>
          <w:lang w:val="id-ID"/>
        </w:rPr>
        <w:t xml:space="preserve"> Sleman,</w:t>
      </w:r>
      <w:r w:rsidR="002711BB">
        <w:rPr>
          <w:rFonts w:asciiTheme="majorBidi" w:hAnsiTheme="majorBidi" w:cstheme="majorBidi"/>
          <w:szCs w:val="24"/>
          <w:lang w:val="id-ID"/>
        </w:rPr>
        <w:t xml:space="preserve"> </w:t>
      </w:r>
      <w:r w:rsidR="001C5343">
        <w:rPr>
          <w:rFonts w:asciiTheme="majorBidi" w:hAnsiTheme="majorBidi" w:cstheme="majorBidi"/>
          <w:szCs w:val="24"/>
          <w:lang w:val="id-ID"/>
        </w:rPr>
        <w:t>Yogyakarta</w:t>
      </w:r>
    </w:p>
    <w:p w:rsidR="00FC02F4" w:rsidRPr="003D40DA" w:rsidRDefault="00FC02F4" w:rsidP="00FC02F4">
      <w:pPr>
        <w:pStyle w:val="StyleTitle"/>
        <w:rPr>
          <w:rFonts w:asciiTheme="majorBidi" w:hAnsiTheme="majorBidi" w:cstheme="majorBidi"/>
          <w:szCs w:val="24"/>
          <w:lang w:val="id-ID"/>
        </w:rPr>
      </w:pPr>
    </w:p>
    <w:p w:rsidR="00FC02F4" w:rsidRPr="004B758A" w:rsidRDefault="00684BB6" w:rsidP="00DC5D39">
      <w:pPr>
        <w:pStyle w:val="StyleTitle"/>
        <w:rPr>
          <w:rFonts w:asciiTheme="majorBidi" w:hAnsiTheme="majorBidi" w:cstheme="majorBidi"/>
          <w:b w:val="0"/>
          <w:sz w:val="20"/>
          <w:szCs w:val="20"/>
          <w:lang w:val="id-ID"/>
        </w:rPr>
      </w:pPr>
      <w:r>
        <w:rPr>
          <w:rFonts w:asciiTheme="majorBidi" w:hAnsiTheme="majorBidi" w:cstheme="majorBidi"/>
          <w:b w:val="0"/>
          <w:szCs w:val="24"/>
          <w:lang w:val="id-ID"/>
        </w:rPr>
        <w:t xml:space="preserve">Evaluation of Sodium Benzoate </w:t>
      </w:r>
      <w:r w:rsidR="006C494A">
        <w:rPr>
          <w:rFonts w:asciiTheme="majorBidi" w:hAnsiTheme="majorBidi" w:cstheme="majorBidi"/>
          <w:b w:val="0"/>
          <w:szCs w:val="24"/>
          <w:lang w:val="id-ID"/>
        </w:rPr>
        <w:t xml:space="preserve">Content </w:t>
      </w:r>
      <w:r>
        <w:rPr>
          <w:rFonts w:asciiTheme="majorBidi" w:hAnsiTheme="majorBidi" w:cstheme="majorBidi"/>
          <w:b w:val="0"/>
          <w:szCs w:val="24"/>
          <w:lang w:val="id-ID"/>
        </w:rPr>
        <w:t xml:space="preserve">and Microbial </w:t>
      </w:r>
      <w:r w:rsidR="0079677C">
        <w:rPr>
          <w:rFonts w:asciiTheme="majorBidi" w:hAnsiTheme="majorBidi" w:cstheme="majorBidi"/>
          <w:b w:val="0"/>
          <w:szCs w:val="24"/>
          <w:lang w:val="id-ID"/>
        </w:rPr>
        <w:t>Contamination in Chili Sauce of</w:t>
      </w:r>
      <w:r w:rsidR="007D4B34">
        <w:rPr>
          <w:rFonts w:asciiTheme="majorBidi" w:hAnsiTheme="majorBidi" w:cstheme="majorBidi"/>
          <w:b w:val="0"/>
          <w:szCs w:val="24"/>
          <w:lang w:val="id-ID"/>
        </w:rPr>
        <w:t xml:space="preserve"> </w:t>
      </w:r>
      <w:r w:rsidR="007D4B34" w:rsidRPr="00040B24">
        <w:rPr>
          <w:rFonts w:asciiTheme="majorBidi" w:hAnsiTheme="majorBidi" w:cstheme="majorBidi"/>
          <w:b w:val="0"/>
          <w:i/>
          <w:szCs w:val="24"/>
          <w:lang w:val="id-ID"/>
        </w:rPr>
        <w:t>Mi Ayam</w:t>
      </w:r>
      <w:r w:rsidR="007D4B34">
        <w:rPr>
          <w:rFonts w:asciiTheme="majorBidi" w:hAnsiTheme="majorBidi" w:cstheme="majorBidi"/>
          <w:b w:val="0"/>
          <w:szCs w:val="24"/>
          <w:lang w:val="id-ID"/>
        </w:rPr>
        <w:t xml:space="preserve"> </w:t>
      </w:r>
      <w:r w:rsidR="0079677C">
        <w:rPr>
          <w:rFonts w:asciiTheme="majorBidi" w:hAnsiTheme="majorBidi" w:cstheme="majorBidi"/>
          <w:b w:val="0"/>
          <w:szCs w:val="24"/>
          <w:lang w:val="id-ID"/>
        </w:rPr>
        <w:t xml:space="preserve">Stalls </w:t>
      </w:r>
      <w:r w:rsidR="007D4B34">
        <w:rPr>
          <w:rFonts w:asciiTheme="majorBidi" w:hAnsiTheme="majorBidi" w:cstheme="majorBidi"/>
          <w:b w:val="0"/>
          <w:szCs w:val="24"/>
          <w:lang w:val="id-ID"/>
        </w:rPr>
        <w:t>in Caturtunggal Village, Sleman, Yogyakarta</w:t>
      </w:r>
    </w:p>
    <w:p w:rsidR="00FC02F4" w:rsidRPr="003D40DA" w:rsidRDefault="00FC02F4" w:rsidP="00FC02F4">
      <w:pPr>
        <w:rPr>
          <w:rFonts w:asciiTheme="majorBidi" w:hAnsiTheme="majorBidi" w:cstheme="majorBidi"/>
          <w:lang w:val="id-ID"/>
        </w:rPr>
      </w:pPr>
    </w:p>
    <w:p w:rsidR="00FC02F4" w:rsidRPr="003D40DA" w:rsidRDefault="002711BB" w:rsidP="00A72F97">
      <w:pPr>
        <w:pStyle w:val="Author"/>
        <w:rPr>
          <w:rFonts w:asciiTheme="majorBidi" w:hAnsiTheme="majorBidi" w:cstheme="majorBidi"/>
          <w:sz w:val="20"/>
          <w:szCs w:val="20"/>
          <w:lang w:val="id-ID"/>
        </w:rPr>
      </w:pPr>
      <w:r>
        <w:rPr>
          <w:rFonts w:asciiTheme="majorBidi" w:hAnsiTheme="majorBidi" w:cstheme="majorBidi"/>
          <w:lang w:val="id-ID"/>
        </w:rPr>
        <w:t>Ria Angelina Manullang</w:t>
      </w:r>
      <w:r w:rsidR="00FC02F4" w:rsidRPr="00747556">
        <w:rPr>
          <w:rFonts w:asciiTheme="majorBidi" w:hAnsiTheme="majorBidi" w:cstheme="majorBidi"/>
          <w:lang w:val="id-ID"/>
        </w:rPr>
        <w:t xml:space="preserve">, </w:t>
      </w:r>
      <w:r>
        <w:rPr>
          <w:rFonts w:asciiTheme="majorBidi" w:hAnsiTheme="majorBidi" w:cstheme="majorBidi"/>
          <w:lang w:val="id-ID"/>
        </w:rPr>
        <w:t>Chatarina Wariyah</w:t>
      </w:r>
    </w:p>
    <w:p w:rsidR="00FC02F4" w:rsidRPr="003D40DA" w:rsidRDefault="00FC02F4" w:rsidP="00FC02F4">
      <w:pPr>
        <w:jc w:val="center"/>
        <w:rPr>
          <w:rFonts w:asciiTheme="majorBidi" w:hAnsiTheme="majorBidi" w:cstheme="majorBidi"/>
          <w:lang w:val="id-ID"/>
        </w:rPr>
      </w:pPr>
    </w:p>
    <w:p w:rsidR="000926BD" w:rsidRPr="000926BD" w:rsidRDefault="000926BD" w:rsidP="000926BD">
      <w:pPr>
        <w:jc w:val="center"/>
      </w:pPr>
      <w:r w:rsidRPr="000926BD">
        <w:t>Fakultas Agroindustri, Universitas Mercu Buana, Jl. Wates Km 10, Yogyakarta 55753</w:t>
      </w:r>
    </w:p>
    <w:p w:rsidR="0058624D" w:rsidRDefault="00FC02F4" w:rsidP="0058624D">
      <w:pPr>
        <w:jc w:val="center"/>
        <w:rPr>
          <w:rFonts w:asciiTheme="majorBidi" w:hAnsiTheme="majorBidi" w:cstheme="majorBidi"/>
          <w:lang w:val="id-ID"/>
        </w:rPr>
      </w:pPr>
      <w:r w:rsidRPr="00747556">
        <w:rPr>
          <w:rFonts w:asciiTheme="majorBidi" w:hAnsiTheme="majorBidi" w:cstheme="majorBidi"/>
          <w:iCs/>
          <w:lang w:val="id-ID"/>
        </w:rPr>
        <w:t>Email</w:t>
      </w:r>
      <w:r w:rsidRPr="00747556">
        <w:rPr>
          <w:rFonts w:asciiTheme="majorBidi" w:hAnsiTheme="majorBidi" w:cstheme="majorBidi"/>
          <w:lang w:val="id-ID"/>
        </w:rPr>
        <w:t xml:space="preserve">: </w:t>
      </w:r>
      <w:hyperlink r:id="rId8" w:history="1">
        <w:r w:rsidR="000926BD" w:rsidRPr="004A153C">
          <w:rPr>
            <w:rStyle w:val="Hyperlink"/>
            <w:rFonts w:asciiTheme="majorBidi" w:hAnsiTheme="majorBidi" w:cstheme="majorBidi"/>
            <w:lang w:val="id-ID"/>
          </w:rPr>
          <w:t>riaangelina2015@gmail.com</w:t>
        </w:r>
      </w:hyperlink>
    </w:p>
    <w:p w:rsidR="000926BD" w:rsidRPr="0058624D" w:rsidRDefault="000926BD" w:rsidP="0058624D">
      <w:pPr>
        <w:jc w:val="center"/>
        <w:rPr>
          <w:rFonts w:asciiTheme="majorBidi" w:hAnsiTheme="majorBidi" w:cstheme="majorBidi"/>
        </w:rPr>
      </w:pPr>
    </w:p>
    <w:p w:rsidR="00A245F0" w:rsidRPr="003D40DA" w:rsidRDefault="00A245F0" w:rsidP="00A245F0">
      <w:pPr>
        <w:jc w:val="center"/>
        <w:rPr>
          <w:rFonts w:asciiTheme="majorBidi" w:hAnsiTheme="majorBidi" w:cstheme="majorBidi"/>
          <w:color w:val="FF0000"/>
          <w:lang w:val="id-ID"/>
        </w:rPr>
      </w:pPr>
    </w:p>
    <w:p w:rsidR="00285D8C" w:rsidRPr="003D40DA" w:rsidRDefault="009D00CC" w:rsidP="009A343B">
      <w:pPr>
        <w:pStyle w:val="AbstractTitle"/>
        <w:rPr>
          <w:rFonts w:asciiTheme="majorBidi" w:hAnsiTheme="majorBidi" w:cstheme="majorBidi"/>
          <w:sz w:val="24"/>
          <w:szCs w:val="24"/>
          <w:lang w:val="id-ID"/>
        </w:rPr>
      </w:pPr>
      <w:r w:rsidRPr="003D40DA">
        <w:rPr>
          <w:rFonts w:asciiTheme="majorBidi" w:hAnsiTheme="majorBidi" w:cstheme="majorBidi"/>
          <w:sz w:val="24"/>
          <w:szCs w:val="24"/>
          <w:lang w:val="id-ID"/>
        </w:rPr>
        <w:t>ABSTRAK</w:t>
      </w:r>
    </w:p>
    <w:p w:rsidR="00040B24" w:rsidRDefault="00971A06" w:rsidP="00040B24">
      <w:pPr>
        <w:jc w:val="both"/>
      </w:pPr>
      <w:r>
        <w:rPr>
          <w:lang w:val="id-ID"/>
        </w:rPr>
        <w:t xml:space="preserve">      </w:t>
      </w:r>
      <w:r w:rsidR="00040B24">
        <w:t xml:space="preserve">      Saat ini k</w:t>
      </w:r>
      <w:r w:rsidR="00040B24">
        <w:rPr>
          <w:color w:val="000000" w:themeColor="text1"/>
        </w:rPr>
        <w:t xml:space="preserve">onsumsi mi ayam di kalangan mahasiswa cukup tinggi. Penambahan saus pada mi ayam dianggap meningkatkan penampilan, rasa dan selera. Saus yang beredar di pasaran teridentifikasi menggunakan natrium benzoat sebagai bahan pengawet. Kondisi serta lingkungan penyimpanan selama pemakaian saus yang tidak sesuai akan memungkinkan terjadinya kontaminasi mikroba. Penelitian ini bertujuan untuk mengetahui </w:t>
      </w:r>
      <w:r w:rsidR="00040B24" w:rsidRPr="003D279B">
        <w:t xml:space="preserve">penggunaan pengawet  natrium benzoat dan kontaminasi mikroba pada </w:t>
      </w:r>
      <w:r w:rsidR="00040B24">
        <w:t>saus, yang digunakan pedagang mi ayam di Kelurahan Caturtunggal.</w:t>
      </w:r>
    </w:p>
    <w:p w:rsidR="00040B24" w:rsidRPr="00AA66E1" w:rsidRDefault="00040B24" w:rsidP="00040B24">
      <w:pPr>
        <w:jc w:val="both"/>
      </w:pPr>
      <w:r>
        <w:t xml:space="preserve">      </w:t>
      </w:r>
      <w:r>
        <w:rPr>
          <w:color w:val="000000" w:themeColor="text1"/>
        </w:rPr>
        <w:t xml:space="preserve">Sampling pada penelitian ini menggunakan metode </w:t>
      </w:r>
      <w:r>
        <w:rPr>
          <w:i/>
          <w:color w:val="000000" w:themeColor="text1"/>
        </w:rPr>
        <w:t xml:space="preserve">Purposive sampling. </w:t>
      </w:r>
      <w:r>
        <w:rPr>
          <w:color w:val="000000" w:themeColor="text1"/>
        </w:rPr>
        <w:t xml:space="preserve">Teknik pengumpulan data </w:t>
      </w:r>
      <w:r>
        <w:t>dilakukan dengan menggunakan metode survei yang meliputi wawancara dan observasi, dan kuesioner kemudian dilanjutkan dengan analisis sampel berupa analisis kadar air, TPC (</w:t>
      </w:r>
      <w:r>
        <w:rPr>
          <w:i/>
        </w:rPr>
        <w:t>Total Plate Count</w:t>
      </w:r>
      <w:r>
        <w:t>), dan kadar natrium benzoat. Data yang diperoleh dianalisis secara deskriptif dan statistik menggunakan SPSS 16.0 pada taraf kepercayaan 95%.</w:t>
      </w:r>
    </w:p>
    <w:p w:rsidR="00040B24" w:rsidRDefault="00040B24" w:rsidP="00040B24">
      <w:pPr>
        <w:jc w:val="both"/>
      </w:pPr>
      <w:r>
        <w:t xml:space="preserve">      Hasil penelitian menunjukkan bahwa sampel saus memiliki kadar natrium benzoat yang berkisar antara 306,92─742,74 mg/kg. Kadar natrium benzoat pada saus tidak melebihi batasan maksimal yang ditentukan yaitu sebesar 1000 mg/kg. Untuk nilai TPC saus baru terdapat empat sampel saus yang memiliki nilai melebihi ambang batas, sementara untuk saus lama seluruh sampel memiliki nilai TPC melebihi ambang batas yang ditentukan yaitu 1x10</w:t>
      </w:r>
      <w:r>
        <w:rPr>
          <w:vertAlign w:val="superscript"/>
        </w:rPr>
        <w:t xml:space="preserve">4 </w:t>
      </w:r>
      <w:r>
        <w:t>CFU/ml. Kualitas bahan baku, penyimpanan serta penyajian memengaruhi mutu saus yang digunakan pedagang mi ayam. Aspek sanitasi yang belum memenuhi standar yaitu kebersihan serta penyimpanan saus setelah selesai berjualan.</w:t>
      </w:r>
    </w:p>
    <w:p w:rsidR="00040B24" w:rsidRDefault="00040B24" w:rsidP="00040B24">
      <w:pPr>
        <w:jc w:val="both"/>
      </w:pPr>
    </w:p>
    <w:p w:rsidR="00040B24" w:rsidRPr="00040B24" w:rsidRDefault="00040B24" w:rsidP="00040B24">
      <w:pPr>
        <w:jc w:val="both"/>
        <w:rPr>
          <w:lang w:val="id-ID"/>
        </w:rPr>
      </w:pPr>
      <w:r>
        <w:t>Kata kunci : kontaminasi mikroba</w:t>
      </w:r>
      <w:r>
        <w:rPr>
          <w:lang w:val="id-ID"/>
        </w:rPr>
        <w:t>, natrium benzoat, saus</w:t>
      </w:r>
    </w:p>
    <w:p w:rsidR="00040B24" w:rsidRPr="004F4636" w:rsidRDefault="00040B24" w:rsidP="00040B24">
      <w:pPr>
        <w:jc w:val="both"/>
      </w:pPr>
    </w:p>
    <w:p w:rsidR="00983E8A" w:rsidRPr="00747556" w:rsidRDefault="00983E8A" w:rsidP="00040B24">
      <w:pPr>
        <w:jc w:val="both"/>
        <w:rPr>
          <w:rFonts w:asciiTheme="majorBidi" w:hAnsiTheme="majorBidi" w:cstheme="majorBidi"/>
        </w:rPr>
      </w:pPr>
    </w:p>
    <w:p w:rsidR="003136A9" w:rsidRPr="004B758A" w:rsidRDefault="00FB3A1B" w:rsidP="009A343B">
      <w:pPr>
        <w:pStyle w:val="AbstractTitle"/>
        <w:rPr>
          <w:rFonts w:asciiTheme="majorBidi" w:hAnsiTheme="majorBidi" w:cstheme="majorBidi"/>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rsidR="00040B24" w:rsidRDefault="00040B24" w:rsidP="00040B24">
      <w:pPr>
        <w:ind w:firstLine="567"/>
        <w:jc w:val="both"/>
        <w:rPr>
          <w:rStyle w:val="tlid-translation"/>
          <w:lang w:val="id-ID"/>
        </w:rPr>
      </w:pPr>
      <w:r w:rsidRPr="009448E0">
        <w:rPr>
          <w:rStyle w:val="tlid-translation"/>
          <w:lang w:val="id-ID"/>
        </w:rPr>
        <w:t>Nowadays,</w:t>
      </w:r>
      <w:r w:rsidRPr="009448E0">
        <w:rPr>
          <w:rStyle w:val="tlid-translation"/>
        </w:rPr>
        <w:t xml:space="preserve"> the consumption of </w:t>
      </w:r>
      <w:r>
        <w:rPr>
          <w:rStyle w:val="tlid-translation"/>
          <w:lang w:val="id-ID"/>
        </w:rPr>
        <w:t xml:space="preserve">mi ayam </w:t>
      </w:r>
      <w:r w:rsidRPr="009448E0">
        <w:rPr>
          <w:rStyle w:val="tlid-translation"/>
        </w:rPr>
        <w:t xml:space="preserve">among students is </w:t>
      </w:r>
      <w:r w:rsidRPr="009448E0">
        <w:rPr>
          <w:rStyle w:val="tlid-translation"/>
          <w:lang w:val="id-ID"/>
        </w:rPr>
        <w:t>sufficiently</w:t>
      </w:r>
      <w:r w:rsidRPr="009448E0">
        <w:rPr>
          <w:rStyle w:val="tlid-translation"/>
        </w:rPr>
        <w:t xml:space="preserve"> high. </w:t>
      </w:r>
      <w:r w:rsidRPr="009448E0">
        <w:rPr>
          <w:rStyle w:val="tlid-translation"/>
          <w:lang w:val="id-ID"/>
        </w:rPr>
        <w:t xml:space="preserve">It is </w:t>
      </w:r>
      <w:r>
        <w:rPr>
          <w:rStyle w:val="tlid-translation"/>
          <w:lang w:val="id-ID"/>
        </w:rPr>
        <w:t>considered</w:t>
      </w:r>
      <w:r w:rsidRPr="009448E0">
        <w:rPr>
          <w:rStyle w:val="tlid-translation"/>
          <w:lang w:val="id-ID"/>
        </w:rPr>
        <w:t xml:space="preserve"> that a</w:t>
      </w:r>
      <w:r w:rsidRPr="009448E0">
        <w:rPr>
          <w:rStyle w:val="tlid-translation"/>
        </w:rPr>
        <w:t xml:space="preserve">dding sauce to </w:t>
      </w:r>
      <w:r>
        <w:rPr>
          <w:rStyle w:val="tlid-translation"/>
          <w:lang w:val="id-ID"/>
        </w:rPr>
        <w:t>mi ayam</w:t>
      </w:r>
      <w:r w:rsidRPr="009448E0">
        <w:rPr>
          <w:rStyle w:val="tlid-translation"/>
        </w:rPr>
        <w:t xml:space="preserve"> </w:t>
      </w:r>
      <w:r w:rsidRPr="009448E0">
        <w:rPr>
          <w:rStyle w:val="tlid-translation"/>
          <w:lang w:val="id-ID"/>
        </w:rPr>
        <w:t>can improve the food</w:t>
      </w:r>
      <w:r>
        <w:rPr>
          <w:rStyle w:val="tlid-translation"/>
          <w:lang w:val="id-ID"/>
        </w:rPr>
        <w:t xml:space="preserve"> presentation, taste, and flavo</w:t>
      </w:r>
      <w:r w:rsidRPr="009448E0">
        <w:rPr>
          <w:rStyle w:val="tlid-translation"/>
          <w:lang w:val="id-ID"/>
        </w:rPr>
        <w:t>r.</w:t>
      </w:r>
      <w:r>
        <w:rPr>
          <w:rStyle w:val="tlid-translation"/>
          <w:lang w:val="id-ID"/>
        </w:rPr>
        <w:t xml:space="preserve"> Meanwhile, chili sauc</w:t>
      </w:r>
      <w:r w:rsidRPr="009448E0">
        <w:rPr>
          <w:rStyle w:val="tlid-translation"/>
          <w:lang w:val="id-ID"/>
        </w:rPr>
        <w:t>e sold in</w:t>
      </w:r>
      <w:r>
        <w:rPr>
          <w:rStyle w:val="tlid-translation"/>
          <w:lang w:val="id-ID"/>
        </w:rPr>
        <w:t xml:space="preserve"> the</w:t>
      </w:r>
      <w:r w:rsidRPr="009448E0">
        <w:rPr>
          <w:rStyle w:val="tlid-translation"/>
          <w:lang w:val="id-ID"/>
        </w:rPr>
        <w:t xml:space="preserve"> market are often identified containing </w:t>
      </w:r>
      <w:r w:rsidRPr="009448E0">
        <w:rPr>
          <w:rStyle w:val="tlid-translation"/>
        </w:rPr>
        <w:t xml:space="preserve">sodium benzoate </w:t>
      </w:r>
      <w:r>
        <w:rPr>
          <w:rStyle w:val="tlid-translation"/>
          <w:lang w:val="id-ID"/>
        </w:rPr>
        <w:t xml:space="preserve">used </w:t>
      </w:r>
      <w:r w:rsidRPr="009448E0">
        <w:rPr>
          <w:rStyle w:val="tlid-translation"/>
        </w:rPr>
        <w:t xml:space="preserve">as </w:t>
      </w:r>
      <w:r>
        <w:rPr>
          <w:rStyle w:val="tlid-translation"/>
          <w:lang w:val="id-ID"/>
        </w:rPr>
        <w:t>a</w:t>
      </w:r>
      <w:r>
        <w:rPr>
          <w:rStyle w:val="tlid-translation"/>
        </w:rPr>
        <w:t xml:space="preserve"> preservative.</w:t>
      </w:r>
      <w:r>
        <w:rPr>
          <w:rStyle w:val="tlid-translation"/>
          <w:lang w:val="id-ID"/>
        </w:rPr>
        <w:t xml:space="preserve"> </w:t>
      </w:r>
      <w:r w:rsidRPr="009448E0">
        <w:rPr>
          <w:rStyle w:val="tlid-translation"/>
          <w:lang w:val="id-ID"/>
        </w:rPr>
        <w:t>Inappropriate</w:t>
      </w:r>
      <w:r w:rsidRPr="009448E0">
        <w:rPr>
          <w:rStyle w:val="tlid-translation"/>
        </w:rPr>
        <w:t xml:space="preserve"> conditions and environment </w:t>
      </w:r>
      <w:r w:rsidRPr="009448E0">
        <w:rPr>
          <w:rStyle w:val="tlid-translation"/>
          <w:lang w:val="id-ID"/>
        </w:rPr>
        <w:t xml:space="preserve">of sauce storage during </w:t>
      </w:r>
      <w:r>
        <w:rPr>
          <w:rStyle w:val="tlid-translation"/>
          <w:lang w:val="id-ID"/>
        </w:rPr>
        <w:t>sauc</w:t>
      </w:r>
      <w:r w:rsidRPr="009448E0">
        <w:rPr>
          <w:rStyle w:val="tlid-translation"/>
          <w:lang w:val="id-ID"/>
        </w:rPr>
        <w:t xml:space="preserve">e consumption can potentially cause </w:t>
      </w:r>
      <w:r w:rsidRPr="009448E0">
        <w:rPr>
          <w:rStyle w:val="tlid-translation"/>
        </w:rPr>
        <w:t>microbial contamination</w:t>
      </w:r>
      <w:r w:rsidRPr="009448E0">
        <w:rPr>
          <w:rStyle w:val="tlid-translation"/>
          <w:lang w:val="id-ID"/>
        </w:rPr>
        <w:t xml:space="preserve">. </w:t>
      </w:r>
      <w:r w:rsidRPr="009448E0">
        <w:rPr>
          <w:rStyle w:val="tlid-translation"/>
        </w:rPr>
        <w:t>This study aim</w:t>
      </w:r>
      <w:r w:rsidRPr="009448E0">
        <w:rPr>
          <w:rStyle w:val="tlid-translation"/>
          <w:lang w:val="id-ID"/>
        </w:rPr>
        <w:t>ed</w:t>
      </w:r>
      <w:r w:rsidRPr="009448E0">
        <w:rPr>
          <w:rStyle w:val="tlid-translation"/>
        </w:rPr>
        <w:t xml:space="preserve"> to </w:t>
      </w:r>
      <w:r w:rsidRPr="009448E0">
        <w:rPr>
          <w:rStyle w:val="tlid-translation"/>
          <w:lang w:val="id-ID"/>
        </w:rPr>
        <w:t>examine</w:t>
      </w:r>
      <w:r w:rsidRPr="009448E0">
        <w:rPr>
          <w:rStyle w:val="tlid-translation"/>
        </w:rPr>
        <w:t xml:space="preserve"> the use of sodium benzoate </w:t>
      </w:r>
      <w:r>
        <w:rPr>
          <w:rStyle w:val="tlid-translation"/>
          <w:lang w:val="id-ID"/>
        </w:rPr>
        <w:t>used as a</w:t>
      </w:r>
      <w:r w:rsidRPr="009448E0">
        <w:rPr>
          <w:rStyle w:val="tlid-translation"/>
          <w:lang w:val="id-ID"/>
        </w:rPr>
        <w:t xml:space="preserve"> </w:t>
      </w:r>
      <w:r w:rsidRPr="009448E0">
        <w:rPr>
          <w:rStyle w:val="tlid-translation"/>
        </w:rPr>
        <w:t>preservative and microbial contamination in chili sauce</w:t>
      </w:r>
      <w:r w:rsidRPr="009448E0">
        <w:rPr>
          <w:rStyle w:val="tlid-translation"/>
          <w:lang w:val="id-ID"/>
        </w:rPr>
        <w:t>s</w:t>
      </w:r>
      <w:r w:rsidRPr="009448E0">
        <w:rPr>
          <w:rStyle w:val="tlid-translation"/>
        </w:rPr>
        <w:t xml:space="preserve"> used by </w:t>
      </w:r>
      <w:r>
        <w:rPr>
          <w:rStyle w:val="tlid-translation"/>
          <w:lang w:val="id-ID"/>
        </w:rPr>
        <w:t xml:space="preserve">mi ayam </w:t>
      </w:r>
      <w:r w:rsidRPr="009448E0">
        <w:rPr>
          <w:rStyle w:val="tlid-translation"/>
          <w:lang w:val="id-ID"/>
        </w:rPr>
        <w:t>stalls</w:t>
      </w:r>
      <w:r w:rsidRPr="009448E0">
        <w:rPr>
          <w:rStyle w:val="tlid-translation"/>
        </w:rPr>
        <w:t xml:space="preserve"> in Caturtunggal Village.</w:t>
      </w:r>
    </w:p>
    <w:p w:rsidR="00040B24" w:rsidRDefault="00040B24" w:rsidP="00040B24">
      <w:pPr>
        <w:ind w:firstLine="567"/>
        <w:jc w:val="both"/>
        <w:rPr>
          <w:lang w:val="id-ID"/>
        </w:rPr>
      </w:pPr>
      <w:r w:rsidRPr="009448E0">
        <w:rPr>
          <w:rStyle w:val="tlid-translation"/>
          <w:lang w:val="id-ID"/>
        </w:rPr>
        <w:t>This study used a p</w:t>
      </w:r>
      <w:r w:rsidRPr="009448E0">
        <w:rPr>
          <w:rStyle w:val="tlid-translation"/>
        </w:rPr>
        <w:t>urposive sampling method</w:t>
      </w:r>
      <w:r w:rsidRPr="009448E0">
        <w:rPr>
          <w:rStyle w:val="tlid-translation"/>
          <w:lang w:val="id-ID"/>
        </w:rPr>
        <w:t xml:space="preserve">. </w:t>
      </w:r>
      <w:r>
        <w:rPr>
          <w:rStyle w:val="tlid-translation"/>
          <w:lang w:val="id-ID"/>
        </w:rPr>
        <w:t>A s</w:t>
      </w:r>
      <w:r w:rsidRPr="009448E0">
        <w:rPr>
          <w:rStyle w:val="tlid-translation"/>
          <w:lang w:val="id-ID"/>
        </w:rPr>
        <w:t>urvey met</w:t>
      </w:r>
      <w:r>
        <w:rPr>
          <w:rStyle w:val="tlid-translation"/>
          <w:lang w:val="id-ID"/>
        </w:rPr>
        <w:t>h</w:t>
      </w:r>
      <w:r w:rsidRPr="009448E0">
        <w:rPr>
          <w:rStyle w:val="tlid-translation"/>
          <w:lang w:val="id-ID"/>
        </w:rPr>
        <w:t xml:space="preserve">od was carried out as the data collection technique which included </w:t>
      </w:r>
      <w:r w:rsidRPr="009448E0">
        <w:rPr>
          <w:rStyle w:val="tlid-translation"/>
        </w:rPr>
        <w:t>interviews</w:t>
      </w:r>
      <w:r w:rsidRPr="009448E0">
        <w:rPr>
          <w:rStyle w:val="tlid-translation"/>
          <w:lang w:val="id-ID"/>
        </w:rPr>
        <w:t xml:space="preserve">, </w:t>
      </w:r>
      <w:r w:rsidRPr="009448E0">
        <w:rPr>
          <w:rStyle w:val="tlid-translation"/>
        </w:rPr>
        <w:t>observations, and questionnaires</w:t>
      </w:r>
      <w:r w:rsidRPr="009448E0">
        <w:rPr>
          <w:rStyle w:val="tlid-translation"/>
          <w:lang w:val="id-ID"/>
        </w:rPr>
        <w:t xml:space="preserve">. Then, the samples were analyzed on moisture content, </w:t>
      </w:r>
      <w:r w:rsidRPr="009448E0">
        <w:rPr>
          <w:rStyle w:val="tlid-translation"/>
        </w:rPr>
        <w:t>Total Plate Count</w:t>
      </w:r>
      <w:r w:rsidRPr="009448E0">
        <w:rPr>
          <w:rStyle w:val="tlid-translation"/>
          <w:lang w:val="id-ID"/>
        </w:rPr>
        <w:t xml:space="preserve"> (TPC), and sodium </w:t>
      </w:r>
      <w:r w:rsidRPr="009448E0">
        <w:rPr>
          <w:rStyle w:val="tlid-translation"/>
        </w:rPr>
        <w:t>benzoate level</w:t>
      </w:r>
      <w:r w:rsidRPr="009448E0">
        <w:rPr>
          <w:rStyle w:val="tlid-translation"/>
          <w:lang w:val="id-ID"/>
        </w:rPr>
        <w:t xml:space="preserve">. The collected data were analyzed </w:t>
      </w:r>
      <w:r w:rsidRPr="009448E0">
        <w:rPr>
          <w:rStyle w:val="tlid-translation"/>
        </w:rPr>
        <w:t>descriptively</w:t>
      </w:r>
      <w:r w:rsidRPr="009448E0">
        <w:rPr>
          <w:rStyle w:val="tlid-translation"/>
          <w:lang w:val="id-ID"/>
        </w:rPr>
        <w:t xml:space="preserve"> and then statistically using SPSS 16.0 at </w:t>
      </w:r>
      <w:r w:rsidRPr="009448E0">
        <w:rPr>
          <w:rStyle w:val="tlid-translation"/>
        </w:rPr>
        <w:t>the 95% confidence level.</w:t>
      </w:r>
    </w:p>
    <w:p w:rsidR="00040B24" w:rsidRPr="00603DBF" w:rsidRDefault="00040B24" w:rsidP="00040B24">
      <w:pPr>
        <w:ind w:firstLine="567"/>
        <w:jc w:val="both"/>
        <w:rPr>
          <w:rStyle w:val="tlid-translation"/>
          <w:lang w:val="id-ID"/>
        </w:rPr>
      </w:pPr>
      <w:r w:rsidRPr="009448E0">
        <w:rPr>
          <w:rStyle w:val="tlid-translation"/>
        </w:rPr>
        <w:lastRenderedPageBreak/>
        <w:t xml:space="preserve">The results showed that chili sauce samples </w:t>
      </w:r>
      <w:r w:rsidRPr="009448E0">
        <w:rPr>
          <w:rStyle w:val="tlid-translation"/>
          <w:lang w:val="id-ID"/>
        </w:rPr>
        <w:t>contained</w:t>
      </w:r>
      <w:r w:rsidRPr="009448E0">
        <w:rPr>
          <w:rStyle w:val="tlid-translation"/>
        </w:rPr>
        <w:t xml:space="preserve"> sod</w:t>
      </w:r>
      <w:r>
        <w:rPr>
          <w:rStyle w:val="tlid-translation"/>
        </w:rPr>
        <w:t>ium benzoate levels between 306,92─742,</w:t>
      </w:r>
      <w:r w:rsidRPr="009448E0">
        <w:rPr>
          <w:rStyle w:val="tlid-translation"/>
        </w:rPr>
        <w:t>74 mg</w:t>
      </w:r>
      <w:r w:rsidRPr="009448E0">
        <w:rPr>
          <w:rStyle w:val="tlid-translation"/>
          <w:lang w:val="id-ID"/>
        </w:rPr>
        <w:t>/</w:t>
      </w:r>
      <w:r w:rsidRPr="009448E0">
        <w:rPr>
          <w:rStyle w:val="tlid-translation"/>
        </w:rPr>
        <w:t xml:space="preserve">kg. The level of sodium benzoate in chili sauce </w:t>
      </w:r>
      <w:r w:rsidRPr="009448E0">
        <w:rPr>
          <w:rStyle w:val="tlid-translation"/>
          <w:lang w:val="id-ID"/>
        </w:rPr>
        <w:t>was not over</w:t>
      </w:r>
      <w:r w:rsidRPr="009448E0">
        <w:rPr>
          <w:rStyle w:val="tlid-translation"/>
        </w:rPr>
        <w:t xml:space="preserve"> the maximum limit </w:t>
      </w:r>
      <w:r w:rsidRPr="009448E0">
        <w:rPr>
          <w:rStyle w:val="tlid-translation"/>
          <w:lang w:val="id-ID"/>
        </w:rPr>
        <w:t>determination which is</w:t>
      </w:r>
      <w:r w:rsidRPr="009448E0">
        <w:rPr>
          <w:rStyle w:val="tlid-translation"/>
        </w:rPr>
        <w:t xml:space="preserve"> 1000 mg/</w:t>
      </w:r>
      <w:r>
        <w:rPr>
          <w:rStyle w:val="tlid-translation"/>
        </w:rPr>
        <w:t>kg.</w:t>
      </w:r>
      <w:r>
        <w:rPr>
          <w:rStyle w:val="tlid-translation"/>
          <w:lang w:val="id-ID"/>
        </w:rPr>
        <w:t xml:space="preserve"> </w:t>
      </w:r>
      <w:r w:rsidRPr="009448E0">
        <w:rPr>
          <w:rStyle w:val="tlid-translation"/>
        </w:rPr>
        <w:t>For the TPC value</w:t>
      </w:r>
      <w:r>
        <w:rPr>
          <w:rStyle w:val="tlid-translation"/>
          <w:lang w:val="id-ID"/>
        </w:rPr>
        <w:t xml:space="preserve"> of </w:t>
      </w:r>
      <w:r w:rsidRPr="009448E0">
        <w:rPr>
          <w:rStyle w:val="tlid-translation"/>
          <w:lang w:val="id-ID"/>
        </w:rPr>
        <w:t>chili sauce</w:t>
      </w:r>
      <w:r>
        <w:rPr>
          <w:rStyle w:val="tlid-translation"/>
          <w:lang w:val="id-ID"/>
        </w:rPr>
        <w:t xml:space="preserve"> from newly opened packagings, </w:t>
      </w:r>
      <w:r w:rsidRPr="009448E0">
        <w:rPr>
          <w:rStyle w:val="tlid-translation"/>
          <w:lang w:val="id-ID"/>
        </w:rPr>
        <w:t xml:space="preserve">there were </w:t>
      </w:r>
      <w:r w:rsidRPr="009448E0">
        <w:rPr>
          <w:rStyle w:val="tlid-translation"/>
        </w:rPr>
        <w:t>four samples</w:t>
      </w:r>
      <w:r w:rsidRPr="009448E0">
        <w:rPr>
          <w:rStyle w:val="tlid-translation"/>
          <w:lang w:val="id-ID"/>
        </w:rPr>
        <w:t xml:space="preserve"> which were over the normal level. Meanwhile, chili sauce </w:t>
      </w:r>
      <w:r>
        <w:rPr>
          <w:rStyle w:val="tlid-translation"/>
          <w:lang w:val="id-ID"/>
        </w:rPr>
        <w:t xml:space="preserve">from old opened packagings or storage containers </w:t>
      </w:r>
      <w:r w:rsidRPr="009448E0">
        <w:rPr>
          <w:rStyle w:val="tlid-translation"/>
          <w:lang w:val="id-ID"/>
        </w:rPr>
        <w:t xml:space="preserve">were over the normal level which was </w:t>
      </w:r>
      <w:r w:rsidRPr="009448E0">
        <w:rPr>
          <w:rStyle w:val="tlid-translation"/>
        </w:rPr>
        <w:t>1x10</w:t>
      </w:r>
      <w:r w:rsidRPr="003359B2">
        <w:rPr>
          <w:rStyle w:val="tlid-translation"/>
          <w:vertAlign w:val="superscript"/>
        </w:rPr>
        <w:t>4</w:t>
      </w:r>
      <w:r w:rsidRPr="009448E0">
        <w:rPr>
          <w:rStyle w:val="tlid-translation"/>
        </w:rPr>
        <w:t xml:space="preserve"> CFU</w:t>
      </w:r>
      <w:r>
        <w:rPr>
          <w:rStyle w:val="tlid-translation"/>
        </w:rPr>
        <w:t>/</w:t>
      </w:r>
      <w:r w:rsidRPr="009448E0">
        <w:rPr>
          <w:rStyle w:val="tlid-translation"/>
        </w:rPr>
        <w:t>ml. The quality of raw materials, storage and presentation influence</w:t>
      </w:r>
      <w:r w:rsidRPr="009448E0">
        <w:rPr>
          <w:rStyle w:val="tlid-translation"/>
          <w:lang w:val="id-ID"/>
        </w:rPr>
        <w:t>d</w:t>
      </w:r>
      <w:r w:rsidRPr="009448E0">
        <w:rPr>
          <w:rStyle w:val="tlid-translation"/>
        </w:rPr>
        <w:t xml:space="preserve"> the quality of chili sauce used by </w:t>
      </w:r>
      <w:r>
        <w:rPr>
          <w:rStyle w:val="tlid-translation"/>
          <w:lang w:val="id-ID"/>
        </w:rPr>
        <w:t>mi ayam</w:t>
      </w:r>
      <w:r w:rsidRPr="009448E0">
        <w:rPr>
          <w:rStyle w:val="tlid-translation"/>
        </w:rPr>
        <w:t xml:space="preserve"> </w:t>
      </w:r>
      <w:r w:rsidRPr="009448E0">
        <w:rPr>
          <w:rStyle w:val="tlid-translation"/>
          <w:lang w:val="id-ID"/>
        </w:rPr>
        <w:t>stalls</w:t>
      </w:r>
      <w:r>
        <w:rPr>
          <w:rStyle w:val="tlid-translation"/>
        </w:rPr>
        <w:t xml:space="preserve">. Sanitation aspects that have </w:t>
      </w:r>
      <w:r>
        <w:rPr>
          <w:rStyle w:val="tlid-translation"/>
          <w:lang w:val="id-ID"/>
        </w:rPr>
        <w:t>not met the standards are the cleanliness and the storage of chili sauce after selling food.</w:t>
      </w:r>
    </w:p>
    <w:p w:rsidR="003136A9" w:rsidRPr="00747556" w:rsidRDefault="003136A9" w:rsidP="005754B3">
      <w:pPr>
        <w:rPr>
          <w:rFonts w:asciiTheme="majorBidi" w:hAnsiTheme="majorBidi" w:cstheme="majorBidi"/>
          <w:lang w:val="id-ID"/>
        </w:rPr>
      </w:pPr>
    </w:p>
    <w:p w:rsidR="00A134AD" w:rsidRDefault="00C9139E" w:rsidP="009A343B">
      <w:pPr>
        <w:pStyle w:val="BodyAbstract"/>
        <w:ind w:left="0"/>
        <w:rPr>
          <w:rFonts w:asciiTheme="majorBidi" w:hAnsiTheme="majorBidi" w:cstheme="majorBidi"/>
          <w:i w:val="0"/>
          <w:sz w:val="24"/>
          <w:szCs w:val="24"/>
          <w:lang w:val="id-ID"/>
        </w:rPr>
      </w:pPr>
      <w:r w:rsidRPr="00747556">
        <w:rPr>
          <w:rFonts w:asciiTheme="majorBidi" w:hAnsiTheme="majorBidi" w:cstheme="majorBidi"/>
          <w:b/>
          <w:bCs/>
          <w:i w:val="0"/>
          <w:iCs/>
          <w:sz w:val="24"/>
          <w:szCs w:val="24"/>
          <w:lang w:val="id-ID"/>
        </w:rPr>
        <w:t>Keywords</w:t>
      </w:r>
      <w:r w:rsidR="003136A9" w:rsidRPr="00747556">
        <w:rPr>
          <w:rFonts w:asciiTheme="majorBidi" w:hAnsiTheme="majorBidi" w:cstheme="majorBidi"/>
          <w:i w:val="0"/>
          <w:sz w:val="24"/>
          <w:szCs w:val="24"/>
        </w:rPr>
        <w:t>:</w:t>
      </w:r>
      <w:r w:rsidR="003136A9" w:rsidRPr="00747556">
        <w:rPr>
          <w:rFonts w:asciiTheme="majorBidi" w:hAnsiTheme="majorBidi" w:cstheme="majorBidi"/>
          <w:sz w:val="24"/>
          <w:szCs w:val="24"/>
        </w:rPr>
        <w:t xml:space="preserve"> </w:t>
      </w:r>
      <w:r w:rsidR="00100805">
        <w:rPr>
          <w:rFonts w:asciiTheme="majorBidi" w:hAnsiTheme="majorBidi" w:cstheme="majorBidi"/>
          <w:i w:val="0"/>
          <w:sz w:val="24"/>
          <w:szCs w:val="24"/>
          <w:lang w:val="id-ID"/>
        </w:rPr>
        <w:t>microbial contamination; sodium benzoate; chili sauce</w:t>
      </w:r>
    </w:p>
    <w:p w:rsidR="00CF2401" w:rsidRDefault="00CF2401" w:rsidP="009A343B">
      <w:pPr>
        <w:pStyle w:val="BodyAbstract"/>
        <w:ind w:left="0"/>
        <w:rPr>
          <w:rFonts w:asciiTheme="majorBidi" w:hAnsiTheme="majorBidi" w:cstheme="majorBidi"/>
          <w:i w:val="0"/>
          <w:sz w:val="24"/>
          <w:szCs w:val="24"/>
          <w:lang w:val="id-ID"/>
        </w:rPr>
      </w:pPr>
    </w:p>
    <w:p w:rsidR="00CF2401" w:rsidRDefault="00CF2401" w:rsidP="009A343B">
      <w:pPr>
        <w:pStyle w:val="BodyAbstract"/>
        <w:ind w:left="0"/>
        <w:rPr>
          <w:rFonts w:asciiTheme="majorBidi" w:hAnsiTheme="majorBidi" w:cstheme="majorBidi"/>
          <w:i w:val="0"/>
          <w:sz w:val="24"/>
          <w:szCs w:val="24"/>
          <w:lang w:val="id-ID"/>
        </w:rPr>
      </w:pPr>
    </w:p>
    <w:p w:rsidR="0017119C" w:rsidRPr="004B758A" w:rsidRDefault="00A93DBD" w:rsidP="004B758A">
      <w:pPr>
        <w:pStyle w:val="Heading1"/>
        <w:spacing w:line="480" w:lineRule="auto"/>
        <w:rPr>
          <w:rFonts w:asciiTheme="majorBidi" w:hAnsiTheme="majorBidi" w:cstheme="majorBidi"/>
          <w:sz w:val="24"/>
          <w:szCs w:val="24"/>
        </w:rPr>
      </w:pPr>
      <w:r w:rsidRPr="00747556">
        <w:rPr>
          <w:rFonts w:asciiTheme="majorBidi" w:hAnsiTheme="majorBidi" w:cstheme="majorBidi"/>
          <w:sz w:val="24"/>
          <w:szCs w:val="24"/>
        </w:rPr>
        <w:t xml:space="preserve">PENDAHULUAN </w:t>
      </w:r>
    </w:p>
    <w:p w:rsidR="00340CF4" w:rsidRDefault="00340CF4" w:rsidP="00340CF4">
      <w:pPr>
        <w:spacing w:line="480" w:lineRule="auto"/>
        <w:ind w:firstLine="360"/>
        <w:jc w:val="both"/>
        <w:rPr>
          <w:color w:val="000000" w:themeColor="text1"/>
        </w:rPr>
      </w:pPr>
      <w:r>
        <w:rPr>
          <w:color w:val="000000" w:themeColor="text1"/>
        </w:rPr>
        <w:t>Yogyakarta dikenal sebagai kota pelajar atau kota pendidikan karena dinilai memiliki kualitas pendidikan yang memadai disertai dengan penyediaan fasilitas yang berkualitas. Pada jenjang perguruan tinggi, Daerah Istimewa Yogyakarta (DIY) memiliki 11 perguruan tinggi negeri (PTN) dan 105 perguruan tinggi swasta (PTS). Salah satu l</w:t>
      </w:r>
      <w:r w:rsidRPr="0051421D">
        <w:rPr>
          <w:color w:val="000000" w:themeColor="text1"/>
        </w:rPr>
        <w:t xml:space="preserve">okasi dengan jumlah perguruan tinggi terbanyak </w:t>
      </w:r>
      <w:r>
        <w:rPr>
          <w:color w:val="000000" w:themeColor="text1"/>
        </w:rPr>
        <w:t xml:space="preserve">ada </w:t>
      </w:r>
      <w:r w:rsidRPr="0051421D">
        <w:rPr>
          <w:color w:val="000000" w:themeColor="text1"/>
        </w:rPr>
        <w:t xml:space="preserve">di </w:t>
      </w:r>
      <w:r>
        <w:rPr>
          <w:color w:val="000000" w:themeColor="text1"/>
        </w:rPr>
        <w:t xml:space="preserve">Kecamatan Depok, </w:t>
      </w:r>
      <w:r w:rsidRPr="0051421D">
        <w:rPr>
          <w:color w:val="000000" w:themeColor="text1"/>
        </w:rPr>
        <w:t xml:space="preserve">terdapat </w:t>
      </w:r>
      <w:r>
        <w:rPr>
          <w:color w:val="000000" w:themeColor="text1"/>
        </w:rPr>
        <w:t>tiga puluh enam</w:t>
      </w:r>
      <w:r w:rsidRPr="0051421D">
        <w:rPr>
          <w:color w:val="000000" w:themeColor="text1"/>
        </w:rPr>
        <w:t xml:space="preserve"> pergu</w:t>
      </w:r>
      <w:r>
        <w:rPr>
          <w:color w:val="000000" w:themeColor="text1"/>
        </w:rPr>
        <w:t xml:space="preserve">ruan tinggi. Menurut </w:t>
      </w:r>
      <w:r w:rsidRPr="0051421D">
        <w:rPr>
          <w:color w:val="000000" w:themeColor="text1"/>
        </w:rPr>
        <w:t>Informasi Kependudukan Daerah Istimewa Yo</w:t>
      </w:r>
      <w:r>
        <w:rPr>
          <w:color w:val="000000" w:themeColor="text1"/>
        </w:rPr>
        <w:t xml:space="preserve">gyakarta semester I Tahun 2018, </w:t>
      </w:r>
      <w:r w:rsidRPr="0051421D">
        <w:rPr>
          <w:color w:val="000000" w:themeColor="text1"/>
        </w:rPr>
        <w:t>jumlah pel</w:t>
      </w:r>
      <w:r>
        <w:rPr>
          <w:color w:val="000000" w:themeColor="text1"/>
        </w:rPr>
        <w:t>ajar atau mahasiswa tertinggi</w:t>
      </w:r>
      <w:r w:rsidRPr="0051421D">
        <w:rPr>
          <w:color w:val="000000" w:themeColor="text1"/>
        </w:rPr>
        <w:t xml:space="preserve"> </w:t>
      </w:r>
      <w:r>
        <w:rPr>
          <w:color w:val="000000" w:themeColor="text1"/>
        </w:rPr>
        <w:t xml:space="preserve">di Kecamatan Depok terdapat di </w:t>
      </w:r>
      <w:r w:rsidRPr="0051421D">
        <w:rPr>
          <w:color w:val="000000" w:themeColor="text1"/>
        </w:rPr>
        <w:t>Kelurahan Caturtunggal dengan angka 5.832 jiwa</w:t>
      </w:r>
      <w:r>
        <w:rPr>
          <w:color w:val="000000" w:themeColor="text1"/>
        </w:rPr>
        <w:t xml:space="preserve"> (Anonim, 2018). </w:t>
      </w:r>
    </w:p>
    <w:p w:rsidR="00CF2401" w:rsidRDefault="00340CF4" w:rsidP="00CF2401">
      <w:pPr>
        <w:spacing w:line="480" w:lineRule="auto"/>
        <w:ind w:firstLine="360"/>
        <w:jc w:val="both"/>
        <w:rPr>
          <w:color w:val="000000" w:themeColor="text1"/>
        </w:rPr>
      </w:pPr>
      <w:r>
        <w:rPr>
          <w:color w:val="000000" w:themeColor="text1"/>
        </w:rPr>
        <w:t xml:space="preserve">Keberadaan pelajar atau mahasiswa yang cukup tinggi di Kelurahan Caturtunggal memberikan banyak peluang usaha yang dapat dilakukan oleh masyarakat sekitar. Salah satu bidang usaha yang bermunculan adalah  bidang kuliner yang banyak mendapat perhatian dan disukai oleh masyarakat, salah satunya adalah mi ayam. </w:t>
      </w:r>
    </w:p>
    <w:p w:rsidR="00340CF4" w:rsidRDefault="00340CF4" w:rsidP="00CF2401">
      <w:pPr>
        <w:spacing w:line="480" w:lineRule="auto"/>
        <w:ind w:firstLine="360"/>
        <w:jc w:val="both"/>
        <w:rPr>
          <w:color w:val="000000" w:themeColor="text1"/>
        </w:rPr>
      </w:pPr>
      <w:r>
        <w:rPr>
          <w:color w:val="000000" w:themeColor="text1"/>
        </w:rPr>
        <w:t xml:space="preserve">Saat ini konsumsi mi ayam di kalangan mahasiswa dinilai cukup tinggi. Penambahan saus pada mi ayam menjadi pelengkap yang dianggap meningkatkan penampilan, rasa dan selera. Kebanyakan pedagang mi ayam menggunakan saus cabai produksi rumah tangga dengan berbagai merek yang beredar di pasaran yang kebanyakan pada bagian label kemasannya tidak mencantumkan kadar bahan pengawet (natrium benzoat) yang ditambahkan. Menurut </w:t>
      </w:r>
      <w:r>
        <w:rPr>
          <w:color w:val="000000" w:themeColor="text1"/>
        </w:rPr>
        <w:lastRenderedPageBreak/>
        <w:t>Peraturan kepala BPOM Nomor 36 Tahun 2013 tentang batas penggunaan natrium benzoat dalam produk saus adalah 1000 mg/kg bahan (Anonim, 2013).</w:t>
      </w:r>
    </w:p>
    <w:p w:rsidR="00340CF4" w:rsidRDefault="00340CF4" w:rsidP="00340CF4">
      <w:pPr>
        <w:spacing w:line="480" w:lineRule="auto"/>
        <w:ind w:firstLine="720"/>
        <w:jc w:val="both"/>
        <w:rPr>
          <w:color w:val="000000" w:themeColor="text1"/>
        </w:rPr>
      </w:pPr>
      <w:r>
        <w:rPr>
          <w:color w:val="000000" w:themeColor="text1"/>
        </w:rPr>
        <w:t xml:space="preserve">Sella (2013) melakukan penelitian tentang pengawet natrium benzoat pada saos tomat yang terdapat di salah satu pasar tradisional di Kota Blitar. Berdasarkan hasil penelitiannya, saos tomat tersebut memiliki kadar natrium benzoat diatas ambang batas yang telah ditentukan yaitu sebesar 2,44 g/kg bahan. Penggunaan natrium benzoat pada makanan tidak selalu aman terutama jika digunakan dalam jumlah yang berlebihan. Pengawet benzoat bersifat akumulatif yang dapat menimbulkan penyakit kanker. </w:t>
      </w:r>
    </w:p>
    <w:p w:rsidR="00340CF4" w:rsidRDefault="00340CF4" w:rsidP="00340CF4">
      <w:pPr>
        <w:spacing w:line="480" w:lineRule="auto"/>
        <w:jc w:val="both"/>
        <w:rPr>
          <w:color w:val="000000" w:themeColor="text1"/>
        </w:rPr>
      </w:pPr>
      <w:r>
        <w:rPr>
          <w:color w:val="000000" w:themeColor="text1"/>
        </w:rPr>
        <w:tab/>
        <w:t xml:space="preserve">Dalam keadaan tertutup rapat, saus cabai dapat terlindungi dari segala pengaruh yang berasal dari luar seperti mikrobia penyebab kebusukan. Tetapi apabila dibiarkan terbuka, maka akan meningkatkan resiko kontaminasi oleh mikroba, seperti bakteri. Saus akan menjadi media yang sangat disukai oleh bakteri untuk tumbuh dan berkembangbiak (Nafidah dkk, 2013). Kondisi serta lingkungan penyimpanan saus cabai yang tidak sesuai akan memungkinkan terjadinya kontaminasi mikroba patogen. Kontaminasi oleh bakteri dapat menyebabkan penurunan mutu saus cabai yang dapat mengakibatkan saus cabai menjadi tidak layak dikonsumsi karena cemaran mikroba yang melebihi ambang batas. </w:t>
      </w:r>
    </w:p>
    <w:p w:rsidR="00340CF4" w:rsidRDefault="00340CF4" w:rsidP="00340CF4">
      <w:pPr>
        <w:spacing w:line="480" w:lineRule="auto"/>
        <w:jc w:val="both"/>
      </w:pPr>
      <w:r>
        <w:rPr>
          <w:color w:val="000000" w:themeColor="text1"/>
        </w:rPr>
        <w:tab/>
        <w:t xml:space="preserve">Mengingat tingginya minat dikalangan mahasiswa dalam mengonsumsi saus cabai bersama dengan mi ayam, maka perlu dilakukan penelitian untuk mengetahui kadar natrium benzoat, sanitasi dan kontaminasi mikroba pada saus cabai, yang digunakan pedagang mi ayam di </w:t>
      </w:r>
      <w:r>
        <w:t>Kelurahan Caturtunggal, Sleman, Yogyakarta.</w:t>
      </w:r>
    </w:p>
    <w:p w:rsidR="0017119C" w:rsidRDefault="00524A28" w:rsidP="00747556">
      <w:pPr>
        <w:pStyle w:val="Body"/>
        <w:spacing w:line="480" w:lineRule="auto"/>
        <w:ind w:firstLine="0"/>
        <w:rPr>
          <w:rFonts w:asciiTheme="majorBidi" w:hAnsiTheme="majorBidi" w:cstheme="majorBidi"/>
          <w:b/>
          <w:sz w:val="24"/>
          <w:szCs w:val="24"/>
          <w:lang w:val="id-ID"/>
        </w:rPr>
      </w:pPr>
      <w:r w:rsidRPr="00747556">
        <w:rPr>
          <w:rFonts w:asciiTheme="majorBidi" w:hAnsiTheme="majorBidi" w:cstheme="majorBidi"/>
          <w:b/>
          <w:sz w:val="24"/>
          <w:szCs w:val="24"/>
          <w:lang w:val="id-ID"/>
        </w:rPr>
        <w:t>METODE PENELITIAN</w:t>
      </w:r>
    </w:p>
    <w:p w:rsidR="00340CF4" w:rsidRDefault="00340CF4" w:rsidP="00747556">
      <w:pPr>
        <w:pStyle w:val="Body"/>
        <w:spacing w:line="480" w:lineRule="auto"/>
        <w:ind w:firstLine="0"/>
        <w:rPr>
          <w:rFonts w:asciiTheme="majorBidi" w:hAnsiTheme="majorBidi" w:cstheme="majorBidi"/>
          <w:b/>
          <w:sz w:val="24"/>
          <w:szCs w:val="24"/>
          <w:lang w:val="id-ID"/>
        </w:rPr>
      </w:pPr>
      <w:r>
        <w:rPr>
          <w:rFonts w:asciiTheme="majorBidi" w:hAnsiTheme="majorBidi" w:cstheme="majorBidi"/>
          <w:b/>
          <w:sz w:val="24"/>
          <w:szCs w:val="24"/>
          <w:lang w:val="id-ID"/>
        </w:rPr>
        <w:t>Bahan</w:t>
      </w:r>
    </w:p>
    <w:p w:rsidR="00340CF4" w:rsidRPr="00E11360" w:rsidRDefault="00340CF4" w:rsidP="00747556">
      <w:pPr>
        <w:pStyle w:val="Body"/>
        <w:spacing w:line="480" w:lineRule="auto"/>
        <w:ind w:firstLine="0"/>
        <w:rPr>
          <w:rFonts w:asciiTheme="majorBidi" w:hAnsiTheme="majorBidi" w:cstheme="majorBidi"/>
          <w:b/>
          <w:sz w:val="24"/>
          <w:szCs w:val="24"/>
          <w:lang w:val="id-ID"/>
        </w:rPr>
      </w:pPr>
      <w:r>
        <w:rPr>
          <w:sz w:val="24"/>
          <w:szCs w:val="24"/>
          <w:lang w:val="id-ID"/>
        </w:rPr>
        <w:t xml:space="preserve">      </w:t>
      </w:r>
      <w:r w:rsidRPr="004D3171">
        <w:rPr>
          <w:sz w:val="24"/>
          <w:szCs w:val="24"/>
        </w:rPr>
        <w:t xml:space="preserve">Bahan yang digunakan dalam penelitian ini adalah </w:t>
      </w:r>
      <w:r w:rsidR="00F1381E" w:rsidRPr="004D3171">
        <w:rPr>
          <w:sz w:val="24"/>
          <w:szCs w:val="24"/>
        </w:rPr>
        <w:t xml:space="preserve">saus cabai baru </w:t>
      </w:r>
      <w:r w:rsidR="00F1381E">
        <w:rPr>
          <w:sz w:val="24"/>
          <w:szCs w:val="24"/>
        </w:rPr>
        <w:t>(saus yang belum digunakan dan masih dalam keadaan tertutup)</w:t>
      </w:r>
      <w:r w:rsidR="00F1381E" w:rsidRPr="004D3171">
        <w:rPr>
          <w:sz w:val="24"/>
          <w:szCs w:val="24"/>
        </w:rPr>
        <w:t xml:space="preserve"> dan saus cabai </w:t>
      </w:r>
      <w:r w:rsidR="00F1381E">
        <w:rPr>
          <w:sz w:val="24"/>
          <w:szCs w:val="24"/>
        </w:rPr>
        <w:t>lama (saus yang sebelumnya telah digunakan oleh pedagang) yang</w:t>
      </w:r>
      <w:r w:rsidR="00F1381E" w:rsidRPr="004D3171">
        <w:rPr>
          <w:sz w:val="24"/>
          <w:szCs w:val="24"/>
        </w:rPr>
        <w:t xml:space="preserve"> digunakan pedagang mi ayam di Kelurahan Caturtunggal, </w:t>
      </w:r>
      <w:r w:rsidR="00F1381E" w:rsidRPr="004D3171">
        <w:rPr>
          <w:sz w:val="24"/>
          <w:szCs w:val="24"/>
        </w:rPr>
        <w:lastRenderedPageBreak/>
        <w:t>Sleman, Yogyakarta</w:t>
      </w:r>
      <w:r w:rsidRPr="004D3171">
        <w:rPr>
          <w:sz w:val="24"/>
          <w:szCs w:val="24"/>
        </w:rPr>
        <w:t>, NA (</w:t>
      </w:r>
      <w:r w:rsidRPr="004D3171">
        <w:rPr>
          <w:i/>
          <w:sz w:val="24"/>
          <w:szCs w:val="24"/>
        </w:rPr>
        <w:t>Nutrient Agar</w:t>
      </w:r>
      <w:r w:rsidRPr="004D3171">
        <w:rPr>
          <w:sz w:val="24"/>
          <w:szCs w:val="24"/>
        </w:rPr>
        <w:t xml:space="preserve">), </w:t>
      </w:r>
      <w:r>
        <w:rPr>
          <w:sz w:val="24"/>
          <w:szCs w:val="24"/>
        </w:rPr>
        <w:t>serta bahan-bahan berkualitas pro analisis seperti natrium benzoat</w:t>
      </w:r>
      <w:r w:rsidRPr="004D3171">
        <w:rPr>
          <w:sz w:val="24"/>
          <w:szCs w:val="24"/>
        </w:rPr>
        <w:t>, kloroform, natrium klorida (NaCl), ammonium hidroksida dan natrium sulfat (Na</w:t>
      </w:r>
      <w:r w:rsidRPr="004D3171">
        <w:rPr>
          <w:sz w:val="24"/>
          <w:szCs w:val="24"/>
          <w:vertAlign w:val="subscript"/>
        </w:rPr>
        <w:t>2</w:t>
      </w:r>
      <w:r w:rsidRPr="004D3171">
        <w:rPr>
          <w:sz w:val="24"/>
          <w:szCs w:val="24"/>
        </w:rPr>
        <w:t>SO</w:t>
      </w:r>
      <w:r w:rsidRPr="004D3171">
        <w:rPr>
          <w:sz w:val="24"/>
          <w:szCs w:val="24"/>
          <w:vertAlign w:val="subscript"/>
        </w:rPr>
        <w:t>4</w:t>
      </w:r>
      <w:r w:rsidRPr="004D3171">
        <w:rPr>
          <w:sz w:val="24"/>
          <w:szCs w:val="24"/>
        </w:rPr>
        <w:t>), HCl 0,1%</w:t>
      </w:r>
      <w:r w:rsidR="00E11360">
        <w:rPr>
          <w:sz w:val="24"/>
          <w:szCs w:val="24"/>
        </w:rPr>
        <w:t xml:space="preserve"> yang didapatkan dari Laboraotorium Pengo</w:t>
      </w:r>
      <w:r w:rsidR="00E11360">
        <w:rPr>
          <w:sz w:val="24"/>
          <w:szCs w:val="24"/>
          <w:lang w:val="id-ID"/>
        </w:rPr>
        <w:t>lahan Hasil Pertanian Fakultas Agroindustri, Universitas Mercu Buana Yogyakarta.</w:t>
      </w:r>
    </w:p>
    <w:p w:rsidR="004B758A" w:rsidRPr="004B758A" w:rsidRDefault="004B758A" w:rsidP="004B758A">
      <w:pPr>
        <w:pStyle w:val="Body"/>
        <w:spacing w:line="480" w:lineRule="auto"/>
        <w:ind w:firstLine="0"/>
        <w:rPr>
          <w:rFonts w:asciiTheme="majorBidi" w:hAnsiTheme="majorBidi" w:cstheme="majorBidi"/>
          <w:b/>
          <w:bCs/>
          <w:sz w:val="24"/>
          <w:szCs w:val="24"/>
          <w:lang w:val="id-ID"/>
        </w:rPr>
      </w:pPr>
      <w:r w:rsidRPr="004B758A">
        <w:rPr>
          <w:rFonts w:asciiTheme="majorBidi" w:hAnsiTheme="majorBidi" w:cstheme="majorBidi"/>
          <w:b/>
          <w:bCs/>
          <w:sz w:val="24"/>
          <w:szCs w:val="24"/>
          <w:lang w:val="id-ID"/>
        </w:rPr>
        <w:t>Alat</w:t>
      </w:r>
    </w:p>
    <w:p w:rsidR="00E11360" w:rsidRPr="004D3171" w:rsidRDefault="00E11360" w:rsidP="00E11360">
      <w:pPr>
        <w:spacing w:line="480" w:lineRule="auto"/>
        <w:ind w:firstLine="360"/>
        <w:jc w:val="both"/>
      </w:pPr>
      <w:r w:rsidRPr="004D3171">
        <w:t>Alat yang digunakan dalam penelitian ini adalah botol timbang (</w:t>
      </w:r>
      <w:r w:rsidRPr="004D3171">
        <w:rPr>
          <w:i/>
        </w:rPr>
        <w:t>pyrex</w:t>
      </w:r>
      <w:r w:rsidRPr="004D3171">
        <w:t>), oven (</w:t>
      </w:r>
      <w:r w:rsidRPr="004D3171">
        <w:rPr>
          <w:i/>
        </w:rPr>
        <w:t>Memmert GmbH+Co type ULM 500)</w:t>
      </w:r>
      <w:r w:rsidRPr="004D3171">
        <w:t xml:space="preserve">, petridish (pyrex) , spektrofotometer UV-Vis (Shimadzu UV </w:t>
      </w:r>
      <w:r>
        <w:t>1240), corong pisah, labu takar</w:t>
      </w:r>
      <w:r w:rsidRPr="004D3171">
        <w:t xml:space="preserve"> dan alat gelas (</w:t>
      </w:r>
      <w:r w:rsidRPr="004D3171">
        <w:rPr>
          <w:i/>
        </w:rPr>
        <w:t>pyrex</w:t>
      </w:r>
      <w:r w:rsidRPr="004D3171">
        <w:t xml:space="preserve">). </w:t>
      </w:r>
    </w:p>
    <w:p w:rsidR="00B127B1" w:rsidRDefault="00B127B1" w:rsidP="004026A4">
      <w:pPr>
        <w:pStyle w:val="Body"/>
        <w:spacing w:line="480" w:lineRule="auto"/>
        <w:ind w:firstLine="0"/>
        <w:rPr>
          <w:rFonts w:asciiTheme="majorBidi" w:hAnsiTheme="majorBidi" w:cstheme="majorBidi"/>
          <w:b/>
          <w:sz w:val="24"/>
          <w:szCs w:val="24"/>
          <w:lang w:val="id-ID"/>
        </w:rPr>
      </w:pPr>
      <w:r>
        <w:rPr>
          <w:rFonts w:asciiTheme="majorBidi" w:hAnsiTheme="majorBidi" w:cstheme="majorBidi"/>
          <w:b/>
          <w:sz w:val="24"/>
          <w:szCs w:val="24"/>
          <w:lang w:val="id-ID"/>
        </w:rPr>
        <w:t>Penentuan Sampel</w:t>
      </w:r>
    </w:p>
    <w:p w:rsidR="008C76B6" w:rsidRDefault="00B127B1" w:rsidP="004026A4">
      <w:pPr>
        <w:pStyle w:val="Body"/>
        <w:spacing w:line="480" w:lineRule="auto"/>
        <w:ind w:firstLine="0"/>
        <w:rPr>
          <w:sz w:val="24"/>
          <w:szCs w:val="24"/>
        </w:rPr>
      </w:pPr>
      <w:r>
        <w:rPr>
          <w:sz w:val="24"/>
          <w:szCs w:val="24"/>
          <w:lang w:val="id-ID"/>
        </w:rPr>
        <w:t xml:space="preserve">       </w:t>
      </w:r>
      <w:r w:rsidRPr="004D3171">
        <w:rPr>
          <w:sz w:val="24"/>
          <w:szCs w:val="24"/>
        </w:rPr>
        <w:t xml:space="preserve">Penentuan subjek dalam penelitian ini dilakukan secara </w:t>
      </w:r>
      <w:r w:rsidRPr="004D3171">
        <w:rPr>
          <w:i/>
          <w:sz w:val="24"/>
          <w:szCs w:val="24"/>
        </w:rPr>
        <w:t>purposive</w:t>
      </w:r>
      <w:r>
        <w:rPr>
          <w:rFonts w:asciiTheme="majorBidi" w:hAnsiTheme="majorBidi" w:cstheme="majorBidi"/>
          <w:b/>
          <w:sz w:val="24"/>
          <w:szCs w:val="24"/>
          <w:lang w:val="id-ID"/>
        </w:rPr>
        <w:t xml:space="preserve">. </w:t>
      </w:r>
      <w:r w:rsidRPr="004D3171">
        <w:rPr>
          <w:sz w:val="24"/>
          <w:szCs w:val="24"/>
        </w:rPr>
        <w:t xml:space="preserve">Subjek dalam penelitian ini adalah pedagang mi ayam di Kelurahan Caturtunggal, Sleman, Yogyakarta yang menggunakan </w:t>
      </w:r>
      <w:r>
        <w:rPr>
          <w:sz w:val="24"/>
          <w:szCs w:val="24"/>
        </w:rPr>
        <w:t xml:space="preserve"> </w:t>
      </w:r>
      <w:r w:rsidRPr="004D3171">
        <w:rPr>
          <w:sz w:val="24"/>
          <w:szCs w:val="24"/>
        </w:rPr>
        <w:t xml:space="preserve">saus </w:t>
      </w:r>
      <w:r>
        <w:rPr>
          <w:sz w:val="24"/>
          <w:szCs w:val="24"/>
        </w:rPr>
        <w:t xml:space="preserve"> </w:t>
      </w:r>
      <w:r w:rsidRPr="004D3171">
        <w:rPr>
          <w:sz w:val="24"/>
          <w:szCs w:val="24"/>
        </w:rPr>
        <w:t xml:space="preserve">cabai </w:t>
      </w:r>
      <w:r>
        <w:rPr>
          <w:sz w:val="24"/>
          <w:szCs w:val="24"/>
        </w:rPr>
        <w:t xml:space="preserve"> </w:t>
      </w:r>
      <w:r w:rsidRPr="004D3171">
        <w:rPr>
          <w:sz w:val="24"/>
          <w:szCs w:val="24"/>
        </w:rPr>
        <w:t xml:space="preserve">sebagai </w:t>
      </w:r>
      <w:r>
        <w:rPr>
          <w:sz w:val="24"/>
          <w:szCs w:val="24"/>
        </w:rPr>
        <w:t xml:space="preserve"> </w:t>
      </w:r>
      <w:r w:rsidRPr="004D3171">
        <w:rPr>
          <w:sz w:val="24"/>
          <w:szCs w:val="24"/>
        </w:rPr>
        <w:t xml:space="preserve">sajian </w:t>
      </w:r>
      <w:r>
        <w:rPr>
          <w:sz w:val="24"/>
          <w:szCs w:val="24"/>
        </w:rPr>
        <w:t xml:space="preserve"> </w:t>
      </w:r>
      <w:r w:rsidRPr="004D3171">
        <w:rPr>
          <w:sz w:val="24"/>
          <w:szCs w:val="24"/>
        </w:rPr>
        <w:t xml:space="preserve">pendamping </w:t>
      </w:r>
      <w:r>
        <w:rPr>
          <w:sz w:val="24"/>
          <w:szCs w:val="24"/>
        </w:rPr>
        <w:t xml:space="preserve"> dari mi ayam serta </w:t>
      </w:r>
      <w:r w:rsidRPr="004D3171">
        <w:rPr>
          <w:sz w:val="24"/>
          <w:szCs w:val="24"/>
        </w:rPr>
        <w:t>menetap di suatu lokasi (bukan keliling).</w:t>
      </w:r>
    </w:p>
    <w:p w:rsidR="00B127B1" w:rsidRDefault="00B127B1" w:rsidP="004026A4">
      <w:pPr>
        <w:pStyle w:val="Body"/>
        <w:spacing w:line="480" w:lineRule="auto"/>
        <w:ind w:firstLine="0"/>
        <w:rPr>
          <w:b/>
          <w:sz w:val="24"/>
          <w:szCs w:val="24"/>
          <w:lang w:val="id-ID"/>
        </w:rPr>
      </w:pPr>
      <w:r>
        <w:rPr>
          <w:b/>
          <w:sz w:val="24"/>
          <w:szCs w:val="24"/>
          <w:lang w:val="id-ID"/>
        </w:rPr>
        <w:t>Pengumpulan Data</w:t>
      </w:r>
    </w:p>
    <w:p w:rsidR="00B127B1" w:rsidRDefault="00EF73D2" w:rsidP="004026A4">
      <w:pPr>
        <w:pStyle w:val="Body"/>
        <w:spacing w:line="480" w:lineRule="auto"/>
        <w:ind w:firstLine="0"/>
        <w:rPr>
          <w:sz w:val="24"/>
          <w:szCs w:val="24"/>
          <w:lang w:val="id-ID"/>
        </w:rPr>
      </w:pPr>
      <w:r>
        <w:rPr>
          <w:b/>
          <w:sz w:val="24"/>
          <w:szCs w:val="24"/>
          <w:lang w:val="id-ID"/>
        </w:rPr>
        <w:t xml:space="preserve">      </w:t>
      </w:r>
      <w:r>
        <w:rPr>
          <w:sz w:val="24"/>
          <w:szCs w:val="24"/>
          <w:lang w:val="id-ID"/>
        </w:rPr>
        <w:t xml:space="preserve">Data yang dikumpulkan dalam penelitian ini menggunakan teknik pengumpulan melalui wawancara atau obeservasi, kuesioner dan analisis sampel </w:t>
      </w:r>
      <w:r w:rsidR="009F7222">
        <w:rPr>
          <w:sz w:val="24"/>
          <w:szCs w:val="24"/>
          <w:lang w:val="id-ID"/>
        </w:rPr>
        <w:t>berupa analisis kadar air, TPC (</w:t>
      </w:r>
      <w:r w:rsidR="009F7222">
        <w:rPr>
          <w:i/>
          <w:sz w:val="24"/>
          <w:szCs w:val="24"/>
          <w:lang w:val="id-ID"/>
        </w:rPr>
        <w:t>Total Plate Count</w:t>
      </w:r>
      <w:r w:rsidR="009F7222">
        <w:rPr>
          <w:sz w:val="24"/>
          <w:szCs w:val="24"/>
          <w:lang w:val="id-ID"/>
        </w:rPr>
        <w:t>), dan kadar natrium benzoat.</w:t>
      </w:r>
    </w:p>
    <w:p w:rsidR="009F7222" w:rsidRDefault="009F7222" w:rsidP="004026A4">
      <w:pPr>
        <w:pStyle w:val="Body"/>
        <w:spacing w:line="480" w:lineRule="auto"/>
        <w:ind w:firstLine="0"/>
        <w:rPr>
          <w:b/>
          <w:sz w:val="24"/>
          <w:szCs w:val="24"/>
          <w:lang w:val="id-ID"/>
        </w:rPr>
      </w:pPr>
      <w:r>
        <w:rPr>
          <w:b/>
          <w:sz w:val="24"/>
          <w:szCs w:val="24"/>
          <w:lang w:val="id-ID"/>
        </w:rPr>
        <w:t>Prosedur Analisis</w:t>
      </w:r>
    </w:p>
    <w:p w:rsidR="009F7222" w:rsidRDefault="009F7222" w:rsidP="004026A4">
      <w:pPr>
        <w:pStyle w:val="Body"/>
        <w:spacing w:line="480" w:lineRule="auto"/>
        <w:ind w:firstLine="0"/>
        <w:rPr>
          <w:sz w:val="24"/>
          <w:szCs w:val="24"/>
          <w:lang w:val="id-ID"/>
        </w:rPr>
      </w:pPr>
      <w:r>
        <w:rPr>
          <w:sz w:val="24"/>
          <w:szCs w:val="24"/>
          <w:lang w:val="id-ID"/>
        </w:rPr>
        <w:t xml:space="preserve">      Sampel saus cabai dianalisis kadar air</w:t>
      </w:r>
      <w:r w:rsidR="008E035B">
        <w:rPr>
          <w:sz w:val="24"/>
          <w:szCs w:val="24"/>
          <w:lang w:val="id-ID"/>
        </w:rPr>
        <w:t xml:space="preserve"> menggunakan metode gravimetri (AOAC, 1995), nilai TPC (</w:t>
      </w:r>
      <w:r w:rsidR="008E035B">
        <w:rPr>
          <w:i/>
          <w:sz w:val="24"/>
          <w:szCs w:val="24"/>
          <w:lang w:val="id-ID"/>
        </w:rPr>
        <w:t>Total Plate Count</w:t>
      </w:r>
      <w:r w:rsidR="008E035B">
        <w:rPr>
          <w:sz w:val="24"/>
          <w:szCs w:val="24"/>
          <w:lang w:val="id-ID"/>
        </w:rPr>
        <w:t>) dengan metode tuang (</w:t>
      </w:r>
      <w:r w:rsidR="008E035B">
        <w:rPr>
          <w:i/>
          <w:sz w:val="24"/>
          <w:szCs w:val="24"/>
          <w:lang w:val="id-ID"/>
        </w:rPr>
        <w:t>pour plate)</w:t>
      </w:r>
      <w:r w:rsidR="008E035B">
        <w:rPr>
          <w:sz w:val="24"/>
          <w:szCs w:val="24"/>
          <w:lang w:val="id-ID"/>
        </w:rPr>
        <w:t>, dan kadar natrium benzoat dengan metode spektrofotometer UV-Vis</w:t>
      </w:r>
      <w:r w:rsidR="00972C1D">
        <w:rPr>
          <w:sz w:val="24"/>
          <w:szCs w:val="24"/>
          <w:lang w:val="id-ID"/>
        </w:rPr>
        <w:t xml:space="preserve"> (AOAC, 1990 yang dimodifikasi oleh Rorong, 1996).</w:t>
      </w:r>
    </w:p>
    <w:p w:rsidR="00972C1D" w:rsidRDefault="00972C1D" w:rsidP="004026A4">
      <w:pPr>
        <w:pStyle w:val="Body"/>
        <w:spacing w:line="480" w:lineRule="auto"/>
        <w:ind w:firstLine="0"/>
        <w:rPr>
          <w:b/>
          <w:sz w:val="24"/>
          <w:szCs w:val="24"/>
          <w:lang w:val="id-ID"/>
        </w:rPr>
      </w:pPr>
      <w:r>
        <w:rPr>
          <w:b/>
          <w:sz w:val="24"/>
          <w:szCs w:val="24"/>
          <w:lang w:val="id-ID"/>
        </w:rPr>
        <w:t>Analisis Statistik</w:t>
      </w:r>
    </w:p>
    <w:p w:rsidR="00972C1D" w:rsidRDefault="00972C1D" w:rsidP="004026A4">
      <w:pPr>
        <w:pStyle w:val="Body"/>
        <w:spacing w:line="480" w:lineRule="auto"/>
        <w:ind w:firstLine="0"/>
        <w:rPr>
          <w:sz w:val="24"/>
          <w:szCs w:val="24"/>
          <w:lang w:val="id-ID"/>
        </w:rPr>
      </w:pPr>
      <w:r>
        <w:rPr>
          <w:b/>
          <w:sz w:val="24"/>
          <w:szCs w:val="24"/>
          <w:lang w:val="id-ID"/>
        </w:rPr>
        <w:t xml:space="preserve">      </w:t>
      </w:r>
      <w:r>
        <w:rPr>
          <w:sz w:val="24"/>
          <w:szCs w:val="24"/>
          <w:lang w:val="id-ID"/>
        </w:rPr>
        <w:t>Data penelitian ini dianalisis secara deskriptif dan statistik menggunakan SPSS 16.0 pada taraf kepercayaan 95%.</w:t>
      </w:r>
    </w:p>
    <w:p w:rsidR="0042714B" w:rsidRPr="00972C1D" w:rsidRDefault="0042714B" w:rsidP="004026A4">
      <w:pPr>
        <w:pStyle w:val="Body"/>
        <w:spacing w:line="480" w:lineRule="auto"/>
        <w:ind w:firstLine="0"/>
        <w:rPr>
          <w:sz w:val="24"/>
          <w:szCs w:val="24"/>
          <w:lang w:val="id-ID"/>
        </w:rPr>
      </w:pPr>
    </w:p>
    <w:p w:rsidR="0017119C" w:rsidRDefault="00524A28" w:rsidP="004026A4">
      <w:pPr>
        <w:pStyle w:val="Body"/>
        <w:spacing w:line="480" w:lineRule="auto"/>
        <w:ind w:firstLine="0"/>
        <w:rPr>
          <w:rFonts w:asciiTheme="majorBidi" w:hAnsiTheme="majorBidi" w:cstheme="majorBidi"/>
          <w:sz w:val="24"/>
          <w:szCs w:val="24"/>
          <w:lang w:val="id-ID"/>
        </w:rPr>
      </w:pPr>
      <w:r w:rsidRPr="00747556">
        <w:rPr>
          <w:rFonts w:asciiTheme="majorBidi" w:hAnsiTheme="majorBidi" w:cstheme="majorBidi"/>
          <w:b/>
          <w:sz w:val="24"/>
          <w:szCs w:val="24"/>
          <w:lang w:val="id-ID"/>
        </w:rPr>
        <w:t>HASIL DAN PEMBAHASAN</w:t>
      </w:r>
      <w:r w:rsidRPr="00747556">
        <w:rPr>
          <w:rFonts w:asciiTheme="majorBidi" w:hAnsiTheme="majorBidi" w:cstheme="majorBidi"/>
          <w:sz w:val="24"/>
          <w:szCs w:val="24"/>
          <w:lang w:val="id-ID"/>
        </w:rPr>
        <w:t xml:space="preserve"> </w:t>
      </w:r>
    </w:p>
    <w:p w:rsidR="00663DD6" w:rsidRDefault="00A422E8" w:rsidP="004026A4">
      <w:pPr>
        <w:pStyle w:val="Body"/>
        <w:spacing w:line="480" w:lineRule="auto"/>
        <w:ind w:firstLine="0"/>
        <w:rPr>
          <w:rFonts w:asciiTheme="majorBidi" w:hAnsiTheme="majorBidi" w:cstheme="majorBidi"/>
          <w:b/>
          <w:sz w:val="24"/>
          <w:szCs w:val="24"/>
          <w:lang w:val="id-ID"/>
        </w:rPr>
      </w:pPr>
      <w:r w:rsidRPr="00A422E8">
        <w:rPr>
          <w:rFonts w:asciiTheme="majorBidi" w:hAnsiTheme="majorBidi" w:cstheme="majorBidi"/>
          <w:b/>
          <w:sz w:val="24"/>
          <w:szCs w:val="24"/>
          <w:lang w:val="id-ID"/>
        </w:rPr>
        <w:t>Karakteristik Pedagang Mi Ayam</w:t>
      </w:r>
    </w:p>
    <w:p w:rsidR="005578FE" w:rsidRDefault="005578FE" w:rsidP="005578FE">
      <w:pPr>
        <w:pStyle w:val="Body"/>
        <w:tabs>
          <w:tab w:val="left" w:pos="1862"/>
        </w:tabs>
        <w:spacing w:line="480" w:lineRule="auto"/>
        <w:ind w:firstLine="0"/>
        <w:rPr>
          <w:rFonts w:asciiTheme="majorBidi" w:hAnsiTheme="majorBidi" w:cstheme="majorBidi"/>
          <w:sz w:val="24"/>
          <w:szCs w:val="24"/>
          <w:lang w:val="id-ID"/>
        </w:rPr>
      </w:pPr>
      <w:r>
        <w:rPr>
          <w:rFonts w:asciiTheme="majorBidi" w:hAnsiTheme="majorBidi" w:cstheme="majorBidi"/>
          <w:b/>
          <w:sz w:val="24"/>
          <w:szCs w:val="24"/>
          <w:lang w:val="id-ID"/>
        </w:rPr>
        <w:t xml:space="preserve">      </w:t>
      </w:r>
      <w:r>
        <w:rPr>
          <w:rFonts w:asciiTheme="majorBidi" w:hAnsiTheme="majorBidi" w:cstheme="majorBidi"/>
          <w:sz w:val="24"/>
          <w:szCs w:val="24"/>
          <w:lang w:val="id-ID"/>
        </w:rPr>
        <w:t>Berdasarkan data responden yang ditunjukkan pada Tabel 1, diketahui bahwa pedagang mi ayam didominasi oleh pria (100%), dengan usia pada rentang umur 40-50 tahun (42,86%). Pedagang memiliki pendidikan terakhir SD (57,14%) serta memiliki pendapatan perbulan sebesar &gt; Rp 5.000.000,00 (42,86%).</w:t>
      </w:r>
    </w:p>
    <w:p w:rsidR="00A422E8" w:rsidRPr="00A422E8" w:rsidRDefault="00A422E8" w:rsidP="00695274">
      <w:pPr>
        <w:pStyle w:val="Body"/>
        <w:ind w:firstLine="0"/>
        <w:jc w:val="center"/>
        <w:rPr>
          <w:rFonts w:asciiTheme="majorBidi" w:hAnsiTheme="majorBidi" w:cstheme="majorBidi"/>
          <w:sz w:val="24"/>
          <w:szCs w:val="24"/>
          <w:lang w:val="id-ID"/>
        </w:rPr>
      </w:pPr>
      <w:r>
        <w:rPr>
          <w:rFonts w:asciiTheme="majorBidi" w:hAnsiTheme="majorBidi" w:cstheme="majorBidi"/>
          <w:sz w:val="24"/>
          <w:szCs w:val="24"/>
          <w:lang w:val="id-ID"/>
        </w:rPr>
        <w:t xml:space="preserve">Tabel 1. </w:t>
      </w:r>
      <w:r>
        <w:rPr>
          <w:sz w:val="24"/>
          <w:szCs w:val="24"/>
        </w:rPr>
        <w:t>Karakteristik Pedagang Mi Ayam</w:t>
      </w:r>
    </w:p>
    <w:tbl>
      <w:tblPr>
        <w:tblStyle w:val="TableGrid"/>
        <w:tblW w:w="7371" w:type="dxa"/>
        <w:jc w:val="center"/>
        <w:tblBorders>
          <w:left w:val="none" w:sz="0" w:space="0" w:color="auto"/>
          <w:right w:val="none" w:sz="0" w:space="0" w:color="auto"/>
        </w:tblBorders>
        <w:tblLook w:val="04A0" w:firstRow="1" w:lastRow="0" w:firstColumn="1" w:lastColumn="0" w:noHBand="0" w:noVBand="1"/>
      </w:tblPr>
      <w:tblGrid>
        <w:gridCol w:w="570"/>
        <w:gridCol w:w="3678"/>
        <w:gridCol w:w="1276"/>
        <w:gridCol w:w="1847"/>
      </w:tblGrid>
      <w:tr w:rsidR="00A422E8" w:rsidTr="00192538">
        <w:trPr>
          <w:jc w:val="center"/>
        </w:trPr>
        <w:tc>
          <w:tcPr>
            <w:tcW w:w="570" w:type="dxa"/>
            <w:tcBorders>
              <w:bottom w:val="single" w:sz="4" w:space="0" w:color="auto"/>
              <w:right w:val="nil"/>
            </w:tcBorders>
          </w:tcPr>
          <w:p w:rsidR="00A422E8" w:rsidRDefault="00A422E8" w:rsidP="00192538">
            <w:pPr>
              <w:jc w:val="center"/>
            </w:pPr>
            <w:r>
              <w:t>No.</w:t>
            </w:r>
          </w:p>
        </w:tc>
        <w:tc>
          <w:tcPr>
            <w:tcW w:w="3678" w:type="dxa"/>
            <w:tcBorders>
              <w:left w:val="nil"/>
              <w:bottom w:val="single" w:sz="4" w:space="0" w:color="auto"/>
              <w:right w:val="nil"/>
            </w:tcBorders>
          </w:tcPr>
          <w:p w:rsidR="00A422E8" w:rsidRDefault="00A422E8" w:rsidP="00192538">
            <w:pPr>
              <w:jc w:val="center"/>
            </w:pPr>
            <w:r>
              <w:t>Karakteristik</w:t>
            </w:r>
          </w:p>
        </w:tc>
        <w:tc>
          <w:tcPr>
            <w:tcW w:w="1276" w:type="dxa"/>
            <w:tcBorders>
              <w:left w:val="nil"/>
              <w:bottom w:val="single" w:sz="4" w:space="0" w:color="auto"/>
              <w:right w:val="nil"/>
            </w:tcBorders>
          </w:tcPr>
          <w:p w:rsidR="00A422E8" w:rsidRDefault="00A422E8" w:rsidP="00192538">
            <w:pPr>
              <w:jc w:val="center"/>
            </w:pPr>
            <w:r>
              <w:t>Jumlah</w:t>
            </w:r>
          </w:p>
        </w:tc>
        <w:tc>
          <w:tcPr>
            <w:tcW w:w="1847" w:type="dxa"/>
            <w:tcBorders>
              <w:left w:val="nil"/>
            </w:tcBorders>
          </w:tcPr>
          <w:p w:rsidR="00A422E8" w:rsidRDefault="00A422E8" w:rsidP="00192538">
            <w:pPr>
              <w:jc w:val="center"/>
            </w:pPr>
            <w:r>
              <w:t>Persentase (%)</w:t>
            </w:r>
          </w:p>
        </w:tc>
      </w:tr>
      <w:tr w:rsidR="00A422E8" w:rsidTr="00192538">
        <w:trPr>
          <w:jc w:val="center"/>
        </w:trPr>
        <w:tc>
          <w:tcPr>
            <w:tcW w:w="570" w:type="dxa"/>
            <w:tcBorders>
              <w:bottom w:val="nil"/>
              <w:right w:val="nil"/>
            </w:tcBorders>
          </w:tcPr>
          <w:p w:rsidR="00A422E8" w:rsidRDefault="00A422E8" w:rsidP="00192538">
            <w:pPr>
              <w:jc w:val="center"/>
            </w:pPr>
            <w:r>
              <w:t>1</w:t>
            </w:r>
          </w:p>
        </w:tc>
        <w:tc>
          <w:tcPr>
            <w:tcW w:w="3678" w:type="dxa"/>
            <w:tcBorders>
              <w:left w:val="nil"/>
              <w:bottom w:val="nil"/>
              <w:right w:val="nil"/>
            </w:tcBorders>
          </w:tcPr>
          <w:p w:rsidR="00A422E8" w:rsidRDefault="00A422E8" w:rsidP="00192538">
            <w:r>
              <w:t>Jenis Kelamin</w:t>
            </w:r>
          </w:p>
        </w:tc>
        <w:tc>
          <w:tcPr>
            <w:tcW w:w="1276" w:type="dxa"/>
            <w:tcBorders>
              <w:left w:val="nil"/>
              <w:bottom w:val="nil"/>
              <w:right w:val="nil"/>
            </w:tcBorders>
          </w:tcPr>
          <w:p w:rsidR="00A422E8" w:rsidRDefault="00A422E8" w:rsidP="00192538"/>
        </w:tc>
        <w:tc>
          <w:tcPr>
            <w:tcW w:w="1847" w:type="dxa"/>
            <w:tcBorders>
              <w:left w:val="nil"/>
              <w:bottom w:val="nil"/>
            </w:tcBorders>
          </w:tcPr>
          <w:p w:rsidR="00A422E8" w:rsidRDefault="00A422E8" w:rsidP="00192538"/>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Pria</w:t>
            </w:r>
          </w:p>
        </w:tc>
        <w:tc>
          <w:tcPr>
            <w:tcW w:w="1276" w:type="dxa"/>
            <w:tcBorders>
              <w:top w:val="nil"/>
              <w:left w:val="nil"/>
              <w:bottom w:val="nil"/>
              <w:right w:val="nil"/>
            </w:tcBorders>
          </w:tcPr>
          <w:p w:rsidR="00A422E8" w:rsidRDefault="00A422E8" w:rsidP="00192538">
            <w:pPr>
              <w:jc w:val="center"/>
            </w:pPr>
            <w:r>
              <w:t>7</w:t>
            </w:r>
          </w:p>
        </w:tc>
        <w:tc>
          <w:tcPr>
            <w:tcW w:w="1847" w:type="dxa"/>
            <w:tcBorders>
              <w:top w:val="nil"/>
              <w:left w:val="nil"/>
              <w:bottom w:val="nil"/>
            </w:tcBorders>
          </w:tcPr>
          <w:p w:rsidR="00A422E8" w:rsidRDefault="00A422E8" w:rsidP="00192538">
            <w:pPr>
              <w:jc w:val="center"/>
            </w:pPr>
            <w:r>
              <w:t>100</w:t>
            </w:r>
          </w:p>
        </w:tc>
      </w:tr>
      <w:tr w:rsidR="00A422E8" w:rsidTr="00192538">
        <w:trPr>
          <w:jc w:val="center"/>
        </w:trPr>
        <w:tc>
          <w:tcPr>
            <w:tcW w:w="570" w:type="dxa"/>
            <w:tcBorders>
              <w:top w:val="nil"/>
              <w:bottom w:val="single" w:sz="4" w:space="0" w:color="auto"/>
              <w:right w:val="nil"/>
            </w:tcBorders>
          </w:tcPr>
          <w:p w:rsidR="00A422E8" w:rsidRDefault="00A422E8" w:rsidP="00192538">
            <w:pPr>
              <w:jc w:val="center"/>
            </w:pPr>
          </w:p>
        </w:tc>
        <w:tc>
          <w:tcPr>
            <w:tcW w:w="3678" w:type="dxa"/>
            <w:tcBorders>
              <w:top w:val="nil"/>
              <w:left w:val="nil"/>
              <w:bottom w:val="single" w:sz="4" w:space="0" w:color="auto"/>
              <w:right w:val="nil"/>
            </w:tcBorders>
          </w:tcPr>
          <w:p w:rsidR="00A422E8" w:rsidRDefault="00A422E8" w:rsidP="00192538">
            <w:r>
              <w:t>Wanita</w:t>
            </w:r>
          </w:p>
        </w:tc>
        <w:tc>
          <w:tcPr>
            <w:tcW w:w="1276" w:type="dxa"/>
            <w:tcBorders>
              <w:top w:val="nil"/>
              <w:left w:val="nil"/>
              <w:bottom w:val="single" w:sz="4" w:space="0" w:color="auto"/>
              <w:right w:val="nil"/>
            </w:tcBorders>
          </w:tcPr>
          <w:p w:rsidR="00A422E8" w:rsidRDefault="00A422E8" w:rsidP="00192538">
            <w:pPr>
              <w:jc w:val="center"/>
            </w:pPr>
            <w:r>
              <w:t>0</w:t>
            </w:r>
          </w:p>
        </w:tc>
        <w:tc>
          <w:tcPr>
            <w:tcW w:w="1847" w:type="dxa"/>
            <w:tcBorders>
              <w:top w:val="nil"/>
              <w:left w:val="nil"/>
            </w:tcBorders>
          </w:tcPr>
          <w:p w:rsidR="00A422E8" w:rsidRDefault="00A422E8" w:rsidP="00192538">
            <w:pPr>
              <w:jc w:val="center"/>
            </w:pPr>
            <w:r>
              <w:t>0</w:t>
            </w:r>
          </w:p>
        </w:tc>
      </w:tr>
      <w:tr w:rsidR="00A422E8" w:rsidTr="00192538">
        <w:trPr>
          <w:jc w:val="center"/>
        </w:trPr>
        <w:tc>
          <w:tcPr>
            <w:tcW w:w="570" w:type="dxa"/>
            <w:tcBorders>
              <w:bottom w:val="single" w:sz="4" w:space="0" w:color="auto"/>
              <w:right w:val="nil"/>
            </w:tcBorders>
          </w:tcPr>
          <w:p w:rsidR="00A422E8" w:rsidRDefault="00A422E8" w:rsidP="00192538">
            <w:pPr>
              <w:jc w:val="center"/>
            </w:pPr>
          </w:p>
        </w:tc>
        <w:tc>
          <w:tcPr>
            <w:tcW w:w="3678" w:type="dxa"/>
            <w:tcBorders>
              <w:left w:val="nil"/>
              <w:bottom w:val="single" w:sz="4" w:space="0" w:color="auto"/>
              <w:right w:val="nil"/>
            </w:tcBorders>
          </w:tcPr>
          <w:p w:rsidR="00A422E8" w:rsidRDefault="00A422E8" w:rsidP="00192538">
            <w:pPr>
              <w:jc w:val="center"/>
            </w:pPr>
            <w:r>
              <w:t xml:space="preserve">Total </w:t>
            </w:r>
          </w:p>
        </w:tc>
        <w:tc>
          <w:tcPr>
            <w:tcW w:w="1276" w:type="dxa"/>
            <w:tcBorders>
              <w:left w:val="nil"/>
              <w:bottom w:val="single" w:sz="4" w:space="0" w:color="auto"/>
              <w:right w:val="nil"/>
            </w:tcBorders>
          </w:tcPr>
          <w:p w:rsidR="00A422E8" w:rsidRDefault="00A422E8" w:rsidP="00192538">
            <w:pPr>
              <w:jc w:val="center"/>
            </w:pPr>
            <w:r>
              <w:t>7</w:t>
            </w:r>
          </w:p>
        </w:tc>
        <w:tc>
          <w:tcPr>
            <w:tcW w:w="1847" w:type="dxa"/>
            <w:tcBorders>
              <w:left w:val="nil"/>
            </w:tcBorders>
          </w:tcPr>
          <w:p w:rsidR="00A422E8" w:rsidRDefault="00A422E8" w:rsidP="00192538">
            <w:pPr>
              <w:jc w:val="center"/>
            </w:pPr>
            <w:r>
              <w:t>100</w:t>
            </w:r>
          </w:p>
        </w:tc>
      </w:tr>
      <w:tr w:rsidR="00A422E8" w:rsidTr="00192538">
        <w:trPr>
          <w:jc w:val="center"/>
        </w:trPr>
        <w:tc>
          <w:tcPr>
            <w:tcW w:w="570" w:type="dxa"/>
            <w:tcBorders>
              <w:bottom w:val="nil"/>
              <w:right w:val="nil"/>
            </w:tcBorders>
          </w:tcPr>
          <w:p w:rsidR="00A422E8" w:rsidRDefault="00A422E8" w:rsidP="00192538">
            <w:pPr>
              <w:jc w:val="center"/>
            </w:pPr>
            <w:r>
              <w:t>2</w:t>
            </w:r>
          </w:p>
        </w:tc>
        <w:tc>
          <w:tcPr>
            <w:tcW w:w="3678" w:type="dxa"/>
            <w:tcBorders>
              <w:left w:val="nil"/>
              <w:bottom w:val="nil"/>
              <w:right w:val="nil"/>
            </w:tcBorders>
          </w:tcPr>
          <w:p w:rsidR="00A422E8" w:rsidRDefault="00A422E8" w:rsidP="00192538">
            <w:r>
              <w:t>Usia</w:t>
            </w:r>
          </w:p>
        </w:tc>
        <w:tc>
          <w:tcPr>
            <w:tcW w:w="1276" w:type="dxa"/>
            <w:tcBorders>
              <w:left w:val="nil"/>
              <w:bottom w:val="nil"/>
              <w:right w:val="nil"/>
            </w:tcBorders>
          </w:tcPr>
          <w:p w:rsidR="00A422E8" w:rsidRDefault="00A422E8" w:rsidP="00192538">
            <w:pPr>
              <w:jc w:val="center"/>
            </w:pPr>
          </w:p>
        </w:tc>
        <w:tc>
          <w:tcPr>
            <w:tcW w:w="1847" w:type="dxa"/>
            <w:tcBorders>
              <w:left w:val="nil"/>
              <w:bottom w:val="nil"/>
            </w:tcBorders>
          </w:tcPr>
          <w:p w:rsidR="00A422E8" w:rsidRDefault="00A422E8" w:rsidP="00192538">
            <w:pPr>
              <w:jc w:val="center"/>
            </w:pP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&lt;20 tahun</w:t>
            </w:r>
          </w:p>
        </w:tc>
        <w:tc>
          <w:tcPr>
            <w:tcW w:w="1276" w:type="dxa"/>
            <w:tcBorders>
              <w:top w:val="nil"/>
              <w:left w:val="nil"/>
              <w:bottom w:val="nil"/>
              <w:right w:val="nil"/>
            </w:tcBorders>
          </w:tcPr>
          <w:p w:rsidR="00A422E8" w:rsidRDefault="00A422E8" w:rsidP="00192538">
            <w:pPr>
              <w:jc w:val="center"/>
            </w:pPr>
            <w:r>
              <w:t>0</w:t>
            </w:r>
          </w:p>
        </w:tc>
        <w:tc>
          <w:tcPr>
            <w:tcW w:w="1847" w:type="dxa"/>
            <w:tcBorders>
              <w:top w:val="nil"/>
              <w:left w:val="nil"/>
              <w:bottom w:val="nil"/>
            </w:tcBorders>
          </w:tcPr>
          <w:p w:rsidR="00A422E8" w:rsidRDefault="00A422E8" w:rsidP="00192538">
            <w:pPr>
              <w:jc w:val="center"/>
            </w:pPr>
            <w:r>
              <w:t>0</w:t>
            </w: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20-40 tahun</w:t>
            </w:r>
          </w:p>
        </w:tc>
        <w:tc>
          <w:tcPr>
            <w:tcW w:w="1276" w:type="dxa"/>
            <w:tcBorders>
              <w:top w:val="nil"/>
              <w:left w:val="nil"/>
              <w:bottom w:val="nil"/>
              <w:right w:val="nil"/>
            </w:tcBorders>
          </w:tcPr>
          <w:p w:rsidR="00A422E8" w:rsidRDefault="00A422E8" w:rsidP="00192538">
            <w:pPr>
              <w:jc w:val="center"/>
            </w:pPr>
            <w:r>
              <w:t>2</w:t>
            </w:r>
          </w:p>
        </w:tc>
        <w:tc>
          <w:tcPr>
            <w:tcW w:w="1847" w:type="dxa"/>
            <w:tcBorders>
              <w:top w:val="nil"/>
              <w:left w:val="nil"/>
              <w:bottom w:val="nil"/>
            </w:tcBorders>
          </w:tcPr>
          <w:p w:rsidR="00A422E8" w:rsidRDefault="00A422E8" w:rsidP="00192538">
            <w:pPr>
              <w:jc w:val="center"/>
            </w:pPr>
            <w:r>
              <w:t>28,57</w:t>
            </w: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40-50 tahun</w:t>
            </w:r>
          </w:p>
        </w:tc>
        <w:tc>
          <w:tcPr>
            <w:tcW w:w="1276" w:type="dxa"/>
            <w:tcBorders>
              <w:top w:val="nil"/>
              <w:left w:val="nil"/>
              <w:bottom w:val="nil"/>
              <w:right w:val="nil"/>
            </w:tcBorders>
          </w:tcPr>
          <w:p w:rsidR="00A422E8" w:rsidRDefault="00A422E8" w:rsidP="00192538">
            <w:pPr>
              <w:jc w:val="center"/>
            </w:pPr>
            <w:r>
              <w:t>3</w:t>
            </w:r>
          </w:p>
        </w:tc>
        <w:tc>
          <w:tcPr>
            <w:tcW w:w="1847" w:type="dxa"/>
            <w:tcBorders>
              <w:top w:val="nil"/>
              <w:left w:val="nil"/>
              <w:bottom w:val="nil"/>
            </w:tcBorders>
          </w:tcPr>
          <w:p w:rsidR="00A422E8" w:rsidRDefault="00A422E8" w:rsidP="00192538">
            <w:pPr>
              <w:jc w:val="center"/>
            </w:pPr>
            <w:r>
              <w:t>42,86</w:t>
            </w:r>
          </w:p>
        </w:tc>
      </w:tr>
      <w:tr w:rsidR="00A422E8" w:rsidTr="00192538">
        <w:trPr>
          <w:jc w:val="center"/>
        </w:trPr>
        <w:tc>
          <w:tcPr>
            <w:tcW w:w="570" w:type="dxa"/>
            <w:tcBorders>
              <w:top w:val="nil"/>
              <w:bottom w:val="single" w:sz="4" w:space="0" w:color="auto"/>
              <w:right w:val="nil"/>
            </w:tcBorders>
          </w:tcPr>
          <w:p w:rsidR="00A422E8" w:rsidRDefault="00A422E8" w:rsidP="00192538">
            <w:pPr>
              <w:jc w:val="center"/>
            </w:pPr>
          </w:p>
        </w:tc>
        <w:tc>
          <w:tcPr>
            <w:tcW w:w="3678" w:type="dxa"/>
            <w:tcBorders>
              <w:top w:val="nil"/>
              <w:left w:val="nil"/>
              <w:bottom w:val="single" w:sz="4" w:space="0" w:color="auto"/>
              <w:right w:val="nil"/>
            </w:tcBorders>
          </w:tcPr>
          <w:p w:rsidR="00A422E8" w:rsidRDefault="00A422E8" w:rsidP="00192538">
            <w:r>
              <w:t>&gt;50 tahun</w:t>
            </w:r>
          </w:p>
        </w:tc>
        <w:tc>
          <w:tcPr>
            <w:tcW w:w="1276" w:type="dxa"/>
            <w:tcBorders>
              <w:top w:val="nil"/>
              <w:left w:val="nil"/>
              <w:bottom w:val="single" w:sz="4" w:space="0" w:color="auto"/>
              <w:right w:val="nil"/>
            </w:tcBorders>
          </w:tcPr>
          <w:p w:rsidR="00A422E8" w:rsidRDefault="00A422E8" w:rsidP="00192538">
            <w:pPr>
              <w:jc w:val="center"/>
            </w:pPr>
            <w:r>
              <w:t>2</w:t>
            </w:r>
          </w:p>
        </w:tc>
        <w:tc>
          <w:tcPr>
            <w:tcW w:w="1847" w:type="dxa"/>
            <w:tcBorders>
              <w:top w:val="nil"/>
              <w:left w:val="nil"/>
            </w:tcBorders>
          </w:tcPr>
          <w:p w:rsidR="00A422E8" w:rsidRDefault="00A422E8" w:rsidP="00192538">
            <w:pPr>
              <w:jc w:val="center"/>
            </w:pPr>
            <w:r>
              <w:t>28,57</w:t>
            </w:r>
          </w:p>
        </w:tc>
      </w:tr>
      <w:tr w:rsidR="00A422E8" w:rsidTr="00192538">
        <w:trPr>
          <w:jc w:val="center"/>
        </w:trPr>
        <w:tc>
          <w:tcPr>
            <w:tcW w:w="570" w:type="dxa"/>
            <w:tcBorders>
              <w:bottom w:val="single" w:sz="4" w:space="0" w:color="auto"/>
              <w:right w:val="nil"/>
            </w:tcBorders>
          </w:tcPr>
          <w:p w:rsidR="00A422E8" w:rsidRDefault="00A422E8" w:rsidP="00192538">
            <w:pPr>
              <w:jc w:val="center"/>
            </w:pPr>
          </w:p>
        </w:tc>
        <w:tc>
          <w:tcPr>
            <w:tcW w:w="3678" w:type="dxa"/>
            <w:tcBorders>
              <w:left w:val="nil"/>
              <w:bottom w:val="single" w:sz="4" w:space="0" w:color="auto"/>
              <w:right w:val="nil"/>
            </w:tcBorders>
          </w:tcPr>
          <w:p w:rsidR="00A422E8" w:rsidRDefault="00A422E8" w:rsidP="00192538">
            <w:pPr>
              <w:jc w:val="center"/>
            </w:pPr>
            <w:r>
              <w:t>Total</w:t>
            </w:r>
          </w:p>
        </w:tc>
        <w:tc>
          <w:tcPr>
            <w:tcW w:w="1276" w:type="dxa"/>
            <w:tcBorders>
              <w:left w:val="nil"/>
              <w:bottom w:val="single" w:sz="4" w:space="0" w:color="auto"/>
              <w:right w:val="nil"/>
            </w:tcBorders>
          </w:tcPr>
          <w:p w:rsidR="00A422E8" w:rsidRDefault="00A422E8" w:rsidP="00192538">
            <w:pPr>
              <w:jc w:val="center"/>
            </w:pPr>
            <w:r>
              <w:t>7</w:t>
            </w:r>
          </w:p>
        </w:tc>
        <w:tc>
          <w:tcPr>
            <w:tcW w:w="1847" w:type="dxa"/>
            <w:tcBorders>
              <w:left w:val="nil"/>
            </w:tcBorders>
          </w:tcPr>
          <w:p w:rsidR="00A422E8" w:rsidRDefault="00A422E8" w:rsidP="00192538">
            <w:pPr>
              <w:jc w:val="center"/>
            </w:pPr>
            <w:r>
              <w:t>100</w:t>
            </w:r>
          </w:p>
        </w:tc>
      </w:tr>
      <w:tr w:rsidR="00A422E8" w:rsidTr="00192538">
        <w:trPr>
          <w:jc w:val="center"/>
        </w:trPr>
        <w:tc>
          <w:tcPr>
            <w:tcW w:w="570" w:type="dxa"/>
            <w:tcBorders>
              <w:bottom w:val="nil"/>
              <w:right w:val="nil"/>
            </w:tcBorders>
          </w:tcPr>
          <w:p w:rsidR="00A422E8" w:rsidRDefault="00A422E8" w:rsidP="00192538">
            <w:pPr>
              <w:jc w:val="center"/>
            </w:pPr>
            <w:r>
              <w:t>3</w:t>
            </w:r>
          </w:p>
        </w:tc>
        <w:tc>
          <w:tcPr>
            <w:tcW w:w="3678" w:type="dxa"/>
            <w:tcBorders>
              <w:left w:val="nil"/>
              <w:bottom w:val="nil"/>
              <w:right w:val="nil"/>
            </w:tcBorders>
          </w:tcPr>
          <w:p w:rsidR="00A422E8" w:rsidRDefault="00A422E8" w:rsidP="00192538">
            <w:r>
              <w:t>Pendidikan terakhir</w:t>
            </w:r>
          </w:p>
        </w:tc>
        <w:tc>
          <w:tcPr>
            <w:tcW w:w="1276" w:type="dxa"/>
            <w:tcBorders>
              <w:left w:val="nil"/>
              <w:bottom w:val="nil"/>
              <w:right w:val="nil"/>
            </w:tcBorders>
          </w:tcPr>
          <w:p w:rsidR="00A422E8" w:rsidRDefault="00A422E8" w:rsidP="00192538">
            <w:pPr>
              <w:jc w:val="center"/>
            </w:pPr>
          </w:p>
        </w:tc>
        <w:tc>
          <w:tcPr>
            <w:tcW w:w="1847" w:type="dxa"/>
            <w:tcBorders>
              <w:left w:val="nil"/>
              <w:bottom w:val="nil"/>
            </w:tcBorders>
          </w:tcPr>
          <w:p w:rsidR="00A422E8" w:rsidRDefault="00A422E8" w:rsidP="00192538">
            <w:pPr>
              <w:jc w:val="center"/>
            </w:pP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SD</w:t>
            </w:r>
          </w:p>
        </w:tc>
        <w:tc>
          <w:tcPr>
            <w:tcW w:w="1276" w:type="dxa"/>
            <w:tcBorders>
              <w:top w:val="nil"/>
              <w:left w:val="nil"/>
              <w:bottom w:val="nil"/>
              <w:right w:val="nil"/>
            </w:tcBorders>
          </w:tcPr>
          <w:p w:rsidR="00A422E8" w:rsidRDefault="00A422E8" w:rsidP="00192538">
            <w:pPr>
              <w:jc w:val="center"/>
            </w:pPr>
            <w:r>
              <w:t>4</w:t>
            </w:r>
          </w:p>
        </w:tc>
        <w:tc>
          <w:tcPr>
            <w:tcW w:w="1847" w:type="dxa"/>
            <w:tcBorders>
              <w:top w:val="nil"/>
              <w:left w:val="nil"/>
              <w:bottom w:val="nil"/>
            </w:tcBorders>
          </w:tcPr>
          <w:p w:rsidR="00A422E8" w:rsidRDefault="00A422E8" w:rsidP="00192538">
            <w:pPr>
              <w:jc w:val="center"/>
            </w:pPr>
            <w:r>
              <w:t>57,14</w:t>
            </w: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SMP</w:t>
            </w:r>
          </w:p>
        </w:tc>
        <w:tc>
          <w:tcPr>
            <w:tcW w:w="1276" w:type="dxa"/>
            <w:tcBorders>
              <w:top w:val="nil"/>
              <w:left w:val="nil"/>
              <w:bottom w:val="nil"/>
              <w:right w:val="nil"/>
            </w:tcBorders>
          </w:tcPr>
          <w:p w:rsidR="00A422E8" w:rsidRDefault="00A422E8" w:rsidP="00192538">
            <w:pPr>
              <w:jc w:val="center"/>
            </w:pPr>
            <w:r>
              <w:t>1</w:t>
            </w:r>
          </w:p>
        </w:tc>
        <w:tc>
          <w:tcPr>
            <w:tcW w:w="1847" w:type="dxa"/>
            <w:tcBorders>
              <w:top w:val="nil"/>
              <w:left w:val="nil"/>
              <w:bottom w:val="nil"/>
            </w:tcBorders>
          </w:tcPr>
          <w:p w:rsidR="00A422E8" w:rsidRDefault="00A422E8" w:rsidP="00192538">
            <w:pPr>
              <w:jc w:val="center"/>
            </w:pPr>
            <w:r>
              <w:t>14,29</w:t>
            </w: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SMA</w:t>
            </w:r>
          </w:p>
        </w:tc>
        <w:tc>
          <w:tcPr>
            <w:tcW w:w="1276" w:type="dxa"/>
            <w:tcBorders>
              <w:top w:val="nil"/>
              <w:left w:val="nil"/>
              <w:bottom w:val="nil"/>
              <w:right w:val="nil"/>
            </w:tcBorders>
          </w:tcPr>
          <w:p w:rsidR="00A422E8" w:rsidRDefault="00A422E8" w:rsidP="00192538">
            <w:pPr>
              <w:jc w:val="center"/>
            </w:pPr>
            <w:r>
              <w:t>2</w:t>
            </w:r>
          </w:p>
        </w:tc>
        <w:tc>
          <w:tcPr>
            <w:tcW w:w="1847" w:type="dxa"/>
            <w:tcBorders>
              <w:top w:val="nil"/>
              <w:left w:val="nil"/>
              <w:bottom w:val="nil"/>
            </w:tcBorders>
          </w:tcPr>
          <w:p w:rsidR="00A422E8" w:rsidRDefault="00A422E8" w:rsidP="00192538">
            <w:pPr>
              <w:jc w:val="center"/>
            </w:pPr>
            <w:r>
              <w:t>28,57</w:t>
            </w:r>
          </w:p>
        </w:tc>
      </w:tr>
      <w:tr w:rsidR="00A422E8" w:rsidTr="00192538">
        <w:trPr>
          <w:jc w:val="center"/>
        </w:trPr>
        <w:tc>
          <w:tcPr>
            <w:tcW w:w="570" w:type="dxa"/>
            <w:tcBorders>
              <w:top w:val="nil"/>
              <w:bottom w:val="single" w:sz="4" w:space="0" w:color="auto"/>
              <w:right w:val="nil"/>
            </w:tcBorders>
          </w:tcPr>
          <w:p w:rsidR="00A422E8" w:rsidRDefault="00A422E8" w:rsidP="00192538">
            <w:pPr>
              <w:jc w:val="center"/>
            </w:pPr>
          </w:p>
        </w:tc>
        <w:tc>
          <w:tcPr>
            <w:tcW w:w="3678" w:type="dxa"/>
            <w:tcBorders>
              <w:top w:val="nil"/>
              <w:left w:val="nil"/>
              <w:bottom w:val="single" w:sz="4" w:space="0" w:color="auto"/>
              <w:right w:val="nil"/>
            </w:tcBorders>
          </w:tcPr>
          <w:p w:rsidR="00A422E8" w:rsidRDefault="00A422E8" w:rsidP="00192538">
            <w:r>
              <w:t>Perguruan tinggi/Akademi</w:t>
            </w:r>
          </w:p>
        </w:tc>
        <w:tc>
          <w:tcPr>
            <w:tcW w:w="1276" w:type="dxa"/>
            <w:tcBorders>
              <w:top w:val="nil"/>
              <w:left w:val="nil"/>
              <w:bottom w:val="single" w:sz="4" w:space="0" w:color="auto"/>
              <w:right w:val="nil"/>
            </w:tcBorders>
          </w:tcPr>
          <w:p w:rsidR="00A422E8" w:rsidRDefault="00A422E8" w:rsidP="00192538">
            <w:pPr>
              <w:jc w:val="center"/>
            </w:pPr>
            <w:r>
              <w:t>0</w:t>
            </w:r>
          </w:p>
        </w:tc>
        <w:tc>
          <w:tcPr>
            <w:tcW w:w="1847" w:type="dxa"/>
            <w:tcBorders>
              <w:top w:val="nil"/>
              <w:left w:val="nil"/>
            </w:tcBorders>
          </w:tcPr>
          <w:p w:rsidR="00A422E8" w:rsidRDefault="00A422E8" w:rsidP="00192538">
            <w:pPr>
              <w:jc w:val="center"/>
            </w:pPr>
            <w:r>
              <w:t>0</w:t>
            </w:r>
          </w:p>
        </w:tc>
      </w:tr>
      <w:tr w:rsidR="00A422E8" w:rsidTr="00192538">
        <w:trPr>
          <w:jc w:val="center"/>
        </w:trPr>
        <w:tc>
          <w:tcPr>
            <w:tcW w:w="570" w:type="dxa"/>
            <w:tcBorders>
              <w:bottom w:val="single" w:sz="4" w:space="0" w:color="auto"/>
              <w:right w:val="nil"/>
            </w:tcBorders>
          </w:tcPr>
          <w:p w:rsidR="00A422E8" w:rsidRDefault="00A422E8" w:rsidP="00192538">
            <w:pPr>
              <w:jc w:val="center"/>
            </w:pPr>
          </w:p>
        </w:tc>
        <w:tc>
          <w:tcPr>
            <w:tcW w:w="3678" w:type="dxa"/>
            <w:tcBorders>
              <w:left w:val="nil"/>
              <w:bottom w:val="single" w:sz="4" w:space="0" w:color="auto"/>
              <w:right w:val="nil"/>
            </w:tcBorders>
          </w:tcPr>
          <w:p w:rsidR="00A422E8" w:rsidRDefault="00A422E8" w:rsidP="00192538">
            <w:pPr>
              <w:jc w:val="center"/>
            </w:pPr>
            <w:r>
              <w:t>Total</w:t>
            </w:r>
          </w:p>
        </w:tc>
        <w:tc>
          <w:tcPr>
            <w:tcW w:w="1276" w:type="dxa"/>
            <w:tcBorders>
              <w:left w:val="nil"/>
              <w:bottom w:val="single" w:sz="4" w:space="0" w:color="auto"/>
              <w:right w:val="nil"/>
            </w:tcBorders>
          </w:tcPr>
          <w:p w:rsidR="00A422E8" w:rsidRDefault="00A422E8" w:rsidP="00192538">
            <w:pPr>
              <w:jc w:val="center"/>
            </w:pPr>
            <w:r>
              <w:t>7</w:t>
            </w:r>
          </w:p>
        </w:tc>
        <w:tc>
          <w:tcPr>
            <w:tcW w:w="1847" w:type="dxa"/>
            <w:tcBorders>
              <w:left w:val="nil"/>
            </w:tcBorders>
          </w:tcPr>
          <w:p w:rsidR="00A422E8" w:rsidRDefault="00A422E8" w:rsidP="00192538">
            <w:pPr>
              <w:jc w:val="center"/>
            </w:pPr>
            <w:r>
              <w:t>100</w:t>
            </w:r>
          </w:p>
        </w:tc>
      </w:tr>
      <w:tr w:rsidR="00A422E8" w:rsidTr="00192538">
        <w:trPr>
          <w:jc w:val="center"/>
        </w:trPr>
        <w:tc>
          <w:tcPr>
            <w:tcW w:w="570" w:type="dxa"/>
            <w:tcBorders>
              <w:bottom w:val="nil"/>
              <w:right w:val="nil"/>
            </w:tcBorders>
          </w:tcPr>
          <w:p w:rsidR="00A422E8" w:rsidRDefault="00A422E8" w:rsidP="00192538">
            <w:pPr>
              <w:jc w:val="center"/>
            </w:pPr>
            <w:r>
              <w:t>4</w:t>
            </w:r>
          </w:p>
        </w:tc>
        <w:tc>
          <w:tcPr>
            <w:tcW w:w="3678" w:type="dxa"/>
            <w:tcBorders>
              <w:left w:val="nil"/>
              <w:bottom w:val="nil"/>
              <w:right w:val="nil"/>
            </w:tcBorders>
          </w:tcPr>
          <w:p w:rsidR="00A422E8" w:rsidRDefault="00A422E8" w:rsidP="00192538">
            <w:r>
              <w:t>Pendapatan perbulan</w:t>
            </w:r>
          </w:p>
        </w:tc>
        <w:tc>
          <w:tcPr>
            <w:tcW w:w="1276" w:type="dxa"/>
            <w:tcBorders>
              <w:left w:val="nil"/>
              <w:bottom w:val="nil"/>
              <w:right w:val="nil"/>
            </w:tcBorders>
          </w:tcPr>
          <w:p w:rsidR="00A422E8" w:rsidRDefault="00A422E8" w:rsidP="00192538">
            <w:pPr>
              <w:jc w:val="center"/>
            </w:pPr>
          </w:p>
        </w:tc>
        <w:tc>
          <w:tcPr>
            <w:tcW w:w="1847" w:type="dxa"/>
            <w:tcBorders>
              <w:left w:val="nil"/>
              <w:bottom w:val="nil"/>
            </w:tcBorders>
          </w:tcPr>
          <w:p w:rsidR="00A422E8" w:rsidRDefault="00A422E8" w:rsidP="00192538">
            <w:pPr>
              <w:jc w:val="center"/>
            </w:pP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&lt; Rp 1.000.000,00</w:t>
            </w:r>
          </w:p>
        </w:tc>
        <w:tc>
          <w:tcPr>
            <w:tcW w:w="1276" w:type="dxa"/>
            <w:tcBorders>
              <w:top w:val="nil"/>
              <w:left w:val="nil"/>
              <w:bottom w:val="nil"/>
              <w:right w:val="nil"/>
            </w:tcBorders>
          </w:tcPr>
          <w:p w:rsidR="00A422E8" w:rsidRDefault="00A422E8" w:rsidP="00192538">
            <w:pPr>
              <w:jc w:val="center"/>
            </w:pPr>
            <w:r>
              <w:t>2</w:t>
            </w:r>
          </w:p>
        </w:tc>
        <w:tc>
          <w:tcPr>
            <w:tcW w:w="1847" w:type="dxa"/>
            <w:tcBorders>
              <w:top w:val="nil"/>
              <w:left w:val="nil"/>
              <w:bottom w:val="nil"/>
            </w:tcBorders>
          </w:tcPr>
          <w:p w:rsidR="00A422E8" w:rsidRDefault="00A422E8" w:rsidP="00192538">
            <w:pPr>
              <w:jc w:val="center"/>
            </w:pPr>
            <w:r>
              <w:t>28,57</w:t>
            </w: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Rp 1.000.000 – Rp 3.000.000,00</w:t>
            </w:r>
          </w:p>
        </w:tc>
        <w:tc>
          <w:tcPr>
            <w:tcW w:w="1276" w:type="dxa"/>
            <w:tcBorders>
              <w:top w:val="nil"/>
              <w:left w:val="nil"/>
              <w:bottom w:val="nil"/>
              <w:right w:val="nil"/>
            </w:tcBorders>
          </w:tcPr>
          <w:p w:rsidR="00A422E8" w:rsidRDefault="00A422E8" w:rsidP="00192538">
            <w:pPr>
              <w:jc w:val="center"/>
            </w:pPr>
            <w:r>
              <w:t>0</w:t>
            </w:r>
          </w:p>
        </w:tc>
        <w:tc>
          <w:tcPr>
            <w:tcW w:w="1847" w:type="dxa"/>
            <w:tcBorders>
              <w:top w:val="nil"/>
              <w:left w:val="nil"/>
              <w:bottom w:val="nil"/>
            </w:tcBorders>
          </w:tcPr>
          <w:p w:rsidR="00A422E8" w:rsidRDefault="00A422E8" w:rsidP="00192538">
            <w:pPr>
              <w:jc w:val="center"/>
            </w:pPr>
            <w:r>
              <w:t>0</w:t>
            </w:r>
          </w:p>
        </w:tc>
      </w:tr>
      <w:tr w:rsidR="00A422E8" w:rsidTr="00192538">
        <w:trPr>
          <w:jc w:val="center"/>
        </w:trPr>
        <w:tc>
          <w:tcPr>
            <w:tcW w:w="570" w:type="dxa"/>
            <w:tcBorders>
              <w:top w:val="nil"/>
              <w:bottom w:val="nil"/>
              <w:right w:val="nil"/>
            </w:tcBorders>
          </w:tcPr>
          <w:p w:rsidR="00A422E8" w:rsidRDefault="00A422E8" w:rsidP="00192538">
            <w:pPr>
              <w:jc w:val="center"/>
            </w:pPr>
          </w:p>
        </w:tc>
        <w:tc>
          <w:tcPr>
            <w:tcW w:w="3678" w:type="dxa"/>
            <w:tcBorders>
              <w:top w:val="nil"/>
              <w:left w:val="nil"/>
              <w:bottom w:val="nil"/>
              <w:right w:val="nil"/>
            </w:tcBorders>
          </w:tcPr>
          <w:p w:rsidR="00A422E8" w:rsidRDefault="00A422E8" w:rsidP="00192538">
            <w:r>
              <w:t>Rp 3.000.000 – Rp 5.000.000,00</w:t>
            </w:r>
          </w:p>
        </w:tc>
        <w:tc>
          <w:tcPr>
            <w:tcW w:w="1276" w:type="dxa"/>
            <w:tcBorders>
              <w:top w:val="nil"/>
              <w:left w:val="nil"/>
              <w:bottom w:val="nil"/>
              <w:right w:val="nil"/>
            </w:tcBorders>
          </w:tcPr>
          <w:p w:rsidR="00A422E8" w:rsidRDefault="00A422E8" w:rsidP="00192538">
            <w:pPr>
              <w:jc w:val="center"/>
            </w:pPr>
            <w:r>
              <w:t>2</w:t>
            </w:r>
          </w:p>
        </w:tc>
        <w:tc>
          <w:tcPr>
            <w:tcW w:w="1847" w:type="dxa"/>
            <w:tcBorders>
              <w:top w:val="nil"/>
              <w:left w:val="nil"/>
              <w:bottom w:val="nil"/>
            </w:tcBorders>
          </w:tcPr>
          <w:p w:rsidR="00A422E8" w:rsidRDefault="00A422E8" w:rsidP="00192538">
            <w:pPr>
              <w:jc w:val="center"/>
            </w:pPr>
            <w:r>
              <w:t>28,57</w:t>
            </w:r>
          </w:p>
        </w:tc>
      </w:tr>
      <w:tr w:rsidR="00A422E8" w:rsidTr="00192538">
        <w:trPr>
          <w:jc w:val="center"/>
        </w:trPr>
        <w:tc>
          <w:tcPr>
            <w:tcW w:w="570" w:type="dxa"/>
            <w:tcBorders>
              <w:top w:val="nil"/>
              <w:bottom w:val="single" w:sz="4" w:space="0" w:color="auto"/>
              <w:right w:val="nil"/>
            </w:tcBorders>
          </w:tcPr>
          <w:p w:rsidR="00A422E8" w:rsidRDefault="00A422E8" w:rsidP="00192538">
            <w:pPr>
              <w:jc w:val="center"/>
            </w:pPr>
          </w:p>
        </w:tc>
        <w:tc>
          <w:tcPr>
            <w:tcW w:w="3678" w:type="dxa"/>
            <w:tcBorders>
              <w:top w:val="nil"/>
              <w:left w:val="nil"/>
              <w:bottom w:val="single" w:sz="4" w:space="0" w:color="auto"/>
              <w:right w:val="nil"/>
            </w:tcBorders>
          </w:tcPr>
          <w:p w:rsidR="00A422E8" w:rsidRPr="00F64A1A" w:rsidRDefault="00A422E8" w:rsidP="00192538">
            <w:r>
              <w:t>&gt; Rp 5.000.000,00</w:t>
            </w:r>
          </w:p>
        </w:tc>
        <w:tc>
          <w:tcPr>
            <w:tcW w:w="1276" w:type="dxa"/>
            <w:tcBorders>
              <w:top w:val="nil"/>
              <w:left w:val="nil"/>
              <w:bottom w:val="single" w:sz="4" w:space="0" w:color="auto"/>
              <w:right w:val="nil"/>
            </w:tcBorders>
          </w:tcPr>
          <w:p w:rsidR="00A422E8" w:rsidRDefault="00A422E8" w:rsidP="00192538">
            <w:pPr>
              <w:jc w:val="center"/>
            </w:pPr>
            <w:r>
              <w:t>3</w:t>
            </w:r>
          </w:p>
        </w:tc>
        <w:tc>
          <w:tcPr>
            <w:tcW w:w="1847" w:type="dxa"/>
            <w:tcBorders>
              <w:top w:val="nil"/>
              <w:left w:val="nil"/>
            </w:tcBorders>
          </w:tcPr>
          <w:p w:rsidR="00A422E8" w:rsidRDefault="00A422E8" w:rsidP="00192538">
            <w:pPr>
              <w:jc w:val="center"/>
            </w:pPr>
            <w:r>
              <w:t>42,86</w:t>
            </w:r>
          </w:p>
        </w:tc>
      </w:tr>
      <w:tr w:rsidR="00A422E8" w:rsidTr="00192538">
        <w:trPr>
          <w:jc w:val="center"/>
        </w:trPr>
        <w:tc>
          <w:tcPr>
            <w:tcW w:w="570" w:type="dxa"/>
            <w:tcBorders>
              <w:right w:val="nil"/>
            </w:tcBorders>
          </w:tcPr>
          <w:p w:rsidR="00A422E8" w:rsidRDefault="00A422E8" w:rsidP="00192538">
            <w:pPr>
              <w:jc w:val="center"/>
            </w:pPr>
          </w:p>
        </w:tc>
        <w:tc>
          <w:tcPr>
            <w:tcW w:w="3678" w:type="dxa"/>
            <w:tcBorders>
              <w:left w:val="nil"/>
              <w:right w:val="nil"/>
            </w:tcBorders>
          </w:tcPr>
          <w:p w:rsidR="00A422E8" w:rsidRDefault="00A422E8" w:rsidP="00192538">
            <w:pPr>
              <w:jc w:val="center"/>
            </w:pPr>
            <w:r>
              <w:t>Total</w:t>
            </w:r>
          </w:p>
        </w:tc>
        <w:tc>
          <w:tcPr>
            <w:tcW w:w="1276" w:type="dxa"/>
            <w:tcBorders>
              <w:left w:val="nil"/>
              <w:right w:val="nil"/>
            </w:tcBorders>
          </w:tcPr>
          <w:p w:rsidR="00A422E8" w:rsidRDefault="00A422E8" w:rsidP="00192538">
            <w:pPr>
              <w:jc w:val="center"/>
            </w:pPr>
            <w:r>
              <w:t>7</w:t>
            </w:r>
          </w:p>
        </w:tc>
        <w:tc>
          <w:tcPr>
            <w:tcW w:w="1847" w:type="dxa"/>
            <w:tcBorders>
              <w:left w:val="nil"/>
            </w:tcBorders>
          </w:tcPr>
          <w:p w:rsidR="00A422E8" w:rsidRDefault="00A422E8" w:rsidP="00192538">
            <w:pPr>
              <w:jc w:val="center"/>
            </w:pPr>
            <w:r>
              <w:t>100</w:t>
            </w:r>
          </w:p>
        </w:tc>
      </w:tr>
    </w:tbl>
    <w:p w:rsidR="003104A6" w:rsidRDefault="003104A6" w:rsidP="00A422E8">
      <w:pPr>
        <w:pStyle w:val="Body"/>
        <w:tabs>
          <w:tab w:val="left" w:pos="1862"/>
        </w:tabs>
        <w:spacing w:line="480" w:lineRule="auto"/>
        <w:ind w:firstLine="0"/>
        <w:rPr>
          <w:rFonts w:asciiTheme="majorBidi" w:hAnsiTheme="majorBidi" w:cstheme="majorBidi"/>
          <w:sz w:val="24"/>
          <w:szCs w:val="24"/>
          <w:lang w:val="id-ID"/>
        </w:rPr>
      </w:pPr>
    </w:p>
    <w:p w:rsidR="003104A6" w:rsidRDefault="003104A6" w:rsidP="00A422E8">
      <w:pPr>
        <w:pStyle w:val="Body"/>
        <w:tabs>
          <w:tab w:val="left" w:pos="1862"/>
        </w:tabs>
        <w:spacing w:line="480" w:lineRule="auto"/>
        <w:ind w:firstLine="0"/>
        <w:rPr>
          <w:rFonts w:asciiTheme="majorBidi" w:hAnsiTheme="majorBidi" w:cstheme="majorBidi"/>
          <w:sz w:val="24"/>
          <w:szCs w:val="24"/>
          <w:lang w:val="id-ID"/>
        </w:rPr>
      </w:pPr>
    </w:p>
    <w:p w:rsidR="006D5456" w:rsidRDefault="006D5456" w:rsidP="00A422E8">
      <w:pPr>
        <w:pStyle w:val="Body"/>
        <w:tabs>
          <w:tab w:val="left" w:pos="1862"/>
        </w:tabs>
        <w:spacing w:line="480" w:lineRule="auto"/>
        <w:ind w:firstLine="0"/>
        <w:rPr>
          <w:rFonts w:asciiTheme="majorBidi" w:hAnsiTheme="majorBidi" w:cstheme="majorBidi"/>
          <w:sz w:val="24"/>
          <w:szCs w:val="24"/>
          <w:lang w:val="id-ID"/>
        </w:rPr>
      </w:pPr>
    </w:p>
    <w:p w:rsidR="006D5456" w:rsidRDefault="006D5456" w:rsidP="00A422E8">
      <w:pPr>
        <w:pStyle w:val="Body"/>
        <w:tabs>
          <w:tab w:val="left" w:pos="1862"/>
        </w:tabs>
        <w:spacing w:line="480" w:lineRule="auto"/>
        <w:ind w:firstLine="0"/>
        <w:rPr>
          <w:rFonts w:asciiTheme="majorBidi" w:hAnsiTheme="majorBidi" w:cstheme="majorBidi"/>
          <w:sz w:val="24"/>
          <w:szCs w:val="24"/>
          <w:lang w:val="id-ID"/>
        </w:rPr>
      </w:pPr>
    </w:p>
    <w:p w:rsidR="006D5456" w:rsidRDefault="006D5456" w:rsidP="00A422E8">
      <w:pPr>
        <w:pStyle w:val="Body"/>
        <w:tabs>
          <w:tab w:val="left" w:pos="1862"/>
        </w:tabs>
        <w:spacing w:line="480" w:lineRule="auto"/>
        <w:ind w:firstLine="0"/>
        <w:rPr>
          <w:rFonts w:asciiTheme="majorBidi" w:hAnsiTheme="majorBidi" w:cstheme="majorBidi"/>
          <w:sz w:val="24"/>
          <w:szCs w:val="24"/>
          <w:lang w:val="id-ID"/>
        </w:rPr>
      </w:pPr>
    </w:p>
    <w:p w:rsidR="00A96DE4" w:rsidRDefault="00A96DE4" w:rsidP="00A422E8">
      <w:pPr>
        <w:pStyle w:val="Body"/>
        <w:tabs>
          <w:tab w:val="left" w:pos="1862"/>
        </w:tabs>
        <w:spacing w:line="480" w:lineRule="auto"/>
        <w:ind w:firstLine="0"/>
        <w:rPr>
          <w:rFonts w:asciiTheme="majorBidi" w:hAnsiTheme="majorBidi" w:cstheme="majorBidi"/>
          <w:sz w:val="24"/>
          <w:szCs w:val="24"/>
          <w:lang w:val="id-ID"/>
        </w:rPr>
      </w:pPr>
    </w:p>
    <w:p w:rsidR="00095E05" w:rsidRDefault="00095E05" w:rsidP="00A422E8">
      <w:pPr>
        <w:pStyle w:val="Body"/>
        <w:tabs>
          <w:tab w:val="left" w:pos="1862"/>
        </w:tabs>
        <w:spacing w:line="480" w:lineRule="auto"/>
        <w:ind w:firstLine="0"/>
        <w:rPr>
          <w:rFonts w:asciiTheme="majorBidi" w:hAnsiTheme="majorBidi" w:cstheme="majorBidi"/>
          <w:b/>
          <w:sz w:val="24"/>
          <w:szCs w:val="24"/>
          <w:lang w:val="id-ID"/>
        </w:rPr>
      </w:pPr>
      <w:r>
        <w:rPr>
          <w:rFonts w:asciiTheme="majorBidi" w:hAnsiTheme="majorBidi" w:cstheme="majorBidi"/>
          <w:b/>
          <w:sz w:val="24"/>
          <w:szCs w:val="24"/>
          <w:lang w:val="id-ID"/>
        </w:rPr>
        <w:lastRenderedPageBreak/>
        <w:t>Tindakan Pedagang Terhadap Saus yang digunakan</w:t>
      </w:r>
    </w:p>
    <w:p w:rsidR="006422DF" w:rsidRPr="006422DF" w:rsidRDefault="006422DF" w:rsidP="00695274">
      <w:pPr>
        <w:pStyle w:val="Body"/>
        <w:tabs>
          <w:tab w:val="left" w:pos="1862"/>
        </w:tabs>
        <w:ind w:firstLine="0"/>
        <w:jc w:val="center"/>
        <w:rPr>
          <w:rFonts w:asciiTheme="majorBidi" w:hAnsiTheme="majorBidi" w:cstheme="majorBidi"/>
          <w:sz w:val="24"/>
          <w:szCs w:val="24"/>
          <w:lang w:val="id-ID"/>
        </w:rPr>
      </w:pPr>
      <w:r w:rsidRPr="006422DF">
        <w:rPr>
          <w:rFonts w:asciiTheme="majorBidi" w:hAnsiTheme="majorBidi" w:cstheme="majorBidi"/>
          <w:sz w:val="24"/>
          <w:szCs w:val="24"/>
          <w:lang w:val="id-ID"/>
        </w:rPr>
        <w:t>Tabel 2. Tindakan Pedagang Mi Ayam terhadap Saus yang digunakan</w:t>
      </w:r>
    </w:p>
    <w:tbl>
      <w:tblPr>
        <w:tblStyle w:val="TableGrid"/>
        <w:tblW w:w="808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116"/>
        <w:gridCol w:w="916"/>
        <w:gridCol w:w="927"/>
        <w:gridCol w:w="708"/>
        <w:gridCol w:w="916"/>
        <w:gridCol w:w="927"/>
      </w:tblGrid>
      <w:tr w:rsidR="00695274" w:rsidTr="00695274">
        <w:trPr>
          <w:trHeight w:val="111"/>
          <w:jc w:val="center"/>
        </w:trPr>
        <w:tc>
          <w:tcPr>
            <w:tcW w:w="570" w:type="dxa"/>
            <w:vMerge w:val="restart"/>
            <w:tcBorders>
              <w:top w:val="single" w:sz="4" w:space="0" w:color="auto"/>
              <w:bottom w:val="nil"/>
            </w:tcBorders>
          </w:tcPr>
          <w:p w:rsidR="00695274" w:rsidRPr="003A3442" w:rsidRDefault="00695274" w:rsidP="00E3518B">
            <w:pPr>
              <w:jc w:val="center"/>
            </w:pPr>
            <w:r w:rsidRPr="003A3442">
              <w:t>No.</w:t>
            </w:r>
          </w:p>
        </w:tc>
        <w:tc>
          <w:tcPr>
            <w:tcW w:w="3116" w:type="dxa"/>
            <w:vMerge w:val="restart"/>
            <w:tcBorders>
              <w:top w:val="single" w:sz="4" w:space="0" w:color="auto"/>
              <w:bottom w:val="nil"/>
            </w:tcBorders>
          </w:tcPr>
          <w:p w:rsidR="00695274" w:rsidRPr="003A3442" w:rsidRDefault="00695274" w:rsidP="00E3518B">
            <w:pPr>
              <w:jc w:val="center"/>
            </w:pPr>
            <w:r w:rsidRPr="003A3442">
              <w:t>Pernyataan</w:t>
            </w:r>
          </w:p>
        </w:tc>
        <w:tc>
          <w:tcPr>
            <w:tcW w:w="4394" w:type="dxa"/>
            <w:gridSpan w:val="5"/>
            <w:tcBorders>
              <w:top w:val="single" w:sz="4" w:space="0" w:color="auto"/>
              <w:bottom w:val="single" w:sz="4" w:space="0" w:color="auto"/>
            </w:tcBorders>
          </w:tcPr>
          <w:p w:rsidR="00695274" w:rsidRPr="003A3442" w:rsidRDefault="00695274" w:rsidP="00E3518B">
            <w:pPr>
              <w:jc w:val="center"/>
            </w:pPr>
            <w:r w:rsidRPr="003A3442">
              <w:t>n (%)</w:t>
            </w:r>
          </w:p>
        </w:tc>
      </w:tr>
      <w:tr w:rsidR="00695274" w:rsidTr="00695274">
        <w:trPr>
          <w:jc w:val="center"/>
        </w:trPr>
        <w:tc>
          <w:tcPr>
            <w:tcW w:w="570" w:type="dxa"/>
            <w:vMerge/>
            <w:tcBorders>
              <w:top w:val="nil"/>
              <w:bottom w:val="single" w:sz="4" w:space="0" w:color="auto"/>
            </w:tcBorders>
          </w:tcPr>
          <w:p w:rsidR="00695274" w:rsidRPr="003A3442" w:rsidRDefault="00695274" w:rsidP="00E3518B">
            <w:pPr>
              <w:jc w:val="center"/>
            </w:pPr>
          </w:p>
        </w:tc>
        <w:tc>
          <w:tcPr>
            <w:tcW w:w="3116" w:type="dxa"/>
            <w:vMerge/>
            <w:tcBorders>
              <w:top w:val="nil"/>
              <w:bottom w:val="single" w:sz="4" w:space="0" w:color="auto"/>
            </w:tcBorders>
          </w:tcPr>
          <w:p w:rsidR="00695274" w:rsidRPr="003A3442" w:rsidRDefault="00695274" w:rsidP="00E3518B"/>
        </w:tc>
        <w:tc>
          <w:tcPr>
            <w:tcW w:w="916" w:type="dxa"/>
            <w:tcBorders>
              <w:top w:val="single" w:sz="4" w:space="0" w:color="auto"/>
              <w:bottom w:val="single" w:sz="4" w:space="0" w:color="auto"/>
            </w:tcBorders>
          </w:tcPr>
          <w:p w:rsidR="00695274" w:rsidRPr="003A3442" w:rsidRDefault="00695274" w:rsidP="00E3518B">
            <w:pPr>
              <w:jc w:val="center"/>
            </w:pPr>
            <w:r w:rsidRPr="003A3442">
              <w:t>SL</w:t>
            </w:r>
          </w:p>
        </w:tc>
        <w:tc>
          <w:tcPr>
            <w:tcW w:w="927" w:type="dxa"/>
            <w:tcBorders>
              <w:top w:val="single" w:sz="4" w:space="0" w:color="auto"/>
              <w:bottom w:val="single" w:sz="4" w:space="0" w:color="auto"/>
            </w:tcBorders>
          </w:tcPr>
          <w:p w:rsidR="00695274" w:rsidRPr="003A3442" w:rsidRDefault="00695274" w:rsidP="00E3518B">
            <w:pPr>
              <w:jc w:val="center"/>
            </w:pPr>
            <w:r w:rsidRPr="003A3442">
              <w:t>SR</w:t>
            </w:r>
          </w:p>
        </w:tc>
        <w:tc>
          <w:tcPr>
            <w:tcW w:w="708" w:type="dxa"/>
            <w:tcBorders>
              <w:top w:val="single" w:sz="4" w:space="0" w:color="auto"/>
              <w:bottom w:val="single" w:sz="4" w:space="0" w:color="auto"/>
            </w:tcBorders>
          </w:tcPr>
          <w:p w:rsidR="00695274" w:rsidRPr="003A3442" w:rsidRDefault="00695274" w:rsidP="00E3518B">
            <w:pPr>
              <w:jc w:val="center"/>
            </w:pPr>
            <w:r w:rsidRPr="003A3442">
              <w:t>C</w:t>
            </w:r>
          </w:p>
        </w:tc>
        <w:tc>
          <w:tcPr>
            <w:tcW w:w="916" w:type="dxa"/>
            <w:tcBorders>
              <w:top w:val="single" w:sz="4" w:space="0" w:color="auto"/>
              <w:bottom w:val="single" w:sz="4" w:space="0" w:color="auto"/>
            </w:tcBorders>
          </w:tcPr>
          <w:p w:rsidR="00695274" w:rsidRPr="003A3442" w:rsidRDefault="00695274" w:rsidP="00E3518B">
            <w:pPr>
              <w:ind w:right="-108"/>
            </w:pPr>
            <w:r w:rsidRPr="003A3442">
              <w:t xml:space="preserve"> </w:t>
            </w:r>
            <w:r>
              <w:t xml:space="preserve">  </w:t>
            </w:r>
            <w:r w:rsidRPr="003A3442">
              <w:t>KK</w:t>
            </w:r>
          </w:p>
        </w:tc>
        <w:tc>
          <w:tcPr>
            <w:tcW w:w="927" w:type="dxa"/>
            <w:tcBorders>
              <w:top w:val="single" w:sz="4" w:space="0" w:color="auto"/>
              <w:bottom w:val="single" w:sz="4" w:space="0" w:color="auto"/>
            </w:tcBorders>
          </w:tcPr>
          <w:p w:rsidR="00695274" w:rsidRPr="003A3442" w:rsidRDefault="00695274" w:rsidP="00E3518B">
            <w:pPr>
              <w:jc w:val="center"/>
            </w:pPr>
            <w:r w:rsidRPr="003A3442">
              <w:t>TP</w:t>
            </w:r>
          </w:p>
        </w:tc>
      </w:tr>
      <w:tr w:rsidR="00695274" w:rsidTr="00695274">
        <w:trPr>
          <w:jc w:val="center"/>
        </w:trPr>
        <w:tc>
          <w:tcPr>
            <w:tcW w:w="570" w:type="dxa"/>
            <w:tcBorders>
              <w:top w:val="single" w:sz="4" w:space="0" w:color="auto"/>
            </w:tcBorders>
          </w:tcPr>
          <w:p w:rsidR="00695274" w:rsidRPr="003A3442" w:rsidRDefault="00695274" w:rsidP="00E3518B">
            <w:pPr>
              <w:jc w:val="center"/>
            </w:pPr>
            <w:r w:rsidRPr="003A3442">
              <w:t>1</w:t>
            </w:r>
          </w:p>
        </w:tc>
        <w:tc>
          <w:tcPr>
            <w:tcW w:w="3116" w:type="dxa"/>
            <w:tcBorders>
              <w:top w:val="single" w:sz="4" w:space="0" w:color="auto"/>
            </w:tcBorders>
          </w:tcPr>
          <w:p w:rsidR="00695274" w:rsidRPr="003A3442" w:rsidRDefault="00695274" w:rsidP="00E3518B">
            <w:pPr>
              <w:jc w:val="both"/>
            </w:pPr>
            <w:r w:rsidRPr="003A3442">
              <w:t>Saya memerhatikan tanggal kadaluarsa saus</w:t>
            </w:r>
          </w:p>
        </w:tc>
        <w:tc>
          <w:tcPr>
            <w:tcW w:w="916" w:type="dxa"/>
            <w:tcBorders>
              <w:top w:val="single" w:sz="4" w:space="0" w:color="auto"/>
            </w:tcBorders>
          </w:tcPr>
          <w:p w:rsidR="00695274" w:rsidRPr="003A3442" w:rsidRDefault="00695274" w:rsidP="00E3518B">
            <w:pPr>
              <w:jc w:val="center"/>
            </w:pPr>
            <w:r w:rsidRPr="003A3442">
              <w:t>4 (57,14)</w:t>
            </w:r>
          </w:p>
        </w:tc>
        <w:tc>
          <w:tcPr>
            <w:tcW w:w="927" w:type="dxa"/>
            <w:tcBorders>
              <w:top w:val="single" w:sz="4" w:space="0" w:color="auto"/>
            </w:tcBorders>
          </w:tcPr>
          <w:p w:rsidR="00695274" w:rsidRPr="003A3442" w:rsidRDefault="00695274" w:rsidP="00E3518B">
            <w:pPr>
              <w:jc w:val="center"/>
            </w:pPr>
            <w:r w:rsidRPr="003A3442">
              <w:t>0 (0)</w:t>
            </w:r>
          </w:p>
        </w:tc>
        <w:tc>
          <w:tcPr>
            <w:tcW w:w="708" w:type="dxa"/>
            <w:tcBorders>
              <w:top w:val="single" w:sz="4" w:space="0" w:color="auto"/>
            </w:tcBorders>
          </w:tcPr>
          <w:p w:rsidR="00695274" w:rsidRPr="003A3442" w:rsidRDefault="00695274" w:rsidP="00E3518B">
            <w:pPr>
              <w:jc w:val="center"/>
            </w:pPr>
            <w:r w:rsidRPr="003A3442">
              <w:t>0 (0)</w:t>
            </w:r>
          </w:p>
        </w:tc>
        <w:tc>
          <w:tcPr>
            <w:tcW w:w="916" w:type="dxa"/>
            <w:tcBorders>
              <w:top w:val="single" w:sz="4" w:space="0" w:color="auto"/>
            </w:tcBorders>
          </w:tcPr>
          <w:p w:rsidR="00695274" w:rsidRPr="003A3442" w:rsidRDefault="00695274" w:rsidP="00E3518B">
            <w:pPr>
              <w:jc w:val="center"/>
            </w:pPr>
            <w:r w:rsidRPr="003A3442">
              <w:t>1 (14,29)</w:t>
            </w:r>
          </w:p>
        </w:tc>
        <w:tc>
          <w:tcPr>
            <w:tcW w:w="927" w:type="dxa"/>
            <w:tcBorders>
              <w:top w:val="single" w:sz="4" w:space="0" w:color="auto"/>
            </w:tcBorders>
          </w:tcPr>
          <w:p w:rsidR="00695274" w:rsidRPr="003A3442" w:rsidRDefault="00695274" w:rsidP="00E3518B">
            <w:pPr>
              <w:jc w:val="center"/>
            </w:pPr>
            <w:r w:rsidRPr="003A3442">
              <w:t>2 (28,57)</w:t>
            </w:r>
          </w:p>
        </w:tc>
      </w:tr>
      <w:tr w:rsidR="00695274" w:rsidTr="00695274">
        <w:trPr>
          <w:jc w:val="center"/>
        </w:trPr>
        <w:tc>
          <w:tcPr>
            <w:tcW w:w="570" w:type="dxa"/>
          </w:tcPr>
          <w:p w:rsidR="00695274" w:rsidRPr="003A3442" w:rsidRDefault="00695274" w:rsidP="00E3518B">
            <w:pPr>
              <w:jc w:val="center"/>
            </w:pPr>
            <w:r w:rsidRPr="003A3442">
              <w:t>2</w:t>
            </w:r>
          </w:p>
        </w:tc>
        <w:tc>
          <w:tcPr>
            <w:tcW w:w="3116" w:type="dxa"/>
          </w:tcPr>
          <w:p w:rsidR="00695274" w:rsidRPr="003A3442" w:rsidRDefault="00695274" w:rsidP="00E3518B">
            <w:r w:rsidRPr="003A3442">
              <w:t>Saya menggunakan saus dengan kondisi kemasan yang rusak</w:t>
            </w:r>
          </w:p>
        </w:tc>
        <w:tc>
          <w:tcPr>
            <w:tcW w:w="916" w:type="dxa"/>
          </w:tcPr>
          <w:p w:rsidR="00695274" w:rsidRPr="003A3442" w:rsidRDefault="00695274" w:rsidP="00E3518B">
            <w:pPr>
              <w:jc w:val="center"/>
            </w:pPr>
            <w:r w:rsidRPr="003A3442">
              <w:t>0 (0)</w:t>
            </w:r>
          </w:p>
        </w:tc>
        <w:tc>
          <w:tcPr>
            <w:tcW w:w="927" w:type="dxa"/>
          </w:tcPr>
          <w:p w:rsidR="00695274" w:rsidRPr="003A3442" w:rsidRDefault="00695274" w:rsidP="00E3518B">
            <w:pPr>
              <w:jc w:val="center"/>
            </w:pPr>
            <w:r w:rsidRPr="003A3442">
              <w:t>0 (0)</w:t>
            </w:r>
          </w:p>
        </w:tc>
        <w:tc>
          <w:tcPr>
            <w:tcW w:w="708" w:type="dxa"/>
          </w:tcPr>
          <w:p w:rsidR="00695274" w:rsidRPr="003A3442" w:rsidRDefault="00695274" w:rsidP="00E3518B">
            <w:pPr>
              <w:jc w:val="center"/>
            </w:pPr>
            <w:r w:rsidRPr="003A3442">
              <w:t>0 (0)</w:t>
            </w:r>
          </w:p>
        </w:tc>
        <w:tc>
          <w:tcPr>
            <w:tcW w:w="916" w:type="dxa"/>
          </w:tcPr>
          <w:p w:rsidR="00695274" w:rsidRPr="003A3442" w:rsidRDefault="00695274" w:rsidP="00E3518B">
            <w:pPr>
              <w:jc w:val="center"/>
            </w:pPr>
            <w:r w:rsidRPr="003A3442">
              <w:t>0 (0)</w:t>
            </w:r>
          </w:p>
        </w:tc>
        <w:tc>
          <w:tcPr>
            <w:tcW w:w="927" w:type="dxa"/>
          </w:tcPr>
          <w:p w:rsidR="00695274" w:rsidRPr="003A3442" w:rsidRDefault="00695274" w:rsidP="00E3518B">
            <w:pPr>
              <w:jc w:val="center"/>
            </w:pPr>
            <w:r w:rsidRPr="003A3442">
              <w:t>7 (100)</w:t>
            </w:r>
          </w:p>
        </w:tc>
        <w:bookmarkStart w:id="0" w:name="_GoBack"/>
        <w:bookmarkEnd w:id="0"/>
      </w:tr>
      <w:tr w:rsidR="00695274" w:rsidTr="00695274">
        <w:trPr>
          <w:jc w:val="center"/>
        </w:trPr>
        <w:tc>
          <w:tcPr>
            <w:tcW w:w="570" w:type="dxa"/>
          </w:tcPr>
          <w:p w:rsidR="00695274" w:rsidRPr="003A3442" w:rsidRDefault="00695274" w:rsidP="00E3518B">
            <w:pPr>
              <w:jc w:val="center"/>
            </w:pPr>
            <w:r w:rsidRPr="003A3442">
              <w:t>3</w:t>
            </w:r>
          </w:p>
        </w:tc>
        <w:tc>
          <w:tcPr>
            <w:tcW w:w="3116" w:type="dxa"/>
          </w:tcPr>
          <w:p w:rsidR="00695274" w:rsidRPr="003A3442" w:rsidRDefault="00695274" w:rsidP="00E3518B">
            <w:r w:rsidRPr="003A3442">
              <w:t>Saya menyimpan saus pada tempat khusus untuk menyimpan makanan</w:t>
            </w:r>
          </w:p>
        </w:tc>
        <w:tc>
          <w:tcPr>
            <w:tcW w:w="916" w:type="dxa"/>
          </w:tcPr>
          <w:p w:rsidR="00695274" w:rsidRPr="003A3442" w:rsidRDefault="00695274" w:rsidP="00E3518B">
            <w:pPr>
              <w:jc w:val="center"/>
            </w:pPr>
            <w:r w:rsidRPr="003A3442">
              <w:t>5 (71,43)</w:t>
            </w:r>
          </w:p>
        </w:tc>
        <w:tc>
          <w:tcPr>
            <w:tcW w:w="927" w:type="dxa"/>
          </w:tcPr>
          <w:p w:rsidR="00695274" w:rsidRPr="003A3442" w:rsidRDefault="00695274" w:rsidP="00E3518B">
            <w:pPr>
              <w:jc w:val="center"/>
            </w:pPr>
            <w:r w:rsidRPr="003A3442">
              <w:t>0 (0)</w:t>
            </w:r>
          </w:p>
        </w:tc>
        <w:tc>
          <w:tcPr>
            <w:tcW w:w="708" w:type="dxa"/>
          </w:tcPr>
          <w:p w:rsidR="00695274" w:rsidRPr="003A3442" w:rsidRDefault="00695274" w:rsidP="00E3518B">
            <w:pPr>
              <w:jc w:val="center"/>
            </w:pPr>
            <w:r w:rsidRPr="003A3442">
              <w:t>0 (0)</w:t>
            </w:r>
          </w:p>
        </w:tc>
        <w:tc>
          <w:tcPr>
            <w:tcW w:w="916" w:type="dxa"/>
          </w:tcPr>
          <w:p w:rsidR="00695274" w:rsidRPr="003A3442" w:rsidRDefault="00695274" w:rsidP="00E3518B">
            <w:pPr>
              <w:jc w:val="center"/>
            </w:pPr>
            <w:r w:rsidRPr="003A3442">
              <w:t>0 (0)</w:t>
            </w:r>
          </w:p>
        </w:tc>
        <w:tc>
          <w:tcPr>
            <w:tcW w:w="927" w:type="dxa"/>
          </w:tcPr>
          <w:p w:rsidR="00695274" w:rsidRPr="003A3442" w:rsidRDefault="00695274" w:rsidP="00E3518B">
            <w:pPr>
              <w:jc w:val="center"/>
            </w:pPr>
            <w:r w:rsidRPr="003A3442">
              <w:t>2 (28,57)</w:t>
            </w:r>
          </w:p>
        </w:tc>
      </w:tr>
      <w:tr w:rsidR="00695274" w:rsidTr="00695274">
        <w:trPr>
          <w:jc w:val="center"/>
        </w:trPr>
        <w:tc>
          <w:tcPr>
            <w:tcW w:w="570" w:type="dxa"/>
          </w:tcPr>
          <w:p w:rsidR="00695274" w:rsidRPr="003A3442" w:rsidRDefault="00695274" w:rsidP="00E3518B">
            <w:pPr>
              <w:jc w:val="center"/>
            </w:pPr>
            <w:r w:rsidRPr="003A3442">
              <w:t>4</w:t>
            </w:r>
          </w:p>
        </w:tc>
        <w:tc>
          <w:tcPr>
            <w:tcW w:w="3116" w:type="dxa"/>
          </w:tcPr>
          <w:p w:rsidR="00695274" w:rsidRPr="003A3442" w:rsidRDefault="00695274" w:rsidP="00E3518B">
            <w:r w:rsidRPr="003A3442">
              <w:t>Saya menyimpan saus pada tempat yang terdapat serangga atau hewan lainnya</w:t>
            </w:r>
          </w:p>
        </w:tc>
        <w:tc>
          <w:tcPr>
            <w:tcW w:w="916" w:type="dxa"/>
          </w:tcPr>
          <w:p w:rsidR="00695274" w:rsidRPr="003A3442" w:rsidRDefault="00695274" w:rsidP="00E3518B">
            <w:pPr>
              <w:jc w:val="center"/>
            </w:pPr>
            <w:r w:rsidRPr="003A3442">
              <w:t>4 (57,14)</w:t>
            </w:r>
          </w:p>
        </w:tc>
        <w:tc>
          <w:tcPr>
            <w:tcW w:w="927" w:type="dxa"/>
          </w:tcPr>
          <w:p w:rsidR="00695274" w:rsidRPr="003A3442" w:rsidRDefault="00695274" w:rsidP="00E3518B">
            <w:pPr>
              <w:jc w:val="center"/>
            </w:pPr>
            <w:r w:rsidRPr="003A3442">
              <w:t>0 (0)</w:t>
            </w:r>
          </w:p>
        </w:tc>
        <w:tc>
          <w:tcPr>
            <w:tcW w:w="708" w:type="dxa"/>
          </w:tcPr>
          <w:p w:rsidR="00695274" w:rsidRPr="003A3442" w:rsidRDefault="00695274" w:rsidP="00E3518B">
            <w:pPr>
              <w:jc w:val="center"/>
            </w:pPr>
            <w:r w:rsidRPr="003A3442">
              <w:t>0 (0)</w:t>
            </w:r>
          </w:p>
        </w:tc>
        <w:tc>
          <w:tcPr>
            <w:tcW w:w="916" w:type="dxa"/>
          </w:tcPr>
          <w:p w:rsidR="00695274" w:rsidRPr="003A3442" w:rsidRDefault="00695274" w:rsidP="00E3518B">
            <w:pPr>
              <w:jc w:val="center"/>
            </w:pPr>
            <w:r w:rsidRPr="003A3442">
              <w:t>0 (0)</w:t>
            </w:r>
          </w:p>
        </w:tc>
        <w:tc>
          <w:tcPr>
            <w:tcW w:w="927" w:type="dxa"/>
          </w:tcPr>
          <w:p w:rsidR="00695274" w:rsidRPr="003A3442" w:rsidRDefault="00695274" w:rsidP="00E3518B">
            <w:pPr>
              <w:jc w:val="center"/>
            </w:pPr>
            <w:r w:rsidRPr="003A3442">
              <w:t>3 (42,86)</w:t>
            </w:r>
          </w:p>
        </w:tc>
      </w:tr>
      <w:tr w:rsidR="00695274" w:rsidTr="00695274">
        <w:trPr>
          <w:jc w:val="center"/>
        </w:trPr>
        <w:tc>
          <w:tcPr>
            <w:tcW w:w="570" w:type="dxa"/>
          </w:tcPr>
          <w:p w:rsidR="00695274" w:rsidRPr="003A3442" w:rsidRDefault="00695274" w:rsidP="00E3518B">
            <w:pPr>
              <w:jc w:val="center"/>
            </w:pPr>
            <w:r w:rsidRPr="003A3442">
              <w:t>5</w:t>
            </w:r>
          </w:p>
        </w:tc>
        <w:tc>
          <w:tcPr>
            <w:tcW w:w="3116" w:type="dxa"/>
          </w:tcPr>
          <w:p w:rsidR="00695274" w:rsidRPr="003A3442" w:rsidRDefault="00695274" w:rsidP="00E3518B">
            <w:r w:rsidRPr="003A3442">
              <w:t>Saya membersihkan bagian mulut lubang kemasan saus setelah selesai berjualan</w:t>
            </w:r>
          </w:p>
        </w:tc>
        <w:tc>
          <w:tcPr>
            <w:tcW w:w="916" w:type="dxa"/>
          </w:tcPr>
          <w:p w:rsidR="00695274" w:rsidRPr="003A3442" w:rsidRDefault="00695274" w:rsidP="00E3518B">
            <w:pPr>
              <w:jc w:val="center"/>
            </w:pPr>
            <w:r w:rsidRPr="003A3442">
              <w:t>0 (0)</w:t>
            </w:r>
          </w:p>
        </w:tc>
        <w:tc>
          <w:tcPr>
            <w:tcW w:w="927" w:type="dxa"/>
          </w:tcPr>
          <w:p w:rsidR="00695274" w:rsidRPr="003A3442" w:rsidRDefault="00695274" w:rsidP="00E3518B">
            <w:pPr>
              <w:jc w:val="center"/>
            </w:pPr>
            <w:r w:rsidRPr="003A3442">
              <w:t>2 (28,57)</w:t>
            </w:r>
          </w:p>
        </w:tc>
        <w:tc>
          <w:tcPr>
            <w:tcW w:w="708" w:type="dxa"/>
          </w:tcPr>
          <w:p w:rsidR="00695274" w:rsidRPr="003A3442" w:rsidRDefault="00695274" w:rsidP="00E3518B">
            <w:pPr>
              <w:jc w:val="center"/>
            </w:pPr>
            <w:r w:rsidRPr="003A3442">
              <w:t>0 (0)</w:t>
            </w:r>
          </w:p>
        </w:tc>
        <w:tc>
          <w:tcPr>
            <w:tcW w:w="916" w:type="dxa"/>
          </w:tcPr>
          <w:p w:rsidR="00695274" w:rsidRPr="003A3442" w:rsidRDefault="00695274" w:rsidP="00E3518B">
            <w:pPr>
              <w:jc w:val="center"/>
            </w:pPr>
            <w:r w:rsidRPr="003A3442">
              <w:t>0 (0)</w:t>
            </w:r>
          </w:p>
        </w:tc>
        <w:tc>
          <w:tcPr>
            <w:tcW w:w="927" w:type="dxa"/>
          </w:tcPr>
          <w:p w:rsidR="00695274" w:rsidRPr="003A3442" w:rsidRDefault="00695274" w:rsidP="00E3518B">
            <w:pPr>
              <w:jc w:val="center"/>
            </w:pPr>
            <w:r w:rsidRPr="003A3442">
              <w:t>5 (71,43)</w:t>
            </w:r>
          </w:p>
        </w:tc>
      </w:tr>
      <w:tr w:rsidR="00695274" w:rsidTr="00695274">
        <w:trPr>
          <w:jc w:val="center"/>
        </w:trPr>
        <w:tc>
          <w:tcPr>
            <w:tcW w:w="570" w:type="dxa"/>
          </w:tcPr>
          <w:p w:rsidR="00695274" w:rsidRPr="003A3442" w:rsidRDefault="00695274" w:rsidP="00E3518B">
            <w:pPr>
              <w:jc w:val="center"/>
            </w:pPr>
            <w:r w:rsidRPr="003A3442">
              <w:t>6</w:t>
            </w:r>
          </w:p>
        </w:tc>
        <w:tc>
          <w:tcPr>
            <w:tcW w:w="3116" w:type="dxa"/>
          </w:tcPr>
          <w:p w:rsidR="00695274" w:rsidRPr="003A3442" w:rsidRDefault="00695274" w:rsidP="00E3518B">
            <w:r w:rsidRPr="003A3442">
              <w:t>Saya membersihkan bagian mulut lubang kemasan saus setelah selesai berjualan</w:t>
            </w:r>
          </w:p>
        </w:tc>
        <w:tc>
          <w:tcPr>
            <w:tcW w:w="916" w:type="dxa"/>
          </w:tcPr>
          <w:p w:rsidR="00695274" w:rsidRPr="003A3442" w:rsidRDefault="00695274" w:rsidP="00E3518B">
            <w:pPr>
              <w:jc w:val="center"/>
            </w:pPr>
            <w:r w:rsidRPr="003A3442">
              <w:t>2 (28,57)</w:t>
            </w:r>
          </w:p>
        </w:tc>
        <w:tc>
          <w:tcPr>
            <w:tcW w:w="927" w:type="dxa"/>
          </w:tcPr>
          <w:p w:rsidR="00695274" w:rsidRPr="003A3442" w:rsidRDefault="00695274" w:rsidP="00E3518B">
            <w:pPr>
              <w:jc w:val="center"/>
            </w:pPr>
            <w:r w:rsidRPr="003A3442">
              <w:t>1 (14,29)</w:t>
            </w:r>
          </w:p>
        </w:tc>
        <w:tc>
          <w:tcPr>
            <w:tcW w:w="708" w:type="dxa"/>
          </w:tcPr>
          <w:p w:rsidR="00695274" w:rsidRPr="003A3442" w:rsidRDefault="00695274" w:rsidP="00E3518B">
            <w:pPr>
              <w:jc w:val="center"/>
            </w:pPr>
            <w:r w:rsidRPr="003A3442">
              <w:t>0 (0)</w:t>
            </w:r>
          </w:p>
        </w:tc>
        <w:tc>
          <w:tcPr>
            <w:tcW w:w="916" w:type="dxa"/>
          </w:tcPr>
          <w:p w:rsidR="00695274" w:rsidRPr="003A3442" w:rsidRDefault="00695274" w:rsidP="00E3518B">
            <w:pPr>
              <w:jc w:val="center"/>
            </w:pPr>
            <w:r w:rsidRPr="003A3442">
              <w:t>1 (14,29)</w:t>
            </w:r>
          </w:p>
        </w:tc>
        <w:tc>
          <w:tcPr>
            <w:tcW w:w="927" w:type="dxa"/>
          </w:tcPr>
          <w:p w:rsidR="00695274" w:rsidRPr="003A3442" w:rsidRDefault="00695274" w:rsidP="00E3518B">
            <w:pPr>
              <w:jc w:val="center"/>
            </w:pPr>
            <w:r w:rsidRPr="003A3442">
              <w:t>3 (42,86)</w:t>
            </w:r>
          </w:p>
        </w:tc>
      </w:tr>
      <w:tr w:rsidR="00695274" w:rsidTr="00695274">
        <w:trPr>
          <w:jc w:val="center"/>
        </w:trPr>
        <w:tc>
          <w:tcPr>
            <w:tcW w:w="570" w:type="dxa"/>
          </w:tcPr>
          <w:p w:rsidR="00695274" w:rsidRPr="003A3442" w:rsidRDefault="00695274" w:rsidP="00E3518B">
            <w:pPr>
              <w:jc w:val="center"/>
            </w:pPr>
            <w:r w:rsidRPr="003A3442">
              <w:t>7</w:t>
            </w:r>
          </w:p>
        </w:tc>
        <w:tc>
          <w:tcPr>
            <w:tcW w:w="3116" w:type="dxa"/>
          </w:tcPr>
          <w:p w:rsidR="00695274" w:rsidRPr="003A3442" w:rsidRDefault="00695274" w:rsidP="00E3518B">
            <w:r w:rsidRPr="003A3442">
              <w:t>Saya selalu mencampur saus dengan bahan lainnya</w:t>
            </w:r>
          </w:p>
        </w:tc>
        <w:tc>
          <w:tcPr>
            <w:tcW w:w="916" w:type="dxa"/>
          </w:tcPr>
          <w:p w:rsidR="00695274" w:rsidRPr="003A3442" w:rsidRDefault="00695274" w:rsidP="00E3518B">
            <w:pPr>
              <w:jc w:val="center"/>
            </w:pPr>
            <w:r w:rsidRPr="003A3442">
              <w:t>1 (14,29)</w:t>
            </w:r>
          </w:p>
        </w:tc>
        <w:tc>
          <w:tcPr>
            <w:tcW w:w="927" w:type="dxa"/>
          </w:tcPr>
          <w:p w:rsidR="00695274" w:rsidRPr="003A3442" w:rsidRDefault="00695274" w:rsidP="00E3518B">
            <w:pPr>
              <w:jc w:val="center"/>
            </w:pPr>
            <w:r w:rsidRPr="003A3442">
              <w:t>0 (0)</w:t>
            </w:r>
          </w:p>
        </w:tc>
        <w:tc>
          <w:tcPr>
            <w:tcW w:w="708" w:type="dxa"/>
          </w:tcPr>
          <w:p w:rsidR="00695274" w:rsidRPr="003A3442" w:rsidRDefault="00695274" w:rsidP="00E3518B">
            <w:pPr>
              <w:jc w:val="center"/>
            </w:pPr>
            <w:r w:rsidRPr="003A3442">
              <w:t>0 (0)</w:t>
            </w:r>
          </w:p>
        </w:tc>
        <w:tc>
          <w:tcPr>
            <w:tcW w:w="916" w:type="dxa"/>
          </w:tcPr>
          <w:p w:rsidR="00695274" w:rsidRPr="003A3442" w:rsidRDefault="00695274" w:rsidP="00E3518B">
            <w:pPr>
              <w:jc w:val="center"/>
            </w:pPr>
            <w:r w:rsidRPr="003A3442">
              <w:t>0 (0)</w:t>
            </w:r>
          </w:p>
        </w:tc>
        <w:tc>
          <w:tcPr>
            <w:tcW w:w="927" w:type="dxa"/>
          </w:tcPr>
          <w:p w:rsidR="00695274" w:rsidRPr="003A3442" w:rsidRDefault="00695274" w:rsidP="00E3518B">
            <w:pPr>
              <w:jc w:val="center"/>
            </w:pPr>
            <w:r w:rsidRPr="003A3442">
              <w:t>6 (85,71)</w:t>
            </w:r>
          </w:p>
        </w:tc>
      </w:tr>
    </w:tbl>
    <w:p w:rsidR="00695274" w:rsidRDefault="00695274" w:rsidP="00695274">
      <w:pPr>
        <w:ind w:firstLine="720"/>
      </w:pPr>
      <w:r w:rsidRPr="008C252E">
        <w:t>Keterangan</w:t>
      </w:r>
      <w:r>
        <w:t xml:space="preserve"> :</w:t>
      </w:r>
    </w:p>
    <w:p w:rsidR="00695274" w:rsidRDefault="00695274" w:rsidP="00695274">
      <w:pPr>
        <w:ind w:firstLine="720"/>
      </w:pPr>
      <w:r>
        <w:t>SL : Selalu</w:t>
      </w:r>
    </w:p>
    <w:p w:rsidR="00695274" w:rsidRDefault="00695274" w:rsidP="00695274">
      <w:pPr>
        <w:ind w:firstLine="720"/>
      </w:pPr>
      <w:r>
        <w:t>SR : Sering</w:t>
      </w:r>
    </w:p>
    <w:p w:rsidR="00695274" w:rsidRDefault="00695274" w:rsidP="00695274">
      <w:pPr>
        <w:ind w:firstLine="720"/>
      </w:pPr>
      <w:r>
        <w:t>C   : Cukup</w:t>
      </w:r>
    </w:p>
    <w:p w:rsidR="00695274" w:rsidRDefault="00695274" w:rsidP="00695274">
      <w:pPr>
        <w:ind w:firstLine="720"/>
      </w:pPr>
      <w:r>
        <w:t>KK: Kadang-kadang</w:t>
      </w:r>
    </w:p>
    <w:p w:rsidR="00695274" w:rsidRPr="008C252E" w:rsidRDefault="00695274" w:rsidP="00695274">
      <w:pPr>
        <w:ind w:firstLine="720"/>
      </w:pPr>
      <w:r>
        <w:t xml:space="preserve">TP : Tidak Pernah </w:t>
      </w:r>
    </w:p>
    <w:p w:rsidR="00095E05" w:rsidRPr="00095E05" w:rsidRDefault="00095E05" w:rsidP="00695274">
      <w:pPr>
        <w:pStyle w:val="Body"/>
        <w:tabs>
          <w:tab w:val="left" w:pos="1862"/>
        </w:tabs>
        <w:spacing w:line="480" w:lineRule="auto"/>
        <w:ind w:firstLine="0"/>
        <w:rPr>
          <w:rFonts w:asciiTheme="majorBidi" w:hAnsiTheme="majorBidi" w:cstheme="majorBidi"/>
          <w:b/>
          <w:sz w:val="24"/>
          <w:szCs w:val="24"/>
          <w:lang w:val="id-ID"/>
        </w:rPr>
      </w:pPr>
    </w:p>
    <w:p w:rsidR="006422DF" w:rsidRDefault="006422DF" w:rsidP="006422DF">
      <w:pPr>
        <w:pStyle w:val="Body"/>
        <w:spacing w:line="480" w:lineRule="auto"/>
        <w:ind w:firstLine="0"/>
        <w:rPr>
          <w:rFonts w:asciiTheme="majorBidi" w:hAnsiTheme="majorBidi" w:cstheme="majorBidi"/>
          <w:sz w:val="24"/>
          <w:szCs w:val="24"/>
          <w:lang w:val="id-ID"/>
        </w:rPr>
      </w:pPr>
      <w:r>
        <w:rPr>
          <w:rFonts w:asciiTheme="majorBidi" w:hAnsiTheme="majorBidi" w:cstheme="majorBidi"/>
          <w:sz w:val="24"/>
          <w:szCs w:val="24"/>
          <w:lang w:val="id-ID"/>
        </w:rPr>
        <w:t xml:space="preserve">      Tabel 2 merupakan tindakan yang dilakukan oleh pedag</w:t>
      </w:r>
      <w:r w:rsidR="00695274">
        <w:rPr>
          <w:rFonts w:asciiTheme="majorBidi" w:hAnsiTheme="majorBidi" w:cstheme="majorBidi"/>
          <w:sz w:val="24"/>
          <w:szCs w:val="24"/>
          <w:lang w:val="id-ID"/>
        </w:rPr>
        <w:t xml:space="preserve">ang mi ayam terhadap saus </w:t>
      </w:r>
      <w:r>
        <w:rPr>
          <w:rFonts w:asciiTheme="majorBidi" w:hAnsiTheme="majorBidi" w:cstheme="majorBidi"/>
          <w:sz w:val="24"/>
          <w:szCs w:val="24"/>
          <w:lang w:val="id-ID"/>
        </w:rPr>
        <w:t xml:space="preserve">yang digunakan. Pedagang selalu memerhatikan tanggal kadaluarsa saus (57,14%), tanggal kadaluarsa merupakan informasi yang harus selalu diperhatikan oleh para konsumen. </w:t>
      </w:r>
      <w:r w:rsidR="00C346C7">
        <w:rPr>
          <w:rFonts w:asciiTheme="majorBidi" w:hAnsiTheme="majorBidi" w:cstheme="majorBidi"/>
          <w:sz w:val="24"/>
          <w:szCs w:val="24"/>
          <w:lang w:val="id-ID"/>
        </w:rPr>
        <w:t>Pedagang tidak pernah menggunakan saus dengan kondisi kemasan yang rusak (100%). Pedagang selalu menyimpan saus pada tempat khusus untuk menyimpan makanan (71,43%) serta selalu menyimpan saus d</w:t>
      </w:r>
      <w:r w:rsidR="008E6EDB">
        <w:rPr>
          <w:rFonts w:asciiTheme="majorBidi" w:hAnsiTheme="majorBidi" w:cstheme="majorBidi"/>
          <w:sz w:val="24"/>
          <w:szCs w:val="24"/>
          <w:lang w:val="id-ID"/>
        </w:rPr>
        <w:t>alam keadaan tertutup (57,14%). Pedagang tidak pernah menyimpan saus pada tempat yang terdapat serangga atau hewan lainnya (71,43%). Pedagang tidak pernah membersihkan bagian mulut lubang kemasan saus setelah berjualan (42,86%) serta tidak pernah mencampur saus dengan bahan lainnya</w:t>
      </w:r>
      <w:r w:rsidR="004E28B3">
        <w:rPr>
          <w:rFonts w:asciiTheme="majorBidi" w:hAnsiTheme="majorBidi" w:cstheme="majorBidi"/>
          <w:sz w:val="24"/>
          <w:szCs w:val="24"/>
          <w:lang w:val="id-ID"/>
        </w:rPr>
        <w:t xml:space="preserve"> (85,71%).</w:t>
      </w:r>
    </w:p>
    <w:p w:rsidR="004E28B3" w:rsidRDefault="004E28B3" w:rsidP="006422DF">
      <w:pPr>
        <w:pStyle w:val="Body"/>
        <w:spacing w:line="480" w:lineRule="auto"/>
        <w:ind w:firstLine="0"/>
        <w:rPr>
          <w:rFonts w:asciiTheme="majorBidi" w:hAnsiTheme="majorBidi" w:cstheme="majorBidi"/>
          <w:b/>
          <w:sz w:val="24"/>
          <w:szCs w:val="24"/>
          <w:lang w:val="id-ID"/>
        </w:rPr>
      </w:pPr>
      <w:r>
        <w:rPr>
          <w:rFonts w:asciiTheme="majorBidi" w:hAnsiTheme="majorBidi" w:cstheme="majorBidi"/>
          <w:b/>
          <w:sz w:val="24"/>
          <w:szCs w:val="24"/>
          <w:lang w:val="id-ID"/>
        </w:rPr>
        <w:lastRenderedPageBreak/>
        <w:t>Kadar Air</w:t>
      </w:r>
    </w:p>
    <w:p w:rsidR="00F1381E" w:rsidRDefault="00F1381E" w:rsidP="00F1381E">
      <w:pPr>
        <w:spacing w:line="480" w:lineRule="auto"/>
        <w:jc w:val="both"/>
      </w:pPr>
      <w:r>
        <w:rPr>
          <w:lang w:val="id-ID"/>
        </w:rPr>
        <w:t xml:space="preserve">      </w:t>
      </w:r>
      <w:r>
        <w:t xml:space="preserve">Berdasarkan Standar Nasional Indonesia (SNI) saus cabai No 01-2976-2006, kadar air maksimal yang diizinkan untuk saus cabai adalah 83% </w:t>
      </w:r>
      <w:r w:rsidR="00695274">
        <w:t xml:space="preserve">(wb) (Anonim, 2006). Saus </w:t>
      </w:r>
      <w:r>
        <w:t>yang memenuhi persyaratan mutu hanya sampel B dengan nilai sebesar 82,05% (wb) untuk saus</w:t>
      </w:r>
      <w:r w:rsidR="00695274">
        <w:t xml:space="preserve"> </w:t>
      </w:r>
      <w:r>
        <w:t>baru dan 82,69% (wb) untuk saus lama. Hasil pen</w:t>
      </w:r>
      <w:r w:rsidR="00695274">
        <w:t>gukuran kadar air pada saus</w:t>
      </w:r>
      <w:r>
        <w:t xml:space="preserve"> dapat dilihat pada Tabel 3.</w:t>
      </w:r>
    </w:p>
    <w:p w:rsidR="004E28B3" w:rsidRPr="004E28B3" w:rsidRDefault="004E28B3" w:rsidP="00695274">
      <w:pPr>
        <w:pStyle w:val="Body"/>
        <w:ind w:firstLine="0"/>
        <w:jc w:val="center"/>
        <w:rPr>
          <w:rFonts w:asciiTheme="majorBidi" w:hAnsiTheme="majorBidi" w:cstheme="majorBidi"/>
          <w:sz w:val="24"/>
          <w:szCs w:val="24"/>
          <w:lang w:val="id-ID"/>
        </w:rPr>
      </w:pPr>
      <w:r w:rsidRPr="004E28B3">
        <w:rPr>
          <w:rFonts w:asciiTheme="majorBidi" w:hAnsiTheme="majorBidi" w:cstheme="majorBidi"/>
          <w:sz w:val="24"/>
          <w:szCs w:val="24"/>
          <w:lang w:val="id-ID"/>
        </w:rPr>
        <w:t xml:space="preserve">Tabel </w:t>
      </w:r>
      <w:r>
        <w:rPr>
          <w:rFonts w:asciiTheme="majorBidi" w:hAnsiTheme="majorBidi" w:cstheme="majorBidi"/>
          <w:sz w:val="24"/>
          <w:szCs w:val="24"/>
          <w:lang w:val="id-ID"/>
        </w:rPr>
        <w:t>3</w:t>
      </w:r>
      <w:r w:rsidRPr="004E28B3">
        <w:rPr>
          <w:rFonts w:asciiTheme="majorBidi" w:hAnsiTheme="majorBidi" w:cstheme="majorBidi"/>
          <w:sz w:val="24"/>
          <w:szCs w:val="24"/>
          <w:lang w:val="id-ID"/>
        </w:rPr>
        <w:t xml:space="preserve">. Hasil Pengukuran Kadar Air pada Sampel Saus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761"/>
        <w:gridCol w:w="1701"/>
      </w:tblGrid>
      <w:tr w:rsidR="004E28B3" w:rsidTr="00192538">
        <w:trPr>
          <w:jc w:val="center"/>
        </w:trPr>
        <w:tc>
          <w:tcPr>
            <w:tcW w:w="1500" w:type="dxa"/>
            <w:vMerge w:val="restart"/>
            <w:tcBorders>
              <w:top w:val="single" w:sz="4" w:space="0" w:color="auto"/>
              <w:bottom w:val="nil"/>
            </w:tcBorders>
            <w:vAlign w:val="center"/>
          </w:tcPr>
          <w:p w:rsidR="004E28B3" w:rsidRPr="003553FA" w:rsidRDefault="004E28B3" w:rsidP="00192538">
            <w:pPr>
              <w:pStyle w:val="ListParagraph"/>
              <w:ind w:left="0"/>
              <w:jc w:val="center"/>
            </w:pPr>
            <w:r>
              <w:t>Sampel</w:t>
            </w:r>
          </w:p>
        </w:tc>
        <w:tc>
          <w:tcPr>
            <w:tcW w:w="3462" w:type="dxa"/>
            <w:gridSpan w:val="2"/>
            <w:tcBorders>
              <w:top w:val="single" w:sz="4" w:space="0" w:color="auto"/>
              <w:bottom w:val="single" w:sz="4" w:space="0" w:color="auto"/>
            </w:tcBorders>
            <w:vAlign w:val="center"/>
          </w:tcPr>
          <w:p w:rsidR="004E28B3" w:rsidRPr="003553FA" w:rsidRDefault="004E28B3" w:rsidP="00192538">
            <w:pPr>
              <w:pStyle w:val="ListParagraph"/>
              <w:ind w:left="0"/>
              <w:jc w:val="center"/>
            </w:pPr>
            <w:r>
              <w:t>Kadar Air (% wb)</w:t>
            </w:r>
          </w:p>
        </w:tc>
      </w:tr>
      <w:tr w:rsidR="004E28B3" w:rsidTr="00192538">
        <w:trPr>
          <w:jc w:val="center"/>
        </w:trPr>
        <w:tc>
          <w:tcPr>
            <w:tcW w:w="1500" w:type="dxa"/>
            <w:vMerge/>
            <w:tcBorders>
              <w:top w:val="nil"/>
              <w:bottom w:val="single" w:sz="4" w:space="0" w:color="auto"/>
            </w:tcBorders>
            <w:vAlign w:val="center"/>
          </w:tcPr>
          <w:p w:rsidR="004E28B3" w:rsidRPr="003553FA" w:rsidRDefault="004E28B3" w:rsidP="00192538">
            <w:pPr>
              <w:pStyle w:val="ListParagraph"/>
              <w:ind w:left="0"/>
              <w:jc w:val="center"/>
            </w:pPr>
          </w:p>
        </w:tc>
        <w:tc>
          <w:tcPr>
            <w:tcW w:w="1761" w:type="dxa"/>
            <w:tcBorders>
              <w:top w:val="single" w:sz="4" w:space="0" w:color="auto"/>
              <w:bottom w:val="single" w:sz="4" w:space="0" w:color="auto"/>
            </w:tcBorders>
            <w:vAlign w:val="center"/>
          </w:tcPr>
          <w:p w:rsidR="004E28B3" w:rsidRPr="003553FA" w:rsidRDefault="004E28B3" w:rsidP="00192538">
            <w:pPr>
              <w:pStyle w:val="ListParagraph"/>
              <w:ind w:left="0"/>
              <w:jc w:val="center"/>
            </w:pPr>
            <w:r>
              <w:t>Baru</w:t>
            </w:r>
          </w:p>
        </w:tc>
        <w:tc>
          <w:tcPr>
            <w:tcW w:w="1701" w:type="dxa"/>
            <w:tcBorders>
              <w:top w:val="single" w:sz="4" w:space="0" w:color="auto"/>
              <w:bottom w:val="single" w:sz="4" w:space="0" w:color="auto"/>
            </w:tcBorders>
            <w:vAlign w:val="center"/>
          </w:tcPr>
          <w:p w:rsidR="004E28B3" w:rsidRPr="003553FA" w:rsidRDefault="004E28B3" w:rsidP="00192538">
            <w:pPr>
              <w:pStyle w:val="ListParagraph"/>
              <w:ind w:left="0"/>
              <w:jc w:val="center"/>
            </w:pPr>
            <w:r>
              <w:t>Lama</w:t>
            </w:r>
          </w:p>
        </w:tc>
      </w:tr>
      <w:tr w:rsidR="004E28B3" w:rsidTr="00192538">
        <w:trPr>
          <w:jc w:val="center"/>
        </w:trPr>
        <w:tc>
          <w:tcPr>
            <w:tcW w:w="1500" w:type="dxa"/>
            <w:tcBorders>
              <w:top w:val="single" w:sz="4" w:space="0" w:color="auto"/>
            </w:tcBorders>
            <w:vAlign w:val="center"/>
          </w:tcPr>
          <w:p w:rsidR="004E28B3" w:rsidRPr="003553FA" w:rsidRDefault="004E28B3" w:rsidP="00192538">
            <w:pPr>
              <w:pStyle w:val="ListParagraph"/>
              <w:ind w:left="0"/>
              <w:jc w:val="center"/>
            </w:pPr>
            <w:r>
              <w:t>A</w:t>
            </w:r>
          </w:p>
        </w:tc>
        <w:tc>
          <w:tcPr>
            <w:tcW w:w="1761" w:type="dxa"/>
            <w:tcBorders>
              <w:top w:val="single" w:sz="4" w:space="0" w:color="auto"/>
            </w:tcBorders>
            <w:vAlign w:val="center"/>
          </w:tcPr>
          <w:p w:rsidR="004E28B3" w:rsidRPr="0087397E" w:rsidRDefault="004E28B3" w:rsidP="00192538">
            <w:pPr>
              <w:pStyle w:val="ListParagraph"/>
              <w:ind w:left="0"/>
              <w:jc w:val="center"/>
              <w:rPr>
                <w:vertAlign w:val="superscript"/>
              </w:rPr>
            </w:pPr>
            <w:r>
              <w:t xml:space="preserve">90,07 ± 0,04 </w:t>
            </w:r>
            <w:r>
              <w:rPr>
                <w:vertAlign w:val="superscript"/>
              </w:rPr>
              <w:t>h</w:t>
            </w:r>
          </w:p>
        </w:tc>
        <w:tc>
          <w:tcPr>
            <w:tcW w:w="1701" w:type="dxa"/>
            <w:tcBorders>
              <w:top w:val="single" w:sz="4" w:space="0" w:color="auto"/>
            </w:tcBorders>
            <w:vAlign w:val="center"/>
          </w:tcPr>
          <w:p w:rsidR="004E28B3" w:rsidRPr="0087397E" w:rsidRDefault="004E28B3" w:rsidP="00192538">
            <w:pPr>
              <w:pStyle w:val="ListParagraph"/>
              <w:ind w:left="0"/>
              <w:jc w:val="center"/>
              <w:rPr>
                <w:vertAlign w:val="superscript"/>
              </w:rPr>
            </w:pPr>
            <w:r>
              <w:t xml:space="preserve">90,77 ± 0,04 </w:t>
            </w:r>
            <w:r>
              <w:rPr>
                <w:vertAlign w:val="superscript"/>
              </w:rPr>
              <w:t>i</w:t>
            </w:r>
          </w:p>
        </w:tc>
      </w:tr>
      <w:tr w:rsidR="004E28B3" w:rsidTr="00192538">
        <w:trPr>
          <w:jc w:val="center"/>
        </w:trPr>
        <w:tc>
          <w:tcPr>
            <w:tcW w:w="1500" w:type="dxa"/>
            <w:vAlign w:val="center"/>
          </w:tcPr>
          <w:p w:rsidR="004E28B3" w:rsidRPr="003553FA" w:rsidRDefault="004E28B3" w:rsidP="00192538">
            <w:pPr>
              <w:pStyle w:val="ListParagraph"/>
              <w:ind w:left="0"/>
              <w:jc w:val="center"/>
            </w:pPr>
            <w:r>
              <w:t>B</w:t>
            </w:r>
          </w:p>
        </w:tc>
        <w:tc>
          <w:tcPr>
            <w:tcW w:w="1761" w:type="dxa"/>
            <w:vAlign w:val="center"/>
          </w:tcPr>
          <w:p w:rsidR="004E28B3" w:rsidRPr="0087397E" w:rsidRDefault="004E28B3" w:rsidP="00192538">
            <w:pPr>
              <w:pStyle w:val="ListParagraph"/>
              <w:ind w:left="0"/>
              <w:jc w:val="center"/>
              <w:rPr>
                <w:vertAlign w:val="superscript"/>
              </w:rPr>
            </w:pPr>
            <w:r>
              <w:t xml:space="preserve">82,05 ± 0,25 </w:t>
            </w:r>
            <w:r>
              <w:rPr>
                <w:vertAlign w:val="superscript"/>
              </w:rPr>
              <w:t>a</w:t>
            </w:r>
          </w:p>
        </w:tc>
        <w:tc>
          <w:tcPr>
            <w:tcW w:w="1701" w:type="dxa"/>
            <w:vAlign w:val="center"/>
          </w:tcPr>
          <w:p w:rsidR="004E28B3" w:rsidRPr="0087397E" w:rsidRDefault="004E28B3" w:rsidP="00192538">
            <w:pPr>
              <w:pStyle w:val="ListParagraph"/>
              <w:ind w:left="0"/>
              <w:jc w:val="center"/>
              <w:rPr>
                <w:vertAlign w:val="superscript"/>
              </w:rPr>
            </w:pPr>
            <w:r>
              <w:t xml:space="preserve">82,69 ± 0,13 </w:t>
            </w:r>
            <w:r>
              <w:rPr>
                <w:vertAlign w:val="superscript"/>
              </w:rPr>
              <w:t xml:space="preserve">b </w:t>
            </w:r>
          </w:p>
        </w:tc>
      </w:tr>
      <w:tr w:rsidR="004E28B3" w:rsidTr="00192538">
        <w:trPr>
          <w:jc w:val="center"/>
        </w:trPr>
        <w:tc>
          <w:tcPr>
            <w:tcW w:w="1500" w:type="dxa"/>
            <w:vAlign w:val="center"/>
          </w:tcPr>
          <w:p w:rsidR="004E28B3" w:rsidRPr="003553FA" w:rsidRDefault="004E28B3" w:rsidP="00192538">
            <w:pPr>
              <w:pStyle w:val="ListParagraph"/>
              <w:ind w:left="0"/>
              <w:jc w:val="center"/>
            </w:pPr>
            <w:r>
              <w:t>C</w:t>
            </w:r>
          </w:p>
        </w:tc>
        <w:tc>
          <w:tcPr>
            <w:tcW w:w="1761" w:type="dxa"/>
            <w:vAlign w:val="center"/>
          </w:tcPr>
          <w:p w:rsidR="004E28B3" w:rsidRPr="00021C22" w:rsidRDefault="004E28B3" w:rsidP="00192538">
            <w:pPr>
              <w:pStyle w:val="ListParagraph"/>
              <w:ind w:left="0"/>
              <w:jc w:val="center"/>
              <w:rPr>
                <w:vertAlign w:val="superscript"/>
              </w:rPr>
            </w:pPr>
            <w:r>
              <w:t xml:space="preserve">92,11 ± 0,00 </w:t>
            </w:r>
            <w:r>
              <w:rPr>
                <w:vertAlign w:val="superscript"/>
              </w:rPr>
              <w:t>j</w:t>
            </w:r>
          </w:p>
        </w:tc>
        <w:tc>
          <w:tcPr>
            <w:tcW w:w="1701" w:type="dxa"/>
            <w:vAlign w:val="center"/>
          </w:tcPr>
          <w:p w:rsidR="004E28B3" w:rsidRPr="0087397E" w:rsidRDefault="004E28B3" w:rsidP="00192538">
            <w:pPr>
              <w:pStyle w:val="ListParagraph"/>
              <w:ind w:left="0"/>
              <w:jc w:val="center"/>
              <w:rPr>
                <w:vertAlign w:val="superscript"/>
              </w:rPr>
            </w:pPr>
            <w:r>
              <w:t xml:space="preserve">92,28 ± 0,11 </w:t>
            </w:r>
            <w:r>
              <w:rPr>
                <w:vertAlign w:val="superscript"/>
              </w:rPr>
              <w:t>j</w:t>
            </w:r>
          </w:p>
        </w:tc>
      </w:tr>
      <w:tr w:rsidR="004E28B3" w:rsidTr="00192538">
        <w:trPr>
          <w:jc w:val="center"/>
        </w:trPr>
        <w:tc>
          <w:tcPr>
            <w:tcW w:w="1500" w:type="dxa"/>
            <w:vAlign w:val="center"/>
          </w:tcPr>
          <w:p w:rsidR="004E28B3" w:rsidRPr="003553FA" w:rsidRDefault="004E28B3" w:rsidP="00192538">
            <w:pPr>
              <w:pStyle w:val="ListParagraph"/>
              <w:ind w:left="0"/>
              <w:jc w:val="center"/>
            </w:pPr>
            <w:r>
              <w:t>D</w:t>
            </w:r>
          </w:p>
        </w:tc>
        <w:tc>
          <w:tcPr>
            <w:tcW w:w="1761" w:type="dxa"/>
            <w:vAlign w:val="center"/>
          </w:tcPr>
          <w:p w:rsidR="004E28B3" w:rsidRPr="00021C22" w:rsidRDefault="004E28B3" w:rsidP="00192538">
            <w:pPr>
              <w:pStyle w:val="ListParagraph"/>
              <w:ind w:left="0"/>
              <w:jc w:val="center"/>
              <w:rPr>
                <w:vertAlign w:val="superscript"/>
              </w:rPr>
            </w:pPr>
            <w:r>
              <w:t xml:space="preserve">85,41 ± 0,00 </w:t>
            </w:r>
            <w:r>
              <w:rPr>
                <w:vertAlign w:val="superscript"/>
              </w:rPr>
              <w:t>d</w:t>
            </w:r>
          </w:p>
        </w:tc>
        <w:tc>
          <w:tcPr>
            <w:tcW w:w="1701" w:type="dxa"/>
            <w:vAlign w:val="center"/>
          </w:tcPr>
          <w:p w:rsidR="004E28B3" w:rsidRPr="0087397E" w:rsidRDefault="004E28B3" w:rsidP="00192538">
            <w:pPr>
              <w:pStyle w:val="ListParagraph"/>
              <w:ind w:left="0"/>
              <w:jc w:val="center"/>
              <w:rPr>
                <w:vertAlign w:val="superscript"/>
              </w:rPr>
            </w:pPr>
            <w:r>
              <w:t xml:space="preserve">86,01 ± 0,12 </w:t>
            </w:r>
            <w:r>
              <w:rPr>
                <w:vertAlign w:val="superscript"/>
              </w:rPr>
              <w:t>e</w:t>
            </w:r>
          </w:p>
        </w:tc>
      </w:tr>
      <w:tr w:rsidR="004E28B3" w:rsidTr="00192538">
        <w:trPr>
          <w:jc w:val="center"/>
        </w:trPr>
        <w:tc>
          <w:tcPr>
            <w:tcW w:w="1500" w:type="dxa"/>
            <w:vAlign w:val="center"/>
          </w:tcPr>
          <w:p w:rsidR="004E28B3" w:rsidRPr="003553FA" w:rsidRDefault="004E28B3" w:rsidP="00192538">
            <w:pPr>
              <w:pStyle w:val="ListParagraph"/>
              <w:ind w:left="0"/>
              <w:jc w:val="center"/>
            </w:pPr>
            <w:r>
              <w:t>E</w:t>
            </w:r>
          </w:p>
        </w:tc>
        <w:tc>
          <w:tcPr>
            <w:tcW w:w="1761" w:type="dxa"/>
            <w:vAlign w:val="center"/>
          </w:tcPr>
          <w:p w:rsidR="004E28B3" w:rsidRPr="0087397E" w:rsidRDefault="004E28B3" w:rsidP="00192538">
            <w:pPr>
              <w:pStyle w:val="ListParagraph"/>
              <w:ind w:left="0"/>
              <w:jc w:val="center"/>
              <w:rPr>
                <w:vertAlign w:val="superscript"/>
              </w:rPr>
            </w:pPr>
            <w:r>
              <w:t xml:space="preserve">88,78 ± 0,00 </w:t>
            </w:r>
            <w:r>
              <w:rPr>
                <w:vertAlign w:val="superscript"/>
              </w:rPr>
              <w:t>f</w:t>
            </w:r>
          </w:p>
        </w:tc>
        <w:tc>
          <w:tcPr>
            <w:tcW w:w="1701" w:type="dxa"/>
            <w:vAlign w:val="center"/>
          </w:tcPr>
          <w:p w:rsidR="004E28B3" w:rsidRPr="0087397E" w:rsidRDefault="004E28B3" w:rsidP="00192538">
            <w:pPr>
              <w:pStyle w:val="ListParagraph"/>
              <w:ind w:left="0"/>
              <w:jc w:val="center"/>
              <w:rPr>
                <w:vertAlign w:val="superscript"/>
              </w:rPr>
            </w:pPr>
            <w:r>
              <w:t xml:space="preserve">89,49 ± 0,00 </w:t>
            </w:r>
            <w:r>
              <w:rPr>
                <w:vertAlign w:val="superscript"/>
              </w:rPr>
              <w:t>g</w:t>
            </w:r>
          </w:p>
        </w:tc>
      </w:tr>
      <w:tr w:rsidR="004E28B3" w:rsidTr="00192538">
        <w:trPr>
          <w:jc w:val="center"/>
        </w:trPr>
        <w:tc>
          <w:tcPr>
            <w:tcW w:w="1500" w:type="dxa"/>
            <w:vAlign w:val="center"/>
          </w:tcPr>
          <w:p w:rsidR="004E28B3" w:rsidRPr="003553FA" w:rsidRDefault="004E28B3" w:rsidP="00192538">
            <w:pPr>
              <w:pStyle w:val="ListParagraph"/>
              <w:ind w:left="0"/>
              <w:jc w:val="center"/>
            </w:pPr>
            <w:r>
              <w:t>F</w:t>
            </w:r>
          </w:p>
        </w:tc>
        <w:tc>
          <w:tcPr>
            <w:tcW w:w="1761" w:type="dxa"/>
            <w:vAlign w:val="center"/>
          </w:tcPr>
          <w:p w:rsidR="004E28B3" w:rsidRPr="007B7F5E" w:rsidRDefault="004E28B3" w:rsidP="00192538">
            <w:pPr>
              <w:pStyle w:val="ListParagraph"/>
              <w:ind w:left="0"/>
              <w:jc w:val="center"/>
              <w:rPr>
                <w:vertAlign w:val="superscript"/>
              </w:rPr>
            </w:pPr>
            <w:r>
              <w:t xml:space="preserve">84,60 ± 0,08 </w:t>
            </w:r>
            <w:r w:rsidRPr="00021C22">
              <w:rPr>
                <w:vertAlign w:val="superscript"/>
              </w:rPr>
              <w:t>c</w:t>
            </w:r>
          </w:p>
        </w:tc>
        <w:tc>
          <w:tcPr>
            <w:tcW w:w="1701" w:type="dxa"/>
            <w:vAlign w:val="center"/>
          </w:tcPr>
          <w:p w:rsidR="004E28B3" w:rsidRPr="00021C22" w:rsidRDefault="004E28B3" w:rsidP="00192538">
            <w:pPr>
              <w:pStyle w:val="ListParagraph"/>
              <w:ind w:left="0"/>
              <w:jc w:val="center"/>
              <w:rPr>
                <w:vertAlign w:val="superscript"/>
              </w:rPr>
            </w:pPr>
            <w:r>
              <w:t xml:space="preserve">85,05 ± 0,00 </w:t>
            </w:r>
            <w:r>
              <w:rPr>
                <w:vertAlign w:val="superscript"/>
              </w:rPr>
              <w:t>d</w:t>
            </w:r>
          </w:p>
        </w:tc>
      </w:tr>
      <w:tr w:rsidR="004E28B3" w:rsidTr="00192538">
        <w:trPr>
          <w:jc w:val="center"/>
        </w:trPr>
        <w:tc>
          <w:tcPr>
            <w:tcW w:w="1500" w:type="dxa"/>
            <w:vAlign w:val="center"/>
          </w:tcPr>
          <w:p w:rsidR="004E28B3" w:rsidRPr="003553FA" w:rsidRDefault="004E28B3" w:rsidP="00192538">
            <w:pPr>
              <w:pStyle w:val="ListParagraph"/>
              <w:ind w:left="0"/>
              <w:jc w:val="center"/>
            </w:pPr>
            <w:r>
              <w:t>G</w:t>
            </w:r>
          </w:p>
        </w:tc>
        <w:tc>
          <w:tcPr>
            <w:tcW w:w="1761" w:type="dxa"/>
            <w:vAlign w:val="center"/>
          </w:tcPr>
          <w:p w:rsidR="004E28B3" w:rsidRPr="00021C22" w:rsidRDefault="004E28B3" w:rsidP="00192538">
            <w:pPr>
              <w:pStyle w:val="ListParagraph"/>
              <w:ind w:left="0"/>
              <w:jc w:val="center"/>
              <w:rPr>
                <w:vertAlign w:val="superscript"/>
              </w:rPr>
            </w:pPr>
            <w:r>
              <w:t xml:space="preserve">92,10 ± 0,12 </w:t>
            </w:r>
            <w:r>
              <w:rPr>
                <w:vertAlign w:val="superscript"/>
              </w:rPr>
              <w:t>j</w:t>
            </w:r>
          </w:p>
        </w:tc>
        <w:tc>
          <w:tcPr>
            <w:tcW w:w="1701" w:type="dxa"/>
            <w:vAlign w:val="center"/>
          </w:tcPr>
          <w:p w:rsidR="004E28B3" w:rsidRPr="00021C22" w:rsidRDefault="004E28B3" w:rsidP="00192538">
            <w:pPr>
              <w:pStyle w:val="ListParagraph"/>
              <w:ind w:left="0"/>
              <w:jc w:val="center"/>
            </w:pPr>
            <w:r>
              <w:t xml:space="preserve">92,72 ± 0,06 </w:t>
            </w:r>
            <w:r>
              <w:rPr>
                <w:vertAlign w:val="superscript"/>
              </w:rPr>
              <w:t>k</w:t>
            </w:r>
          </w:p>
        </w:tc>
      </w:tr>
    </w:tbl>
    <w:p w:rsidR="000015C8" w:rsidRDefault="000015C8" w:rsidP="000015C8">
      <w:pPr>
        <w:pStyle w:val="ListParagraph"/>
        <w:ind w:left="426"/>
        <w:jc w:val="both"/>
      </w:pPr>
      <w:r>
        <w:t>Keterangan : Angka yang diikuti oleh huruf yang berbeda pada masing-masing variabel menunjukkan ada perbedaan nyata berdasarkan uji ANOVA pada taraf α = 0,05</w:t>
      </w:r>
    </w:p>
    <w:p w:rsidR="00F97E7C" w:rsidRDefault="00F97E7C" w:rsidP="00F97E7C">
      <w:pPr>
        <w:pStyle w:val="ListParagraph"/>
        <w:spacing w:line="480" w:lineRule="auto"/>
        <w:ind w:left="426"/>
        <w:jc w:val="both"/>
      </w:pPr>
    </w:p>
    <w:p w:rsidR="00F97E7C" w:rsidRDefault="00F97E7C" w:rsidP="00A96DE4">
      <w:pPr>
        <w:pStyle w:val="ListParagraph"/>
        <w:spacing w:line="480" w:lineRule="auto"/>
        <w:ind w:left="0"/>
        <w:jc w:val="both"/>
      </w:pPr>
      <w:r>
        <w:rPr>
          <w:lang w:val="id-ID"/>
        </w:rPr>
        <w:t xml:space="preserve">      </w:t>
      </w:r>
      <w:r>
        <w:t xml:space="preserve">Secara keseluruhan terjadi peningkatan yang signifikan </w:t>
      </w:r>
      <w:r w:rsidR="00695274">
        <w:t>pada kadar air sampel saus</w:t>
      </w:r>
      <w:r>
        <w:t xml:space="preserve"> dengan kondisi baru dan  lama pada sampel A, B, D, E, F dan G. Peru</w:t>
      </w:r>
      <w:r w:rsidR="00695274">
        <w:t xml:space="preserve">bahan kadar air pada saus </w:t>
      </w:r>
      <w:r>
        <w:t>dapat dipengaruhi oleh suhu serta kelembaban ruangan selama penyimpanan. Dumadi (2011), menyatakan bahwa kenaikan kadar air selama penyimpanan diakibatkan adanya adsorpsi uap air. Proses adsorpsi terjadi bila tekanan uap air di udara penyimpanan lebih tinggi dari tekanan uap air bahan.</w:t>
      </w:r>
    </w:p>
    <w:p w:rsidR="00F97E7C" w:rsidRPr="0042714B" w:rsidRDefault="00F97E7C" w:rsidP="0042714B">
      <w:pPr>
        <w:spacing w:line="480" w:lineRule="auto"/>
        <w:jc w:val="both"/>
        <w:rPr>
          <w:b/>
          <w:lang w:val="id-ID"/>
        </w:rPr>
      </w:pPr>
      <w:r w:rsidRPr="0042714B">
        <w:rPr>
          <w:b/>
          <w:i/>
          <w:lang w:val="id-ID"/>
        </w:rPr>
        <w:t>Total Plate Count</w:t>
      </w:r>
      <w:r w:rsidRPr="0042714B">
        <w:rPr>
          <w:lang w:val="id-ID"/>
        </w:rPr>
        <w:t xml:space="preserve"> </w:t>
      </w:r>
      <w:r w:rsidRPr="0042714B">
        <w:rPr>
          <w:b/>
          <w:lang w:val="id-ID"/>
        </w:rPr>
        <w:t>(TPC)</w:t>
      </w:r>
    </w:p>
    <w:p w:rsidR="00F97E7C" w:rsidRPr="000015C8" w:rsidRDefault="00F97E7C" w:rsidP="00A96DE4">
      <w:pPr>
        <w:pStyle w:val="ListParagraph"/>
        <w:spacing w:line="480" w:lineRule="auto"/>
        <w:ind w:left="0"/>
        <w:jc w:val="both"/>
        <w:rPr>
          <w:lang w:val="id-ID"/>
        </w:rPr>
      </w:pPr>
      <w:r>
        <w:t xml:space="preserve">      Berdasarkan Standar Nasional Indonesia (SNI) saus cabai No 01-2976-2006, jumlah maksimal angka lempeng total pada saus cabai adalah 1x10</w:t>
      </w:r>
      <w:r>
        <w:rPr>
          <w:vertAlign w:val="superscript"/>
        </w:rPr>
        <w:t xml:space="preserve">4  </w:t>
      </w:r>
      <w:r>
        <w:t>CFU/ml (Anonim, 2006).</w:t>
      </w:r>
      <w:r>
        <w:rPr>
          <w:lang w:val="id-ID"/>
        </w:rPr>
        <w:t xml:space="preserve"> </w:t>
      </w:r>
      <w:r>
        <w:t>Dari hasil penelitian, diketahui bahwa 71,43% sampel saus baru (B, C, D, F, G) tidak layak konsumsi karena memiliki nilai angka lempeng total &gt;10</w:t>
      </w:r>
      <w:r>
        <w:rPr>
          <w:vertAlign w:val="superscript"/>
        </w:rPr>
        <w:t xml:space="preserve">4 </w:t>
      </w:r>
      <w:r>
        <w:t>CFU/ml.</w:t>
      </w:r>
      <w:r w:rsidRPr="00F97E7C">
        <w:t xml:space="preserve"> </w:t>
      </w:r>
      <w:r>
        <w:t>Se</w:t>
      </w:r>
      <w:r w:rsidR="00695274">
        <w:t xml:space="preserve">mentara untuk sampel saus </w:t>
      </w:r>
      <w:r>
        <w:t xml:space="preserve">lama, seluruh sampel dinyatakan tidak layak konsumsi karena memiliki nilai angka </w:t>
      </w:r>
      <w:r>
        <w:lastRenderedPageBreak/>
        <w:t>lempeng total &gt;10</w:t>
      </w:r>
      <w:r>
        <w:rPr>
          <w:vertAlign w:val="superscript"/>
        </w:rPr>
        <w:t xml:space="preserve">4 </w:t>
      </w:r>
      <w:r>
        <w:t>CFU/ml.</w:t>
      </w:r>
      <w:r>
        <w:rPr>
          <w:lang w:val="id-ID"/>
        </w:rPr>
        <w:t xml:space="preserve"> </w:t>
      </w:r>
      <w:r w:rsidR="000015C8" w:rsidRPr="000A58F7">
        <w:t xml:space="preserve">Hasil </w:t>
      </w:r>
      <w:r w:rsidR="000015C8" w:rsidRPr="000A58F7">
        <w:rPr>
          <w:i/>
        </w:rPr>
        <w:t xml:space="preserve">Total Plate Count </w:t>
      </w:r>
      <w:r w:rsidR="000015C8">
        <w:t>pada sampel s</w:t>
      </w:r>
      <w:r w:rsidR="000015C8" w:rsidRPr="000A58F7">
        <w:t>aus</w:t>
      </w:r>
      <w:r w:rsidR="000015C8">
        <w:rPr>
          <w:lang w:val="id-ID"/>
        </w:rPr>
        <w:t xml:space="preserve"> dapat dilihat pada Tabel 4. </w:t>
      </w:r>
    </w:p>
    <w:p w:rsidR="00F97E7C" w:rsidRPr="000A58F7" w:rsidRDefault="00F97E7C" w:rsidP="00A96DE4">
      <w:pPr>
        <w:spacing w:line="276" w:lineRule="auto"/>
        <w:jc w:val="center"/>
      </w:pPr>
      <w:r w:rsidRPr="000A58F7">
        <w:t>Tabel</w:t>
      </w:r>
      <w:r>
        <w:t xml:space="preserve"> 4</w:t>
      </w:r>
      <w:r w:rsidRPr="000A58F7">
        <w:t xml:space="preserve">. Hasil </w:t>
      </w:r>
      <w:r w:rsidRPr="000A58F7">
        <w:rPr>
          <w:i/>
        </w:rPr>
        <w:t xml:space="preserve">Total Plate Count </w:t>
      </w:r>
      <w:r w:rsidRPr="000A58F7">
        <w:t>pada Sampel Saus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500"/>
        <w:gridCol w:w="1678"/>
      </w:tblGrid>
      <w:tr w:rsidR="00F97E7C" w:rsidTr="00192538">
        <w:trPr>
          <w:jc w:val="center"/>
        </w:trPr>
        <w:tc>
          <w:tcPr>
            <w:tcW w:w="1500" w:type="dxa"/>
            <w:vMerge w:val="restart"/>
            <w:tcBorders>
              <w:top w:val="single" w:sz="4" w:space="0" w:color="auto"/>
              <w:bottom w:val="nil"/>
            </w:tcBorders>
            <w:vAlign w:val="center"/>
          </w:tcPr>
          <w:p w:rsidR="00F97E7C" w:rsidRPr="00542682" w:rsidRDefault="00F97E7C" w:rsidP="00A96DE4">
            <w:r w:rsidRPr="00542682">
              <w:t>Sampel</w:t>
            </w:r>
          </w:p>
        </w:tc>
        <w:tc>
          <w:tcPr>
            <w:tcW w:w="3178" w:type="dxa"/>
            <w:gridSpan w:val="2"/>
            <w:tcBorders>
              <w:top w:val="single" w:sz="4" w:space="0" w:color="auto"/>
              <w:bottom w:val="single" w:sz="4" w:space="0" w:color="auto"/>
            </w:tcBorders>
            <w:vAlign w:val="center"/>
          </w:tcPr>
          <w:p w:rsidR="00F97E7C" w:rsidRPr="003553FA" w:rsidRDefault="00F97E7C" w:rsidP="00A96DE4">
            <w:pPr>
              <w:pStyle w:val="ListParagraph"/>
              <w:ind w:left="0"/>
              <w:jc w:val="center"/>
            </w:pPr>
            <w:r w:rsidRPr="000A58F7">
              <w:rPr>
                <w:i/>
              </w:rPr>
              <w:t>Total Plate Count</w:t>
            </w:r>
            <w:r>
              <w:t xml:space="preserve"> (CFU/ml)</w:t>
            </w:r>
          </w:p>
        </w:tc>
      </w:tr>
      <w:tr w:rsidR="00F97E7C" w:rsidTr="00192538">
        <w:trPr>
          <w:jc w:val="center"/>
        </w:trPr>
        <w:tc>
          <w:tcPr>
            <w:tcW w:w="1500" w:type="dxa"/>
            <w:vMerge/>
            <w:tcBorders>
              <w:top w:val="nil"/>
              <w:bottom w:val="single" w:sz="4" w:space="0" w:color="auto"/>
            </w:tcBorders>
            <w:vAlign w:val="center"/>
          </w:tcPr>
          <w:p w:rsidR="00F97E7C" w:rsidRPr="003553FA" w:rsidRDefault="00F97E7C" w:rsidP="00A96DE4">
            <w:pPr>
              <w:pStyle w:val="ListParagraph"/>
              <w:ind w:left="0"/>
              <w:jc w:val="center"/>
            </w:pPr>
          </w:p>
        </w:tc>
        <w:tc>
          <w:tcPr>
            <w:tcW w:w="1500" w:type="dxa"/>
            <w:tcBorders>
              <w:top w:val="single" w:sz="4" w:space="0" w:color="auto"/>
              <w:bottom w:val="single" w:sz="4" w:space="0" w:color="auto"/>
            </w:tcBorders>
            <w:vAlign w:val="center"/>
          </w:tcPr>
          <w:p w:rsidR="00F97E7C" w:rsidRPr="003553FA" w:rsidRDefault="00F97E7C" w:rsidP="00A96DE4">
            <w:pPr>
              <w:pStyle w:val="ListParagraph"/>
              <w:ind w:left="0"/>
              <w:jc w:val="center"/>
            </w:pPr>
            <w:r>
              <w:t>Baru</w:t>
            </w:r>
          </w:p>
        </w:tc>
        <w:tc>
          <w:tcPr>
            <w:tcW w:w="1678" w:type="dxa"/>
            <w:tcBorders>
              <w:top w:val="single" w:sz="4" w:space="0" w:color="auto"/>
              <w:bottom w:val="single" w:sz="4" w:space="0" w:color="auto"/>
            </w:tcBorders>
            <w:vAlign w:val="center"/>
          </w:tcPr>
          <w:p w:rsidR="00F97E7C" w:rsidRPr="003553FA" w:rsidRDefault="00F97E7C" w:rsidP="00A96DE4">
            <w:pPr>
              <w:pStyle w:val="ListParagraph"/>
              <w:ind w:left="0"/>
              <w:jc w:val="center"/>
            </w:pPr>
            <w:r>
              <w:t>Lama</w:t>
            </w:r>
          </w:p>
        </w:tc>
      </w:tr>
      <w:tr w:rsidR="00F97E7C" w:rsidTr="00192538">
        <w:trPr>
          <w:jc w:val="center"/>
        </w:trPr>
        <w:tc>
          <w:tcPr>
            <w:tcW w:w="1500" w:type="dxa"/>
            <w:tcBorders>
              <w:top w:val="single" w:sz="4" w:space="0" w:color="auto"/>
            </w:tcBorders>
            <w:vAlign w:val="center"/>
          </w:tcPr>
          <w:p w:rsidR="00F97E7C" w:rsidRPr="003553FA" w:rsidRDefault="00F97E7C" w:rsidP="00A96DE4">
            <w:pPr>
              <w:pStyle w:val="ListParagraph"/>
              <w:ind w:left="0"/>
              <w:jc w:val="center"/>
            </w:pPr>
            <w:r>
              <w:t>A</w:t>
            </w:r>
          </w:p>
        </w:tc>
        <w:tc>
          <w:tcPr>
            <w:tcW w:w="1500" w:type="dxa"/>
            <w:tcBorders>
              <w:top w:val="single" w:sz="4" w:space="0" w:color="auto"/>
            </w:tcBorders>
            <w:vAlign w:val="center"/>
          </w:tcPr>
          <w:p w:rsidR="00F97E7C" w:rsidRPr="003553FA" w:rsidRDefault="00F97E7C" w:rsidP="00A96DE4">
            <w:pPr>
              <w:pStyle w:val="ListParagraph"/>
              <w:ind w:left="0"/>
            </w:pPr>
            <w:r>
              <w:t xml:space="preserve">      1 x 10</w:t>
            </w:r>
            <w:r>
              <w:rPr>
                <w:vertAlign w:val="superscript"/>
              </w:rPr>
              <w:t>4</w:t>
            </w:r>
          </w:p>
        </w:tc>
        <w:tc>
          <w:tcPr>
            <w:tcW w:w="1678" w:type="dxa"/>
            <w:tcBorders>
              <w:top w:val="single" w:sz="4" w:space="0" w:color="auto"/>
            </w:tcBorders>
            <w:vAlign w:val="center"/>
          </w:tcPr>
          <w:p w:rsidR="00F97E7C" w:rsidRPr="001D539C" w:rsidRDefault="00F97E7C" w:rsidP="00A96DE4">
            <w:pPr>
              <w:pStyle w:val="ListParagraph"/>
              <w:ind w:left="0"/>
              <w:rPr>
                <w:vertAlign w:val="superscript"/>
              </w:rPr>
            </w:pPr>
            <w:r>
              <w:t xml:space="preserve">       1  x 10</w:t>
            </w:r>
            <w:r>
              <w:rPr>
                <w:vertAlign w:val="superscript"/>
              </w:rPr>
              <w:t>5</w:t>
            </w:r>
          </w:p>
        </w:tc>
      </w:tr>
      <w:tr w:rsidR="00F97E7C" w:rsidTr="00192538">
        <w:trPr>
          <w:jc w:val="center"/>
        </w:trPr>
        <w:tc>
          <w:tcPr>
            <w:tcW w:w="1500" w:type="dxa"/>
            <w:vAlign w:val="center"/>
          </w:tcPr>
          <w:p w:rsidR="00F97E7C" w:rsidRPr="003553FA" w:rsidRDefault="00F97E7C" w:rsidP="00A96DE4">
            <w:pPr>
              <w:pStyle w:val="ListParagraph"/>
              <w:ind w:left="0"/>
              <w:jc w:val="center"/>
            </w:pPr>
            <w:r>
              <w:t>B</w:t>
            </w:r>
          </w:p>
        </w:tc>
        <w:tc>
          <w:tcPr>
            <w:tcW w:w="1500" w:type="dxa"/>
            <w:vAlign w:val="center"/>
          </w:tcPr>
          <w:p w:rsidR="00F97E7C" w:rsidRPr="003553FA" w:rsidRDefault="00F97E7C" w:rsidP="00A96DE4">
            <w:pPr>
              <w:pStyle w:val="ListParagraph"/>
              <w:ind w:left="0"/>
            </w:pPr>
            <w:r>
              <w:t xml:space="preserve">      7 x 10</w:t>
            </w:r>
            <w:r>
              <w:rPr>
                <w:vertAlign w:val="superscript"/>
              </w:rPr>
              <w:t>4</w:t>
            </w:r>
          </w:p>
        </w:tc>
        <w:tc>
          <w:tcPr>
            <w:tcW w:w="1678" w:type="dxa"/>
            <w:vAlign w:val="center"/>
          </w:tcPr>
          <w:p w:rsidR="00F97E7C" w:rsidRPr="003553FA" w:rsidRDefault="00F97E7C" w:rsidP="00A96DE4">
            <w:pPr>
              <w:pStyle w:val="ListParagraph"/>
              <w:ind w:left="0"/>
            </w:pPr>
            <w:r>
              <w:t xml:space="preserve">     1,6 x 10</w:t>
            </w:r>
            <w:r>
              <w:rPr>
                <w:vertAlign w:val="superscript"/>
              </w:rPr>
              <w:t>5</w:t>
            </w:r>
          </w:p>
        </w:tc>
      </w:tr>
      <w:tr w:rsidR="00F97E7C" w:rsidTr="00192538">
        <w:trPr>
          <w:jc w:val="center"/>
        </w:trPr>
        <w:tc>
          <w:tcPr>
            <w:tcW w:w="1500" w:type="dxa"/>
            <w:vAlign w:val="center"/>
          </w:tcPr>
          <w:p w:rsidR="00F97E7C" w:rsidRPr="003553FA" w:rsidRDefault="00F97E7C" w:rsidP="00A96DE4">
            <w:pPr>
              <w:pStyle w:val="ListParagraph"/>
              <w:ind w:left="0"/>
              <w:jc w:val="center"/>
            </w:pPr>
            <w:r>
              <w:t>C</w:t>
            </w:r>
          </w:p>
        </w:tc>
        <w:tc>
          <w:tcPr>
            <w:tcW w:w="1500" w:type="dxa"/>
            <w:vAlign w:val="center"/>
          </w:tcPr>
          <w:p w:rsidR="00F97E7C" w:rsidRPr="003553FA" w:rsidRDefault="00F97E7C" w:rsidP="00A96DE4">
            <w:pPr>
              <w:pStyle w:val="ListParagraph"/>
              <w:ind w:left="0"/>
            </w:pPr>
            <w:r>
              <w:t xml:space="preserve">      4 x 10</w:t>
            </w:r>
            <w:r>
              <w:rPr>
                <w:vertAlign w:val="superscript"/>
              </w:rPr>
              <w:t>4</w:t>
            </w:r>
          </w:p>
        </w:tc>
        <w:tc>
          <w:tcPr>
            <w:tcW w:w="1678" w:type="dxa"/>
            <w:vAlign w:val="center"/>
          </w:tcPr>
          <w:p w:rsidR="00F97E7C" w:rsidRPr="003553FA" w:rsidRDefault="00F97E7C" w:rsidP="00A96DE4">
            <w:pPr>
              <w:pStyle w:val="ListParagraph"/>
              <w:ind w:left="0"/>
            </w:pPr>
            <w:r>
              <w:t xml:space="preserve">     1,9 x 10</w:t>
            </w:r>
            <w:r>
              <w:rPr>
                <w:vertAlign w:val="superscript"/>
              </w:rPr>
              <w:t>5</w:t>
            </w:r>
          </w:p>
        </w:tc>
      </w:tr>
      <w:tr w:rsidR="00F97E7C" w:rsidTr="00192538">
        <w:trPr>
          <w:jc w:val="center"/>
        </w:trPr>
        <w:tc>
          <w:tcPr>
            <w:tcW w:w="1500" w:type="dxa"/>
            <w:vAlign w:val="center"/>
          </w:tcPr>
          <w:p w:rsidR="00F97E7C" w:rsidRPr="003553FA" w:rsidRDefault="00F97E7C" w:rsidP="00A96DE4">
            <w:pPr>
              <w:pStyle w:val="ListParagraph"/>
              <w:ind w:left="0"/>
              <w:jc w:val="center"/>
            </w:pPr>
            <w:r>
              <w:t>D</w:t>
            </w:r>
          </w:p>
        </w:tc>
        <w:tc>
          <w:tcPr>
            <w:tcW w:w="1500" w:type="dxa"/>
            <w:vAlign w:val="center"/>
          </w:tcPr>
          <w:p w:rsidR="00F97E7C" w:rsidRPr="003553FA" w:rsidRDefault="00F97E7C" w:rsidP="00A96DE4">
            <w:pPr>
              <w:pStyle w:val="ListParagraph"/>
              <w:ind w:left="0"/>
            </w:pPr>
            <w:r>
              <w:t xml:space="preserve">   8,7 x 10</w:t>
            </w:r>
            <w:r>
              <w:rPr>
                <w:vertAlign w:val="superscript"/>
              </w:rPr>
              <w:t>4</w:t>
            </w:r>
          </w:p>
        </w:tc>
        <w:tc>
          <w:tcPr>
            <w:tcW w:w="1678" w:type="dxa"/>
            <w:vAlign w:val="center"/>
          </w:tcPr>
          <w:p w:rsidR="00F97E7C" w:rsidRPr="003553FA" w:rsidRDefault="00F97E7C" w:rsidP="00A96DE4">
            <w:pPr>
              <w:pStyle w:val="ListParagraph"/>
              <w:ind w:left="0"/>
            </w:pPr>
            <w:r>
              <w:t xml:space="preserve">     2,6 x 10</w:t>
            </w:r>
            <w:r>
              <w:rPr>
                <w:vertAlign w:val="superscript"/>
              </w:rPr>
              <w:t>5</w:t>
            </w:r>
          </w:p>
        </w:tc>
      </w:tr>
      <w:tr w:rsidR="00F97E7C" w:rsidTr="00192538">
        <w:trPr>
          <w:jc w:val="center"/>
        </w:trPr>
        <w:tc>
          <w:tcPr>
            <w:tcW w:w="1500" w:type="dxa"/>
            <w:vAlign w:val="center"/>
          </w:tcPr>
          <w:p w:rsidR="00F97E7C" w:rsidRPr="003553FA" w:rsidRDefault="00F97E7C" w:rsidP="00A96DE4">
            <w:pPr>
              <w:pStyle w:val="ListParagraph"/>
              <w:ind w:left="0"/>
              <w:jc w:val="center"/>
            </w:pPr>
            <w:r>
              <w:t>E</w:t>
            </w:r>
          </w:p>
        </w:tc>
        <w:tc>
          <w:tcPr>
            <w:tcW w:w="1500" w:type="dxa"/>
            <w:vAlign w:val="center"/>
          </w:tcPr>
          <w:p w:rsidR="00F97E7C" w:rsidRPr="003553FA" w:rsidRDefault="00F97E7C" w:rsidP="00A96DE4">
            <w:pPr>
              <w:pStyle w:val="ListParagraph"/>
              <w:ind w:left="0"/>
            </w:pPr>
            <w:r>
              <w:t xml:space="preserve">   0,5 x 10</w:t>
            </w:r>
            <w:r>
              <w:rPr>
                <w:vertAlign w:val="superscript"/>
              </w:rPr>
              <w:t>4</w:t>
            </w:r>
          </w:p>
        </w:tc>
        <w:tc>
          <w:tcPr>
            <w:tcW w:w="1678" w:type="dxa"/>
            <w:vAlign w:val="center"/>
          </w:tcPr>
          <w:p w:rsidR="00F97E7C" w:rsidRPr="003553FA" w:rsidRDefault="00F97E7C" w:rsidP="00A96DE4">
            <w:pPr>
              <w:pStyle w:val="ListParagraph"/>
              <w:ind w:left="0"/>
            </w:pPr>
            <w:r>
              <w:t xml:space="preserve">     1,4 x 10</w:t>
            </w:r>
            <w:r>
              <w:rPr>
                <w:vertAlign w:val="superscript"/>
              </w:rPr>
              <w:t>5</w:t>
            </w:r>
          </w:p>
        </w:tc>
      </w:tr>
      <w:tr w:rsidR="00F97E7C" w:rsidTr="00192538">
        <w:trPr>
          <w:jc w:val="center"/>
        </w:trPr>
        <w:tc>
          <w:tcPr>
            <w:tcW w:w="1500" w:type="dxa"/>
            <w:vAlign w:val="center"/>
          </w:tcPr>
          <w:p w:rsidR="00F97E7C" w:rsidRPr="003553FA" w:rsidRDefault="00F97E7C" w:rsidP="00A96DE4">
            <w:pPr>
              <w:pStyle w:val="ListParagraph"/>
              <w:ind w:left="0"/>
              <w:jc w:val="center"/>
            </w:pPr>
            <w:r>
              <w:t>F</w:t>
            </w:r>
          </w:p>
        </w:tc>
        <w:tc>
          <w:tcPr>
            <w:tcW w:w="1500" w:type="dxa"/>
            <w:vAlign w:val="center"/>
          </w:tcPr>
          <w:p w:rsidR="00F97E7C" w:rsidRPr="003553FA" w:rsidRDefault="00F97E7C" w:rsidP="00A96DE4">
            <w:pPr>
              <w:pStyle w:val="ListParagraph"/>
              <w:ind w:left="0"/>
            </w:pPr>
            <w:r>
              <w:t xml:space="preserve">   3,9 x 10</w:t>
            </w:r>
            <w:r>
              <w:rPr>
                <w:vertAlign w:val="superscript"/>
              </w:rPr>
              <w:t>4</w:t>
            </w:r>
          </w:p>
        </w:tc>
        <w:tc>
          <w:tcPr>
            <w:tcW w:w="1678" w:type="dxa"/>
            <w:vAlign w:val="center"/>
          </w:tcPr>
          <w:p w:rsidR="00F97E7C" w:rsidRPr="003553FA" w:rsidRDefault="00F97E7C" w:rsidP="00A96DE4">
            <w:pPr>
              <w:pStyle w:val="ListParagraph"/>
              <w:ind w:left="0"/>
            </w:pPr>
            <w:r>
              <w:t xml:space="preserve">     1,9 x 10</w:t>
            </w:r>
            <w:r>
              <w:rPr>
                <w:vertAlign w:val="superscript"/>
              </w:rPr>
              <w:t>5</w:t>
            </w:r>
          </w:p>
        </w:tc>
      </w:tr>
      <w:tr w:rsidR="00F97E7C" w:rsidTr="00192538">
        <w:trPr>
          <w:jc w:val="center"/>
        </w:trPr>
        <w:tc>
          <w:tcPr>
            <w:tcW w:w="1500" w:type="dxa"/>
            <w:vAlign w:val="center"/>
          </w:tcPr>
          <w:p w:rsidR="00F97E7C" w:rsidRPr="003553FA" w:rsidRDefault="00F97E7C" w:rsidP="00A96DE4">
            <w:pPr>
              <w:pStyle w:val="ListParagraph"/>
              <w:ind w:left="0"/>
              <w:jc w:val="center"/>
            </w:pPr>
            <w:r>
              <w:t>G</w:t>
            </w:r>
          </w:p>
        </w:tc>
        <w:tc>
          <w:tcPr>
            <w:tcW w:w="1500" w:type="dxa"/>
            <w:vAlign w:val="center"/>
          </w:tcPr>
          <w:p w:rsidR="00F97E7C" w:rsidRPr="003553FA" w:rsidRDefault="00F97E7C" w:rsidP="00A96DE4">
            <w:pPr>
              <w:pStyle w:val="ListParagraph"/>
              <w:ind w:left="0"/>
            </w:pPr>
            <w:r>
              <w:t xml:space="preserve">   1,1 x 10</w:t>
            </w:r>
            <w:r>
              <w:rPr>
                <w:vertAlign w:val="superscript"/>
              </w:rPr>
              <w:t>5</w:t>
            </w:r>
          </w:p>
        </w:tc>
        <w:tc>
          <w:tcPr>
            <w:tcW w:w="1678" w:type="dxa"/>
            <w:vAlign w:val="center"/>
          </w:tcPr>
          <w:p w:rsidR="00F97E7C" w:rsidRPr="003553FA" w:rsidRDefault="00F97E7C" w:rsidP="00A96DE4">
            <w:pPr>
              <w:pStyle w:val="ListParagraph"/>
              <w:ind w:left="0"/>
            </w:pPr>
            <w:r>
              <w:t xml:space="preserve">     3,9 x 10</w:t>
            </w:r>
            <w:r>
              <w:rPr>
                <w:vertAlign w:val="superscript"/>
              </w:rPr>
              <w:t>5</w:t>
            </w:r>
          </w:p>
        </w:tc>
      </w:tr>
    </w:tbl>
    <w:p w:rsidR="00F97E7C" w:rsidRPr="00F97E7C" w:rsidRDefault="00F97E7C" w:rsidP="00A96DE4">
      <w:pPr>
        <w:pStyle w:val="ListParagraph"/>
        <w:spacing w:line="480" w:lineRule="auto"/>
        <w:ind w:left="0"/>
        <w:jc w:val="both"/>
        <w:rPr>
          <w:b/>
          <w:lang w:val="id-ID"/>
        </w:rPr>
      </w:pPr>
    </w:p>
    <w:p w:rsidR="000015C8" w:rsidRDefault="000015C8" w:rsidP="00A96DE4">
      <w:pPr>
        <w:pStyle w:val="ListParagraph"/>
        <w:spacing w:line="480" w:lineRule="auto"/>
        <w:ind w:left="0"/>
        <w:jc w:val="both"/>
      </w:pPr>
      <w:r>
        <w:rPr>
          <w:lang w:val="id-ID"/>
        </w:rPr>
        <w:t xml:space="preserve">      </w:t>
      </w:r>
      <w:r>
        <w:t>Bahan pangan yang dikonsumsi harus memenuhi syarat yan</w:t>
      </w:r>
      <w:r w:rsidR="00B55DC3">
        <w:t>g telah ditentukan, antara lain</w:t>
      </w:r>
      <w:r>
        <w:t>: memiliki nilai gizi, menarik (warna dan tekstur) serta bebas dari bahan-bahan berbahaya seperti cemaran kimia, mikroba dan sebagainya (Saparinto dkk., 2006). Bahan pangan dapat berperan sebagai substrat bagi pertumbuhan mikroorganisme patogen penyebab penyakit (Siagian, 2002).</w:t>
      </w:r>
    </w:p>
    <w:p w:rsidR="000015C8" w:rsidRPr="000015C8" w:rsidRDefault="000015C8" w:rsidP="00A96DE4">
      <w:pPr>
        <w:pStyle w:val="ListParagraph"/>
        <w:spacing w:line="480" w:lineRule="auto"/>
        <w:ind w:left="0"/>
        <w:jc w:val="both"/>
        <w:rPr>
          <w:lang w:val="id-ID"/>
        </w:rPr>
      </w:pPr>
      <w:r>
        <w:t xml:space="preserve">      Kontaminasi makanan mempunyai peranan yang cukup besar dalam kejadian penyakit bawaan makanan atau </w:t>
      </w:r>
      <w:r>
        <w:rPr>
          <w:i/>
        </w:rPr>
        <w:t>foodborne desease</w:t>
      </w:r>
      <w:r>
        <w:t>.</w:t>
      </w:r>
      <w:r>
        <w:rPr>
          <w:lang w:val="id-ID"/>
        </w:rPr>
        <w:t xml:space="preserve"> </w:t>
      </w:r>
      <w:r>
        <w:t>Makanan menjadi beracun karena telah terkontaminasi oleh mikroba patogen yang kemudian tumbuh dan berkembangbiak selama penyimpanan, sehingga mampu memproduksi toksin yang dapat membahayakan manusia.</w:t>
      </w:r>
    </w:p>
    <w:p w:rsidR="004E28B3" w:rsidRDefault="000015C8" w:rsidP="00A96DE4">
      <w:pPr>
        <w:pStyle w:val="Body"/>
        <w:spacing w:line="480" w:lineRule="auto"/>
        <w:ind w:firstLine="0"/>
        <w:rPr>
          <w:rFonts w:asciiTheme="majorBidi" w:hAnsiTheme="majorBidi" w:cstheme="majorBidi"/>
          <w:b/>
          <w:sz w:val="24"/>
          <w:szCs w:val="24"/>
          <w:lang w:val="id-ID"/>
        </w:rPr>
      </w:pPr>
      <w:r>
        <w:rPr>
          <w:rFonts w:asciiTheme="majorBidi" w:hAnsiTheme="majorBidi" w:cstheme="majorBidi"/>
          <w:b/>
          <w:sz w:val="24"/>
          <w:szCs w:val="24"/>
          <w:lang w:val="id-ID"/>
        </w:rPr>
        <w:t>Kadar Benzoat</w:t>
      </w:r>
    </w:p>
    <w:p w:rsidR="000015C8" w:rsidRDefault="000015C8" w:rsidP="00A96DE4">
      <w:pPr>
        <w:pStyle w:val="ListParagraph"/>
        <w:spacing w:line="276" w:lineRule="auto"/>
        <w:ind w:left="0"/>
        <w:jc w:val="center"/>
      </w:pPr>
      <w:r>
        <w:t>Tabel 5. Hasil Pengukuran Kadar Natrium Benzoat pada Sampel Saus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3178"/>
      </w:tblGrid>
      <w:tr w:rsidR="000015C8" w:rsidTr="00192538">
        <w:trPr>
          <w:jc w:val="center"/>
        </w:trPr>
        <w:tc>
          <w:tcPr>
            <w:tcW w:w="1500" w:type="dxa"/>
            <w:tcBorders>
              <w:top w:val="single" w:sz="4" w:space="0" w:color="auto"/>
              <w:bottom w:val="single" w:sz="4" w:space="0" w:color="auto"/>
            </w:tcBorders>
            <w:vAlign w:val="center"/>
          </w:tcPr>
          <w:p w:rsidR="000015C8" w:rsidRPr="003553FA" w:rsidRDefault="000015C8" w:rsidP="00A96DE4">
            <w:pPr>
              <w:pStyle w:val="ListParagraph"/>
              <w:ind w:left="0"/>
              <w:jc w:val="center"/>
            </w:pPr>
            <w:r>
              <w:t>Sampel</w:t>
            </w:r>
          </w:p>
        </w:tc>
        <w:tc>
          <w:tcPr>
            <w:tcW w:w="3178" w:type="dxa"/>
            <w:tcBorders>
              <w:top w:val="single" w:sz="4" w:space="0" w:color="auto"/>
              <w:bottom w:val="single" w:sz="4" w:space="0" w:color="auto"/>
            </w:tcBorders>
            <w:vAlign w:val="center"/>
          </w:tcPr>
          <w:p w:rsidR="000015C8" w:rsidRPr="003553FA" w:rsidRDefault="000015C8" w:rsidP="00A96DE4">
            <w:pPr>
              <w:pStyle w:val="ListParagraph"/>
              <w:ind w:left="0"/>
              <w:jc w:val="center"/>
            </w:pPr>
            <w:r>
              <w:t>Konsentrasi Benzoat (mg/kg)</w:t>
            </w:r>
          </w:p>
        </w:tc>
      </w:tr>
      <w:tr w:rsidR="000015C8" w:rsidTr="00192538">
        <w:trPr>
          <w:jc w:val="center"/>
        </w:trPr>
        <w:tc>
          <w:tcPr>
            <w:tcW w:w="1500" w:type="dxa"/>
            <w:tcBorders>
              <w:top w:val="single" w:sz="4" w:space="0" w:color="auto"/>
            </w:tcBorders>
            <w:vAlign w:val="center"/>
          </w:tcPr>
          <w:p w:rsidR="000015C8" w:rsidRPr="003553FA" w:rsidRDefault="000015C8" w:rsidP="00A96DE4">
            <w:pPr>
              <w:pStyle w:val="ListParagraph"/>
              <w:ind w:left="0"/>
              <w:jc w:val="center"/>
            </w:pPr>
            <w:r>
              <w:t>A</w:t>
            </w:r>
          </w:p>
        </w:tc>
        <w:tc>
          <w:tcPr>
            <w:tcW w:w="3178" w:type="dxa"/>
            <w:tcBorders>
              <w:top w:val="single" w:sz="4" w:space="0" w:color="auto"/>
            </w:tcBorders>
            <w:vAlign w:val="center"/>
          </w:tcPr>
          <w:p w:rsidR="000015C8" w:rsidRPr="009E4F60" w:rsidRDefault="000015C8" w:rsidP="00A96DE4">
            <w:pPr>
              <w:pStyle w:val="ListParagraph"/>
              <w:ind w:left="0"/>
              <w:jc w:val="center"/>
              <w:rPr>
                <w:vertAlign w:val="superscript"/>
              </w:rPr>
            </w:pPr>
            <w:r>
              <w:t xml:space="preserve">512,33 ± 0,00 </w:t>
            </w:r>
            <w:r>
              <w:rPr>
                <w:vertAlign w:val="superscript"/>
              </w:rPr>
              <w:t>e</w:t>
            </w:r>
          </w:p>
        </w:tc>
      </w:tr>
      <w:tr w:rsidR="000015C8" w:rsidTr="00192538">
        <w:trPr>
          <w:jc w:val="center"/>
        </w:trPr>
        <w:tc>
          <w:tcPr>
            <w:tcW w:w="1500" w:type="dxa"/>
            <w:vAlign w:val="center"/>
          </w:tcPr>
          <w:p w:rsidR="000015C8" w:rsidRPr="003553FA" w:rsidRDefault="000015C8" w:rsidP="00A96DE4">
            <w:pPr>
              <w:pStyle w:val="ListParagraph"/>
              <w:ind w:left="0"/>
              <w:jc w:val="center"/>
            </w:pPr>
            <w:r>
              <w:t>B</w:t>
            </w:r>
          </w:p>
        </w:tc>
        <w:tc>
          <w:tcPr>
            <w:tcW w:w="3178" w:type="dxa"/>
            <w:vAlign w:val="center"/>
          </w:tcPr>
          <w:p w:rsidR="000015C8" w:rsidRPr="009E4F60" w:rsidRDefault="000015C8" w:rsidP="00A96DE4">
            <w:pPr>
              <w:pStyle w:val="ListParagraph"/>
              <w:ind w:left="0"/>
              <w:jc w:val="center"/>
              <w:rPr>
                <w:vertAlign w:val="superscript"/>
              </w:rPr>
            </w:pPr>
            <w:r>
              <w:t xml:space="preserve">624,42 ± 0,18 </w:t>
            </w:r>
            <w:r>
              <w:rPr>
                <w:vertAlign w:val="superscript"/>
              </w:rPr>
              <w:t>f</w:t>
            </w:r>
          </w:p>
        </w:tc>
      </w:tr>
      <w:tr w:rsidR="000015C8" w:rsidTr="00192538">
        <w:trPr>
          <w:jc w:val="center"/>
        </w:trPr>
        <w:tc>
          <w:tcPr>
            <w:tcW w:w="1500" w:type="dxa"/>
            <w:vAlign w:val="center"/>
          </w:tcPr>
          <w:p w:rsidR="000015C8" w:rsidRPr="003553FA" w:rsidRDefault="000015C8" w:rsidP="00A96DE4">
            <w:pPr>
              <w:pStyle w:val="ListParagraph"/>
              <w:ind w:left="0"/>
              <w:jc w:val="center"/>
            </w:pPr>
            <w:r>
              <w:t>C</w:t>
            </w:r>
          </w:p>
        </w:tc>
        <w:tc>
          <w:tcPr>
            <w:tcW w:w="3178" w:type="dxa"/>
            <w:vAlign w:val="center"/>
          </w:tcPr>
          <w:p w:rsidR="000015C8" w:rsidRPr="009E4F60" w:rsidRDefault="000015C8" w:rsidP="00A96DE4">
            <w:pPr>
              <w:pStyle w:val="ListParagraph"/>
              <w:ind w:left="0"/>
              <w:jc w:val="center"/>
              <w:rPr>
                <w:vertAlign w:val="superscript"/>
              </w:rPr>
            </w:pPr>
            <w:r>
              <w:t xml:space="preserve">416,61 ± 0,06 </w:t>
            </w:r>
            <w:r>
              <w:rPr>
                <w:vertAlign w:val="superscript"/>
              </w:rPr>
              <w:t>c</w:t>
            </w:r>
          </w:p>
        </w:tc>
      </w:tr>
      <w:tr w:rsidR="000015C8" w:rsidTr="00192538">
        <w:trPr>
          <w:jc w:val="center"/>
        </w:trPr>
        <w:tc>
          <w:tcPr>
            <w:tcW w:w="1500" w:type="dxa"/>
            <w:vAlign w:val="center"/>
          </w:tcPr>
          <w:p w:rsidR="000015C8" w:rsidRPr="003553FA" w:rsidRDefault="000015C8" w:rsidP="00A96DE4">
            <w:pPr>
              <w:pStyle w:val="ListParagraph"/>
              <w:ind w:left="0"/>
              <w:jc w:val="center"/>
            </w:pPr>
            <w:r>
              <w:t>D</w:t>
            </w:r>
          </w:p>
        </w:tc>
        <w:tc>
          <w:tcPr>
            <w:tcW w:w="3178" w:type="dxa"/>
            <w:vAlign w:val="center"/>
          </w:tcPr>
          <w:p w:rsidR="000015C8" w:rsidRPr="009E4F60" w:rsidRDefault="000015C8" w:rsidP="00A96DE4">
            <w:pPr>
              <w:pStyle w:val="ListParagraph"/>
              <w:ind w:left="0"/>
              <w:jc w:val="center"/>
              <w:rPr>
                <w:vertAlign w:val="superscript"/>
              </w:rPr>
            </w:pPr>
            <w:r>
              <w:t xml:space="preserve">360,67 ± 0,00 </w:t>
            </w:r>
            <w:r>
              <w:rPr>
                <w:vertAlign w:val="superscript"/>
              </w:rPr>
              <w:t>b</w:t>
            </w:r>
          </w:p>
        </w:tc>
      </w:tr>
      <w:tr w:rsidR="000015C8" w:rsidTr="00192538">
        <w:trPr>
          <w:jc w:val="center"/>
        </w:trPr>
        <w:tc>
          <w:tcPr>
            <w:tcW w:w="1500" w:type="dxa"/>
            <w:vAlign w:val="center"/>
          </w:tcPr>
          <w:p w:rsidR="000015C8" w:rsidRPr="003553FA" w:rsidRDefault="000015C8" w:rsidP="00A96DE4">
            <w:pPr>
              <w:pStyle w:val="ListParagraph"/>
              <w:ind w:left="0"/>
              <w:jc w:val="center"/>
            </w:pPr>
            <w:r>
              <w:t>E</w:t>
            </w:r>
          </w:p>
        </w:tc>
        <w:tc>
          <w:tcPr>
            <w:tcW w:w="3178" w:type="dxa"/>
            <w:vAlign w:val="center"/>
          </w:tcPr>
          <w:p w:rsidR="000015C8" w:rsidRPr="009E4F60" w:rsidRDefault="000015C8" w:rsidP="00A96DE4">
            <w:pPr>
              <w:pStyle w:val="ListParagraph"/>
              <w:ind w:left="0"/>
              <w:jc w:val="center"/>
              <w:rPr>
                <w:vertAlign w:val="superscript"/>
              </w:rPr>
            </w:pPr>
            <w:r>
              <w:t xml:space="preserve">306,92 ± 0,06 </w:t>
            </w:r>
            <w:r>
              <w:rPr>
                <w:vertAlign w:val="superscript"/>
              </w:rPr>
              <w:t>a</w:t>
            </w:r>
          </w:p>
        </w:tc>
      </w:tr>
      <w:tr w:rsidR="000015C8" w:rsidTr="00192538">
        <w:trPr>
          <w:jc w:val="center"/>
        </w:trPr>
        <w:tc>
          <w:tcPr>
            <w:tcW w:w="1500" w:type="dxa"/>
            <w:vAlign w:val="center"/>
          </w:tcPr>
          <w:p w:rsidR="000015C8" w:rsidRPr="003553FA" w:rsidRDefault="000015C8" w:rsidP="00A96DE4">
            <w:pPr>
              <w:pStyle w:val="ListParagraph"/>
              <w:ind w:left="0"/>
              <w:jc w:val="center"/>
            </w:pPr>
            <w:r>
              <w:t>F</w:t>
            </w:r>
          </w:p>
        </w:tc>
        <w:tc>
          <w:tcPr>
            <w:tcW w:w="3178" w:type="dxa"/>
            <w:vAlign w:val="center"/>
          </w:tcPr>
          <w:p w:rsidR="000015C8" w:rsidRPr="009E4F60" w:rsidRDefault="000015C8" w:rsidP="00A96DE4">
            <w:pPr>
              <w:pStyle w:val="ListParagraph"/>
              <w:ind w:left="0"/>
              <w:jc w:val="center"/>
              <w:rPr>
                <w:vertAlign w:val="superscript"/>
              </w:rPr>
            </w:pPr>
            <w:r>
              <w:t xml:space="preserve">742,74 ± 0,06 </w:t>
            </w:r>
            <w:r>
              <w:rPr>
                <w:vertAlign w:val="superscript"/>
              </w:rPr>
              <w:t>g</w:t>
            </w:r>
          </w:p>
        </w:tc>
      </w:tr>
      <w:tr w:rsidR="000015C8" w:rsidTr="00192538">
        <w:trPr>
          <w:jc w:val="center"/>
        </w:trPr>
        <w:tc>
          <w:tcPr>
            <w:tcW w:w="1500" w:type="dxa"/>
            <w:vAlign w:val="center"/>
          </w:tcPr>
          <w:p w:rsidR="000015C8" w:rsidRPr="003553FA" w:rsidRDefault="000015C8" w:rsidP="00A96DE4">
            <w:pPr>
              <w:pStyle w:val="ListParagraph"/>
              <w:ind w:left="0"/>
              <w:jc w:val="center"/>
            </w:pPr>
            <w:r>
              <w:t>G</w:t>
            </w:r>
          </w:p>
        </w:tc>
        <w:tc>
          <w:tcPr>
            <w:tcW w:w="3178" w:type="dxa"/>
            <w:vAlign w:val="center"/>
          </w:tcPr>
          <w:p w:rsidR="000015C8" w:rsidRPr="009E4F60" w:rsidRDefault="000015C8" w:rsidP="00A96DE4">
            <w:pPr>
              <w:pStyle w:val="ListParagraph"/>
              <w:ind w:left="0"/>
              <w:jc w:val="center"/>
              <w:rPr>
                <w:vertAlign w:val="superscript"/>
              </w:rPr>
            </w:pPr>
            <w:r>
              <w:t xml:space="preserve">419,83 ± 0,12 </w:t>
            </w:r>
            <w:r>
              <w:rPr>
                <w:vertAlign w:val="superscript"/>
              </w:rPr>
              <w:t>d</w:t>
            </w:r>
          </w:p>
        </w:tc>
      </w:tr>
    </w:tbl>
    <w:p w:rsidR="000015C8" w:rsidRDefault="000015C8" w:rsidP="00A96DE4">
      <w:pPr>
        <w:pStyle w:val="ListParagraph"/>
        <w:ind w:left="0"/>
        <w:jc w:val="both"/>
      </w:pPr>
      <w:r>
        <w:t>Keterangan : Angka yang diikuti oleh huruf yang berbeda pada masing-masing variabel menunjukkan ada perbedaan nyata berdasarkan uji ANOVA pada taraf α = 0,05</w:t>
      </w:r>
    </w:p>
    <w:p w:rsidR="000015C8" w:rsidRPr="004E28B3" w:rsidRDefault="000015C8" w:rsidP="00A96DE4">
      <w:pPr>
        <w:pStyle w:val="Body"/>
        <w:spacing w:line="480" w:lineRule="auto"/>
        <w:ind w:firstLine="0"/>
        <w:rPr>
          <w:rFonts w:asciiTheme="majorBidi" w:hAnsiTheme="majorBidi" w:cstheme="majorBidi"/>
          <w:b/>
          <w:sz w:val="24"/>
          <w:szCs w:val="24"/>
          <w:lang w:val="id-ID"/>
        </w:rPr>
      </w:pPr>
    </w:p>
    <w:p w:rsidR="0056431D" w:rsidRDefault="0056431D" w:rsidP="00A96DE4">
      <w:pPr>
        <w:spacing w:line="480" w:lineRule="auto"/>
        <w:jc w:val="both"/>
      </w:pPr>
      <w:r>
        <w:rPr>
          <w:lang w:val="id-ID"/>
        </w:rPr>
        <w:lastRenderedPageBreak/>
        <w:t xml:space="preserve">      </w:t>
      </w:r>
      <w:r>
        <w:t xml:space="preserve">Berdasarkan Tabel 11, kadar natrium </w:t>
      </w:r>
      <w:r w:rsidR="00695274">
        <w:t xml:space="preserve">benzoat dalam sampel saus </w:t>
      </w:r>
      <w:r>
        <w:t>tidak melebihi ambang batas mutu yang telah ditetapkan menurut Peraturan kepala BPOM Nomor 36 Tahun 2013 tentang saus cabai yaitu 1000 mg/kg. Sampel saus cabai yang mengandung kadar natrium benzoat paling tinggi adalah saus F dengan nilai sebesar 74</w:t>
      </w:r>
      <w:r w:rsidR="00695274">
        <w:t xml:space="preserve">2,74 mg/kg sementara saus </w:t>
      </w:r>
      <w:r>
        <w:t>dengan kadar natrium benzoat paling rendah adalah saus E dengan nilai 306,92 mg/kg.</w:t>
      </w:r>
    </w:p>
    <w:p w:rsidR="00F97E7C" w:rsidRDefault="0056431D" w:rsidP="00A96DE4">
      <w:pPr>
        <w:spacing w:line="480" w:lineRule="auto"/>
        <w:jc w:val="both"/>
        <w:rPr>
          <w:lang w:val="id-ID"/>
        </w:rPr>
      </w:pPr>
      <w:r>
        <w:rPr>
          <w:lang w:val="id-ID"/>
        </w:rPr>
        <w:t xml:space="preserve">      </w:t>
      </w:r>
      <w:r>
        <w:rPr>
          <w:i/>
          <w:color w:val="000000" w:themeColor="text1"/>
        </w:rPr>
        <w:t>Codex Alimentarius Commision</w:t>
      </w:r>
      <w:r>
        <w:t xml:space="preserve"> (2005) menyatakan bahwa tujuan utama penetapan batas penggunaan BTP (Bahan Tambahan Pangan) pada bahan pangan adalah untuk menjamin bahwa asupan BTP tidak melebihi </w:t>
      </w:r>
      <w:r>
        <w:rPr>
          <w:i/>
        </w:rPr>
        <w:t xml:space="preserve">Acceptable Daily Intake </w:t>
      </w:r>
      <w:r>
        <w:t>(ADI).</w:t>
      </w:r>
      <w:r>
        <w:rPr>
          <w:lang w:val="id-ID"/>
        </w:rPr>
        <w:t xml:space="preserve"> </w:t>
      </w:r>
      <w:r>
        <w:t>Nilai ADI untuk pengawet asam benzoat dan garamnya adalah 0-5 mg/kg bb.</w:t>
      </w:r>
    </w:p>
    <w:p w:rsidR="0056431D" w:rsidRDefault="0056431D" w:rsidP="00A96DE4">
      <w:pPr>
        <w:spacing w:line="480" w:lineRule="auto"/>
        <w:jc w:val="both"/>
        <w:rPr>
          <w:rFonts w:asciiTheme="majorBidi" w:hAnsiTheme="majorBidi" w:cstheme="majorBidi"/>
          <w:lang w:val="id-ID"/>
        </w:rPr>
      </w:pPr>
      <w:r>
        <w:rPr>
          <w:lang w:val="id-ID"/>
        </w:rPr>
        <w:t xml:space="preserve">      </w:t>
      </w:r>
      <w:r>
        <w:t xml:space="preserve">Beberapa efek samping yang ditimbulkan sebagai akibat jika mengonsumsi pengawet dalam dosis yang tinggi yaitu asidosis, metabolik, kejang-kejang, alergi,  dan hiperpnea dalam percobaan yang menggunakan hewan coba (Tfouni dan Taledo, 2002). </w:t>
      </w:r>
      <w:r w:rsidRPr="002B0DC6">
        <w:rPr>
          <w:color w:val="000000" w:themeColor="text1"/>
        </w:rPr>
        <w:t>Eberechukwu</w:t>
      </w:r>
      <w:r>
        <w:rPr>
          <w:color w:val="000000" w:themeColor="text1"/>
        </w:rPr>
        <w:t xml:space="preserve"> </w:t>
      </w:r>
      <w:r w:rsidRPr="002B0DC6">
        <w:rPr>
          <w:color w:val="000000" w:themeColor="text1"/>
        </w:rPr>
        <w:t>dkk</w:t>
      </w:r>
      <w:r>
        <w:rPr>
          <w:color w:val="000000" w:themeColor="text1"/>
        </w:rPr>
        <w:t>. (2007) melaporkan bahwa terjadi penurunan signifikan terhadap konsentrasi hemoglobin (Hb) pada darah tikus putih yang diberikan natrium benzoat sebanyak 30, 60 dan 120 mg/kg berat badan. Penurunan ini memberikan gambaran kemungkinan kerentanan terjadinya anemia.</w:t>
      </w:r>
    </w:p>
    <w:p w:rsidR="006F42F1" w:rsidRPr="00747556" w:rsidRDefault="006F42F1" w:rsidP="00B968F1">
      <w:pPr>
        <w:pStyle w:val="Body"/>
        <w:spacing w:line="480" w:lineRule="auto"/>
        <w:ind w:firstLine="0"/>
        <w:rPr>
          <w:rFonts w:asciiTheme="majorBidi" w:hAnsiTheme="majorBidi" w:cstheme="majorBidi"/>
          <w:b/>
          <w:sz w:val="24"/>
          <w:szCs w:val="24"/>
          <w:lang w:val="id-ID"/>
        </w:rPr>
      </w:pPr>
    </w:p>
    <w:p w:rsidR="0017119C" w:rsidRPr="00747556" w:rsidRDefault="00524A28" w:rsidP="00973F4E">
      <w:pPr>
        <w:pStyle w:val="Body"/>
        <w:spacing w:line="480" w:lineRule="auto"/>
        <w:ind w:firstLine="0"/>
        <w:rPr>
          <w:rFonts w:asciiTheme="majorBidi" w:hAnsiTheme="majorBidi" w:cstheme="majorBidi"/>
          <w:sz w:val="24"/>
          <w:szCs w:val="24"/>
          <w:lang w:val="id-ID"/>
        </w:rPr>
      </w:pPr>
      <w:r w:rsidRPr="00747556">
        <w:rPr>
          <w:rFonts w:asciiTheme="majorBidi" w:hAnsiTheme="majorBidi" w:cstheme="majorBidi"/>
          <w:b/>
          <w:sz w:val="24"/>
          <w:szCs w:val="24"/>
          <w:lang w:val="id-ID"/>
        </w:rPr>
        <w:t>KESIMPULAN</w:t>
      </w:r>
    </w:p>
    <w:p w:rsidR="00C47EA4" w:rsidRDefault="00695274" w:rsidP="00C47EA4">
      <w:pPr>
        <w:spacing w:line="480" w:lineRule="auto"/>
        <w:jc w:val="both"/>
      </w:pPr>
      <w:r>
        <w:rPr>
          <w:rFonts w:asciiTheme="majorBidi" w:hAnsiTheme="majorBidi" w:cstheme="majorBidi"/>
          <w:lang w:val="id-ID"/>
        </w:rPr>
        <w:t xml:space="preserve">      Saus</w:t>
      </w:r>
      <w:r w:rsidR="00C47EA4">
        <w:rPr>
          <w:rFonts w:asciiTheme="majorBidi" w:hAnsiTheme="majorBidi" w:cstheme="majorBidi"/>
          <w:lang w:val="id-ID"/>
        </w:rPr>
        <w:t xml:space="preserve"> memiliki </w:t>
      </w:r>
      <w:r w:rsidR="00C47EA4">
        <w:t>kadar natrium benzoat yang berkisar antara 306,92─742,74 mg/kg.</w:t>
      </w:r>
      <w:r w:rsidR="00C47EA4">
        <w:rPr>
          <w:lang w:val="id-ID"/>
        </w:rPr>
        <w:t xml:space="preserve"> </w:t>
      </w:r>
      <w:r>
        <w:t xml:space="preserve">Untuk nilai TPC saus </w:t>
      </w:r>
      <w:r w:rsidR="00C47EA4">
        <w:t>baru terdapat empat sampel saus  yang memiliki nilai melebihi ambang b</w:t>
      </w:r>
      <w:r>
        <w:t>atas, sementara untuk saus</w:t>
      </w:r>
      <w:r w:rsidR="00C47EA4">
        <w:t xml:space="preserve"> lama seluruh sampel memiliki nilai TPC melebihi ambang batas yang ditentukan yaitu 1x10</w:t>
      </w:r>
      <w:r w:rsidR="00C47EA4">
        <w:rPr>
          <w:vertAlign w:val="superscript"/>
        </w:rPr>
        <w:t xml:space="preserve">4 </w:t>
      </w:r>
      <w:r w:rsidR="00C47EA4">
        <w:t>CFU/ml. Kualitas bahan baku, penyimpanan serta penyaj</w:t>
      </w:r>
      <w:r>
        <w:t xml:space="preserve">ian memengaruhi mutu saus </w:t>
      </w:r>
      <w:r w:rsidR="00C47EA4">
        <w:t>yang digunakan pedagang mi ayam. Aspek sanitasi yang belum memenuhi standar yaitu kebersihan serta</w:t>
      </w:r>
      <w:r>
        <w:t xml:space="preserve"> penyimpanan saus </w:t>
      </w:r>
      <w:r w:rsidR="00C47EA4">
        <w:t>setelah selesai berjualan.</w:t>
      </w:r>
    </w:p>
    <w:p w:rsidR="00524A28" w:rsidRDefault="00524A28" w:rsidP="00B968F1">
      <w:pPr>
        <w:pStyle w:val="Body"/>
        <w:spacing w:line="480" w:lineRule="auto"/>
        <w:ind w:firstLine="0"/>
        <w:rPr>
          <w:rFonts w:asciiTheme="majorBidi" w:hAnsiTheme="majorBidi" w:cstheme="majorBidi"/>
          <w:sz w:val="24"/>
          <w:szCs w:val="24"/>
          <w:lang w:val="id-ID"/>
        </w:rPr>
      </w:pPr>
    </w:p>
    <w:p w:rsidR="00695274" w:rsidRPr="00C47EA4" w:rsidRDefault="00695274" w:rsidP="00B968F1">
      <w:pPr>
        <w:pStyle w:val="Body"/>
        <w:spacing w:line="480" w:lineRule="auto"/>
        <w:ind w:firstLine="0"/>
        <w:rPr>
          <w:rFonts w:asciiTheme="majorBidi" w:hAnsiTheme="majorBidi" w:cstheme="majorBidi"/>
          <w:sz w:val="24"/>
          <w:szCs w:val="24"/>
          <w:lang w:val="id-ID"/>
        </w:rPr>
      </w:pPr>
    </w:p>
    <w:p w:rsidR="0017119C" w:rsidRPr="00973F4E" w:rsidRDefault="00524A28" w:rsidP="00973F4E">
      <w:pPr>
        <w:pStyle w:val="Body"/>
        <w:spacing w:line="480" w:lineRule="auto"/>
        <w:ind w:firstLine="0"/>
        <w:rPr>
          <w:rFonts w:asciiTheme="majorBidi" w:hAnsiTheme="majorBidi" w:cstheme="majorBidi"/>
          <w:b/>
          <w:sz w:val="24"/>
          <w:szCs w:val="24"/>
          <w:lang w:val="id-ID"/>
        </w:rPr>
      </w:pPr>
      <w:r w:rsidRPr="00747556">
        <w:rPr>
          <w:rFonts w:asciiTheme="majorBidi" w:hAnsiTheme="majorBidi" w:cstheme="majorBidi"/>
          <w:b/>
          <w:sz w:val="24"/>
          <w:szCs w:val="24"/>
          <w:lang w:val="id-ID"/>
        </w:rPr>
        <w:lastRenderedPageBreak/>
        <w:t>DAFTAR PUSTAKA</w:t>
      </w:r>
    </w:p>
    <w:p w:rsidR="00176A8F" w:rsidRPr="00994FE5" w:rsidRDefault="00176A8F" w:rsidP="00176A8F">
      <w:pPr>
        <w:ind w:left="851" w:hanging="851"/>
        <w:jc w:val="both"/>
      </w:pPr>
      <w:r>
        <w:t xml:space="preserve">Anonim. </w:t>
      </w:r>
      <w:r w:rsidRPr="00994FE5">
        <w:t>2005. General Standars for Food Additives. Codex Alimentarius Commision.  Codec Stan 192-1995.</w:t>
      </w:r>
    </w:p>
    <w:p w:rsidR="00176A8F" w:rsidRPr="00994FE5" w:rsidRDefault="00176A8F" w:rsidP="00176A8F">
      <w:pPr>
        <w:ind w:left="851" w:hanging="851"/>
      </w:pPr>
      <w:r w:rsidRPr="00994FE5">
        <w:t>Anonim. 2013. Peraturan Kepala Badan Pengawas Obat dan Makanan Republik   Indonesia Nomor 36 Tahun 2013. Badan Peng</w:t>
      </w:r>
      <w:r>
        <w:t>awas Obat dan Makanan. Jakarta.</w:t>
      </w:r>
    </w:p>
    <w:p w:rsidR="00176A8F" w:rsidRPr="00994FE5" w:rsidRDefault="00176A8F" w:rsidP="00176A8F">
      <w:pPr>
        <w:ind w:left="851" w:hanging="851"/>
        <w:jc w:val="both"/>
      </w:pPr>
      <w:r w:rsidRPr="00994FE5">
        <w:t xml:space="preserve">Anonim. 2018. Informasi Kependudukan Daerah Istimewa Yogyakarta. </w:t>
      </w:r>
      <w:hyperlink r:id="rId9" w:history="1">
        <w:r w:rsidRPr="00994FE5">
          <w:rPr>
            <w:rStyle w:val="Hyperlink"/>
          </w:rPr>
          <w:t>http://kependudukan.jogjaprov.go.id/olah.php?module=statistik&amp;periode=10&amp;jenisdata=penduduk&amp;berdasarkan=pekerjaan&amp;prop=34&amp;kab=04&amp;kec=07</w:t>
        </w:r>
      </w:hyperlink>
      <w:r w:rsidRPr="00994FE5">
        <w:t xml:space="preserve">. </w:t>
      </w:r>
      <w:r>
        <w:t xml:space="preserve">Diakses : </w:t>
      </w:r>
      <w:r w:rsidRPr="00994FE5">
        <w:t>3 September 2018.</w:t>
      </w:r>
    </w:p>
    <w:p w:rsidR="00176A8F" w:rsidRPr="00994FE5" w:rsidRDefault="00176A8F" w:rsidP="00176A8F">
      <w:pPr>
        <w:ind w:left="851" w:hanging="851"/>
        <w:jc w:val="both"/>
      </w:pPr>
      <w:r w:rsidRPr="00994FE5">
        <w:t>Dumadi, S</w:t>
      </w:r>
      <w:r>
        <w:t>.</w:t>
      </w:r>
      <w:r w:rsidRPr="00994FE5">
        <w:t xml:space="preserve"> Retno. 2011. The Moisture Content Increase of Dried Cocoa Beans During Storage at Room Temperature. </w:t>
      </w:r>
      <w:r>
        <w:t>JITE Vol.</w:t>
      </w:r>
      <w:r w:rsidRPr="00994FE5">
        <w:t>1</w:t>
      </w:r>
      <w:r>
        <w:t>,</w:t>
      </w:r>
      <w:r w:rsidRPr="00994FE5">
        <w:t xml:space="preserve"> No.12 : 45-54.</w:t>
      </w:r>
    </w:p>
    <w:p w:rsidR="00176A8F" w:rsidRPr="00994FE5" w:rsidRDefault="00176A8F" w:rsidP="00176A8F">
      <w:pPr>
        <w:ind w:left="851" w:hanging="851"/>
        <w:jc w:val="both"/>
      </w:pPr>
      <w:r w:rsidRPr="00994FE5">
        <w:t>Eberechukwu, S., IBEKWE., UWAKWE., Augustine, A., dan Michael, O. 2007. Effect of Oral Intake of Sodium Benzoate on some Haemotological Parameters of Wistar Albino Rats. Port Harcourt, Nigeria : Departement of Biochemistry. Scientific Research and Ess</w:t>
      </w:r>
      <w:r>
        <w:t>ay Vol.</w:t>
      </w:r>
      <w:r w:rsidRPr="00994FE5">
        <w:t>2(1).</w:t>
      </w:r>
    </w:p>
    <w:p w:rsidR="00176A8F" w:rsidRPr="00994FE5" w:rsidRDefault="00176A8F" w:rsidP="00176A8F">
      <w:pPr>
        <w:ind w:left="851" w:hanging="851"/>
        <w:jc w:val="both"/>
      </w:pPr>
      <w:r>
        <w:t>Nafidah, F</w:t>
      </w:r>
      <w:r w:rsidRPr="00994FE5">
        <w:t>., Maria</w:t>
      </w:r>
      <w:r>
        <w:t>,</w:t>
      </w:r>
      <w:r w:rsidRPr="00994FE5">
        <w:t xml:space="preserve"> Y</w:t>
      </w:r>
      <w:r>
        <w:t>.</w:t>
      </w:r>
      <w:r w:rsidRPr="00994FE5">
        <w:t xml:space="preserve"> B., dan Yuliana</w:t>
      </w:r>
      <w:r>
        <w:t>,</w:t>
      </w:r>
      <w:r w:rsidRPr="00994FE5">
        <w:t xml:space="preserve"> P. 2014. Kontaminasi Bakteri Pada Saus Tomat Mie Ayam di Pasar Condong Catur Sleman Yogyakarta Tahun 2013. Jurnal Ilmu Biologi, Vol 2</w:t>
      </w:r>
      <w:r>
        <w:t>.,</w:t>
      </w:r>
      <w:r w:rsidRPr="00994FE5">
        <w:t>No.1 : 30-33.</w:t>
      </w:r>
    </w:p>
    <w:p w:rsidR="00176A8F" w:rsidRDefault="00176A8F" w:rsidP="00176A8F">
      <w:pPr>
        <w:ind w:left="851" w:hanging="851"/>
        <w:jc w:val="both"/>
      </w:pPr>
      <w:r w:rsidRPr="00994FE5">
        <w:t>Saparinto, C</w:t>
      </w:r>
      <w:r>
        <w:t xml:space="preserve"> </w:t>
      </w:r>
      <w:r w:rsidRPr="00994FE5">
        <w:t>dan Hidayati</w:t>
      </w:r>
      <w:r>
        <w:t>,</w:t>
      </w:r>
      <w:r w:rsidRPr="00994FE5">
        <w:t xml:space="preserve"> D. 2006. Bahan Tambahan Pangan. Kanisius.</w:t>
      </w:r>
      <w:r>
        <w:t xml:space="preserve"> </w:t>
      </w:r>
      <w:r w:rsidRPr="00994FE5">
        <w:t>Yogyakarta</w:t>
      </w:r>
      <w:r>
        <w:t>.</w:t>
      </w:r>
    </w:p>
    <w:p w:rsidR="00176A8F" w:rsidRPr="00994FE5" w:rsidRDefault="00176A8F" w:rsidP="00176A8F">
      <w:pPr>
        <w:ind w:left="851" w:hanging="851"/>
        <w:jc w:val="both"/>
      </w:pPr>
      <w:r w:rsidRPr="00994FE5">
        <w:t>Sella. 2013. Analisis Pengawet Natrium Benzoat dan Pewarna Rhodamin B pada Saus Tomat J dari Pasar Tradisional L Kota Blitar. Blitar : Jurnal Ilmiah Mahasiswa Universitas Surabaya Vol</w:t>
      </w:r>
      <w:r>
        <w:t>.</w:t>
      </w:r>
      <w:r w:rsidRPr="00994FE5">
        <w:t xml:space="preserve"> 2</w:t>
      </w:r>
      <w:r>
        <w:t>,</w:t>
      </w:r>
      <w:r w:rsidRPr="00994FE5">
        <w:t xml:space="preserve"> No.2. </w:t>
      </w:r>
    </w:p>
    <w:p w:rsidR="00176A8F" w:rsidRPr="00994FE5" w:rsidRDefault="00176A8F" w:rsidP="00176A8F">
      <w:pPr>
        <w:ind w:left="851" w:hanging="851"/>
        <w:jc w:val="both"/>
      </w:pPr>
      <w:r w:rsidRPr="00994FE5">
        <w:t xml:space="preserve">Siagian, A. 20002. Mikroba Patogen pada Makanan dan Sumber </w:t>
      </w:r>
      <w:r>
        <w:t xml:space="preserve">Pencemarannya. </w:t>
      </w:r>
      <w:r w:rsidRPr="00994FE5">
        <w:t>USU Digital Library.</w:t>
      </w:r>
      <w:r>
        <w:t xml:space="preserve"> Medan.</w:t>
      </w:r>
    </w:p>
    <w:p w:rsidR="00176A8F" w:rsidRPr="00994FE5" w:rsidRDefault="00176A8F" w:rsidP="00176A8F">
      <w:pPr>
        <w:ind w:left="851" w:hanging="851"/>
        <w:jc w:val="both"/>
      </w:pPr>
      <w:r w:rsidRPr="00994FE5">
        <w:t>Tfouni S.A.V dan Toledo M.C.F. 2002. Determination of Benzoic and Sorbic Acid in Braziliant Food. Food Control 13 : 117-123.</w:t>
      </w:r>
    </w:p>
    <w:p w:rsidR="00D56273" w:rsidRPr="003D40DA" w:rsidRDefault="00D56273" w:rsidP="00226E39">
      <w:pPr>
        <w:pStyle w:val="Heading1"/>
        <w:numPr>
          <w:ilvl w:val="0"/>
          <w:numId w:val="0"/>
        </w:numPr>
        <w:rPr>
          <w:rFonts w:asciiTheme="majorBidi" w:hAnsiTheme="majorBidi" w:cstheme="majorBidi"/>
          <w:sz w:val="24"/>
          <w:szCs w:val="24"/>
          <w:lang w:val="es-ES"/>
        </w:rPr>
      </w:pPr>
    </w:p>
    <w:p w:rsidR="00D56273" w:rsidRPr="003D40DA" w:rsidRDefault="00D56273" w:rsidP="00226E39">
      <w:pPr>
        <w:rPr>
          <w:rFonts w:asciiTheme="majorBidi" w:hAnsiTheme="majorBidi" w:cstheme="majorBidi"/>
          <w:lang w:val="es-ES" w:eastAsia="ar-SA"/>
        </w:rPr>
      </w:pPr>
    </w:p>
    <w:p w:rsidR="00D56273" w:rsidRPr="003D40DA" w:rsidRDefault="00D56273" w:rsidP="00226E39">
      <w:pPr>
        <w:rPr>
          <w:rFonts w:asciiTheme="majorBidi" w:hAnsiTheme="majorBidi" w:cstheme="majorBidi"/>
          <w:lang w:val="es-ES" w:eastAsia="ar-SA"/>
        </w:rPr>
      </w:pPr>
    </w:p>
    <w:p w:rsidR="00D56273" w:rsidRPr="003D40DA" w:rsidRDefault="00D56273" w:rsidP="00226E39">
      <w:pPr>
        <w:rPr>
          <w:rFonts w:asciiTheme="majorBidi" w:hAnsiTheme="majorBidi" w:cstheme="majorBidi"/>
          <w:lang w:val="es-ES" w:eastAsia="ar-SA"/>
        </w:rPr>
      </w:pPr>
    </w:p>
    <w:p w:rsidR="00BB5F72" w:rsidRPr="00747556" w:rsidRDefault="00BB5F72" w:rsidP="00A62A24">
      <w:pPr>
        <w:pStyle w:val="Body"/>
        <w:ind w:firstLine="0"/>
        <w:rPr>
          <w:rFonts w:asciiTheme="majorBidi" w:hAnsiTheme="majorBidi" w:cstheme="majorBidi"/>
          <w:iCs/>
          <w:color w:val="000000"/>
          <w:sz w:val="24"/>
          <w:szCs w:val="24"/>
          <w:lang w:val="id-ID"/>
        </w:rPr>
      </w:pPr>
    </w:p>
    <w:sectPr w:rsidR="00BB5F72" w:rsidRPr="00747556" w:rsidSect="0037216C">
      <w:headerReference w:type="default" r:id="rId10"/>
      <w:footerReference w:type="default" r:id="rId11"/>
      <w:type w:val="nextColumn"/>
      <w:pgSz w:w="11907" w:h="16840" w:code="9"/>
      <w:pgMar w:top="1440" w:right="1440" w:bottom="1440" w:left="1440"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CD" w:rsidRDefault="001456CD">
      <w:r>
        <w:separator/>
      </w:r>
    </w:p>
  </w:endnote>
  <w:endnote w:type="continuationSeparator" w:id="0">
    <w:p w:rsidR="001456CD" w:rsidRDefault="0014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045897"/>
      <w:docPartObj>
        <w:docPartGallery w:val="Page Numbers (Bottom of Page)"/>
        <w:docPartUnique/>
      </w:docPartObj>
    </w:sdtPr>
    <w:sdtEndPr>
      <w:rPr>
        <w:noProof/>
      </w:rPr>
    </w:sdtEndPr>
    <w:sdtContent>
      <w:p w:rsidR="00340CF4" w:rsidRPr="00BF4B79" w:rsidRDefault="00340CF4">
        <w:pPr>
          <w:pStyle w:val="Footer"/>
          <w:jc w:val="center"/>
        </w:pPr>
        <w:r w:rsidRPr="00BF4B79">
          <w:fldChar w:fldCharType="begin"/>
        </w:r>
        <w:r w:rsidRPr="00BF4B79">
          <w:instrText xml:space="preserve"> PAGE   \* MERGEFORMAT </w:instrText>
        </w:r>
        <w:r w:rsidRPr="00BF4B79">
          <w:fldChar w:fldCharType="separate"/>
        </w:r>
        <w:r w:rsidR="00695274">
          <w:rPr>
            <w:noProof/>
          </w:rPr>
          <w:t>10</w:t>
        </w:r>
        <w:r w:rsidRPr="00BF4B79">
          <w:rPr>
            <w:noProof/>
          </w:rPr>
          <w:fldChar w:fldCharType="end"/>
        </w:r>
      </w:p>
    </w:sdtContent>
  </w:sdt>
  <w:p w:rsidR="00340CF4" w:rsidRDefault="00340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CD" w:rsidRDefault="001456CD">
      <w:r>
        <w:separator/>
      </w:r>
    </w:p>
  </w:footnote>
  <w:footnote w:type="continuationSeparator" w:id="0">
    <w:p w:rsidR="001456CD" w:rsidRDefault="0014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F4" w:rsidRDefault="00340CF4" w:rsidP="00A92D2C">
    <w:pPr>
      <w:pStyle w:val="Header"/>
      <w:jc w:val="center"/>
    </w:pPr>
  </w:p>
  <w:p w:rsidR="00340CF4" w:rsidRDefault="00340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015C8"/>
    <w:rsid w:val="0001250E"/>
    <w:rsid w:val="0001664E"/>
    <w:rsid w:val="00022890"/>
    <w:rsid w:val="0002298E"/>
    <w:rsid w:val="00040B24"/>
    <w:rsid w:val="00041786"/>
    <w:rsid w:val="000452A9"/>
    <w:rsid w:val="00050362"/>
    <w:rsid w:val="0005225F"/>
    <w:rsid w:val="00081000"/>
    <w:rsid w:val="00081B0D"/>
    <w:rsid w:val="00082B0C"/>
    <w:rsid w:val="00085368"/>
    <w:rsid w:val="000926BD"/>
    <w:rsid w:val="000952E9"/>
    <w:rsid w:val="00095E05"/>
    <w:rsid w:val="000960D3"/>
    <w:rsid w:val="000970FF"/>
    <w:rsid w:val="000A379E"/>
    <w:rsid w:val="000B5ED9"/>
    <w:rsid w:val="000C6D03"/>
    <w:rsid w:val="000E0897"/>
    <w:rsid w:val="000E51CC"/>
    <w:rsid w:val="000E68A9"/>
    <w:rsid w:val="000F66B8"/>
    <w:rsid w:val="000F677B"/>
    <w:rsid w:val="00100805"/>
    <w:rsid w:val="00101308"/>
    <w:rsid w:val="00101BCB"/>
    <w:rsid w:val="0010301C"/>
    <w:rsid w:val="00106F56"/>
    <w:rsid w:val="0011623F"/>
    <w:rsid w:val="001277EF"/>
    <w:rsid w:val="00144EEF"/>
    <w:rsid w:val="00144FBA"/>
    <w:rsid w:val="001456CD"/>
    <w:rsid w:val="00156375"/>
    <w:rsid w:val="00156A3C"/>
    <w:rsid w:val="001605D1"/>
    <w:rsid w:val="001642ED"/>
    <w:rsid w:val="001651C1"/>
    <w:rsid w:val="0017119C"/>
    <w:rsid w:val="00173195"/>
    <w:rsid w:val="00176A8F"/>
    <w:rsid w:val="00177B6F"/>
    <w:rsid w:val="00184FD9"/>
    <w:rsid w:val="00185E56"/>
    <w:rsid w:val="00190038"/>
    <w:rsid w:val="001904D8"/>
    <w:rsid w:val="001A11DA"/>
    <w:rsid w:val="001A2C66"/>
    <w:rsid w:val="001A441F"/>
    <w:rsid w:val="001A77E9"/>
    <w:rsid w:val="001B092F"/>
    <w:rsid w:val="001C2267"/>
    <w:rsid w:val="001C5343"/>
    <w:rsid w:val="001D0E1D"/>
    <w:rsid w:val="001D4C91"/>
    <w:rsid w:val="001E1DF1"/>
    <w:rsid w:val="001F0A20"/>
    <w:rsid w:val="001F0FBF"/>
    <w:rsid w:val="001F2977"/>
    <w:rsid w:val="002055C3"/>
    <w:rsid w:val="00211561"/>
    <w:rsid w:val="0021198F"/>
    <w:rsid w:val="0021652D"/>
    <w:rsid w:val="002206E8"/>
    <w:rsid w:val="00226E39"/>
    <w:rsid w:val="00230519"/>
    <w:rsid w:val="0023222E"/>
    <w:rsid w:val="00232504"/>
    <w:rsid w:val="002363C1"/>
    <w:rsid w:val="002375FA"/>
    <w:rsid w:val="00250A0E"/>
    <w:rsid w:val="0025282B"/>
    <w:rsid w:val="00257159"/>
    <w:rsid w:val="00260424"/>
    <w:rsid w:val="00264706"/>
    <w:rsid w:val="00265836"/>
    <w:rsid w:val="002711BB"/>
    <w:rsid w:val="00271CBD"/>
    <w:rsid w:val="002765E8"/>
    <w:rsid w:val="002768DF"/>
    <w:rsid w:val="00283228"/>
    <w:rsid w:val="00285D8C"/>
    <w:rsid w:val="00292DC0"/>
    <w:rsid w:val="002940F4"/>
    <w:rsid w:val="002978D1"/>
    <w:rsid w:val="002B1CEA"/>
    <w:rsid w:val="002B7022"/>
    <w:rsid w:val="002B7B33"/>
    <w:rsid w:val="002C1C14"/>
    <w:rsid w:val="002C6E97"/>
    <w:rsid w:val="002D447D"/>
    <w:rsid w:val="002D6B59"/>
    <w:rsid w:val="002E1BB5"/>
    <w:rsid w:val="002E7CBB"/>
    <w:rsid w:val="00307D5F"/>
    <w:rsid w:val="003104A6"/>
    <w:rsid w:val="003136A9"/>
    <w:rsid w:val="00320BB3"/>
    <w:rsid w:val="00321D8C"/>
    <w:rsid w:val="00335DB2"/>
    <w:rsid w:val="00340CF4"/>
    <w:rsid w:val="0034238B"/>
    <w:rsid w:val="003426B0"/>
    <w:rsid w:val="003623F4"/>
    <w:rsid w:val="0037216C"/>
    <w:rsid w:val="00377025"/>
    <w:rsid w:val="00387AC3"/>
    <w:rsid w:val="003927F7"/>
    <w:rsid w:val="003B5092"/>
    <w:rsid w:val="003B6F94"/>
    <w:rsid w:val="003C5967"/>
    <w:rsid w:val="003C7708"/>
    <w:rsid w:val="003D40DA"/>
    <w:rsid w:val="003D7E6B"/>
    <w:rsid w:val="003E384A"/>
    <w:rsid w:val="003E427D"/>
    <w:rsid w:val="003E5DF7"/>
    <w:rsid w:val="003F4F93"/>
    <w:rsid w:val="004026A4"/>
    <w:rsid w:val="00402960"/>
    <w:rsid w:val="00415B23"/>
    <w:rsid w:val="00420249"/>
    <w:rsid w:val="004234BC"/>
    <w:rsid w:val="00424AF8"/>
    <w:rsid w:val="0042714B"/>
    <w:rsid w:val="00427927"/>
    <w:rsid w:val="0042795A"/>
    <w:rsid w:val="00435EB4"/>
    <w:rsid w:val="00437F21"/>
    <w:rsid w:val="0044313C"/>
    <w:rsid w:val="00447F5E"/>
    <w:rsid w:val="00471BA7"/>
    <w:rsid w:val="0047536C"/>
    <w:rsid w:val="00475866"/>
    <w:rsid w:val="004950C8"/>
    <w:rsid w:val="004963CA"/>
    <w:rsid w:val="0049650A"/>
    <w:rsid w:val="004A48A3"/>
    <w:rsid w:val="004B292D"/>
    <w:rsid w:val="004B758A"/>
    <w:rsid w:val="004C71D1"/>
    <w:rsid w:val="004D150C"/>
    <w:rsid w:val="004D6462"/>
    <w:rsid w:val="004E1863"/>
    <w:rsid w:val="004E28B3"/>
    <w:rsid w:val="004F1B97"/>
    <w:rsid w:val="004F5D32"/>
    <w:rsid w:val="00514B65"/>
    <w:rsid w:val="0051764E"/>
    <w:rsid w:val="00524A28"/>
    <w:rsid w:val="00557605"/>
    <w:rsid w:val="005578FE"/>
    <w:rsid w:val="005605AD"/>
    <w:rsid w:val="005611B3"/>
    <w:rsid w:val="00562678"/>
    <w:rsid w:val="0056431D"/>
    <w:rsid w:val="005652E8"/>
    <w:rsid w:val="00574D7D"/>
    <w:rsid w:val="005754B3"/>
    <w:rsid w:val="00576F95"/>
    <w:rsid w:val="005812D6"/>
    <w:rsid w:val="0058624D"/>
    <w:rsid w:val="00591E45"/>
    <w:rsid w:val="00591EDC"/>
    <w:rsid w:val="00595DD2"/>
    <w:rsid w:val="005B271A"/>
    <w:rsid w:val="005B7AC9"/>
    <w:rsid w:val="005C2110"/>
    <w:rsid w:val="005C35AE"/>
    <w:rsid w:val="005D6839"/>
    <w:rsid w:val="005D6C1A"/>
    <w:rsid w:val="005E1168"/>
    <w:rsid w:val="005E463F"/>
    <w:rsid w:val="005E7948"/>
    <w:rsid w:val="005F0D1A"/>
    <w:rsid w:val="005F2660"/>
    <w:rsid w:val="005F6903"/>
    <w:rsid w:val="006020D6"/>
    <w:rsid w:val="00605102"/>
    <w:rsid w:val="006052D8"/>
    <w:rsid w:val="00607CAB"/>
    <w:rsid w:val="00613579"/>
    <w:rsid w:val="006160E8"/>
    <w:rsid w:val="00624C59"/>
    <w:rsid w:val="0063433F"/>
    <w:rsid w:val="006422DF"/>
    <w:rsid w:val="006506B0"/>
    <w:rsid w:val="00654477"/>
    <w:rsid w:val="00661EF5"/>
    <w:rsid w:val="00663DD6"/>
    <w:rsid w:val="00664B9C"/>
    <w:rsid w:val="0066696F"/>
    <w:rsid w:val="00667DFF"/>
    <w:rsid w:val="00671AE5"/>
    <w:rsid w:val="006808C9"/>
    <w:rsid w:val="00684BB6"/>
    <w:rsid w:val="0069491C"/>
    <w:rsid w:val="00695274"/>
    <w:rsid w:val="006B1AA4"/>
    <w:rsid w:val="006B42FB"/>
    <w:rsid w:val="006B450A"/>
    <w:rsid w:val="006C494A"/>
    <w:rsid w:val="006C4CCF"/>
    <w:rsid w:val="006D53CC"/>
    <w:rsid w:val="006D5456"/>
    <w:rsid w:val="006E1F0B"/>
    <w:rsid w:val="006E3DB6"/>
    <w:rsid w:val="006E5228"/>
    <w:rsid w:val="006F42F1"/>
    <w:rsid w:val="0070048F"/>
    <w:rsid w:val="007006A4"/>
    <w:rsid w:val="00700986"/>
    <w:rsid w:val="00705197"/>
    <w:rsid w:val="0072025F"/>
    <w:rsid w:val="007231DC"/>
    <w:rsid w:val="0073070D"/>
    <w:rsid w:val="00734643"/>
    <w:rsid w:val="00741E6D"/>
    <w:rsid w:val="00741ED1"/>
    <w:rsid w:val="00744259"/>
    <w:rsid w:val="00744557"/>
    <w:rsid w:val="00747556"/>
    <w:rsid w:val="007559FB"/>
    <w:rsid w:val="00757B70"/>
    <w:rsid w:val="00764561"/>
    <w:rsid w:val="0077049B"/>
    <w:rsid w:val="00776BD4"/>
    <w:rsid w:val="00786309"/>
    <w:rsid w:val="00790B90"/>
    <w:rsid w:val="00791C62"/>
    <w:rsid w:val="0079677C"/>
    <w:rsid w:val="007A2FC0"/>
    <w:rsid w:val="007A7A6D"/>
    <w:rsid w:val="007B331D"/>
    <w:rsid w:val="007C0DBA"/>
    <w:rsid w:val="007C320B"/>
    <w:rsid w:val="007D22A5"/>
    <w:rsid w:val="007D4B34"/>
    <w:rsid w:val="007F4810"/>
    <w:rsid w:val="00801EAF"/>
    <w:rsid w:val="00803FC7"/>
    <w:rsid w:val="00804959"/>
    <w:rsid w:val="00814C9C"/>
    <w:rsid w:val="00815BFA"/>
    <w:rsid w:val="008162EF"/>
    <w:rsid w:val="00817D7E"/>
    <w:rsid w:val="0082340B"/>
    <w:rsid w:val="00824390"/>
    <w:rsid w:val="00827C42"/>
    <w:rsid w:val="00836AF4"/>
    <w:rsid w:val="0084578E"/>
    <w:rsid w:val="00853390"/>
    <w:rsid w:val="00855213"/>
    <w:rsid w:val="00864CE0"/>
    <w:rsid w:val="00873559"/>
    <w:rsid w:val="008744CB"/>
    <w:rsid w:val="00877684"/>
    <w:rsid w:val="00882D72"/>
    <w:rsid w:val="00883B0F"/>
    <w:rsid w:val="008852E5"/>
    <w:rsid w:val="00893D09"/>
    <w:rsid w:val="008A59BA"/>
    <w:rsid w:val="008A691B"/>
    <w:rsid w:val="008B0D3E"/>
    <w:rsid w:val="008B4EA5"/>
    <w:rsid w:val="008B5C25"/>
    <w:rsid w:val="008C4195"/>
    <w:rsid w:val="008C5982"/>
    <w:rsid w:val="008C6FD9"/>
    <w:rsid w:val="008C76B6"/>
    <w:rsid w:val="008D4375"/>
    <w:rsid w:val="008E035B"/>
    <w:rsid w:val="008E27F1"/>
    <w:rsid w:val="008E6EDB"/>
    <w:rsid w:val="008F09F1"/>
    <w:rsid w:val="00900BA4"/>
    <w:rsid w:val="00907CE8"/>
    <w:rsid w:val="009123BD"/>
    <w:rsid w:val="009127DE"/>
    <w:rsid w:val="0091284D"/>
    <w:rsid w:val="009211D7"/>
    <w:rsid w:val="00921B22"/>
    <w:rsid w:val="00931343"/>
    <w:rsid w:val="0094425F"/>
    <w:rsid w:val="00945229"/>
    <w:rsid w:val="009454E8"/>
    <w:rsid w:val="0095160E"/>
    <w:rsid w:val="0095364D"/>
    <w:rsid w:val="00953D71"/>
    <w:rsid w:val="00956DCC"/>
    <w:rsid w:val="00960BD8"/>
    <w:rsid w:val="00971A06"/>
    <w:rsid w:val="00971C08"/>
    <w:rsid w:val="00972A59"/>
    <w:rsid w:val="00972C1D"/>
    <w:rsid w:val="00973F4E"/>
    <w:rsid w:val="00983E8A"/>
    <w:rsid w:val="00990802"/>
    <w:rsid w:val="009965C0"/>
    <w:rsid w:val="009A0355"/>
    <w:rsid w:val="009A0AB8"/>
    <w:rsid w:val="009A343B"/>
    <w:rsid w:val="009A3D89"/>
    <w:rsid w:val="009A7C16"/>
    <w:rsid w:val="009B6499"/>
    <w:rsid w:val="009C0DFD"/>
    <w:rsid w:val="009D00CC"/>
    <w:rsid w:val="009D443E"/>
    <w:rsid w:val="009D4572"/>
    <w:rsid w:val="009E22D8"/>
    <w:rsid w:val="009E4DDC"/>
    <w:rsid w:val="009F253D"/>
    <w:rsid w:val="009F5EE7"/>
    <w:rsid w:val="009F691E"/>
    <w:rsid w:val="009F7222"/>
    <w:rsid w:val="00A042F1"/>
    <w:rsid w:val="00A134AD"/>
    <w:rsid w:val="00A22C53"/>
    <w:rsid w:val="00A23D03"/>
    <w:rsid w:val="00A245F0"/>
    <w:rsid w:val="00A26EF3"/>
    <w:rsid w:val="00A31970"/>
    <w:rsid w:val="00A422E8"/>
    <w:rsid w:val="00A452C5"/>
    <w:rsid w:val="00A46CBF"/>
    <w:rsid w:val="00A5328D"/>
    <w:rsid w:val="00A57097"/>
    <w:rsid w:val="00A57D92"/>
    <w:rsid w:val="00A62A24"/>
    <w:rsid w:val="00A65217"/>
    <w:rsid w:val="00A65387"/>
    <w:rsid w:val="00A70377"/>
    <w:rsid w:val="00A72939"/>
    <w:rsid w:val="00A72F97"/>
    <w:rsid w:val="00A869A4"/>
    <w:rsid w:val="00A93DBD"/>
    <w:rsid w:val="00A967A8"/>
    <w:rsid w:val="00A96DE4"/>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27D6"/>
    <w:rsid w:val="00AD4C0B"/>
    <w:rsid w:val="00AD5072"/>
    <w:rsid w:val="00AF180B"/>
    <w:rsid w:val="00AF5D86"/>
    <w:rsid w:val="00AF7491"/>
    <w:rsid w:val="00B01BD6"/>
    <w:rsid w:val="00B0216D"/>
    <w:rsid w:val="00B127B1"/>
    <w:rsid w:val="00B158E8"/>
    <w:rsid w:val="00B15FDE"/>
    <w:rsid w:val="00B16DBC"/>
    <w:rsid w:val="00B16E94"/>
    <w:rsid w:val="00B2198A"/>
    <w:rsid w:val="00B220D6"/>
    <w:rsid w:val="00B25B39"/>
    <w:rsid w:val="00B301C3"/>
    <w:rsid w:val="00B436C4"/>
    <w:rsid w:val="00B53A05"/>
    <w:rsid w:val="00B55DC3"/>
    <w:rsid w:val="00B56301"/>
    <w:rsid w:val="00B56F11"/>
    <w:rsid w:val="00B576A0"/>
    <w:rsid w:val="00B6040D"/>
    <w:rsid w:val="00B60F8F"/>
    <w:rsid w:val="00B6161B"/>
    <w:rsid w:val="00B62146"/>
    <w:rsid w:val="00B66260"/>
    <w:rsid w:val="00B82CB8"/>
    <w:rsid w:val="00B85CA9"/>
    <w:rsid w:val="00B968F1"/>
    <w:rsid w:val="00B973E8"/>
    <w:rsid w:val="00BA5F87"/>
    <w:rsid w:val="00BB5F72"/>
    <w:rsid w:val="00BB6649"/>
    <w:rsid w:val="00BC37CD"/>
    <w:rsid w:val="00BD023A"/>
    <w:rsid w:val="00BD3885"/>
    <w:rsid w:val="00BD6690"/>
    <w:rsid w:val="00C0499C"/>
    <w:rsid w:val="00C0729B"/>
    <w:rsid w:val="00C11C88"/>
    <w:rsid w:val="00C251D6"/>
    <w:rsid w:val="00C3076C"/>
    <w:rsid w:val="00C309D9"/>
    <w:rsid w:val="00C3253C"/>
    <w:rsid w:val="00C346C7"/>
    <w:rsid w:val="00C41763"/>
    <w:rsid w:val="00C421D9"/>
    <w:rsid w:val="00C47EA4"/>
    <w:rsid w:val="00C51FE1"/>
    <w:rsid w:val="00C6056D"/>
    <w:rsid w:val="00C71416"/>
    <w:rsid w:val="00C72889"/>
    <w:rsid w:val="00C72F76"/>
    <w:rsid w:val="00C75C9E"/>
    <w:rsid w:val="00C77EBC"/>
    <w:rsid w:val="00C84E0B"/>
    <w:rsid w:val="00C9139E"/>
    <w:rsid w:val="00C9227F"/>
    <w:rsid w:val="00CA163B"/>
    <w:rsid w:val="00CC308D"/>
    <w:rsid w:val="00CC76A4"/>
    <w:rsid w:val="00CC7B0B"/>
    <w:rsid w:val="00CD60E7"/>
    <w:rsid w:val="00CE1D1C"/>
    <w:rsid w:val="00CF2401"/>
    <w:rsid w:val="00D00578"/>
    <w:rsid w:val="00D036C2"/>
    <w:rsid w:val="00D061FC"/>
    <w:rsid w:val="00D0722C"/>
    <w:rsid w:val="00D10EBE"/>
    <w:rsid w:val="00D1616F"/>
    <w:rsid w:val="00D312C7"/>
    <w:rsid w:val="00D34517"/>
    <w:rsid w:val="00D34AB0"/>
    <w:rsid w:val="00D35D77"/>
    <w:rsid w:val="00D40190"/>
    <w:rsid w:val="00D40CD7"/>
    <w:rsid w:val="00D50408"/>
    <w:rsid w:val="00D56273"/>
    <w:rsid w:val="00D56631"/>
    <w:rsid w:val="00D723EA"/>
    <w:rsid w:val="00D85891"/>
    <w:rsid w:val="00D87872"/>
    <w:rsid w:val="00D94791"/>
    <w:rsid w:val="00DA3AD2"/>
    <w:rsid w:val="00DA6233"/>
    <w:rsid w:val="00DB13D5"/>
    <w:rsid w:val="00DB414F"/>
    <w:rsid w:val="00DB5D7A"/>
    <w:rsid w:val="00DC5D39"/>
    <w:rsid w:val="00DD0ADA"/>
    <w:rsid w:val="00DD4602"/>
    <w:rsid w:val="00DD4774"/>
    <w:rsid w:val="00DD570E"/>
    <w:rsid w:val="00DE403A"/>
    <w:rsid w:val="00DE5F69"/>
    <w:rsid w:val="00DF167D"/>
    <w:rsid w:val="00DF707C"/>
    <w:rsid w:val="00DF7487"/>
    <w:rsid w:val="00E02954"/>
    <w:rsid w:val="00E11360"/>
    <w:rsid w:val="00E13E22"/>
    <w:rsid w:val="00E1615F"/>
    <w:rsid w:val="00E20522"/>
    <w:rsid w:val="00E3011F"/>
    <w:rsid w:val="00E31780"/>
    <w:rsid w:val="00E32DB4"/>
    <w:rsid w:val="00E33C90"/>
    <w:rsid w:val="00E50714"/>
    <w:rsid w:val="00E517F7"/>
    <w:rsid w:val="00E54F53"/>
    <w:rsid w:val="00E611D2"/>
    <w:rsid w:val="00E74BA3"/>
    <w:rsid w:val="00E75083"/>
    <w:rsid w:val="00E85529"/>
    <w:rsid w:val="00E8646B"/>
    <w:rsid w:val="00E87434"/>
    <w:rsid w:val="00E90A54"/>
    <w:rsid w:val="00E940C6"/>
    <w:rsid w:val="00EB11F4"/>
    <w:rsid w:val="00EB2A81"/>
    <w:rsid w:val="00EB721C"/>
    <w:rsid w:val="00EB76BB"/>
    <w:rsid w:val="00EB7728"/>
    <w:rsid w:val="00EC2262"/>
    <w:rsid w:val="00ED011F"/>
    <w:rsid w:val="00ED345F"/>
    <w:rsid w:val="00ED5172"/>
    <w:rsid w:val="00ED53A5"/>
    <w:rsid w:val="00EF73D2"/>
    <w:rsid w:val="00F036F1"/>
    <w:rsid w:val="00F03DEF"/>
    <w:rsid w:val="00F10D8B"/>
    <w:rsid w:val="00F135D9"/>
    <w:rsid w:val="00F1381E"/>
    <w:rsid w:val="00F23514"/>
    <w:rsid w:val="00F23759"/>
    <w:rsid w:val="00F46DC2"/>
    <w:rsid w:val="00F522EB"/>
    <w:rsid w:val="00F63662"/>
    <w:rsid w:val="00F642E9"/>
    <w:rsid w:val="00F64A7A"/>
    <w:rsid w:val="00F74805"/>
    <w:rsid w:val="00F77129"/>
    <w:rsid w:val="00F82B3F"/>
    <w:rsid w:val="00F83952"/>
    <w:rsid w:val="00F86A10"/>
    <w:rsid w:val="00F91F6A"/>
    <w:rsid w:val="00F97E7C"/>
    <w:rsid w:val="00FB1331"/>
    <w:rsid w:val="00FB16D9"/>
    <w:rsid w:val="00FB3A1B"/>
    <w:rsid w:val="00FC02F4"/>
    <w:rsid w:val="00FD56B9"/>
    <w:rsid w:val="00FD72AA"/>
    <w:rsid w:val="00FE1F83"/>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3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customStyle="1" w:styleId="tlid-translation">
    <w:name w:val="tlid-translation"/>
    <w:basedOn w:val="DefaultParagraphFont"/>
    <w:rsid w:val="0042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angelina201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ependudukan.jogjaprov.go.id/olah.php?module=statistik&amp;periode=10&amp;jenisdata=penduduk&amp;berdasarkan=pekerjaan&amp;prop=34&amp;kab=04&amp;kec=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ECFBFA2-247C-4551-9BE8-49414190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subject/>
  <dc:creator>Agritech</dc:creator>
  <cp:keywords/>
  <cp:lastModifiedBy>Windows User</cp:lastModifiedBy>
  <cp:revision>15</cp:revision>
  <cp:lastPrinted>2019-03-28T01:25:00Z</cp:lastPrinted>
  <dcterms:created xsi:type="dcterms:W3CDTF">2019-03-27T06:21:00Z</dcterms:created>
  <dcterms:modified xsi:type="dcterms:W3CDTF">2019-05-28T15:41:00Z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16th edition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http://www.zotero.org/styles/journal-of-cereal-science</vt:lpwstr>
  </property>
  <property fmtid="{D5CDD505-2E9C-101B-9397-08002B2CF9AE}" pid="16" name="Mendeley Recent Style Name 6_1">
    <vt:lpwstr>Journal of Cereal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32edfe20-4e8c-33ac-80d4-6d5bbae18ec2</vt:lpwstr>
  </property>
  <property fmtid="{D5CDD505-2E9C-101B-9397-08002B2CF9AE}" pid="24" name="Mendeley Citation Style_1">
    <vt:lpwstr>http://www.zotero.org/styles/apa</vt:lpwstr>
  </property>
</Properties>
</file>