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3DFB" w:rsidRDefault="00320171" w:rsidP="00BA3DFB">
      <w:pPr>
        <w:spacing w:line="360" w:lineRule="auto"/>
        <w:jc w:val="center"/>
        <w:rPr>
          <w:rFonts w:ascii="Times New Roman" w:hAnsi="Times New Roman" w:cs="Times New Roman"/>
          <w:b/>
          <w:sz w:val="24"/>
          <w:szCs w:val="24"/>
          <w:lang w:val="en-US"/>
        </w:rPr>
      </w:pPr>
      <w:bookmarkStart w:id="0" w:name="_Toc14865078"/>
      <w:r w:rsidRPr="00BA3DFB">
        <w:rPr>
          <w:rStyle w:val="Heading1Char"/>
          <w:rFonts w:ascii="Times New Roman" w:hAnsi="Times New Roman" w:cs="Times New Roman"/>
          <w:color w:val="auto"/>
          <w:sz w:val="24"/>
          <w:szCs w:val="24"/>
        </w:rPr>
        <w:t>ANALISIS TINGKAT KESEHATAN PT. BANK RAKYAT</w:t>
      </w:r>
      <w:bookmarkEnd w:id="0"/>
      <w:r w:rsidRPr="00BA3DFB">
        <w:rPr>
          <w:rFonts w:ascii="Times New Roman" w:hAnsi="Times New Roman" w:cs="Times New Roman"/>
          <w:b/>
          <w:sz w:val="24"/>
          <w:szCs w:val="24"/>
        </w:rPr>
        <w:t xml:space="preserve"> INDONESIA (PERSERO) Tbk DENGAN MENGGUNAKAN METODE RGEC (</w:t>
      </w:r>
      <w:r w:rsidRPr="00BA3DFB">
        <w:rPr>
          <w:rFonts w:ascii="Times New Roman" w:hAnsi="Times New Roman" w:cs="Times New Roman"/>
          <w:b/>
          <w:i/>
          <w:sz w:val="24"/>
          <w:szCs w:val="24"/>
        </w:rPr>
        <w:t>RISK PROFILE, GOOD CORPORATE GOVERNANCE, EARNINGS, CAPITAL)</w:t>
      </w:r>
      <w:r w:rsidR="00F813BA" w:rsidRPr="00BA3DFB">
        <w:rPr>
          <w:rFonts w:ascii="Times New Roman" w:hAnsi="Times New Roman" w:cs="Times New Roman"/>
          <w:b/>
          <w:sz w:val="24"/>
          <w:szCs w:val="24"/>
          <w:lang w:val="en-US"/>
        </w:rPr>
        <w:t xml:space="preserve"> </w:t>
      </w:r>
      <w:r w:rsidRPr="00BA3DFB">
        <w:rPr>
          <w:rFonts w:ascii="Times New Roman" w:hAnsi="Times New Roman" w:cs="Times New Roman"/>
          <w:b/>
          <w:sz w:val="24"/>
          <w:szCs w:val="24"/>
        </w:rPr>
        <w:t>PERIODE 2015-2017</w:t>
      </w:r>
    </w:p>
    <w:p w:rsidR="00BA3DFB" w:rsidRPr="00BA3DFB" w:rsidRDefault="00BA3DFB" w:rsidP="00BA3DFB">
      <w:pPr>
        <w:spacing w:line="360" w:lineRule="auto"/>
        <w:jc w:val="center"/>
        <w:rPr>
          <w:rFonts w:ascii="Times New Roman" w:hAnsi="Times New Roman" w:cs="Times New Roman"/>
          <w:b/>
          <w:sz w:val="24"/>
          <w:szCs w:val="24"/>
          <w:lang w:val="en-US"/>
        </w:rPr>
      </w:pPr>
    </w:p>
    <w:p w:rsidR="00BA3DFB" w:rsidRPr="00BA3DFB" w:rsidRDefault="00BA3DFB" w:rsidP="00BA3DFB">
      <w:pPr>
        <w:spacing w:line="360" w:lineRule="auto"/>
        <w:jc w:val="center"/>
        <w:rPr>
          <w:rFonts w:ascii="Times New Roman" w:hAnsi="Times New Roman" w:cs="Times New Roman"/>
          <w:b/>
          <w:sz w:val="24"/>
          <w:szCs w:val="24"/>
        </w:rPr>
      </w:pPr>
      <w:bookmarkStart w:id="1" w:name="_Toc12724509"/>
      <w:bookmarkStart w:id="2" w:name="_Toc14865092"/>
      <w:r w:rsidRPr="00BA3DFB">
        <w:rPr>
          <w:rStyle w:val="Heading1Char"/>
          <w:rFonts w:ascii="Times New Roman" w:hAnsi="Times New Roman" w:cs="Times New Roman"/>
          <w:color w:val="auto"/>
          <w:sz w:val="24"/>
          <w:szCs w:val="24"/>
        </w:rPr>
        <w:t>AN ANALYSIS OF THE ASSESMENT OF THE SOUNDNESS LEVEL OF PT BANK RAKYAT INDONESIA (Persero) Tbk USING RGEC METHOD IN 2015-2017</w:t>
      </w:r>
      <w:bookmarkEnd w:id="1"/>
      <w:bookmarkEnd w:id="2"/>
    </w:p>
    <w:p w:rsidR="00F813BA" w:rsidRPr="00BA3DFB" w:rsidRDefault="00F813BA" w:rsidP="00BA3DFB">
      <w:pPr>
        <w:spacing w:line="360" w:lineRule="auto"/>
        <w:rPr>
          <w:rFonts w:ascii="Times New Roman" w:hAnsi="Times New Roman" w:cs="Times New Roman"/>
          <w:b/>
          <w:sz w:val="24"/>
          <w:szCs w:val="24"/>
          <w:lang w:val="en-US"/>
        </w:rPr>
      </w:pPr>
    </w:p>
    <w:p w:rsidR="008414C4" w:rsidRPr="00BA3DFB" w:rsidRDefault="00320171" w:rsidP="00320171">
      <w:pPr>
        <w:jc w:val="center"/>
        <w:rPr>
          <w:rFonts w:ascii="Times New Roman" w:hAnsi="Times New Roman" w:cs="Times New Roman"/>
          <w:b/>
          <w:sz w:val="24"/>
          <w:szCs w:val="24"/>
        </w:rPr>
      </w:pPr>
      <w:r w:rsidRPr="00BA3DFB">
        <w:rPr>
          <w:rFonts w:ascii="Times New Roman" w:hAnsi="Times New Roman" w:cs="Times New Roman"/>
          <w:b/>
          <w:sz w:val="24"/>
          <w:szCs w:val="24"/>
        </w:rPr>
        <w:t>Estik Wahyu Kartika Sari</w:t>
      </w:r>
    </w:p>
    <w:p w:rsidR="00320171" w:rsidRPr="00BA3DFB" w:rsidRDefault="00320171" w:rsidP="00320171">
      <w:pPr>
        <w:jc w:val="center"/>
        <w:rPr>
          <w:rFonts w:ascii="Times New Roman" w:hAnsi="Times New Roman" w:cs="Times New Roman"/>
          <w:sz w:val="24"/>
          <w:szCs w:val="24"/>
          <w:lang w:val="en-US"/>
        </w:rPr>
      </w:pPr>
      <w:r w:rsidRPr="00BA3DFB">
        <w:rPr>
          <w:rFonts w:ascii="Times New Roman" w:hAnsi="Times New Roman" w:cs="Times New Roman"/>
          <w:sz w:val="24"/>
          <w:szCs w:val="24"/>
        </w:rPr>
        <w:t>Universitas Mercu Buana Yogyakarta</w:t>
      </w:r>
    </w:p>
    <w:p w:rsidR="00BA3DFB" w:rsidRDefault="00BA3DFB" w:rsidP="00320171">
      <w:pPr>
        <w:jc w:val="center"/>
        <w:rPr>
          <w:rFonts w:ascii="Times New Roman" w:hAnsi="Times New Roman" w:cs="Times New Roman"/>
          <w:sz w:val="24"/>
          <w:szCs w:val="24"/>
          <w:lang w:val="en-US"/>
        </w:rPr>
      </w:pPr>
      <w:hyperlink r:id="rId7" w:history="1">
        <w:r w:rsidRPr="00BA3DFB">
          <w:rPr>
            <w:rStyle w:val="Hyperlink"/>
            <w:rFonts w:ascii="Times New Roman" w:hAnsi="Times New Roman" w:cs="Times New Roman"/>
            <w:color w:val="auto"/>
            <w:sz w:val="24"/>
            <w:szCs w:val="24"/>
            <w:lang w:val="en-US"/>
          </w:rPr>
          <w:t>estikwahyukartikasari@gmail.com</w:t>
        </w:r>
      </w:hyperlink>
      <w:r w:rsidRPr="00BA3DFB">
        <w:rPr>
          <w:rFonts w:ascii="Times New Roman" w:hAnsi="Times New Roman" w:cs="Times New Roman"/>
          <w:sz w:val="24"/>
          <w:szCs w:val="24"/>
          <w:lang w:val="en-US"/>
        </w:rPr>
        <w:t xml:space="preserve"> </w:t>
      </w:r>
    </w:p>
    <w:p w:rsidR="00BA3DFB" w:rsidRDefault="00BA3DFB" w:rsidP="00320171">
      <w:pPr>
        <w:jc w:val="center"/>
        <w:rPr>
          <w:rFonts w:ascii="Times New Roman" w:hAnsi="Times New Roman" w:cs="Times New Roman"/>
          <w:b/>
          <w:sz w:val="24"/>
          <w:szCs w:val="24"/>
          <w:lang w:val="en-US"/>
        </w:rPr>
      </w:pPr>
      <w:r>
        <w:rPr>
          <w:rFonts w:ascii="Times New Roman" w:hAnsi="Times New Roman" w:cs="Times New Roman"/>
          <w:sz w:val="24"/>
          <w:szCs w:val="24"/>
          <w:lang w:val="en-US"/>
        </w:rPr>
        <w:br/>
      </w:r>
      <w:r w:rsidRPr="00BA3DFB">
        <w:rPr>
          <w:rFonts w:ascii="Times New Roman" w:hAnsi="Times New Roman" w:cs="Times New Roman"/>
          <w:b/>
          <w:sz w:val="24"/>
          <w:szCs w:val="24"/>
          <w:lang w:val="en-US"/>
        </w:rPr>
        <w:t>ABSTRAK</w:t>
      </w:r>
    </w:p>
    <w:p w:rsidR="00BA3DFB" w:rsidRPr="00BA3DFB" w:rsidRDefault="00BA3DFB" w:rsidP="00320171">
      <w:pPr>
        <w:jc w:val="center"/>
        <w:rPr>
          <w:rFonts w:ascii="Times New Roman" w:hAnsi="Times New Roman" w:cs="Times New Roman"/>
          <w:b/>
          <w:sz w:val="24"/>
          <w:szCs w:val="24"/>
          <w:lang w:val="en-US"/>
        </w:rPr>
      </w:pPr>
    </w:p>
    <w:p w:rsidR="00BA3DFB" w:rsidRPr="00BA3DFB" w:rsidRDefault="00BA3DFB" w:rsidP="00BA3DFB">
      <w:pPr>
        <w:ind w:firstLine="720"/>
        <w:jc w:val="both"/>
        <w:rPr>
          <w:rFonts w:ascii="Times New Roman" w:hAnsi="Times New Roman" w:cs="Times New Roman"/>
          <w:sz w:val="24"/>
          <w:lang w:bidi="en-US"/>
        </w:rPr>
      </w:pPr>
      <w:r w:rsidRPr="00BA3DFB">
        <w:rPr>
          <w:rFonts w:ascii="Times New Roman" w:hAnsi="Times New Roman" w:cs="Times New Roman"/>
          <w:sz w:val="24"/>
          <w:lang w:bidi="en-US"/>
        </w:rPr>
        <w:t xml:space="preserve">Penelitian ini bertujuan untuk mengetahui tingkat kesehatan PT Bank Rakyat Indonesia (Persero) Tbk tahun 2015-2017 ditinjau dari aspek </w:t>
      </w:r>
      <w:r w:rsidRPr="00BA3DFB">
        <w:rPr>
          <w:rFonts w:ascii="Times New Roman" w:hAnsi="Times New Roman" w:cs="Times New Roman"/>
          <w:i/>
          <w:sz w:val="24"/>
          <w:lang w:bidi="en-US"/>
        </w:rPr>
        <w:t xml:space="preserve">Risk Profile, Good Corporate Governance, Earnings, </w:t>
      </w:r>
      <w:r w:rsidRPr="00BA3DFB">
        <w:rPr>
          <w:rFonts w:ascii="Times New Roman" w:hAnsi="Times New Roman" w:cs="Times New Roman"/>
          <w:sz w:val="24"/>
          <w:lang w:bidi="en-US"/>
        </w:rPr>
        <w:t xml:space="preserve">dan </w:t>
      </w:r>
      <w:r w:rsidRPr="00BA3DFB">
        <w:rPr>
          <w:rFonts w:ascii="Times New Roman" w:hAnsi="Times New Roman" w:cs="Times New Roman"/>
          <w:i/>
          <w:sz w:val="24"/>
          <w:lang w:bidi="en-US"/>
        </w:rPr>
        <w:t>Capital</w:t>
      </w:r>
      <w:r w:rsidRPr="00BA3DFB">
        <w:rPr>
          <w:rFonts w:ascii="Times New Roman" w:hAnsi="Times New Roman" w:cs="Times New Roman"/>
          <w:sz w:val="24"/>
          <w:lang w:bidi="en-US"/>
        </w:rPr>
        <w:t xml:space="preserve"> dan RGEC (</w:t>
      </w:r>
      <w:r w:rsidRPr="00BA3DFB">
        <w:rPr>
          <w:rFonts w:ascii="Times New Roman" w:hAnsi="Times New Roman" w:cs="Times New Roman"/>
          <w:i/>
          <w:sz w:val="24"/>
          <w:lang w:bidi="en-US"/>
        </w:rPr>
        <w:t xml:space="preserve">Risk Profile, Good Corporate Governance, Earnings, </w:t>
      </w:r>
      <w:r w:rsidRPr="00BA3DFB">
        <w:rPr>
          <w:rFonts w:ascii="Times New Roman" w:hAnsi="Times New Roman" w:cs="Times New Roman"/>
          <w:sz w:val="24"/>
          <w:lang w:bidi="en-US"/>
        </w:rPr>
        <w:t xml:space="preserve">dan </w:t>
      </w:r>
      <w:r w:rsidRPr="00BA3DFB">
        <w:rPr>
          <w:rFonts w:ascii="Times New Roman" w:hAnsi="Times New Roman" w:cs="Times New Roman"/>
          <w:i/>
          <w:sz w:val="24"/>
          <w:lang w:bidi="en-US"/>
        </w:rPr>
        <w:t>Capital)</w:t>
      </w:r>
      <w:r w:rsidRPr="00BA3DFB">
        <w:rPr>
          <w:rFonts w:ascii="Times New Roman" w:hAnsi="Times New Roman" w:cs="Times New Roman"/>
          <w:sz w:val="24"/>
          <w:lang w:bidi="en-US"/>
        </w:rPr>
        <w:t xml:space="preserve"> secara keseluruhan. </w:t>
      </w:r>
    </w:p>
    <w:p w:rsidR="00BA3DFB" w:rsidRPr="00BA3DFB" w:rsidRDefault="00BA3DFB" w:rsidP="00BA3DFB">
      <w:pPr>
        <w:jc w:val="both"/>
        <w:rPr>
          <w:rFonts w:ascii="Times New Roman" w:hAnsi="Times New Roman" w:cs="Times New Roman"/>
          <w:sz w:val="24"/>
          <w:lang w:bidi="en-US"/>
        </w:rPr>
      </w:pPr>
      <w:r w:rsidRPr="00BA3DFB">
        <w:rPr>
          <w:rFonts w:ascii="Times New Roman" w:hAnsi="Times New Roman" w:cs="Times New Roman"/>
          <w:sz w:val="24"/>
          <w:lang w:bidi="en-US"/>
        </w:rPr>
        <w:tab/>
        <w:t xml:space="preserve">Jenis penelitian ini adalah evaluatif dengan subjek penelitian berupa PT Bank Rakyat Indonesia (Persero) Tbk yang terdaftar di Bursa Efek Indonesia tahun 2015-2017. Data diperoleh melalui teknik dokumentasi . Teknik analisis data yang digunakan adalah analisis kesehatan bank dengan pendekatan Risiko </w:t>
      </w:r>
      <w:r w:rsidRPr="00BA3DFB">
        <w:rPr>
          <w:rFonts w:ascii="Times New Roman" w:hAnsi="Times New Roman" w:cs="Times New Roman"/>
          <w:i/>
          <w:sz w:val="24"/>
          <w:lang w:bidi="en-US"/>
        </w:rPr>
        <w:t xml:space="preserve">(Risk- based Bank Rating) </w:t>
      </w:r>
      <w:r w:rsidRPr="00BA3DFB">
        <w:rPr>
          <w:rFonts w:ascii="Times New Roman" w:hAnsi="Times New Roman" w:cs="Times New Roman"/>
          <w:sz w:val="24"/>
          <w:lang w:bidi="en-US"/>
        </w:rPr>
        <w:t xml:space="preserve">dengan cakupan penilaian meliputi faktor-faktor RGEC. </w:t>
      </w:r>
    </w:p>
    <w:p w:rsidR="00BA3DFB" w:rsidRPr="00BA3DFB" w:rsidRDefault="00BA3DFB" w:rsidP="00BA3DFB">
      <w:pPr>
        <w:jc w:val="both"/>
        <w:rPr>
          <w:rFonts w:ascii="Times New Roman" w:hAnsi="Times New Roman" w:cs="Times New Roman"/>
          <w:sz w:val="24"/>
          <w:lang w:val="en-US" w:bidi="en-US"/>
        </w:rPr>
      </w:pPr>
      <w:r w:rsidRPr="00BA3DFB">
        <w:rPr>
          <w:rFonts w:ascii="Times New Roman" w:hAnsi="Times New Roman" w:cs="Times New Roman"/>
          <w:sz w:val="24"/>
          <w:lang w:bidi="en-US"/>
        </w:rPr>
        <w:tab/>
        <w:t xml:space="preserve">Hasil penelitian menunjukkan bahwa selama tahun 2015-2017: (1) Aspek </w:t>
      </w:r>
      <w:r w:rsidRPr="00BA3DFB">
        <w:rPr>
          <w:rFonts w:ascii="Times New Roman" w:hAnsi="Times New Roman" w:cs="Times New Roman"/>
          <w:i/>
          <w:sz w:val="24"/>
          <w:lang w:bidi="en-US"/>
        </w:rPr>
        <w:t>Risk Profile</w:t>
      </w:r>
      <w:r w:rsidRPr="00BA3DFB">
        <w:rPr>
          <w:rFonts w:ascii="Times New Roman" w:hAnsi="Times New Roman" w:cs="Times New Roman"/>
          <w:sz w:val="24"/>
          <w:lang w:bidi="en-US"/>
        </w:rPr>
        <w:t xml:space="preserve"> PT Bank Rakyat Indonesia (Persero) Tbk berada dalam kondisi sangat sehat dengan nilai NPL berturut-turut sebesar 1,17 persen, 1,05 persen, dan 1,10 persen dan LDR pada tahun 2015 sebesar 84,38 persen dengan kondisi sehat, namun pada tahun 2016 dan 2017 mengalami penurunan menjadi 85,28 persen dan 85,42 persen dengan kondisi cukup sehat. (2) Aspek GCG pada tahun 2015 berada dalam kondisi sangat baik dengan nilai 1,17, namun pada tahun 2016 dan 2017 menurun menjadi 2,0 dan 2,0 dengan kriteria baik. (3) Aspek </w:t>
      </w:r>
      <w:r w:rsidRPr="00BA3DFB">
        <w:rPr>
          <w:rFonts w:ascii="Times New Roman" w:hAnsi="Times New Roman" w:cs="Times New Roman"/>
          <w:i/>
          <w:sz w:val="24"/>
          <w:lang w:bidi="en-US"/>
        </w:rPr>
        <w:t>Earnings</w:t>
      </w:r>
      <w:r w:rsidRPr="00BA3DFB">
        <w:rPr>
          <w:rFonts w:ascii="Times New Roman" w:hAnsi="Times New Roman" w:cs="Times New Roman"/>
          <w:sz w:val="24"/>
          <w:lang w:bidi="en-US"/>
        </w:rPr>
        <w:t xml:space="preserve"> berturut-turut dalam kondisi sangat sehat dengan nilai ROA sebesar 3,87 persen, 3,61 persen, dan 3,48 persen dan NIM sebesar 7,72 persen, 7,40 persen, dan 6,92 persen. (4) Aspek </w:t>
      </w:r>
      <w:r w:rsidRPr="00BA3DFB">
        <w:rPr>
          <w:rFonts w:ascii="Times New Roman" w:hAnsi="Times New Roman" w:cs="Times New Roman"/>
          <w:i/>
          <w:sz w:val="24"/>
          <w:lang w:bidi="en-US"/>
        </w:rPr>
        <w:t>Capital</w:t>
      </w:r>
      <w:r w:rsidRPr="00BA3DFB">
        <w:rPr>
          <w:rFonts w:ascii="Times New Roman" w:hAnsi="Times New Roman" w:cs="Times New Roman"/>
          <w:sz w:val="24"/>
          <w:lang w:bidi="en-US"/>
        </w:rPr>
        <w:t xml:space="preserve"> berturut-turut </w:t>
      </w:r>
      <w:r w:rsidRPr="00BA3DFB">
        <w:rPr>
          <w:rFonts w:ascii="Times New Roman" w:hAnsi="Times New Roman" w:cs="Times New Roman"/>
          <w:sz w:val="24"/>
          <w:lang w:bidi="en-US"/>
        </w:rPr>
        <w:lastRenderedPageBreak/>
        <w:t>berada dalam kondisi sangat sehat dengan nilai 20,59 persen, 22,91 persen, dan 22,96 persen.  (5) Aspek RGEC secara keseluruhan berurut-turut dalam Peringkat Komposit 1 yaitu sangat sehat.</w:t>
      </w:r>
    </w:p>
    <w:p w:rsidR="00BA3DFB" w:rsidRPr="00BA3DFB" w:rsidRDefault="00BA3DFB" w:rsidP="00BA3DFB">
      <w:pPr>
        <w:ind w:left="720" w:hanging="720"/>
        <w:jc w:val="both"/>
        <w:rPr>
          <w:rFonts w:ascii="Times New Roman" w:hAnsi="Times New Roman" w:cs="Times New Roman"/>
          <w:sz w:val="24"/>
          <w:lang w:val="en-US" w:bidi="en-US"/>
        </w:rPr>
      </w:pPr>
      <w:r w:rsidRPr="00BA3DFB">
        <w:rPr>
          <w:rFonts w:ascii="Times New Roman" w:hAnsi="Times New Roman" w:cs="Times New Roman"/>
          <w:sz w:val="24"/>
          <w:lang w:bidi="en-US"/>
        </w:rPr>
        <w:t>Kata kunci : Tingkat Kesehatan Bank, Metode RGEC.</w:t>
      </w:r>
    </w:p>
    <w:p w:rsidR="00320171" w:rsidRPr="00BA3DFB" w:rsidRDefault="00320171" w:rsidP="00320171">
      <w:pPr>
        <w:pStyle w:val="Heading1"/>
        <w:spacing w:line="480" w:lineRule="auto"/>
        <w:jc w:val="center"/>
        <w:rPr>
          <w:rFonts w:ascii="Times New Roman" w:hAnsi="Times New Roman" w:cs="Times New Roman"/>
          <w:color w:val="auto"/>
          <w:szCs w:val="32"/>
        </w:rPr>
      </w:pPr>
      <w:bookmarkStart w:id="3" w:name="_Toc14865093"/>
      <w:r w:rsidRPr="00BA3DFB">
        <w:rPr>
          <w:rFonts w:ascii="Times New Roman" w:hAnsi="Times New Roman" w:cs="Times New Roman"/>
          <w:color w:val="auto"/>
          <w:szCs w:val="32"/>
        </w:rPr>
        <w:t>ABSTRACT</w:t>
      </w:r>
      <w:bookmarkEnd w:id="3"/>
    </w:p>
    <w:p w:rsidR="00320171" w:rsidRPr="00BA3DFB" w:rsidRDefault="00320171" w:rsidP="00320171">
      <w:pPr>
        <w:ind w:firstLine="720"/>
        <w:jc w:val="both"/>
        <w:rPr>
          <w:rFonts w:ascii="Times New Roman" w:hAnsi="Times New Roman" w:cs="Times New Roman"/>
          <w:i/>
          <w:sz w:val="24"/>
          <w:szCs w:val="24"/>
          <w:lang w:bidi="en-US"/>
        </w:rPr>
      </w:pPr>
      <w:r w:rsidRPr="00BA3DFB">
        <w:rPr>
          <w:rFonts w:ascii="Times New Roman" w:hAnsi="Times New Roman" w:cs="Times New Roman"/>
          <w:i/>
          <w:sz w:val="24"/>
          <w:szCs w:val="24"/>
          <w:lang w:bidi="en-US"/>
        </w:rPr>
        <w:t>This study aimed to find out the soundness level of PT Bank Rakyat Indonesia (Persero) Tbk in 2015-207 in terms of the aspects of Risk Profile, Good Corporate Governance (GCG), Earnings, Capital and RGEC (Risk Profile, Good Corporate Governance (GCG), Earnings, Capital) as a whole. This was an evaluation study involving PT Bank Rakyat Indonesia (Persero) Tbk listed in Indonesia Stock Exchange in 2015-2017 as the research subjects. The data were collected through docummentation. The data analysis technique was an analysis of the soundness of banks using the Risk-based Bank Rating approach with an assesment coverage including RGEC factors.</w:t>
      </w:r>
    </w:p>
    <w:p w:rsidR="00320171" w:rsidRPr="00BA3DFB" w:rsidRDefault="00320171" w:rsidP="00BA3DFB">
      <w:pPr>
        <w:ind w:firstLine="720"/>
        <w:jc w:val="both"/>
        <w:rPr>
          <w:rFonts w:ascii="Times New Roman" w:hAnsi="Times New Roman" w:cs="Times New Roman"/>
          <w:i/>
          <w:sz w:val="24"/>
          <w:szCs w:val="24"/>
          <w:lang w:val="en-US"/>
        </w:rPr>
      </w:pPr>
      <w:r w:rsidRPr="00BA3DFB">
        <w:rPr>
          <w:rFonts w:ascii="Times New Roman" w:hAnsi="Times New Roman" w:cs="Times New Roman"/>
          <w:i/>
          <w:sz w:val="24"/>
          <w:szCs w:val="24"/>
          <w:lang w:bidi="en-US"/>
        </w:rPr>
        <w:t xml:space="preserve"> The result of the study showed that in 2015-2017: (1) the aspect of Risk Profile of PT Bank Rakyat Indonesia (Persero) Tbk was sound with NPL scores of consecutively, 1,17 percent, 1,05 percent, and 1,10 percent, and LDR in 2015 it was  84,38 percent with healthy condition</w:t>
      </w:r>
      <w:r w:rsidRPr="00BA3DFB">
        <w:rPr>
          <w:rFonts w:ascii="Arial" w:hAnsi="Arial" w:cs="Arial"/>
          <w:i/>
        </w:rPr>
        <w:t xml:space="preserve">, </w:t>
      </w:r>
      <w:r w:rsidRPr="00BA3DFB">
        <w:rPr>
          <w:rFonts w:ascii="Times New Roman" w:hAnsi="Times New Roman" w:cs="Times New Roman"/>
          <w:i/>
          <w:sz w:val="24"/>
          <w:szCs w:val="24"/>
        </w:rPr>
        <w:t>but in 2016 and 2017 it decreased to 85,28 percent and 85,42 percent with fairly healthy condition; (2) the asepect of GCG in 2015 was in a very sound condition with a mean score of 1,17, but in 2016 and 2017 it fell down to 2,00 and 2,00 with a sound criterion; (3)  the aspect of Earnings was consecutively in very sound condition with ROA scores of 3,87 percent, 3,61 percent, and 3,18 percent and NIM of 7,72 percent, 7,40 percent and 6,92 percent; (4) the aspect of Capital was consecutively in the very sound condition with CAR scores of 7,92 percent, 7,40 percent, and 6,92 percent; (5) the aspect of RGEC as whole was consecutively in the level of Composite I, which was very sound.</w:t>
      </w:r>
    </w:p>
    <w:p w:rsidR="00BA3DFB" w:rsidRPr="00BA3DFB" w:rsidRDefault="00320171" w:rsidP="00320171">
      <w:pPr>
        <w:jc w:val="both"/>
        <w:rPr>
          <w:rFonts w:ascii="Times New Roman" w:hAnsi="Times New Roman" w:cs="Times New Roman"/>
          <w:i/>
          <w:sz w:val="24"/>
          <w:szCs w:val="24"/>
          <w:lang w:val="en-US"/>
        </w:rPr>
      </w:pPr>
      <w:r w:rsidRPr="00BA3DFB">
        <w:rPr>
          <w:rFonts w:ascii="Times New Roman" w:hAnsi="Times New Roman" w:cs="Times New Roman"/>
          <w:i/>
          <w:sz w:val="24"/>
          <w:szCs w:val="24"/>
        </w:rPr>
        <w:t>Keywords : Bank Soundness Levels, RGEC Method.</w:t>
      </w:r>
    </w:p>
    <w:p w:rsidR="00320171" w:rsidRPr="00BA3DFB" w:rsidRDefault="00320171" w:rsidP="00320171">
      <w:pPr>
        <w:rPr>
          <w:rFonts w:ascii="Times New Roman" w:hAnsi="Times New Roman" w:cs="Times New Roman"/>
          <w:b/>
          <w:sz w:val="24"/>
          <w:szCs w:val="24"/>
        </w:rPr>
      </w:pPr>
      <w:r w:rsidRPr="00BA3DFB">
        <w:rPr>
          <w:rFonts w:ascii="Times New Roman" w:hAnsi="Times New Roman" w:cs="Times New Roman"/>
          <w:b/>
          <w:sz w:val="24"/>
          <w:szCs w:val="24"/>
        </w:rPr>
        <w:t>PENDAHULUAN</w:t>
      </w:r>
    </w:p>
    <w:p w:rsidR="00320171" w:rsidRPr="00BA3DFB" w:rsidRDefault="00320171" w:rsidP="00320171">
      <w:pPr>
        <w:spacing w:line="480" w:lineRule="auto"/>
        <w:ind w:firstLine="720"/>
        <w:jc w:val="both"/>
        <w:rPr>
          <w:rFonts w:ascii="Times New Roman" w:hAnsi="Times New Roman" w:cs="Times New Roman"/>
          <w:sz w:val="24"/>
          <w:szCs w:val="24"/>
        </w:rPr>
      </w:pPr>
      <w:r w:rsidRPr="00BA3DFB">
        <w:rPr>
          <w:rFonts w:ascii="Times New Roman" w:hAnsi="Times New Roman" w:cs="Times New Roman"/>
          <w:sz w:val="24"/>
          <w:szCs w:val="24"/>
        </w:rPr>
        <w:t xml:space="preserve">Perbankan merupakan lembaga keuangan yang memiliki peranan dalam sistem keuangan di Indonesia. Keberadaan sektor perbankan memiliki peranan yang cukup penting, dimana dalam kehidupan masyararakat sebagian besar melibatkan jasa dari sektor perbankan. Hal ini dikarenakan sektor perbankan merupakan suatu lembaga yang mengemban fungsi utama sebagai perantara keuangan </w:t>
      </w:r>
      <w:r w:rsidRPr="00BA3DFB">
        <w:rPr>
          <w:rFonts w:ascii="Times New Roman" w:hAnsi="Times New Roman" w:cs="Times New Roman"/>
          <w:i/>
          <w:sz w:val="24"/>
          <w:szCs w:val="24"/>
        </w:rPr>
        <w:t xml:space="preserve">(financial intermediary) </w:t>
      </w:r>
      <w:r w:rsidRPr="00BA3DFB">
        <w:rPr>
          <w:rFonts w:ascii="Times New Roman" w:hAnsi="Times New Roman" w:cs="Times New Roman"/>
          <w:sz w:val="24"/>
          <w:szCs w:val="24"/>
        </w:rPr>
        <w:t xml:space="preserve">antara pihak-pihak yang memiliki dana dengan </w:t>
      </w:r>
      <w:r w:rsidRPr="00BA3DFB">
        <w:rPr>
          <w:rFonts w:ascii="Times New Roman" w:hAnsi="Times New Roman" w:cs="Times New Roman"/>
          <w:sz w:val="24"/>
          <w:szCs w:val="24"/>
        </w:rPr>
        <w:lastRenderedPageBreak/>
        <w:t>pihak-pihak yang memerlukan dana serta sebagai lembaga yang berfungsi memperlancar aliran lalu lintas pembayaran</w:t>
      </w:r>
      <w:sdt>
        <w:sdtPr>
          <w:rPr>
            <w:rFonts w:ascii="Times New Roman" w:hAnsi="Times New Roman" w:cs="Times New Roman"/>
            <w:sz w:val="24"/>
            <w:szCs w:val="24"/>
          </w:rPr>
          <w:id w:val="290276532"/>
          <w:citation/>
        </w:sdtPr>
        <w:sdtEndPr/>
        <w:sdtContent>
          <w:r w:rsidRPr="00BA3DFB">
            <w:rPr>
              <w:rFonts w:ascii="Times New Roman" w:hAnsi="Times New Roman" w:cs="Times New Roman"/>
              <w:sz w:val="24"/>
              <w:szCs w:val="24"/>
            </w:rPr>
            <w:fldChar w:fldCharType="begin"/>
          </w:r>
          <w:r w:rsidRPr="00BA3DFB">
            <w:rPr>
              <w:rFonts w:ascii="Times New Roman" w:hAnsi="Times New Roman" w:cs="Times New Roman"/>
              <w:sz w:val="24"/>
              <w:szCs w:val="24"/>
            </w:rPr>
            <w:instrText xml:space="preserve"> CITATION Vei07 \l 1057  </w:instrText>
          </w:r>
          <w:r w:rsidRPr="00BA3DFB">
            <w:rPr>
              <w:rFonts w:ascii="Times New Roman" w:hAnsi="Times New Roman" w:cs="Times New Roman"/>
              <w:sz w:val="24"/>
              <w:szCs w:val="24"/>
            </w:rPr>
            <w:fldChar w:fldCharType="separate"/>
          </w:r>
          <w:r w:rsidRPr="00BA3DFB">
            <w:rPr>
              <w:rFonts w:ascii="Times New Roman" w:hAnsi="Times New Roman" w:cs="Times New Roman"/>
              <w:noProof/>
              <w:sz w:val="24"/>
              <w:szCs w:val="24"/>
            </w:rPr>
            <w:t xml:space="preserve"> (Veithzel, 2007:109)</w:t>
          </w:r>
          <w:r w:rsidRPr="00BA3DFB">
            <w:rPr>
              <w:rFonts w:ascii="Times New Roman" w:hAnsi="Times New Roman" w:cs="Times New Roman"/>
              <w:sz w:val="24"/>
              <w:szCs w:val="24"/>
            </w:rPr>
            <w:fldChar w:fldCharType="end"/>
          </w:r>
        </w:sdtContent>
      </w:sdt>
      <w:r w:rsidRPr="00BA3DFB">
        <w:rPr>
          <w:rFonts w:ascii="Times New Roman" w:hAnsi="Times New Roman" w:cs="Times New Roman"/>
          <w:sz w:val="24"/>
          <w:szCs w:val="24"/>
        </w:rPr>
        <w:t xml:space="preserve">. </w:t>
      </w:r>
    </w:p>
    <w:p w:rsidR="00320171" w:rsidRPr="00BA3DFB" w:rsidRDefault="00320171" w:rsidP="00320171">
      <w:pPr>
        <w:spacing w:line="480" w:lineRule="auto"/>
        <w:ind w:firstLine="720"/>
        <w:jc w:val="both"/>
        <w:rPr>
          <w:rFonts w:ascii="Times New Roman" w:hAnsi="Times New Roman" w:cs="Times New Roman"/>
          <w:sz w:val="24"/>
          <w:szCs w:val="24"/>
        </w:rPr>
      </w:pPr>
      <w:r w:rsidRPr="00BA3DFB">
        <w:rPr>
          <w:rFonts w:ascii="Times New Roman" w:hAnsi="Times New Roman" w:cs="Times New Roman"/>
          <w:sz w:val="24"/>
          <w:szCs w:val="24"/>
        </w:rPr>
        <w:t xml:space="preserve">Metode RGEC merupakan penilaian terhadap risiko inheren atau kualitas penerapan manajemen risiko dalam operasional bank, pada faktor ini rasio keuangan yang digunakan untuk mengukur faktor </w:t>
      </w:r>
      <w:r w:rsidRPr="00BA3DFB">
        <w:rPr>
          <w:rFonts w:ascii="Times New Roman" w:hAnsi="Times New Roman" w:cs="Times New Roman"/>
          <w:i/>
          <w:sz w:val="24"/>
          <w:szCs w:val="24"/>
        </w:rPr>
        <w:t xml:space="preserve">Risk Profile </w:t>
      </w:r>
      <w:r w:rsidRPr="00BA3DFB">
        <w:rPr>
          <w:rFonts w:ascii="Times New Roman" w:hAnsi="Times New Roman" w:cs="Times New Roman"/>
          <w:sz w:val="24"/>
          <w:szCs w:val="24"/>
        </w:rPr>
        <w:t xml:space="preserve">ialah </w:t>
      </w:r>
      <w:r w:rsidRPr="00BA3DFB">
        <w:rPr>
          <w:rFonts w:ascii="Times New Roman" w:hAnsi="Times New Roman" w:cs="Times New Roman"/>
          <w:i/>
          <w:sz w:val="24"/>
          <w:szCs w:val="24"/>
        </w:rPr>
        <w:t xml:space="preserve">Non Performing Financing </w:t>
      </w:r>
      <w:r w:rsidRPr="00BA3DFB">
        <w:rPr>
          <w:rFonts w:ascii="Times New Roman" w:hAnsi="Times New Roman" w:cs="Times New Roman"/>
          <w:sz w:val="24"/>
          <w:szCs w:val="24"/>
        </w:rPr>
        <w:t xml:space="preserve">(NPF), dan </w:t>
      </w:r>
      <w:r w:rsidRPr="00BA3DFB">
        <w:rPr>
          <w:rFonts w:ascii="Times New Roman" w:hAnsi="Times New Roman" w:cs="Times New Roman"/>
          <w:i/>
          <w:sz w:val="24"/>
          <w:szCs w:val="24"/>
        </w:rPr>
        <w:t xml:space="preserve">Financing to Deposit Ratio </w:t>
      </w:r>
      <w:r w:rsidRPr="00BA3DFB">
        <w:rPr>
          <w:rFonts w:ascii="Times New Roman" w:hAnsi="Times New Roman" w:cs="Times New Roman"/>
          <w:sz w:val="24"/>
          <w:szCs w:val="24"/>
        </w:rPr>
        <w:t xml:space="preserve">(FDR). Faktor kedua adalah faktor tata kelola perusahaan yang baik </w:t>
      </w:r>
      <w:r w:rsidRPr="00BA3DFB">
        <w:rPr>
          <w:rFonts w:ascii="Times New Roman" w:hAnsi="Times New Roman" w:cs="Times New Roman"/>
          <w:i/>
          <w:sz w:val="24"/>
          <w:szCs w:val="24"/>
        </w:rPr>
        <w:t xml:space="preserve">(Good Corporate Governance) </w:t>
      </w:r>
      <w:r w:rsidRPr="00BA3DFB">
        <w:rPr>
          <w:rFonts w:ascii="Times New Roman" w:hAnsi="Times New Roman" w:cs="Times New Roman"/>
          <w:sz w:val="24"/>
          <w:szCs w:val="24"/>
        </w:rPr>
        <w:t xml:space="preserve">merupakan suatu sistem yang mengatur hubungan antara para </w:t>
      </w:r>
      <w:r w:rsidRPr="00BA3DFB">
        <w:rPr>
          <w:rFonts w:ascii="Times New Roman" w:hAnsi="Times New Roman" w:cs="Times New Roman"/>
          <w:i/>
          <w:sz w:val="24"/>
          <w:szCs w:val="24"/>
        </w:rPr>
        <w:t xml:space="preserve">stakeholders </w:t>
      </w:r>
      <w:r w:rsidRPr="00BA3DFB">
        <w:rPr>
          <w:rFonts w:ascii="Times New Roman" w:hAnsi="Times New Roman" w:cs="Times New Roman"/>
          <w:sz w:val="24"/>
          <w:szCs w:val="24"/>
        </w:rPr>
        <w:t xml:space="preserve">demi tercapainya tujuan perusahaan. Faktor yang ketiga adalah rentabilitas </w:t>
      </w:r>
      <w:r w:rsidRPr="00BA3DFB">
        <w:rPr>
          <w:rFonts w:ascii="Times New Roman" w:hAnsi="Times New Roman" w:cs="Times New Roman"/>
          <w:i/>
          <w:sz w:val="24"/>
          <w:szCs w:val="24"/>
        </w:rPr>
        <w:t xml:space="preserve">(earnings) </w:t>
      </w:r>
      <w:r w:rsidRPr="00BA3DFB">
        <w:rPr>
          <w:rFonts w:ascii="Times New Roman" w:hAnsi="Times New Roman" w:cs="Times New Roman"/>
          <w:sz w:val="24"/>
          <w:szCs w:val="24"/>
        </w:rPr>
        <w:t xml:space="preserve">merupakan kemampuan perusahaan dalam menghasilkan laba dari modal yang diinvestasikan dalam total aktiva, pada faktor ini rasio keuangan yang digunakan untuk mengukur </w:t>
      </w:r>
      <w:r w:rsidRPr="00BA3DFB">
        <w:rPr>
          <w:rFonts w:ascii="Times New Roman" w:hAnsi="Times New Roman" w:cs="Times New Roman"/>
          <w:i/>
          <w:sz w:val="24"/>
          <w:szCs w:val="24"/>
        </w:rPr>
        <w:t>Earning</w:t>
      </w:r>
      <w:r w:rsidRPr="00BA3DFB">
        <w:rPr>
          <w:rFonts w:ascii="Times New Roman" w:hAnsi="Times New Roman" w:cs="Times New Roman"/>
          <w:sz w:val="24"/>
          <w:szCs w:val="24"/>
        </w:rPr>
        <w:t xml:space="preserve"> adalah </w:t>
      </w:r>
      <w:r w:rsidRPr="00BA3DFB">
        <w:rPr>
          <w:rFonts w:ascii="Times New Roman" w:hAnsi="Times New Roman" w:cs="Times New Roman"/>
          <w:i/>
          <w:sz w:val="24"/>
          <w:szCs w:val="24"/>
        </w:rPr>
        <w:t xml:space="preserve">Return On Asset </w:t>
      </w:r>
      <w:r w:rsidRPr="00BA3DFB">
        <w:rPr>
          <w:rFonts w:ascii="Times New Roman" w:hAnsi="Times New Roman" w:cs="Times New Roman"/>
          <w:sz w:val="24"/>
          <w:szCs w:val="24"/>
        </w:rPr>
        <w:t xml:space="preserve">(ROA), </w:t>
      </w:r>
      <w:r w:rsidRPr="00BA3DFB">
        <w:rPr>
          <w:rFonts w:ascii="Times New Roman" w:hAnsi="Times New Roman" w:cs="Times New Roman"/>
          <w:i/>
          <w:sz w:val="24"/>
          <w:szCs w:val="24"/>
        </w:rPr>
        <w:t xml:space="preserve">Return On Equity </w:t>
      </w:r>
      <w:r w:rsidRPr="00BA3DFB">
        <w:rPr>
          <w:rFonts w:ascii="Times New Roman" w:hAnsi="Times New Roman" w:cs="Times New Roman"/>
          <w:sz w:val="24"/>
          <w:szCs w:val="24"/>
        </w:rPr>
        <w:t xml:space="preserve">(ROE), dan BOPO. Terakhir adalah faktor permodalan </w:t>
      </w:r>
      <w:r w:rsidRPr="00BA3DFB">
        <w:rPr>
          <w:rFonts w:ascii="Times New Roman" w:hAnsi="Times New Roman" w:cs="Times New Roman"/>
          <w:i/>
          <w:sz w:val="24"/>
          <w:szCs w:val="24"/>
        </w:rPr>
        <w:t>(Capital)</w:t>
      </w:r>
      <w:r w:rsidRPr="00BA3DFB">
        <w:rPr>
          <w:rFonts w:ascii="Times New Roman" w:hAnsi="Times New Roman" w:cs="Times New Roman"/>
          <w:sz w:val="24"/>
          <w:szCs w:val="24"/>
        </w:rPr>
        <w:t xml:space="preserve"> menunjukan besarnya jumlah modal minimum yang dibutuhkan untuk dapat menutupi risiko kerugian yang mungkin timbul dari penanaman aset-aset yang mengandung risiko serta membiayai seluruh aset tetap dan investasi bank, dan rasio keuangan yang digunakan untuk mengukur faktor ini adalah </w:t>
      </w:r>
      <w:r w:rsidRPr="00BA3DFB">
        <w:rPr>
          <w:rFonts w:ascii="Times New Roman" w:hAnsi="Times New Roman" w:cs="Times New Roman"/>
          <w:i/>
          <w:sz w:val="24"/>
          <w:szCs w:val="24"/>
        </w:rPr>
        <w:t xml:space="preserve">Capital Adequacy Ratio </w:t>
      </w:r>
      <w:r w:rsidRPr="00BA3DFB">
        <w:rPr>
          <w:rFonts w:ascii="Times New Roman" w:hAnsi="Times New Roman" w:cs="Times New Roman"/>
          <w:sz w:val="24"/>
          <w:szCs w:val="24"/>
        </w:rPr>
        <w:t xml:space="preserve">(CAR). </w:t>
      </w:r>
    </w:p>
    <w:p w:rsidR="00320171" w:rsidRPr="00BA3DFB" w:rsidRDefault="00320171" w:rsidP="00320171">
      <w:pPr>
        <w:spacing w:line="480" w:lineRule="auto"/>
        <w:ind w:firstLine="720"/>
        <w:jc w:val="both"/>
        <w:rPr>
          <w:rFonts w:ascii="Times New Roman" w:hAnsi="Times New Roman" w:cs="Times New Roman"/>
          <w:sz w:val="24"/>
          <w:szCs w:val="24"/>
        </w:rPr>
      </w:pPr>
      <w:r w:rsidRPr="00BA3DFB">
        <w:rPr>
          <w:rFonts w:ascii="Times New Roman" w:hAnsi="Times New Roman" w:cs="Times New Roman"/>
          <w:sz w:val="24"/>
          <w:szCs w:val="24"/>
        </w:rPr>
        <w:t xml:space="preserve">Peneliti mengambil objek penelitian pada bank umum BUMN yaitu PT. Bank Rakyat Indonesia (Persero) Tbk, dengan alasan karena tertarik melihat perusahaan menjadi pelaku bisnis yang dominan di kalangan masyarakat, baik mikro maupun makro. Sebagai bank yang mendominasi perbankan di Indonesia dan menguasai hajat hidup banyak orang, maka bank dituntut untuk terus menjaga kesehatannya. Melihat peran PT. Bank Rakyat Indonesia (Persero) Tbk yang sangat strategis maka kesehatan bank dan stabilitas bank menjadi sesuatu yang sangat vital. Selain itu peneliti ingin belajar tentang bagaimana cara menghitung analisa keuangan perusahaan dengan rasio-rasio yang sudah ditentukan Bank Indonesia supaya bisa di terapkan di </w:t>
      </w:r>
      <w:r w:rsidRPr="00BA3DFB">
        <w:rPr>
          <w:rFonts w:ascii="Times New Roman" w:hAnsi="Times New Roman" w:cs="Times New Roman"/>
          <w:sz w:val="24"/>
          <w:szCs w:val="24"/>
        </w:rPr>
        <w:lastRenderedPageBreak/>
        <w:t>perbankan yang lainnya, khususnya di tempat saya bekerja. Oleh sebab itu peneliti merasa penting untuk melakukan analisis pada PT. Bank Rakyat Indonesia (Persero) Tbk untuk mengetahui kondisi kesehatan bank.</w:t>
      </w:r>
    </w:p>
    <w:p w:rsidR="00320171" w:rsidRPr="00BA3DFB" w:rsidRDefault="00320171" w:rsidP="00320171">
      <w:pPr>
        <w:spacing w:line="480" w:lineRule="auto"/>
        <w:ind w:firstLine="720"/>
        <w:jc w:val="both"/>
        <w:rPr>
          <w:rFonts w:ascii="Times New Roman" w:hAnsi="Times New Roman" w:cs="Times New Roman"/>
          <w:sz w:val="24"/>
          <w:szCs w:val="24"/>
        </w:rPr>
      </w:pPr>
      <w:r w:rsidRPr="00BA3DFB">
        <w:rPr>
          <w:rFonts w:ascii="Times New Roman" w:hAnsi="Times New Roman" w:cs="Times New Roman"/>
          <w:sz w:val="24"/>
          <w:szCs w:val="24"/>
        </w:rPr>
        <w:t xml:space="preserve">Berdasarkan latar belakang masalah yang dipaparkan diatas, maka penulis tertarik untuk melakukan penelitian dengan judul </w:t>
      </w:r>
      <w:r w:rsidRPr="00BA3DFB">
        <w:rPr>
          <w:rFonts w:ascii="Times New Roman" w:hAnsi="Times New Roman" w:cs="Times New Roman"/>
          <w:b/>
          <w:sz w:val="24"/>
          <w:szCs w:val="24"/>
        </w:rPr>
        <w:t>“ANALISIS TINGKAT KESEHATAN PT. BANK RAKYAT INDONESIA (PERSERO) Tbk DENGAN MENGGUNAKAN METODE RGEC (</w:t>
      </w:r>
      <w:r w:rsidRPr="00BA3DFB">
        <w:rPr>
          <w:rFonts w:ascii="Times New Roman" w:hAnsi="Times New Roman" w:cs="Times New Roman"/>
          <w:b/>
          <w:i/>
          <w:sz w:val="24"/>
          <w:szCs w:val="24"/>
        </w:rPr>
        <w:t>RISK PROFILE, GOOD CORPORATE GOVERNANCE, EARNINGS, CAPITAL)</w:t>
      </w:r>
      <w:r w:rsidRPr="00BA3DFB">
        <w:rPr>
          <w:rFonts w:ascii="Times New Roman" w:hAnsi="Times New Roman" w:cs="Times New Roman"/>
          <w:b/>
          <w:sz w:val="24"/>
          <w:szCs w:val="24"/>
        </w:rPr>
        <w:t xml:space="preserve"> PERIODE 2015-2017”.</w:t>
      </w:r>
    </w:p>
    <w:p w:rsidR="00DD241B" w:rsidRPr="00BA3DFB" w:rsidRDefault="00DD241B" w:rsidP="00320171">
      <w:pPr>
        <w:rPr>
          <w:rFonts w:ascii="Times New Roman" w:hAnsi="Times New Roman" w:cs="Times New Roman"/>
          <w:b/>
          <w:sz w:val="24"/>
          <w:szCs w:val="24"/>
        </w:rPr>
      </w:pPr>
      <w:r w:rsidRPr="00BA3DFB">
        <w:rPr>
          <w:rFonts w:ascii="Times New Roman" w:hAnsi="Times New Roman" w:cs="Times New Roman"/>
          <w:b/>
          <w:sz w:val="24"/>
          <w:szCs w:val="24"/>
        </w:rPr>
        <w:t>LANDASAN TEORI</w:t>
      </w:r>
    </w:p>
    <w:p w:rsidR="00DD241B" w:rsidRPr="00BA3DFB" w:rsidRDefault="00DD241B" w:rsidP="00320171">
      <w:pPr>
        <w:rPr>
          <w:rFonts w:ascii="Times New Roman" w:hAnsi="Times New Roman" w:cs="Times New Roman"/>
          <w:b/>
          <w:sz w:val="24"/>
          <w:szCs w:val="24"/>
        </w:rPr>
      </w:pPr>
      <w:r w:rsidRPr="00BA3DFB">
        <w:rPr>
          <w:rFonts w:ascii="Times New Roman" w:hAnsi="Times New Roman" w:cs="Times New Roman"/>
          <w:b/>
          <w:sz w:val="24"/>
          <w:szCs w:val="24"/>
        </w:rPr>
        <w:t xml:space="preserve">Arti Penting Kesehatan Bank </w:t>
      </w:r>
    </w:p>
    <w:p w:rsidR="00DD241B" w:rsidRPr="00BA3DFB" w:rsidRDefault="00DD241B" w:rsidP="00DD241B">
      <w:pPr>
        <w:spacing w:line="480" w:lineRule="auto"/>
        <w:ind w:left="360" w:firstLine="720"/>
        <w:jc w:val="both"/>
        <w:rPr>
          <w:rFonts w:ascii="Times New Roman" w:hAnsi="Times New Roman" w:cs="Times New Roman"/>
          <w:b/>
          <w:sz w:val="24"/>
          <w:szCs w:val="24"/>
        </w:rPr>
      </w:pPr>
      <w:r w:rsidRPr="00BA3DFB">
        <w:rPr>
          <w:rFonts w:ascii="Times New Roman" w:hAnsi="Times New Roman" w:cs="Times New Roman"/>
          <w:sz w:val="24"/>
          <w:szCs w:val="24"/>
        </w:rPr>
        <w:t xml:space="preserve">Kesehatan bank merupakan kemampuan suatu bank untuk melaksanakan kegiatan operasi perbankan secara normal dan mampu memenuhi semua kewajibannya dengan baik dengan cara yang sesuai dengan peraturan perbankan yang berlaku. Bagi perbankan, hasil akhir penelitian kesehatan bank tersebut dapat digunakan sebagai salah satu sarana dalam menetapkan strategi usaha di masa depan, sedangkan bagi Bank Indonesia hasil dari penelitian kesehatan  perbankan digunakan sebagai sarana penetapan dan implementasi strategi pengawasan bank oleh Bank Indonesia </w:t>
      </w:r>
      <w:sdt>
        <w:sdtPr>
          <w:rPr>
            <w:rFonts w:ascii="Times New Roman" w:hAnsi="Times New Roman" w:cs="Times New Roman"/>
          </w:rPr>
          <w:id w:val="3044048"/>
          <w:citation/>
        </w:sdtPr>
        <w:sdtEndPr/>
        <w:sdtContent>
          <w:r w:rsidRPr="00BA3DFB">
            <w:rPr>
              <w:rFonts w:ascii="Times New Roman" w:hAnsi="Times New Roman" w:cs="Times New Roman"/>
              <w:sz w:val="24"/>
              <w:szCs w:val="24"/>
            </w:rPr>
            <w:fldChar w:fldCharType="begin"/>
          </w:r>
          <w:r w:rsidRPr="00BA3DFB">
            <w:rPr>
              <w:rFonts w:ascii="Times New Roman" w:hAnsi="Times New Roman" w:cs="Times New Roman"/>
              <w:sz w:val="24"/>
              <w:szCs w:val="24"/>
            </w:rPr>
            <w:instrText xml:space="preserve"> CITATION Suh17 \l 1057 </w:instrText>
          </w:r>
          <w:r w:rsidRPr="00BA3DFB">
            <w:rPr>
              <w:rFonts w:ascii="Times New Roman" w:hAnsi="Times New Roman" w:cs="Times New Roman"/>
              <w:sz w:val="24"/>
              <w:szCs w:val="24"/>
            </w:rPr>
            <w:fldChar w:fldCharType="separate"/>
          </w:r>
          <w:r w:rsidRPr="00BA3DFB">
            <w:rPr>
              <w:rFonts w:ascii="Times New Roman" w:hAnsi="Times New Roman" w:cs="Times New Roman"/>
              <w:noProof/>
              <w:sz w:val="24"/>
              <w:szCs w:val="24"/>
            </w:rPr>
            <w:t>(Suhartono dan Azizah, 2017)</w:t>
          </w:r>
          <w:r w:rsidRPr="00BA3DFB">
            <w:rPr>
              <w:rFonts w:ascii="Times New Roman" w:hAnsi="Times New Roman" w:cs="Times New Roman"/>
              <w:sz w:val="24"/>
              <w:szCs w:val="24"/>
            </w:rPr>
            <w:fldChar w:fldCharType="end"/>
          </w:r>
        </w:sdtContent>
      </w:sdt>
      <w:r w:rsidRPr="00BA3DFB">
        <w:rPr>
          <w:rFonts w:ascii="Times New Roman" w:hAnsi="Times New Roman" w:cs="Times New Roman"/>
          <w:sz w:val="24"/>
          <w:szCs w:val="24"/>
        </w:rPr>
        <w:t>.</w:t>
      </w:r>
    </w:p>
    <w:p w:rsidR="00DD241B" w:rsidRPr="00BA3DFB" w:rsidRDefault="00DD241B" w:rsidP="00DD241B">
      <w:pPr>
        <w:spacing w:line="480" w:lineRule="auto"/>
        <w:ind w:left="360" w:firstLine="720"/>
        <w:jc w:val="both"/>
        <w:rPr>
          <w:rFonts w:ascii="Times New Roman" w:hAnsi="Times New Roman" w:cs="Times New Roman"/>
          <w:b/>
          <w:sz w:val="24"/>
          <w:szCs w:val="24"/>
        </w:rPr>
      </w:pPr>
      <w:r w:rsidRPr="00BA3DFB">
        <w:rPr>
          <w:rFonts w:ascii="Times New Roman" w:hAnsi="Times New Roman" w:cs="Times New Roman"/>
          <w:sz w:val="24"/>
          <w:szCs w:val="24"/>
        </w:rPr>
        <w:t>Faktor penilaian tingkat kesehatan bank yaitu RGEC. Berdasarkan pada PBI No. 13/1/PBI/2011 dan SE No. 13/24/DPNP tanggal 25 Oktober 2011 yang menjadi indikator adalah :</w:t>
      </w:r>
    </w:p>
    <w:p w:rsidR="00DD241B" w:rsidRPr="00BA3DFB" w:rsidRDefault="00DD241B" w:rsidP="00DD241B">
      <w:pPr>
        <w:pStyle w:val="Heading4"/>
        <w:numPr>
          <w:ilvl w:val="0"/>
          <w:numId w:val="4"/>
        </w:numPr>
        <w:spacing w:line="480" w:lineRule="auto"/>
        <w:rPr>
          <w:rFonts w:ascii="Times New Roman" w:hAnsi="Times New Roman" w:cs="Times New Roman"/>
          <w:i w:val="0"/>
          <w:color w:val="auto"/>
          <w:sz w:val="24"/>
        </w:rPr>
      </w:pPr>
      <w:r w:rsidRPr="00BA3DFB">
        <w:rPr>
          <w:rFonts w:ascii="Times New Roman" w:hAnsi="Times New Roman" w:cs="Times New Roman"/>
          <w:i w:val="0"/>
          <w:color w:val="auto"/>
          <w:sz w:val="24"/>
        </w:rPr>
        <w:t>Risk Profile</w:t>
      </w:r>
    </w:p>
    <w:p w:rsidR="00DD241B" w:rsidRPr="00BA3DFB" w:rsidRDefault="00DD241B" w:rsidP="00DD241B">
      <w:pPr>
        <w:spacing w:line="480" w:lineRule="auto"/>
        <w:ind w:left="208" w:firstLine="720"/>
        <w:jc w:val="both"/>
        <w:rPr>
          <w:rFonts w:ascii="Times New Roman" w:hAnsi="Times New Roman" w:cs="Times New Roman"/>
          <w:b/>
          <w:sz w:val="24"/>
          <w:szCs w:val="24"/>
        </w:rPr>
      </w:pPr>
      <w:r w:rsidRPr="00BA3DFB">
        <w:rPr>
          <w:rFonts w:ascii="Times New Roman" w:hAnsi="Times New Roman" w:cs="Times New Roman"/>
          <w:sz w:val="24"/>
          <w:szCs w:val="24"/>
        </w:rPr>
        <w:t>Penilaian terhadap risiko dibagi menjadi 8 bagian yaitu:</w:t>
      </w:r>
    </w:p>
    <w:p w:rsidR="00DD241B" w:rsidRPr="00BA3DFB" w:rsidRDefault="00DD241B" w:rsidP="00DD241B">
      <w:pPr>
        <w:pStyle w:val="Heading5"/>
        <w:numPr>
          <w:ilvl w:val="2"/>
          <w:numId w:val="1"/>
        </w:numPr>
        <w:spacing w:line="480" w:lineRule="auto"/>
        <w:ind w:left="1418" w:hanging="425"/>
        <w:jc w:val="both"/>
        <w:rPr>
          <w:rFonts w:ascii="Times New Roman" w:hAnsi="Times New Roman" w:cs="Times New Roman"/>
          <w:b/>
          <w:color w:val="auto"/>
          <w:sz w:val="24"/>
          <w:szCs w:val="24"/>
        </w:rPr>
      </w:pPr>
      <w:r w:rsidRPr="00BA3DFB">
        <w:rPr>
          <w:rFonts w:ascii="Times New Roman" w:hAnsi="Times New Roman" w:cs="Times New Roman"/>
          <w:color w:val="auto"/>
          <w:sz w:val="24"/>
          <w:szCs w:val="24"/>
        </w:rPr>
        <w:lastRenderedPageBreak/>
        <w:t xml:space="preserve">Risiko Kredit </w:t>
      </w:r>
    </w:p>
    <w:p w:rsidR="00DD241B" w:rsidRPr="00BA3DFB" w:rsidRDefault="00DD241B" w:rsidP="00C61B99">
      <w:pPr>
        <w:spacing w:line="480" w:lineRule="auto"/>
        <w:ind w:left="993" w:firstLine="425"/>
        <w:jc w:val="both"/>
        <w:rPr>
          <w:rFonts w:ascii="Times New Roman" w:hAnsi="Times New Roman" w:cs="Times New Roman"/>
          <w:b/>
          <w:sz w:val="24"/>
          <w:szCs w:val="24"/>
        </w:rPr>
      </w:pPr>
      <w:r w:rsidRPr="00BA3DFB">
        <w:rPr>
          <w:rFonts w:ascii="Times New Roman" w:hAnsi="Times New Roman" w:cs="Times New Roman"/>
          <w:sz w:val="24"/>
          <w:szCs w:val="24"/>
        </w:rPr>
        <w:t xml:space="preserve">Risiko kerugian yang diderita bank karena debitur tidak melunasi kembali kewajibannya kepada pihak bank </w:t>
      </w:r>
      <w:sdt>
        <w:sdtPr>
          <w:id w:val="3044049"/>
          <w:citation/>
        </w:sdtPr>
        <w:sdtEndPr/>
        <w:sdtContent>
          <w:r w:rsidRPr="00BA3DFB">
            <w:rPr>
              <w:rFonts w:ascii="Times New Roman" w:hAnsi="Times New Roman" w:cs="Times New Roman"/>
              <w:sz w:val="24"/>
              <w:szCs w:val="24"/>
            </w:rPr>
            <w:fldChar w:fldCharType="begin"/>
          </w:r>
          <w:r w:rsidRPr="00BA3DFB">
            <w:rPr>
              <w:rFonts w:ascii="Times New Roman" w:hAnsi="Times New Roman" w:cs="Times New Roman"/>
              <w:sz w:val="24"/>
              <w:szCs w:val="24"/>
            </w:rPr>
            <w:instrText xml:space="preserve"> CITATION Ali99 \l 1057 </w:instrText>
          </w:r>
          <w:r w:rsidRPr="00BA3DFB">
            <w:rPr>
              <w:rFonts w:ascii="Times New Roman" w:hAnsi="Times New Roman" w:cs="Times New Roman"/>
              <w:sz w:val="24"/>
              <w:szCs w:val="24"/>
            </w:rPr>
            <w:fldChar w:fldCharType="separate"/>
          </w:r>
          <w:r w:rsidRPr="00BA3DFB">
            <w:rPr>
              <w:rFonts w:ascii="Times New Roman" w:hAnsi="Times New Roman" w:cs="Times New Roman"/>
              <w:noProof/>
              <w:sz w:val="24"/>
              <w:szCs w:val="24"/>
            </w:rPr>
            <w:t>(Ali, 2006: 199)</w:t>
          </w:r>
          <w:r w:rsidRPr="00BA3DFB">
            <w:rPr>
              <w:rFonts w:ascii="Times New Roman" w:hAnsi="Times New Roman" w:cs="Times New Roman"/>
              <w:sz w:val="24"/>
              <w:szCs w:val="24"/>
            </w:rPr>
            <w:fldChar w:fldCharType="end"/>
          </w:r>
        </w:sdtContent>
      </w:sdt>
      <w:r w:rsidRPr="00BA3DFB">
        <w:rPr>
          <w:rFonts w:ascii="Times New Roman" w:hAnsi="Times New Roman" w:cs="Times New Roman"/>
          <w:sz w:val="24"/>
          <w:szCs w:val="24"/>
        </w:rPr>
        <w:t>. Rasio kred</w:t>
      </w:r>
      <w:r w:rsidR="00C61B99" w:rsidRPr="00BA3DFB">
        <w:rPr>
          <w:rFonts w:ascii="Times New Roman" w:hAnsi="Times New Roman" w:cs="Times New Roman"/>
          <w:sz w:val="24"/>
          <w:szCs w:val="24"/>
        </w:rPr>
        <w:t>it dihitung dengan menggunakan R</w:t>
      </w:r>
      <w:r w:rsidRPr="00BA3DFB">
        <w:rPr>
          <w:rFonts w:ascii="Times New Roman" w:hAnsi="Times New Roman" w:cs="Times New Roman"/>
          <w:sz w:val="24"/>
          <w:szCs w:val="24"/>
        </w:rPr>
        <w:t xml:space="preserve">asio </w:t>
      </w:r>
      <w:r w:rsidRPr="00BA3DFB">
        <w:rPr>
          <w:rFonts w:ascii="Times New Roman" w:hAnsi="Times New Roman" w:cs="Times New Roman"/>
          <w:i/>
          <w:sz w:val="24"/>
          <w:szCs w:val="24"/>
        </w:rPr>
        <w:t>Non Performing</w:t>
      </w:r>
      <w:r w:rsidR="00C61B99" w:rsidRPr="00BA3DFB">
        <w:rPr>
          <w:rFonts w:ascii="Times New Roman" w:hAnsi="Times New Roman" w:cs="Times New Roman"/>
          <w:sz w:val="24"/>
          <w:szCs w:val="24"/>
        </w:rPr>
        <w:t xml:space="preserve"> </w:t>
      </w:r>
      <w:r w:rsidRPr="00BA3DFB">
        <w:rPr>
          <w:rFonts w:ascii="Times New Roman" w:hAnsi="Times New Roman" w:cs="Times New Roman"/>
          <w:i/>
          <w:sz w:val="24"/>
          <w:szCs w:val="24"/>
        </w:rPr>
        <w:t xml:space="preserve">Loan </w:t>
      </w:r>
      <w:r w:rsidRPr="00BA3DFB">
        <w:rPr>
          <w:rFonts w:ascii="Times New Roman" w:hAnsi="Times New Roman" w:cs="Times New Roman"/>
          <w:sz w:val="24"/>
          <w:szCs w:val="24"/>
        </w:rPr>
        <w:t>(NPL)</w:t>
      </w:r>
      <w:r w:rsidRPr="00BA3DFB">
        <w:rPr>
          <w:rFonts w:ascii="Times New Roman" w:hAnsi="Times New Roman" w:cs="Times New Roman"/>
          <w:i/>
          <w:sz w:val="24"/>
          <w:szCs w:val="24"/>
        </w:rPr>
        <w:t xml:space="preserve"> </w:t>
      </w:r>
      <w:r w:rsidRPr="00BA3DFB">
        <w:rPr>
          <w:rFonts w:ascii="Times New Roman" w:hAnsi="Times New Roman" w:cs="Times New Roman"/>
          <w:sz w:val="24"/>
          <w:szCs w:val="24"/>
        </w:rPr>
        <w:t xml:space="preserve">: </w:t>
      </w:r>
    </w:p>
    <w:p w:rsidR="00DD241B" w:rsidRPr="00BA3DFB" w:rsidRDefault="00DD241B" w:rsidP="00DD241B">
      <w:pPr>
        <w:spacing w:line="480" w:lineRule="auto"/>
        <w:ind w:left="1701" w:firstLine="720"/>
        <w:jc w:val="both"/>
        <w:rPr>
          <w:rFonts w:ascii="Times New Roman" w:hAnsi="Times New Roman" w:cs="Times New Roman"/>
          <w:sz w:val="24"/>
          <w:szCs w:val="24"/>
        </w:rPr>
      </w:pPr>
      <m:oMathPara>
        <m:oMathParaPr>
          <m:jc m:val="left"/>
        </m:oMathParaPr>
        <m:oMath>
          <m:r>
            <w:rPr>
              <w:rFonts w:ascii="Cambria Math" w:hAnsi="Cambria Math" w:cs="Times New Roman"/>
              <w:sz w:val="24"/>
              <w:szCs w:val="24"/>
            </w:rPr>
            <m:t>NPL</m:t>
          </m:r>
          <m:r>
            <m:rPr>
              <m:sty m:val="p"/>
            </m:rPr>
            <w:rPr>
              <w:rFonts w:ascii="Cambria Math" w:hAnsi="Times New Roman" w:cs="Times New Roman"/>
              <w:sz w:val="24"/>
              <w:szCs w:val="24"/>
            </w:rPr>
            <m:t>=</m:t>
          </m:r>
          <m:f>
            <m:fPr>
              <m:ctrlPr>
                <w:rPr>
                  <w:rFonts w:ascii="Cambria Math" w:hAnsi="Times New Roman" w:cs="Times New Roman"/>
                  <w:sz w:val="24"/>
                  <w:szCs w:val="24"/>
                </w:rPr>
              </m:ctrlPr>
            </m:fPr>
            <m:num>
              <m:r>
                <m:rPr>
                  <m:sty m:val="p"/>
                </m:rPr>
                <w:rPr>
                  <w:rFonts w:ascii="Cambria Math" w:hAnsi="Times New Roman" w:cs="Times New Roman"/>
                  <w:sz w:val="24"/>
                  <w:szCs w:val="24"/>
                </w:rPr>
                <m:t>Kredit Bermasalah</m:t>
              </m:r>
            </m:num>
            <m:den>
              <m:r>
                <m:rPr>
                  <m:sty m:val="p"/>
                </m:rPr>
                <w:rPr>
                  <w:rFonts w:ascii="Cambria Math" w:hAnsi="Times New Roman" w:cs="Times New Roman"/>
                  <w:sz w:val="24"/>
                  <w:szCs w:val="24"/>
                </w:rPr>
                <m:t>Total Kredit</m:t>
              </m:r>
            </m:den>
          </m:f>
          <m:r>
            <m:rPr>
              <m:sty m:val="p"/>
            </m:rPr>
            <w:rPr>
              <w:rFonts w:ascii="Cambria Math" w:hAnsi="Times New Roman" w:cs="Times New Roman"/>
              <w:sz w:val="24"/>
              <w:szCs w:val="24"/>
            </w:rPr>
            <m:t>x 100</m:t>
          </m:r>
        </m:oMath>
      </m:oMathPara>
    </w:p>
    <w:p w:rsidR="00DD241B" w:rsidRPr="00BA3DFB" w:rsidRDefault="00DD241B" w:rsidP="00DD241B">
      <w:pPr>
        <w:spacing w:line="480" w:lineRule="auto"/>
        <w:ind w:left="993" w:firstLine="425"/>
        <w:jc w:val="both"/>
        <w:rPr>
          <w:rFonts w:ascii="Times New Roman" w:hAnsi="Times New Roman" w:cs="Times New Roman"/>
          <w:sz w:val="24"/>
          <w:szCs w:val="24"/>
        </w:rPr>
      </w:pPr>
      <w:r w:rsidRPr="00BA3DFB">
        <w:rPr>
          <w:rFonts w:ascii="Times New Roman" w:hAnsi="Times New Roman" w:cs="Times New Roman"/>
          <w:sz w:val="24"/>
          <w:szCs w:val="24"/>
        </w:rPr>
        <w:t>Kredit bermasalah adalah kredit yang diberikan kepada pihak ketiga bukan bank yang tergolong kurang lancar, diragukan dan macet. Total kredit adalah kredit kepada pihak ketiga bukan bank.</w:t>
      </w:r>
    </w:p>
    <w:p w:rsidR="00DD241B" w:rsidRPr="00BA3DFB" w:rsidRDefault="00DD241B" w:rsidP="00DD241B">
      <w:pPr>
        <w:spacing w:line="480" w:lineRule="auto"/>
        <w:ind w:left="993" w:firstLine="425"/>
        <w:jc w:val="both"/>
        <w:rPr>
          <w:rFonts w:ascii="Times New Roman" w:hAnsi="Times New Roman" w:cs="Times New Roman"/>
          <w:sz w:val="24"/>
          <w:szCs w:val="24"/>
        </w:rPr>
      </w:pPr>
      <w:r w:rsidRPr="00BA3DFB">
        <w:rPr>
          <w:rFonts w:ascii="Times New Roman" w:hAnsi="Times New Roman" w:cs="Times New Roman"/>
          <w:sz w:val="24"/>
          <w:szCs w:val="24"/>
        </w:rPr>
        <w:t>Peringkat NPL berdasarkan Surat Edaran Bank Indonesia No. 6/23/DPNP Tahun 2004 adalah sebagai berikut:</w:t>
      </w:r>
      <w:bookmarkStart w:id="4" w:name="_Toc12306456"/>
    </w:p>
    <w:p w:rsidR="00DD241B" w:rsidRPr="00BA3DFB" w:rsidRDefault="00DD241B" w:rsidP="00DD241B">
      <w:pPr>
        <w:pStyle w:val="Caption"/>
        <w:spacing w:line="480" w:lineRule="auto"/>
        <w:jc w:val="center"/>
        <w:rPr>
          <w:rFonts w:ascii="Times New Roman" w:hAnsi="Times New Roman" w:cs="Times New Roman"/>
          <w:color w:val="auto"/>
          <w:sz w:val="24"/>
          <w:szCs w:val="24"/>
        </w:rPr>
      </w:pPr>
      <w:r w:rsidRPr="00BA3DFB">
        <w:rPr>
          <w:rFonts w:ascii="Times New Roman" w:hAnsi="Times New Roman" w:cs="Times New Roman"/>
          <w:color w:val="auto"/>
          <w:sz w:val="24"/>
          <w:szCs w:val="24"/>
        </w:rPr>
        <w:t>Tabel  Kriteria Penetapan Peringkat Profi Risiko (NPL)</w:t>
      </w:r>
      <w:bookmarkEnd w:id="4"/>
    </w:p>
    <w:tbl>
      <w:tblPr>
        <w:tblStyle w:val="TableGrid"/>
        <w:tblW w:w="0" w:type="auto"/>
        <w:jc w:val="center"/>
        <w:tblInd w:w="465" w:type="dxa"/>
        <w:tblLook w:val="04A0" w:firstRow="1" w:lastRow="0" w:firstColumn="1" w:lastColumn="0" w:noHBand="0" w:noVBand="1"/>
      </w:tblPr>
      <w:tblGrid>
        <w:gridCol w:w="1656"/>
        <w:gridCol w:w="2702"/>
        <w:gridCol w:w="2083"/>
      </w:tblGrid>
      <w:tr w:rsidR="00BA3DFB" w:rsidRPr="00BA3DFB" w:rsidTr="00A715F4">
        <w:trPr>
          <w:jc w:val="center"/>
        </w:trPr>
        <w:tc>
          <w:tcPr>
            <w:tcW w:w="1656" w:type="dxa"/>
          </w:tcPr>
          <w:p w:rsidR="00DD241B" w:rsidRPr="00BA3DFB" w:rsidRDefault="00DD241B" w:rsidP="00A715F4">
            <w:pPr>
              <w:pStyle w:val="ListParagraph"/>
              <w:spacing w:line="480" w:lineRule="auto"/>
              <w:ind w:left="0"/>
              <w:jc w:val="center"/>
              <w:rPr>
                <w:rFonts w:ascii="Times New Roman" w:hAnsi="Times New Roman" w:cs="Times New Roman"/>
                <w:sz w:val="24"/>
                <w:szCs w:val="24"/>
              </w:rPr>
            </w:pPr>
            <w:r w:rsidRPr="00BA3DFB">
              <w:rPr>
                <w:rFonts w:ascii="Times New Roman" w:hAnsi="Times New Roman" w:cs="Times New Roman"/>
                <w:sz w:val="24"/>
                <w:szCs w:val="24"/>
              </w:rPr>
              <w:t>Peringkat</w:t>
            </w:r>
          </w:p>
        </w:tc>
        <w:tc>
          <w:tcPr>
            <w:tcW w:w="2702" w:type="dxa"/>
          </w:tcPr>
          <w:p w:rsidR="00DD241B" w:rsidRPr="00BA3DFB" w:rsidRDefault="00DD241B" w:rsidP="00A715F4">
            <w:pPr>
              <w:pStyle w:val="ListParagraph"/>
              <w:spacing w:line="480" w:lineRule="auto"/>
              <w:ind w:left="0"/>
              <w:jc w:val="center"/>
              <w:rPr>
                <w:rFonts w:ascii="Times New Roman" w:hAnsi="Times New Roman" w:cs="Times New Roman"/>
                <w:sz w:val="24"/>
                <w:szCs w:val="24"/>
              </w:rPr>
            </w:pPr>
            <w:r w:rsidRPr="00BA3DFB">
              <w:rPr>
                <w:rFonts w:ascii="Times New Roman" w:hAnsi="Times New Roman" w:cs="Times New Roman"/>
                <w:sz w:val="24"/>
                <w:szCs w:val="24"/>
              </w:rPr>
              <w:t>Keterangan</w:t>
            </w:r>
          </w:p>
        </w:tc>
        <w:tc>
          <w:tcPr>
            <w:tcW w:w="2083" w:type="dxa"/>
          </w:tcPr>
          <w:p w:rsidR="00DD241B" w:rsidRPr="00BA3DFB" w:rsidRDefault="00DD241B" w:rsidP="00A715F4">
            <w:pPr>
              <w:pStyle w:val="ListParagraph"/>
              <w:spacing w:line="480" w:lineRule="auto"/>
              <w:ind w:left="0"/>
              <w:jc w:val="center"/>
              <w:rPr>
                <w:rFonts w:ascii="Times New Roman" w:hAnsi="Times New Roman" w:cs="Times New Roman"/>
                <w:sz w:val="24"/>
                <w:szCs w:val="24"/>
              </w:rPr>
            </w:pPr>
            <w:r w:rsidRPr="00BA3DFB">
              <w:rPr>
                <w:rFonts w:ascii="Times New Roman" w:hAnsi="Times New Roman" w:cs="Times New Roman"/>
                <w:sz w:val="24"/>
                <w:szCs w:val="24"/>
              </w:rPr>
              <w:t>Kriteria</w:t>
            </w:r>
          </w:p>
        </w:tc>
      </w:tr>
      <w:tr w:rsidR="00BA3DFB" w:rsidRPr="00BA3DFB" w:rsidTr="00A715F4">
        <w:trPr>
          <w:jc w:val="center"/>
        </w:trPr>
        <w:tc>
          <w:tcPr>
            <w:tcW w:w="1656" w:type="dxa"/>
          </w:tcPr>
          <w:p w:rsidR="00DD241B" w:rsidRPr="00BA3DFB" w:rsidRDefault="00DD241B" w:rsidP="00A715F4">
            <w:pPr>
              <w:pStyle w:val="ListParagraph"/>
              <w:spacing w:line="480" w:lineRule="auto"/>
              <w:ind w:left="0"/>
              <w:jc w:val="center"/>
              <w:rPr>
                <w:rFonts w:ascii="Times New Roman" w:hAnsi="Times New Roman" w:cs="Times New Roman"/>
                <w:sz w:val="24"/>
                <w:szCs w:val="24"/>
              </w:rPr>
            </w:pPr>
            <w:r w:rsidRPr="00BA3DFB">
              <w:rPr>
                <w:rFonts w:ascii="Times New Roman" w:hAnsi="Times New Roman" w:cs="Times New Roman"/>
                <w:sz w:val="24"/>
                <w:szCs w:val="24"/>
              </w:rPr>
              <w:t>1</w:t>
            </w:r>
          </w:p>
        </w:tc>
        <w:tc>
          <w:tcPr>
            <w:tcW w:w="2702" w:type="dxa"/>
          </w:tcPr>
          <w:p w:rsidR="00DD241B" w:rsidRPr="00BA3DFB" w:rsidRDefault="00DD241B" w:rsidP="00A715F4">
            <w:pPr>
              <w:pStyle w:val="ListParagraph"/>
              <w:spacing w:line="480" w:lineRule="auto"/>
              <w:ind w:left="0"/>
              <w:jc w:val="both"/>
              <w:rPr>
                <w:rFonts w:ascii="Times New Roman" w:hAnsi="Times New Roman" w:cs="Times New Roman"/>
                <w:sz w:val="24"/>
                <w:szCs w:val="24"/>
              </w:rPr>
            </w:pPr>
            <w:r w:rsidRPr="00BA3DFB">
              <w:rPr>
                <w:rFonts w:ascii="Times New Roman" w:hAnsi="Times New Roman" w:cs="Times New Roman"/>
                <w:sz w:val="24"/>
                <w:szCs w:val="24"/>
              </w:rPr>
              <w:t>Sangat sehat</w:t>
            </w:r>
          </w:p>
        </w:tc>
        <w:tc>
          <w:tcPr>
            <w:tcW w:w="2083" w:type="dxa"/>
          </w:tcPr>
          <w:p w:rsidR="00DD241B" w:rsidRPr="00BA3DFB" w:rsidRDefault="00DD241B" w:rsidP="00A715F4">
            <w:pPr>
              <w:pStyle w:val="ListParagraph"/>
              <w:spacing w:line="480" w:lineRule="auto"/>
              <w:ind w:left="0"/>
              <w:jc w:val="both"/>
              <w:rPr>
                <w:rFonts w:ascii="Times New Roman" w:hAnsi="Times New Roman" w:cs="Times New Roman"/>
                <w:sz w:val="24"/>
                <w:szCs w:val="24"/>
              </w:rPr>
            </w:pPr>
            <w:r w:rsidRPr="00BA3DFB">
              <w:rPr>
                <w:rFonts w:ascii="Times New Roman" w:hAnsi="Times New Roman" w:cs="Times New Roman"/>
                <w:sz w:val="24"/>
                <w:szCs w:val="24"/>
              </w:rPr>
              <w:t>NPL &lt; 2%</w:t>
            </w:r>
          </w:p>
        </w:tc>
      </w:tr>
      <w:tr w:rsidR="00BA3DFB" w:rsidRPr="00BA3DFB" w:rsidTr="00A715F4">
        <w:trPr>
          <w:jc w:val="center"/>
        </w:trPr>
        <w:tc>
          <w:tcPr>
            <w:tcW w:w="1656" w:type="dxa"/>
          </w:tcPr>
          <w:p w:rsidR="00DD241B" w:rsidRPr="00BA3DFB" w:rsidRDefault="00DD241B" w:rsidP="00A715F4">
            <w:pPr>
              <w:pStyle w:val="ListParagraph"/>
              <w:spacing w:line="480" w:lineRule="auto"/>
              <w:ind w:left="0"/>
              <w:jc w:val="center"/>
              <w:rPr>
                <w:rFonts w:ascii="Times New Roman" w:hAnsi="Times New Roman" w:cs="Times New Roman"/>
                <w:sz w:val="24"/>
                <w:szCs w:val="24"/>
              </w:rPr>
            </w:pPr>
            <w:r w:rsidRPr="00BA3DFB">
              <w:rPr>
                <w:rFonts w:ascii="Times New Roman" w:hAnsi="Times New Roman" w:cs="Times New Roman"/>
                <w:sz w:val="24"/>
                <w:szCs w:val="24"/>
              </w:rPr>
              <w:t>2</w:t>
            </w:r>
          </w:p>
        </w:tc>
        <w:tc>
          <w:tcPr>
            <w:tcW w:w="2702" w:type="dxa"/>
          </w:tcPr>
          <w:p w:rsidR="00DD241B" w:rsidRPr="00BA3DFB" w:rsidRDefault="00DD241B" w:rsidP="00A715F4">
            <w:pPr>
              <w:pStyle w:val="ListParagraph"/>
              <w:spacing w:line="480" w:lineRule="auto"/>
              <w:ind w:left="0"/>
              <w:jc w:val="both"/>
              <w:rPr>
                <w:rFonts w:ascii="Times New Roman" w:hAnsi="Times New Roman" w:cs="Times New Roman"/>
                <w:sz w:val="24"/>
                <w:szCs w:val="24"/>
              </w:rPr>
            </w:pPr>
            <w:r w:rsidRPr="00BA3DFB">
              <w:rPr>
                <w:rFonts w:ascii="Times New Roman" w:hAnsi="Times New Roman" w:cs="Times New Roman"/>
                <w:sz w:val="24"/>
                <w:szCs w:val="24"/>
              </w:rPr>
              <w:t>Sehat</w:t>
            </w:r>
          </w:p>
        </w:tc>
        <w:tc>
          <w:tcPr>
            <w:tcW w:w="2083" w:type="dxa"/>
          </w:tcPr>
          <w:p w:rsidR="00DD241B" w:rsidRPr="00BA3DFB" w:rsidRDefault="00DD241B" w:rsidP="00A715F4">
            <w:pPr>
              <w:pStyle w:val="ListParagraph"/>
              <w:spacing w:line="480" w:lineRule="auto"/>
              <w:ind w:left="0"/>
              <w:jc w:val="both"/>
              <w:rPr>
                <w:rFonts w:ascii="Times New Roman" w:hAnsi="Times New Roman" w:cs="Times New Roman"/>
                <w:sz w:val="24"/>
                <w:szCs w:val="24"/>
              </w:rPr>
            </w:pPr>
            <w:r w:rsidRPr="00BA3DFB">
              <w:rPr>
                <w:rFonts w:ascii="Times New Roman" w:hAnsi="Times New Roman" w:cs="Times New Roman"/>
                <w:sz w:val="24"/>
                <w:szCs w:val="24"/>
              </w:rPr>
              <w:t>2% ≤ NPL &lt; 5%</w:t>
            </w:r>
          </w:p>
        </w:tc>
      </w:tr>
      <w:tr w:rsidR="00BA3DFB" w:rsidRPr="00BA3DFB" w:rsidTr="00A715F4">
        <w:trPr>
          <w:jc w:val="center"/>
        </w:trPr>
        <w:tc>
          <w:tcPr>
            <w:tcW w:w="1656" w:type="dxa"/>
          </w:tcPr>
          <w:p w:rsidR="00DD241B" w:rsidRPr="00BA3DFB" w:rsidRDefault="00DD241B" w:rsidP="00A715F4">
            <w:pPr>
              <w:pStyle w:val="ListParagraph"/>
              <w:spacing w:line="480" w:lineRule="auto"/>
              <w:ind w:left="0"/>
              <w:jc w:val="center"/>
              <w:rPr>
                <w:rFonts w:ascii="Times New Roman" w:hAnsi="Times New Roman" w:cs="Times New Roman"/>
                <w:sz w:val="24"/>
                <w:szCs w:val="24"/>
              </w:rPr>
            </w:pPr>
            <w:r w:rsidRPr="00BA3DFB">
              <w:rPr>
                <w:rFonts w:ascii="Times New Roman" w:hAnsi="Times New Roman" w:cs="Times New Roman"/>
                <w:sz w:val="24"/>
                <w:szCs w:val="24"/>
              </w:rPr>
              <w:t>3</w:t>
            </w:r>
          </w:p>
        </w:tc>
        <w:tc>
          <w:tcPr>
            <w:tcW w:w="2702" w:type="dxa"/>
          </w:tcPr>
          <w:p w:rsidR="00DD241B" w:rsidRPr="00BA3DFB" w:rsidRDefault="00DD241B" w:rsidP="00A715F4">
            <w:pPr>
              <w:pStyle w:val="ListParagraph"/>
              <w:spacing w:line="480" w:lineRule="auto"/>
              <w:ind w:left="0"/>
              <w:jc w:val="both"/>
              <w:rPr>
                <w:rFonts w:ascii="Times New Roman" w:hAnsi="Times New Roman" w:cs="Times New Roman"/>
                <w:sz w:val="24"/>
                <w:szCs w:val="24"/>
              </w:rPr>
            </w:pPr>
            <w:r w:rsidRPr="00BA3DFB">
              <w:rPr>
                <w:rFonts w:ascii="Times New Roman" w:hAnsi="Times New Roman" w:cs="Times New Roman"/>
                <w:sz w:val="24"/>
                <w:szCs w:val="24"/>
              </w:rPr>
              <w:t>Cukup sehat</w:t>
            </w:r>
          </w:p>
        </w:tc>
        <w:tc>
          <w:tcPr>
            <w:tcW w:w="2083" w:type="dxa"/>
          </w:tcPr>
          <w:p w:rsidR="00DD241B" w:rsidRPr="00BA3DFB" w:rsidRDefault="00DD241B" w:rsidP="00A715F4">
            <w:pPr>
              <w:pStyle w:val="ListParagraph"/>
              <w:spacing w:line="480" w:lineRule="auto"/>
              <w:ind w:left="0"/>
              <w:jc w:val="both"/>
              <w:rPr>
                <w:rFonts w:ascii="Times New Roman" w:hAnsi="Times New Roman" w:cs="Times New Roman"/>
                <w:sz w:val="24"/>
                <w:szCs w:val="24"/>
              </w:rPr>
            </w:pPr>
            <w:r w:rsidRPr="00BA3DFB">
              <w:rPr>
                <w:rFonts w:ascii="Times New Roman" w:hAnsi="Times New Roman" w:cs="Times New Roman"/>
                <w:sz w:val="24"/>
                <w:szCs w:val="24"/>
              </w:rPr>
              <w:t>5% ≤ NPL &lt; 8%</w:t>
            </w:r>
          </w:p>
        </w:tc>
      </w:tr>
      <w:tr w:rsidR="00BA3DFB" w:rsidRPr="00BA3DFB" w:rsidTr="00A715F4">
        <w:trPr>
          <w:jc w:val="center"/>
        </w:trPr>
        <w:tc>
          <w:tcPr>
            <w:tcW w:w="1656" w:type="dxa"/>
          </w:tcPr>
          <w:p w:rsidR="00DD241B" w:rsidRPr="00BA3DFB" w:rsidRDefault="00DD241B" w:rsidP="00A715F4">
            <w:pPr>
              <w:pStyle w:val="ListParagraph"/>
              <w:spacing w:line="480" w:lineRule="auto"/>
              <w:ind w:left="0"/>
              <w:jc w:val="center"/>
              <w:rPr>
                <w:rFonts w:ascii="Times New Roman" w:hAnsi="Times New Roman" w:cs="Times New Roman"/>
                <w:sz w:val="24"/>
                <w:szCs w:val="24"/>
              </w:rPr>
            </w:pPr>
            <w:r w:rsidRPr="00BA3DFB">
              <w:rPr>
                <w:rFonts w:ascii="Times New Roman" w:hAnsi="Times New Roman" w:cs="Times New Roman"/>
                <w:sz w:val="24"/>
                <w:szCs w:val="24"/>
              </w:rPr>
              <w:t>4</w:t>
            </w:r>
          </w:p>
        </w:tc>
        <w:tc>
          <w:tcPr>
            <w:tcW w:w="2702" w:type="dxa"/>
          </w:tcPr>
          <w:p w:rsidR="00DD241B" w:rsidRPr="00BA3DFB" w:rsidRDefault="00DD241B" w:rsidP="00A715F4">
            <w:pPr>
              <w:pStyle w:val="ListParagraph"/>
              <w:spacing w:line="480" w:lineRule="auto"/>
              <w:ind w:left="0"/>
              <w:jc w:val="both"/>
              <w:rPr>
                <w:rFonts w:ascii="Times New Roman" w:hAnsi="Times New Roman" w:cs="Times New Roman"/>
                <w:sz w:val="24"/>
                <w:szCs w:val="24"/>
              </w:rPr>
            </w:pPr>
            <w:r w:rsidRPr="00BA3DFB">
              <w:rPr>
                <w:rFonts w:ascii="Times New Roman" w:hAnsi="Times New Roman" w:cs="Times New Roman"/>
                <w:sz w:val="24"/>
                <w:szCs w:val="24"/>
              </w:rPr>
              <w:t>Kurang sehat</w:t>
            </w:r>
          </w:p>
        </w:tc>
        <w:tc>
          <w:tcPr>
            <w:tcW w:w="2083" w:type="dxa"/>
          </w:tcPr>
          <w:p w:rsidR="00DD241B" w:rsidRPr="00BA3DFB" w:rsidRDefault="00DD241B" w:rsidP="00A715F4">
            <w:pPr>
              <w:pStyle w:val="ListParagraph"/>
              <w:spacing w:line="480" w:lineRule="auto"/>
              <w:ind w:left="0"/>
              <w:jc w:val="both"/>
              <w:rPr>
                <w:rFonts w:ascii="Times New Roman" w:hAnsi="Times New Roman" w:cs="Times New Roman"/>
                <w:sz w:val="24"/>
                <w:szCs w:val="24"/>
              </w:rPr>
            </w:pPr>
            <w:r w:rsidRPr="00BA3DFB">
              <w:rPr>
                <w:rFonts w:ascii="Times New Roman" w:hAnsi="Times New Roman" w:cs="Times New Roman"/>
                <w:sz w:val="24"/>
                <w:szCs w:val="24"/>
              </w:rPr>
              <w:t>8% ≤ NPL 11%</w:t>
            </w:r>
          </w:p>
        </w:tc>
      </w:tr>
      <w:tr w:rsidR="00BA3DFB" w:rsidRPr="00BA3DFB" w:rsidTr="00A715F4">
        <w:trPr>
          <w:jc w:val="center"/>
        </w:trPr>
        <w:tc>
          <w:tcPr>
            <w:tcW w:w="1656" w:type="dxa"/>
          </w:tcPr>
          <w:p w:rsidR="00DD241B" w:rsidRPr="00BA3DFB" w:rsidRDefault="00DD241B" w:rsidP="00A715F4">
            <w:pPr>
              <w:pStyle w:val="ListParagraph"/>
              <w:spacing w:line="480" w:lineRule="auto"/>
              <w:ind w:left="0"/>
              <w:jc w:val="center"/>
              <w:rPr>
                <w:rFonts w:ascii="Times New Roman" w:hAnsi="Times New Roman" w:cs="Times New Roman"/>
                <w:sz w:val="24"/>
                <w:szCs w:val="24"/>
              </w:rPr>
            </w:pPr>
            <w:r w:rsidRPr="00BA3DFB">
              <w:rPr>
                <w:rFonts w:ascii="Times New Roman" w:hAnsi="Times New Roman" w:cs="Times New Roman"/>
                <w:sz w:val="24"/>
                <w:szCs w:val="24"/>
              </w:rPr>
              <w:t>5</w:t>
            </w:r>
          </w:p>
        </w:tc>
        <w:tc>
          <w:tcPr>
            <w:tcW w:w="2702" w:type="dxa"/>
          </w:tcPr>
          <w:p w:rsidR="00DD241B" w:rsidRPr="00BA3DFB" w:rsidRDefault="00DD241B" w:rsidP="00A715F4">
            <w:pPr>
              <w:pStyle w:val="ListParagraph"/>
              <w:spacing w:line="480" w:lineRule="auto"/>
              <w:ind w:left="0"/>
              <w:jc w:val="both"/>
              <w:rPr>
                <w:rFonts w:ascii="Times New Roman" w:hAnsi="Times New Roman" w:cs="Times New Roman"/>
                <w:sz w:val="24"/>
                <w:szCs w:val="24"/>
              </w:rPr>
            </w:pPr>
            <w:r w:rsidRPr="00BA3DFB">
              <w:rPr>
                <w:rFonts w:ascii="Times New Roman" w:hAnsi="Times New Roman" w:cs="Times New Roman"/>
                <w:sz w:val="24"/>
                <w:szCs w:val="24"/>
              </w:rPr>
              <w:t>Tidak sehat</w:t>
            </w:r>
          </w:p>
        </w:tc>
        <w:tc>
          <w:tcPr>
            <w:tcW w:w="2083" w:type="dxa"/>
          </w:tcPr>
          <w:p w:rsidR="00DD241B" w:rsidRPr="00BA3DFB" w:rsidRDefault="00DD241B" w:rsidP="00A715F4">
            <w:pPr>
              <w:pStyle w:val="ListParagraph"/>
              <w:spacing w:line="480" w:lineRule="auto"/>
              <w:ind w:left="0"/>
              <w:jc w:val="both"/>
              <w:rPr>
                <w:rFonts w:ascii="Times New Roman" w:hAnsi="Times New Roman" w:cs="Times New Roman"/>
                <w:sz w:val="24"/>
                <w:szCs w:val="24"/>
              </w:rPr>
            </w:pPr>
            <w:r w:rsidRPr="00BA3DFB">
              <w:rPr>
                <w:rFonts w:ascii="Times New Roman" w:hAnsi="Times New Roman" w:cs="Times New Roman"/>
                <w:sz w:val="24"/>
                <w:szCs w:val="24"/>
              </w:rPr>
              <w:t>NPL ≥ 11%</w:t>
            </w:r>
          </w:p>
        </w:tc>
      </w:tr>
    </w:tbl>
    <w:p w:rsidR="00DD241B" w:rsidRPr="00BA3DFB" w:rsidRDefault="00DD241B" w:rsidP="00DD241B">
      <w:pPr>
        <w:spacing w:line="480" w:lineRule="auto"/>
        <w:ind w:firstLine="720"/>
        <w:jc w:val="both"/>
        <w:rPr>
          <w:rFonts w:ascii="Times New Roman" w:hAnsi="Times New Roman" w:cs="Times New Roman"/>
          <w:sz w:val="24"/>
          <w:szCs w:val="24"/>
        </w:rPr>
      </w:pPr>
      <w:r w:rsidRPr="00BA3DFB">
        <w:rPr>
          <w:rFonts w:ascii="Times New Roman" w:hAnsi="Times New Roman" w:cs="Times New Roman"/>
          <w:sz w:val="24"/>
          <w:szCs w:val="24"/>
        </w:rPr>
        <w:t>Sumber : Surat Edaran Bank Indonesia No.13/24/DPNP Tahun 2011</w:t>
      </w:r>
    </w:p>
    <w:p w:rsidR="00DD241B" w:rsidRPr="00BA3DFB" w:rsidRDefault="00DD241B" w:rsidP="00DD241B">
      <w:pPr>
        <w:pStyle w:val="Heading5"/>
        <w:numPr>
          <w:ilvl w:val="2"/>
          <w:numId w:val="1"/>
        </w:numPr>
        <w:spacing w:line="480" w:lineRule="auto"/>
        <w:ind w:left="1418" w:hanging="425"/>
        <w:rPr>
          <w:rFonts w:ascii="Times New Roman" w:hAnsi="Times New Roman" w:cs="Times New Roman"/>
          <w:color w:val="auto"/>
          <w:sz w:val="24"/>
          <w:szCs w:val="24"/>
        </w:rPr>
      </w:pPr>
      <w:r w:rsidRPr="00BA3DFB">
        <w:rPr>
          <w:rFonts w:ascii="Times New Roman" w:hAnsi="Times New Roman" w:cs="Times New Roman"/>
          <w:color w:val="auto"/>
          <w:sz w:val="24"/>
          <w:szCs w:val="24"/>
        </w:rPr>
        <w:lastRenderedPageBreak/>
        <w:t xml:space="preserve">Risiko Pasar </w:t>
      </w:r>
    </w:p>
    <w:p w:rsidR="00DD241B" w:rsidRPr="00BA3DFB" w:rsidRDefault="00DD241B" w:rsidP="00DD241B">
      <w:pPr>
        <w:pStyle w:val="Heading5"/>
        <w:spacing w:line="480" w:lineRule="auto"/>
        <w:ind w:left="993" w:firstLine="425"/>
        <w:jc w:val="both"/>
        <w:rPr>
          <w:rFonts w:ascii="Times New Roman" w:hAnsi="Times New Roman" w:cs="Times New Roman"/>
          <w:color w:val="auto"/>
          <w:sz w:val="24"/>
          <w:szCs w:val="24"/>
        </w:rPr>
      </w:pPr>
      <w:r w:rsidRPr="00BA3DFB">
        <w:rPr>
          <w:rFonts w:ascii="Times New Roman" w:hAnsi="Times New Roman" w:cs="Times New Roman"/>
          <w:color w:val="auto"/>
          <w:sz w:val="24"/>
          <w:szCs w:val="24"/>
        </w:rPr>
        <w:t xml:space="preserve">Suatu risiko yang timbul karena menurunnya nilai suatu investasi karena pergerakan pada faktor-faktor pasar. Risiko pasar dihitung dengan menggunakan rasio </w:t>
      </w:r>
      <w:r w:rsidRPr="00BA3DFB">
        <w:rPr>
          <w:rFonts w:ascii="Times New Roman" w:hAnsi="Times New Roman" w:cs="Times New Roman"/>
          <w:i/>
          <w:color w:val="auto"/>
          <w:sz w:val="24"/>
          <w:szCs w:val="24"/>
        </w:rPr>
        <w:t>Interest Rate Risk:</w:t>
      </w:r>
    </w:p>
    <w:p w:rsidR="00DD241B" w:rsidRPr="00BA3DFB" w:rsidRDefault="00DD241B" w:rsidP="00DD241B">
      <w:pPr>
        <w:pStyle w:val="ListParagraph"/>
        <w:spacing w:line="480" w:lineRule="auto"/>
        <w:ind w:left="2061"/>
        <w:jc w:val="both"/>
        <w:rPr>
          <w:rFonts w:ascii="Times New Roman" w:hAnsi="Times New Roman" w:cs="Times New Roman"/>
          <w:sz w:val="24"/>
          <w:szCs w:val="24"/>
        </w:rPr>
      </w:pPr>
      <m:oMathPara>
        <m:oMathParaPr>
          <m:jc m:val="left"/>
        </m:oMathParaPr>
        <m:oMath>
          <m:r>
            <w:rPr>
              <w:rFonts w:ascii="Cambria Math" w:hAnsi="Cambria Math" w:cs="Times New Roman"/>
              <w:sz w:val="24"/>
              <w:szCs w:val="24"/>
            </w:rPr>
            <m:t>IRR</m:t>
          </m:r>
          <m:r>
            <m:rPr>
              <m:sty m:val="p"/>
            </m:rPr>
            <w:rPr>
              <w:rFonts w:ascii="Cambria Math" w:hAnsi="Times New Roman" w:cs="Times New Roman"/>
              <w:sz w:val="24"/>
              <w:szCs w:val="24"/>
            </w:rPr>
            <m:t>=</m:t>
          </m:r>
          <m:f>
            <m:fPr>
              <m:ctrlPr>
                <w:rPr>
                  <w:rFonts w:ascii="Cambria Math" w:hAnsi="Times New Roman" w:cs="Times New Roman"/>
                  <w:sz w:val="24"/>
                  <w:szCs w:val="24"/>
                </w:rPr>
              </m:ctrlPr>
            </m:fPr>
            <m:num>
              <m:r>
                <m:rPr>
                  <m:sty m:val="p"/>
                </m:rPr>
                <w:rPr>
                  <w:rFonts w:ascii="Cambria Math" w:hAnsi="Times New Roman" w:cs="Times New Roman"/>
                  <w:sz w:val="24"/>
                  <w:szCs w:val="24"/>
                </w:rPr>
                <m:t xml:space="preserve">RSA </m:t>
              </m:r>
              <m:d>
                <m:dPr>
                  <m:ctrlPr>
                    <w:rPr>
                      <w:rFonts w:ascii="Cambria Math" w:hAnsi="Times New Roman" w:cs="Times New Roman"/>
                      <w:i/>
                      <w:sz w:val="24"/>
                      <w:szCs w:val="24"/>
                    </w:rPr>
                  </m:ctrlPr>
                </m:dPr>
                <m:e>
                  <m:r>
                    <w:rPr>
                      <w:rFonts w:ascii="Cambria Math" w:hAnsi="Cambria Math" w:cs="Times New Roman"/>
                      <w:sz w:val="24"/>
                      <w:szCs w:val="24"/>
                    </w:rPr>
                    <m:t>Rate</m:t>
                  </m:r>
                  <m:r>
                    <w:rPr>
                      <w:rFonts w:ascii="Cambria Math" w:hAnsi="Times New Roman" w:cs="Times New Roman"/>
                      <w:sz w:val="24"/>
                      <w:szCs w:val="24"/>
                    </w:rPr>
                    <m:t xml:space="preserve"> </m:t>
                  </m:r>
                  <m:r>
                    <w:rPr>
                      <w:rFonts w:ascii="Cambria Math" w:hAnsi="Cambria Math" w:cs="Times New Roman"/>
                      <w:sz w:val="24"/>
                      <w:szCs w:val="24"/>
                    </w:rPr>
                    <m:t>Sensitive</m:t>
                  </m:r>
                  <m:r>
                    <w:rPr>
                      <w:rFonts w:ascii="Cambria Math" w:hAnsi="Times New Roman" w:cs="Times New Roman"/>
                      <w:sz w:val="24"/>
                      <w:szCs w:val="24"/>
                    </w:rPr>
                    <m:t xml:space="preserve"> </m:t>
                  </m:r>
                  <m:r>
                    <w:rPr>
                      <w:rFonts w:ascii="Cambria Math" w:hAnsi="Cambria Math" w:cs="Times New Roman"/>
                      <w:sz w:val="24"/>
                      <w:szCs w:val="24"/>
                    </w:rPr>
                    <m:t>Assets</m:t>
                  </m:r>
                </m:e>
              </m:d>
            </m:num>
            <m:den>
              <m:r>
                <m:rPr>
                  <m:sty m:val="p"/>
                </m:rPr>
                <w:rPr>
                  <w:rFonts w:ascii="Cambria Math" w:hAnsi="Times New Roman" w:cs="Times New Roman"/>
                  <w:sz w:val="24"/>
                  <w:szCs w:val="24"/>
                </w:rPr>
                <m:t xml:space="preserve">RSL </m:t>
              </m:r>
              <m:d>
                <m:dPr>
                  <m:ctrlPr>
                    <w:rPr>
                      <w:rFonts w:ascii="Cambria Math" w:hAnsi="Times New Roman" w:cs="Times New Roman"/>
                      <w:i/>
                      <w:sz w:val="24"/>
                      <w:szCs w:val="24"/>
                    </w:rPr>
                  </m:ctrlPr>
                </m:dPr>
                <m:e>
                  <m:r>
                    <w:rPr>
                      <w:rFonts w:ascii="Cambria Math" w:hAnsi="Cambria Math" w:cs="Times New Roman"/>
                      <w:sz w:val="24"/>
                      <w:szCs w:val="24"/>
                    </w:rPr>
                    <m:t>Rate</m:t>
                  </m:r>
                  <m:r>
                    <w:rPr>
                      <w:rFonts w:ascii="Cambria Math" w:hAnsi="Times New Roman" w:cs="Times New Roman"/>
                      <w:sz w:val="24"/>
                      <w:szCs w:val="24"/>
                    </w:rPr>
                    <m:t xml:space="preserve"> </m:t>
                  </m:r>
                  <m:r>
                    <w:rPr>
                      <w:rFonts w:ascii="Cambria Math" w:hAnsi="Cambria Math" w:cs="Times New Roman"/>
                      <w:sz w:val="24"/>
                      <w:szCs w:val="24"/>
                    </w:rPr>
                    <m:t>Sensitive</m:t>
                  </m:r>
                  <m:r>
                    <w:rPr>
                      <w:rFonts w:ascii="Cambria Math" w:hAnsi="Times New Roman" w:cs="Times New Roman"/>
                      <w:sz w:val="24"/>
                      <w:szCs w:val="24"/>
                    </w:rPr>
                    <m:t xml:space="preserve"> </m:t>
                  </m:r>
                  <m:r>
                    <w:rPr>
                      <w:rFonts w:ascii="Cambria Math" w:hAnsi="Cambria Math" w:cs="Times New Roman"/>
                      <w:sz w:val="24"/>
                      <w:szCs w:val="24"/>
                    </w:rPr>
                    <m:t>Liabilities</m:t>
                  </m:r>
                </m:e>
              </m:d>
            </m:den>
          </m:f>
          <m:r>
            <m:rPr>
              <m:sty m:val="p"/>
            </m:rPr>
            <w:rPr>
              <w:rFonts w:ascii="Cambria Math" w:hAnsi="Times New Roman" w:cs="Times New Roman"/>
              <w:sz w:val="24"/>
              <w:szCs w:val="24"/>
            </w:rPr>
            <m:t>x 100%</m:t>
          </m:r>
        </m:oMath>
      </m:oMathPara>
    </w:p>
    <w:p w:rsidR="00DD241B" w:rsidRPr="00BA3DFB" w:rsidRDefault="00DD241B" w:rsidP="00DD241B">
      <w:pPr>
        <w:spacing w:line="480" w:lineRule="auto"/>
        <w:ind w:left="993" w:firstLine="1167"/>
        <w:jc w:val="both"/>
        <w:rPr>
          <w:rFonts w:ascii="Times New Roman" w:hAnsi="Times New Roman" w:cs="Times New Roman"/>
          <w:sz w:val="24"/>
          <w:szCs w:val="24"/>
          <w:lang w:val="en-US"/>
        </w:rPr>
      </w:pPr>
      <w:r w:rsidRPr="00BA3DFB">
        <w:rPr>
          <w:rFonts w:ascii="Times New Roman" w:hAnsi="Times New Roman" w:cs="Times New Roman"/>
          <w:sz w:val="24"/>
          <w:szCs w:val="24"/>
        </w:rPr>
        <w:t>Rasio ini ditunjukan untuk mengukur apakah aset atau kewajiban bank yang lebih sensitif terhadap perubahan suku bunga.</w:t>
      </w:r>
    </w:p>
    <w:p w:rsidR="00F813BA" w:rsidRPr="00BA3DFB" w:rsidRDefault="00DD241B" w:rsidP="00F813BA">
      <w:pPr>
        <w:pStyle w:val="Heading5"/>
        <w:numPr>
          <w:ilvl w:val="2"/>
          <w:numId w:val="1"/>
        </w:numPr>
        <w:spacing w:line="480" w:lineRule="auto"/>
        <w:ind w:left="1418" w:hanging="425"/>
        <w:rPr>
          <w:rFonts w:ascii="Times New Roman" w:hAnsi="Times New Roman" w:cs="Times New Roman"/>
          <w:color w:val="auto"/>
          <w:sz w:val="24"/>
          <w:szCs w:val="24"/>
          <w:lang w:val="en-US"/>
        </w:rPr>
      </w:pPr>
      <w:r w:rsidRPr="00BA3DFB">
        <w:rPr>
          <w:rFonts w:ascii="Times New Roman" w:hAnsi="Times New Roman" w:cs="Times New Roman"/>
          <w:color w:val="auto"/>
          <w:sz w:val="24"/>
          <w:szCs w:val="24"/>
        </w:rPr>
        <w:t>Risiko Likuiditas</w:t>
      </w:r>
    </w:p>
    <w:p w:rsidR="00DD241B" w:rsidRPr="00BA3DFB" w:rsidRDefault="00DD241B" w:rsidP="00DD241B">
      <w:pPr>
        <w:pStyle w:val="Heading5"/>
        <w:spacing w:line="480" w:lineRule="auto"/>
        <w:ind w:left="993" w:firstLine="447"/>
        <w:jc w:val="both"/>
        <w:rPr>
          <w:rFonts w:ascii="Times New Roman" w:hAnsi="Times New Roman" w:cs="Times New Roman"/>
          <w:color w:val="auto"/>
          <w:sz w:val="24"/>
          <w:szCs w:val="24"/>
        </w:rPr>
      </w:pPr>
      <w:r w:rsidRPr="00BA3DFB">
        <w:rPr>
          <w:rFonts w:ascii="Times New Roman" w:hAnsi="Times New Roman" w:cs="Times New Roman"/>
          <w:color w:val="auto"/>
          <w:sz w:val="24"/>
          <w:szCs w:val="24"/>
        </w:rPr>
        <w:t>Risiko likuiditas digunakan untuk melihat kemampuan bank dalam memenuhi kewajiban jangka pendek maupun kewajiban yang sudah jatuh tempo. Bank dianggap likuid jika bank memiliki cukup uang tunai atau aset likuid lainnya, memiliki kemampuan meningkatkan dana secara tepat dari sumber lainnya, serta m</w:t>
      </w:r>
      <w:r w:rsidR="008C103F">
        <w:rPr>
          <w:rFonts w:ascii="Times New Roman" w:hAnsi="Times New Roman" w:cs="Times New Roman"/>
          <w:color w:val="auto"/>
          <w:sz w:val="24"/>
          <w:szCs w:val="24"/>
          <w:lang w:val="en-US"/>
        </w:rPr>
        <w:t>e</w:t>
      </w:r>
      <w:bookmarkStart w:id="5" w:name="_GoBack"/>
      <w:bookmarkEnd w:id="5"/>
      <w:r w:rsidRPr="00BA3DFB">
        <w:rPr>
          <w:rFonts w:ascii="Times New Roman" w:hAnsi="Times New Roman" w:cs="Times New Roman"/>
          <w:color w:val="auto"/>
          <w:sz w:val="24"/>
          <w:szCs w:val="24"/>
        </w:rPr>
        <w:t xml:space="preserve">miliki penyangga likuiditas yang memadai untuk memungkinkan kewajiban pembayaran dan kebutuhan uang tunai yang mendadak </w:t>
      </w:r>
      <w:sdt>
        <w:sdtPr>
          <w:rPr>
            <w:color w:val="auto"/>
          </w:rPr>
          <w:id w:val="3044054"/>
          <w:citation/>
        </w:sdtPr>
        <w:sdtEndPr/>
        <w:sdtContent>
          <w:r w:rsidRPr="00BA3DFB">
            <w:rPr>
              <w:rFonts w:ascii="Times New Roman" w:hAnsi="Times New Roman" w:cs="Times New Roman"/>
              <w:color w:val="auto"/>
              <w:sz w:val="24"/>
              <w:szCs w:val="24"/>
            </w:rPr>
            <w:fldChar w:fldCharType="begin"/>
          </w:r>
          <w:r w:rsidRPr="00BA3DFB">
            <w:rPr>
              <w:rFonts w:ascii="Times New Roman" w:hAnsi="Times New Roman" w:cs="Times New Roman"/>
              <w:color w:val="auto"/>
              <w:sz w:val="24"/>
              <w:szCs w:val="24"/>
            </w:rPr>
            <w:instrText xml:space="preserve"> CITATION Dar59 \l 1057 </w:instrText>
          </w:r>
          <w:r w:rsidRPr="00BA3DFB">
            <w:rPr>
              <w:rFonts w:ascii="Times New Roman" w:hAnsi="Times New Roman" w:cs="Times New Roman"/>
              <w:color w:val="auto"/>
              <w:sz w:val="24"/>
              <w:szCs w:val="24"/>
            </w:rPr>
            <w:fldChar w:fldCharType="separate"/>
          </w:r>
          <w:r w:rsidRPr="00BA3DFB">
            <w:rPr>
              <w:rFonts w:ascii="Times New Roman" w:hAnsi="Times New Roman" w:cs="Times New Roman"/>
              <w:noProof/>
              <w:color w:val="auto"/>
              <w:sz w:val="24"/>
              <w:szCs w:val="24"/>
            </w:rPr>
            <w:t>(Darnawi, 2012: 59)</w:t>
          </w:r>
          <w:r w:rsidRPr="00BA3DFB">
            <w:rPr>
              <w:rFonts w:ascii="Times New Roman" w:hAnsi="Times New Roman" w:cs="Times New Roman"/>
              <w:color w:val="auto"/>
              <w:sz w:val="24"/>
              <w:szCs w:val="24"/>
            </w:rPr>
            <w:fldChar w:fldCharType="end"/>
          </w:r>
        </w:sdtContent>
      </w:sdt>
      <w:r w:rsidRPr="00BA3DFB">
        <w:rPr>
          <w:rFonts w:ascii="Times New Roman" w:hAnsi="Times New Roman" w:cs="Times New Roman"/>
          <w:color w:val="auto"/>
          <w:sz w:val="24"/>
          <w:szCs w:val="24"/>
        </w:rPr>
        <w:t>. Rasio likuiditas dihitung dengan menggunakan rasio-rasio sebagai berikut:</w:t>
      </w:r>
    </w:p>
    <w:p w:rsidR="00DD241B" w:rsidRPr="00BA3DFB" w:rsidRDefault="00DD241B" w:rsidP="00DD241B">
      <w:pPr>
        <w:pStyle w:val="ListParagraph"/>
        <w:numPr>
          <w:ilvl w:val="0"/>
          <w:numId w:val="2"/>
        </w:numPr>
        <w:spacing w:line="480" w:lineRule="auto"/>
        <w:rPr>
          <w:rFonts w:ascii="Times New Roman" w:hAnsi="Times New Roman" w:cs="Times New Roman"/>
          <w:sz w:val="24"/>
          <w:szCs w:val="24"/>
        </w:rPr>
      </w:pPr>
      <w:r w:rsidRPr="00BA3DFB">
        <w:rPr>
          <w:rFonts w:ascii="Times New Roman" w:hAnsi="Times New Roman" w:cs="Times New Roman"/>
          <w:i/>
          <w:sz w:val="24"/>
          <w:szCs w:val="24"/>
        </w:rPr>
        <w:t xml:space="preserve">Loan to Deposit Ratio </w:t>
      </w:r>
      <w:r w:rsidRPr="00BA3DFB">
        <w:rPr>
          <w:rFonts w:ascii="Times New Roman" w:hAnsi="Times New Roman" w:cs="Times New Roman"/>
          <w:sz w:val="24"/>
          <w:szCs w:val="24"/>
        </w:rPr>
        <w:t>(LDR)</w:t>
      </w:r>
    </w:p>
    <w:p w:rsidR="00DD241B" w:rsidRPr="00BA3DFB" w:rsidRDefault="00DD241B" w:rsidP="00DD241B">
      <w:pPr>
        <w:pStyle w:val="ListParagraph"/>
        <w:spacing w:line="480" w:lineRule="auto"/>
        <w:ind w:left="2421"/>
        <w:rPr>
          <w:rFonts w:ascii="Times New Roman" w:hAnsi="Times New Roman" w:cs="Times New Roman"/>
          <w:sz w:val="24"/>
          <w:szCs w:val="24"/>
        </w:rPr>
      </w:pPr>
      <m:oMathPara>
        <m:oMathParaPr>
          <m:jc m:val="left"/>
        </m:oMathParaPr>
        <m:oMath>
          <m:r>
            <w:rPr>
              <w:rFonts w:ascii="Cambria Math" w:hAnsi="Cambria Math" w:cs="Times New Roman"/>
              <w:sz w:val="24"/>
              <w:szCs w:val="24"/>
            </w:rPr>
            <m:t>LDR</m:t>
          </m:r>
          <m:r>
            <m:rPr>
              <m:sty m:val="p"/>
            </m:rPr>
            <w:rPr>
              <w:rFonts w:ascii="Cambria Math" w:hAnsi="Times New Roman" w:cs="Times New Roman"/>
              <w:sz w:val="24"/>
              <w:szCs w:val="24"/>
            </w:rPr>
            <m:t>=</m:t>
          </m:r>
          <m:f>
            <m:fPr>
              <m:ctrlPr>
                <w:rPr>
                  <w:rFonts w:ascii="Cambria Math" w:hAnsi="Times New Roman" w:cs="Times New Roman"/>
                  <w:sz w:val="24"/>
                  <w:szCs w:val="24"/>
                </w:rPr>
              </m:ctrlPr>
            </m:fPr>
            <m:num>
              <m:r>
                <m:rPr>
                  <m:sty m:val="p"/>
                </m:rPr>
                <w:rPr>
                  <w:rFonts w:ascii="Cambria Math" w:hAnsi="Times New Roman" w:cs="Times New Roman"/>
                  <w:sz w:val="24"/>
                  <w:szCs w:val="24"/>
                </w:rPr>
                <m:t>Total Kredit</m:t>
              </m:r>
            </m:num>
            <m:den>
              <m:r>
                <m:rPr>
                  <m:sty m:val="p"/>
                </m:rPr>
                <w:rPr>
                  <w:rFonts w:ascii="Cambria Math" w:hAnsi="Times New Roman" w:cs="Times New Roman"/>
                  <w:sz w:val="24"/>
                  <w:szCs w:val="24"/>
                </w:rPr>
                <m:t>Dana Pihak Ketiga</m:t>
              </m:r>
            </m:den>
          </m:f>
          <m:r>
            <m:rPr>
              <m:sty m:val="p"/>
            </m:rPr>
            <w:rPr>
              <w:rFonts w:ascii="Cambria Math" w:hAnsi="Times New Roman" w:cs="Times New Roman"/>
              <w:sz w:val="24"/>
              <w:szCs w:val="24"/>
            </w:rPr>
            <m:t>x 100%</m:t>
          </m:r>
        </m:oMath>
      </m:oMathPara>
    </w:p>
    <w:p w:rsidR="00DD241B" w:rsidRPr="00BA3DFB" w:rsidRDefault="00DD241B" w:rsidP="00DD241B">
      <w:pPr>
        <w:pStyle w:val="ListParagraph"/>
        <w:numPr>
          <w:ilvl w:val="0"/>
          <w:numId w:val="2"/>
        </w:numPr>
        <w:spacing w:line="480" w:lineRule="auto"/>
        <w:rPr>
          <w:rFonts w:ascii="Times New Roman" w:hAnsi="Times New Roman" w:cs="Times New Roman"/>
          <w:sz w:val="24"/>
          <w:szCs w:val="24"/>
        </w:rPr>
      </w:pPr>
      <w:r w:rsidRPr="00BA3DFB">
        <w:rPr>
          <w:rFonts w:ascii="Times New Roman" w:hAnsi="Times New Roman" w:cs="Times New Roman"/>
          <w:i/>
          <w:sz w:val="24"/>
          <w:szCs w:val="24"/>
        </w:rPr>
        <w:t>Loan to Asset Ratio</w:t>
      </w:r>
      <w:r w:rsidRPr="00BA3DFB">
        <w:rPr>
          <w:rFonts w:ascii="Times New Roman" w:hAnsi="Times New Roman" w:cs="Times New Roman"/>
          <w:sz w:val="24"/>
          <w:szCs w:val="24"/>
        </w:rPr>
        <w:t xml:space="preserve"> (LAR)</w:t>
      </w:r>
    </w:p>
    <w:p w:rsidR="00DD241B" w:rsidRPr="00BA3DFB" w:rsidRDefault="00DD241B" w:rsidP="00DD241B">
      <w:pPr>
        <w:pStyle w:val="ListParagraph"/>
        <w:spacing w:line="480" w:lineRule="auto"/>
        <w:ind w:left="2421"/>
        <w:rPr>
          <w:rFonts w:ascii="Times New Roman" w:hAnsi="Times New Roman" w:cs="Times New Roman"/>
          <w:sz w:val="24"/>
          <w:szCs w:val="24"/>
        </w:rPr>
      </w:pPr>
      <m:oMathPara>
        <m:oMathParaPr>
          <m:jc m:val="left"/>
        </m:oMathParaPr>
        <m:oMath>
          <m:r>
            <w:rPr>
              <w:rFonts w:ascii="Cambria Math" w:hAnsi="Cambria Math" w:cs="Times New Roman"/>
              <w:sz w:val="24"/>
              <w:szCs w:val="24"/>
            </w:rPr>
            <m:t>LAR</m:t>
          </m:r>
          <m:r>
            <m:rPr>
              <m:sty m:val="p"/>
            </m:rPr>
            <w:rPr>
              <w:rFonts w:ascii="Cambria Math" w:hAnsi="Times New Roman" w:cs="Times New Roman"/>
              <w:sz w:val="24"/>
              <w:szCs w:val="24"/>
            </w:rPr>
            <m:t>=</m:t>
          </m:r>
          <m:f>
            <m:fPr>
              <m:ctrlPr>
                <w:rPr>
                  <w:rFonts w:ascii="Cambria Math" w:hAnsi="Times New Roman" w:cs="Times New Roman"/>
                  <w:sz w:val="24"/>
                  <w:szCs w:val="24"/>
                </w:rPr>
              </m:ctrlPr>
            </m:fPr>
            <m:num>
              <m:r>
                <m:rPr>
                  <m:sty m:val="p"/>
                </m:rPr>
                <w:rPr>
                  <w:rFonts w:ascii="Cambria Math" w:hAnsi="Times New Roman" w:cs="Times New Roman"/>
                  <w:sz w:val="24"/>
                  <w:szCs w:val="24"/>
                </w:rPr>
                <m:t>Total Kredit</m:t>
              </m:r>
            </m:num>
            <m:den>
              <m:r>
                <m:rPr>
                  <m:sty m:val="p"/>
                </m:rPr>
                <w:rPr>
                  <w:rFonts w:ascii="Cambria Math" w:hAnsi="Times New Roman" w:cs="Times New Roman"/>
                  <w:sz w:val="24"/>
                  <w:szCs w:val="24"/>
                </w:rPr>
                <m:t>Total Asset</m:t>
              </m:r>
            </m:den>
          </m:f>
          <m:r>
            <m:rPr>
              <m:sty m:val="p"/>
            </m:rPr>
            <w:rPr>
              <w:rFonts w:ascii="Cambria Math" w:hAnsi="Times New Roman" w:cs="Times New Roman"/>
              <w:sz w:val="24"/>
              <w:szCs w:val="24"/>
            </w:rPr>
            <m:t>x 100%</m:t>
          </m:r>
        </m:oMath>
      </m:oMathPara>
    </w:p>
    <w:p w:rsidR="00DD241B" w:rsidRPr="00BA3DFB" w:rsidRDefault="00DD241B" w:rsidP="00DD241B">
      <w:pPr>
        <w:pStyle w:val="ListParagraph"/>
        <w:numPr>
          <w:ilvl w:val="0"/>
          <w:numId w:val="2"/>
        </w:numPr>
        <w:spacing w:line="480" w:lineRule="auto"/>
        <w:rPr>
          <w:rFonts w:ascii="Times New Roman" w:hAnsi="Times New Roman" w:cs="Times New Roman"/>
          <w:i/>
          <w:sz w:val="24"/>
          <w:szCs w:val="24"/>
        </w:rPr>
      </w:pPr>
      <w:r w:rsidRPr="00BA3DFB">
        <w:rPr>
          <w:rFonts w:ascii="Times New Roman" w:hAnsi="Times New Roman" w:cs="Times New Roman"/>
          <w:i/>
          <w:sz w:val="24"/>
          <w:szCs w:val="24"/>
        </w:rPr>
        <w:t>Cash Ratio</w:t>
      </w:r>
    </w:p>
    <w:p w:rsidR="00DD241B" w:rsidRPr="00BA3DFB" w:rsidRDefault="006C4E33" w:rsidP="00DD241B">
      <w:pPr>
        <w:pStyle w:val="ListParagraph"/>
        <w:spacing w:line="480" w:lineRule="auto"/>
        <w:ind w:left="2421"/>
        <w:rPr>
          <w:rFonts w:ascii="Times New Roman" w:hAnsi="Times New Roman" w:cs="Times New Roman"/>
          <w:i/>
          <w:sz w:val="24"/>
          <w:szCs w:val="24"/>
        </w:rPr>
      </w:pPr>
      <m:oMathPara>
        <m:oMath>
          <m:r>
            <w:rPr>
              <w:rFonts w:ascii="Cambria Math" w:hAnsi="Cambria Math" w:cs="Times New Roman"/>
              <w:sz w:val="24"/>
              <w:szCs w:val="24"/>
            </w:rPr>
            <w:lastRenderedPageBreak/>
            <m:t>Cash</m:t>
          </m:r>
          <m:r>
            <w:rPr>
              <w:rFonts w:ascii="Cambria Math" w:hAnsi="Times New Roman" w:cs="Times New Roman"/>
              <w:sz w:val="24"/>
              <w:szCs w:val="24"/>
            </w:rPr>
            <m:t xml:space="preserve"> </m:t>
          </m:r>
          <m:r>
            <w:rPr>
              <w:rFonts w:ascii="Cambria Math" w:hAnsi="Cambria Math" w:cs="Times New Roman"/>
              <w:sz w:val="24"/>
              <w:szCs w:val="24"/>
            </w:rPr>
            <m:t>Ratio</m:t>
          </m:r>
          <m:r>
            <m:rPr>
              <m:sty m:val="p"/>
            </m:rPr>
            <w:rPr>
              <w:rFonts w:ascii="Cambria Math" w:hAnsi="Times New Roman" w:cs="Times New Roman"/>
              <w:sz w:val="24"/>
              <w:szCs w:val="24"/>
            </w:rPr>
            <m:t>=</m:t>
          </m:r>
          <m:f>
            <m:fPr>
              <m:ctrlPr>
                <w:rPr>
                  <w:rFonts w:ascii="Cambria Math" w:hAnsi="Times New Roman" w:cs="Times New Roman"/>
                  <w:sz w:val="24"/>
                  <w:szCs w:val="24"/>
                </w:rPr>
              </m:ctrlPr>
            </m:fPr>
            <m:num>
              <m:r>
                <m:rPr>
                  <m:sty m:val="p"/>
                </m:rPr>
                <w:rPr>
                  <w:rFonts w:ascii="Cambria Math" w:hAnsi="Times New Roman" w:cs="Times New Roman"/>
                  <w:sz w:val="24"/>
                  <w:szCs w:val="24"/>
                </w:rPr>
                <m:t>Alat</m:t>
              </m:r>
              <m:r>
                <m:rPr>
                  <m:sty m:val="p"/>
                </m:rPr>
                <w:rPr>
                  <w:rFonts w:ascii="Times New Roman" w:hAnsi="Times New Roman" w:cs="Times New Roman"/>
                  <w:sz w:val="24"/>
                  <w:szCs w:val="24"/>
                </w:rPr>
                <m:t>-</m:t>
              </m:r>
              <m:r>
                <m:rPr>
                  <m:sty m:val="p"/>
                </m:rPr>
                <w:rPr>
                  <w:rFonts w:ascii="Cambria Math" w:hAnsi="Times New Roman" w:cs="Times New Roman"/>
                  <w:sz w:val="24"/>
                  <w:szCs w:val="24"/>
                </w:rPr>
                <m:t>alat likuid yang dikuasai</m:t>
              </m:r>
            </m:num>
            <m:den>
              <m:r>
                <m:rPr>
                  <m:sty m:val="p"/>
                </m:rPr>
                <w:rPr>
                  <w:rFonts w:ascii="Cambria Math" w:hAnsi="Times New Roman" w:cs="Times New Roman"/>
                  <w:sz w:val="24"/>
                  <w:szCs w:val="24"/>
                </w:rPr>
                <m:t>Dana Pihak Ketiga</m:t>
              </m:r>
            </m:den>
          </m:f>
          <m:r>
            <m:rPr>
              <m:sty m:val="p"/>
            </m:rPr>
            <w:rPr>
              <w:rFonts w:ascii="Cambria Math" w:hAnsi="Times New Roman" w:cs="Times New Roman"/>
              <w:sz w:val="24"/>
              <w:szCs w:val="24"/>
            </w:rPr>
            <m:t>x 100%</m:t>
          </m:r>
        </m:oMath>
      </m:oMathPara>
    </w:p>
    <w:p w:rsidR="007448CE" w:rsidRPr="00BA3DFB" w:rsidRDefault="00DD241B" w:rsidP="007448CE">
      <w:pPr>
        <w:spacing w:line="480" w:lineRule="auto"/>
        <w:ind w:left="993" w:firstLine="447"/>
        <w:jc w:val="both"/>
        <w:rPr>
          <w:rFonts w:ascii="Times New Roman" w:hAnsi="Times New Roman" w:cs="Times New Roman"/>
          <w:sz w:val="24"/>
          <w:szCs w:val="24"/>
        </w:rPr>
      </w:pPr>
      <w:r w:rsidRPr="00BA3DFB">
        <w:rPr>
          <w:rFonts w:ascii="Times New Roman" w:hAnsi="Times New Roman" w:cs="Times New Roman"/>
          <w:sz w:val="24"/>
          <w:szCs w:val="24"/>
        </w:rPr>
        <w:t>Rasio ini digunakan untuk mengukur sejauh mana perbandingan total kredit dengan dana pihak ketiga.Peringkat LDR berdasarkan Surat Edaran Bank Indonesia No. 6/23/DPNP adalah sebagai berikut :</w:t>
      </w:r>
    </w:p>
    <w:p w:rsidR="00DD241B" w:rsidRPr="00BA3DFB" w:rsidRDefault="00DD241B" w:rsidP="00DD241B">
      <w:pPr>
        <w:pStyle w:val="Caption"/>
        <w:spacing w:line="480" w:lineRule="auto"/>
        <w:jc w:val="center"/>
        <w:rPr>
          <w:rFonts w:ascii="Times New Roman" w:hAnsi="Times New Roman" w:cs="Times New Roman"/>
          <w:color w:val="auto"/>
          <w:sz w:val="24"/>
          <w:szCs w:val="24"/>
        </w:rPr>
      </w:pPr>
      <w:bookmarkStart w:id="6" w:name="_Toc12306457"/>
      <w:r w:rsidRPr="00BA3DFB">
        <w:rPr>
          <w:rFonts w:ascii="Times New Roman" w:hAnsi="Times New Roman" w:cs="Times New Roman"/>
          <w:color w:val="auto"/>
          <w:sz w:val="24"/>
          <w:szCs w:val="24"/>
        </w:rPr>
        <w:t>Tabel  Kriteria Penetapan Peringkat Risiko (LDR)</w:t>
      </w:r>
      <w:bookmarkEnd w:id="6"/>
    </w:p>
    <w:tbl>
      <w:tblPr>
        <w:tblStyle w:val="TableGrid"/>
        <w:tblW w:w="0" w:type="auto"/>
        <w:jc w:val="center"/>
        <w:tblInd w:w="-829" w:type="dxa"/>
        <w:tblLook w:val="04A0" w:firstRow="1" w:lastRow="0" w:firstColumn="1" w:lastColumn="0" w:noHBand="0" w:noVBand="1"/>
      </w:tblPr>
      <w:tblGrid>
        <w:gridCol w:w="1590"/>
        <w:gridCol w:w="2552"/>
        <w:gridCol w:w="2659"/>
      </w:tblGrid>
      <w:tr w:rsidR="00BA3DFB" w:rsidRPr="00BA3DFB" w:rsidTr="00A715F4">
        <w:trPr>
          <w:jc w:val="center"/>
        </w:trPr>
        <w:tc>
          <w:tcPr>
            <w:tcW w:w="1590" w:type="dxa"/>
          </w:tcPr>
          <w:p w:rsidR="00DD241B" w:rsidRPr="00BA3DFB" w:rsidRDefault="00DD241B" w:rsidP="00A715F4">
            <w:pPr>
              <w:pStyle w:val="ListParagraph"/>
              <w:spacing w:line="480" w:lineRule="auto"/>
              <w:ind w:left="0"/>
              <w:jc w:val="center"/>
              <w:rPr>
                <w:rFonts w:ascii="Times New Roman" w:hAnsi="Times New Roman" w:cs="Times New Roman"/>
                <w:b/>
                <w:sz w:val="24"/>
                <w:szCs w:val="24"/>
              </w:rPr>
            </w:pPr>
            <w:r w:rsidRPr="00BA3DFB">
              <w:rPr>
                <w:rFonts w:ascii="Times New Roman" w:hAnsi="Times New Roman" w:cs="Times New Roman"/>
                <w:b/>
                <w:sz w:val="24"/>
                <w:szCs w:val="24"/>
              </w:rPr>
              <w:t>Peringkat</w:t>
            </w:r>
          </w:p>
        </w:tc>
        <w:tc>
          <w:tcPr>
            <w:tcW w:w="2552" w:type="dxa"/>
          </w:tcPr>
          <w:p w:rsidR="00DD241B" w:rsidRPr="00BA3DFB" w:rsidRDefault="00DD241B" w:rsidP="00A715F4">
            <w:pPr>
              <w:pStyle w:val="ListParagraph"/>
              <w:spacing w:line="480" w:lineRule="auto"/>
              <w:ind w:left="0"/>
              <w:jc w:val="center"/>
              <w:rPr>
                <w:rFonts w:ascii="Times New Roman" w:hAnsi="Times New Roman" w:cs="Times New Roman"/>
                <w:b/>
                <w:sz w:val="24"/>
                <w:szCs w:val="24"/>
              </w:rPr>
            </w:pPr>
            <w:r w:rsidRPr="00BA3DFB">
              <w:rPr>
                <w:rFonts w:ascii="Times New Roman" w:hAnsi="Times New Roman" w:cs="Times New Roman"/>
                <w:b/>
                <w:sz w:val="24"/>
                <w:szCs w:val="24"/>
              </w:rPr>
              <w:t>Keterangan</w:t>
            </w:r>
          </w:p>
        </w:tc>
        <w:tc>
          <w:tcPr>
            <w:tcW w:w="2659" w:type="dxa"/>
          </w:tcPr>
          <w:p w:rsidR="00DD241B" w:rsidRPr="00BA3DFB" w:rsidRDefault="00DD241B" w:rsidP="00A715F4">
            <w:pPr>
              <w:pStyle w:val="ListParagraph"/>
              <w:spacing w:line="480" w:lineRule="auto"/>
              <w:ind w:left="0"/>
              <w:jc w:val="center"/>
              <w:rPr>
                <w:rFonts w:ascii="Times New Roman" w:hAnsi="Times New Roman" w:cs="Times New Roman"/>
                <w:b/>
                <w:sz w:val="24"/>
                <w:szCs w:val="24"/>
              </w:rPr>
            </w:pPr>
            <w:r w:rsidRPr="00BA3DFB">
              <w:rPr>
                <w:rFonts w:ascii="Times New Roman" w:hAnsi="Times New Roman" w:cs="Times New Roman"/>
                <w:b/>
                <w:sz w:val="24"/>
                <w:szCs w:val="24"/>
              </w:rPr>
              <w:t>Kriteria</w:t>
            </w:r>
          </w:p>
        </w:tc>
      </w:tr>
      <w:tr w:rsidR="00BA3DFB" w:rsidRPr="00BA3DFB" w:rsidTr="00A715F4">
        <w:trPr>
          <w:jc w:val="center"/>
        </w:trPr>
        <w:tc>
          <w:tcPr>
            <w:tcW w:w="1590" w:type="dxa"/>
          </w:tcPr>
          <w:p w:rsidR="00DD241B" w:rsidRPr="00BA3DFB" w:rsidRDefault="00DD241B" w:rsidP="00A715F4">
            <w:pPr>
              <w:pStyle w:val="ListParagraph"/>
              <w:spacing w:line="480" w:lineRule="auto"/>
              <w:ind w:left="0"/>
              <w:jc w:val="center"/>
              <w:rPr>
                <w:rFonts w:ascii="Times New Roman" w:hAnsi="Times New Roman" w:cs="Times New Roman"/>
                <w:sz w:val="24"/>
                <w:szCs w:val="24"/>
              </w:rPr>
            </w:pPr>
            <w:r w:rsidRPr="00BA3DFB">
              <w:rPr>
                <w:rFonts w:ascii="Times New Roman" w:hAnsi="Times New Roman" w:cs="Times New Roman"/>
                <w:sz w:val="24"/>
                <w:szCs w:val="24"/>
              </w:rPr>
              <w:t>1</w:t>
            </w:r>
          </w:p>
        </w:tc>
        <w:tc>
          <w:tcPr>
            <w:tcW w:w="2552" w:type="dxa"/>
          </w:tcPr>
          <w:p w:rsidR="00DD241B" w:rsidRPr="00BA3DFB" w:rsidRDefault="00DD241B" w:rsidP="00A715F4">
            <w:pPr>
              <w:pStyle w:val="ListParagraph"/>
              <w:spacing w:line="480" w:lineRule="auto"/>
              <w:ind w:left="0"/>
              <w:jc w:val="center"/>
              <w:rPr>
                <w:rFonts w:ascii="Times New Roman" w:hAnsi="Times New Roman" w:cs="Times New Roman"/>
                <w:sz w:val="24"/>
                <w:szCs w:val="24"/>
              </w:rPr>
            </w:pPr>
            <w:r w:rsidRPr="00BA3DFB">
              <w:rPr>
                <w:rFonts w:ascii="Times New Roman" w:hAnsi="Times New Roman" w:cs="Times New Roman"/>
                <w:sz w:val="24"/>
                <w:szCs w:val="24"/>
              </w:rPr>
              <w:t>Sangat Sehat</w:t>
            </w:r>
          </w:p>
        </w:tc>
        <w:tc>
          <w:tcPr>
            <w:tcW w:w="2659" w:type="dxa"/>
          </w:tcPr>
          <w:p w:rsidR="00DD241B" w:rsidRPr="00BA3DFB" w:rsidRDefault="00DD241B" w:rsidP="00A715F4">
            <w:pPr>
              <w:pStyle w:val="ListParagraph"/>
              <w:spacing w:line="480" w:lineRule="auto"/>
              <w:ind w:left="0"/>
              <w:jc w:val="center"/>
              <w:rPr>
                <w:rFonts w:ascii="Times New Roman" w:hAnsi="Times New Roman" w:cs="Times New Roman"/>
                <w:sz w:val="24"/>
                <w:szCs w:val="24"/>
              </w:rPr>
            </w:pPr>
            <w:r w:rsidRPr="00BA3DFB">
              <w:rPr>
                <w:rFonts w:ascii="Times New Roman" w:hAnsi="Times New Roman" w:cs="Times New Roman"/>
                <w:sz w:val="24"/>
                <w:szCs w:val="24"/>
              </w:rPr>
              <w:t>LDR ≤ 75%</w:t>
            </w:r>
          </w:p>
        </w:tc>
      </w:tr>
      <w:tr w:rsidR="00BA3DFB" w:rsidRPr="00BA3DFB" w:rsidTr="00A715F4">
        <w:trPr>
          <w:jc w:val="center"/>
        </w:trPr>
        <w:tc>
          <w:tcPr>
            <w:tcW w:w="1590" w:type="dxa"/>
          </w:tcPr>
          <w:p w:rsidR="00DD241B" w:rsidRPr="00BA3DFB" w:rsidRDefault="00DD241B" w:rsidP="00A715F4">
            <w:pPr>
              <w:pStyle w:val="ListParagraph"/>
              <w:spacing w:line="480" w:lineRule="auto"/>
              <w:ind w:left="0"/>
              <w:jc w:val="center"/>
              <w:rPr>
                <w:rFonts w:ascii="Times New Roman" w:hAnsi="Times New Roman" w:cs="Times New Roman"/>
                <w:sz w:val="24"/>
                <w:szCs w:val="24"/>
              </w:rPr>
            </w:pPr>
            <w:r w:rsidRPr="00BA3DFB">
              <w:rPr>
                <w:rFonts w:ascii="Times New Roman" w:hAnsi="Times New Roman" w:cs="Times New Roman"/>
                <w:sz w:val="24"/>
                <w:szCs w:val="24"/>
              </w:rPr>
              <w:t>2</w:t>
            </w:r>
          </w:p>
        </w:tc>
        <w:tc>
          <w:tcPr>
            <w:tcW w:w="2552" w:type="dxa"/>
          </w:tcPr>
          <w:p w:rsidR="00DD241B" w:rsidRPr="00BA3DFB" w:rsidRDefault="00DD241B" w:rsidP="00A715F4">
            <w:pPr>
              <w:pStyle w:val="ListParagraph"/>
              <w:spacing w:line="480" w:lineRule="auto"/>
              <w:ind w:left="0"/>
              <w:jc w:val="center"/>
              <w:rPr>
                <w:rFonts w:ascii="Times New Roman" w:hAnsi="Times New Roman" w:cs="Times New Roman"/>
                <w:sz w:val="24"/>
                <w:szCs w:val="24"/>
              </w:rPr>
            </w:pPr>
            <w:r w:rsidRPr="00BA3DFB">
              <w:rPr>
                <w:rFonts w:ascii="Times New Roman" w:hAnsi="Times New Roman" w:cs="Times New Roman"/>
                <w:sz w:val="24"/>
                <w:szCs w:val="24"/>
              </w:rPr>
              <w:t>Sehat</w:t>
            </w:r>
          </w:p>
        </w:tc>
        <w:tc>
          <w:tcPr>
            <w:tcW w:w="2659" w:type="dxa"/>
          </w:tcPr>
          <w:p w:rsidR="00DD241B" w:rsidRPr="00BA3DFB" w:rsidRDefault="00DD241B" w:rsidP="00A715F4">
            <w:pPr>
              <w:pStyle w:val="ListParagraph"/>
              <w:spacing w:line="480" w:lineRule="auto"/>
              <w:ind w:left="0"/>
              <w:jc w:val="center"/>
              <w:rPr>
                <w:rFonts w:ascii="Times New Roman" w:hAnsi="Times New Roman" w:cs="Times New Roman"/>
                <w:sz w:val="24"/>
                <w:szCs w:val="24"/>
              </w:rPr>
            </w:pPr>
            <w:r w:rsidRPr="00BA3DFB">
              <w:rPr>
                <w:rFonts w:ascii="Times New Roman" w:hAnsi="Times New Roman" w:cs="Times New Roman"/>
                <w:sz w:val="24"/>
                <w:szCs w:val="24"/>
              </w:rPr>
              <w:t>75% &lt; LDR ≤ 85%</w:t>
            </w:r>
          </w:p>
        </w:tc>
      </w:tr>
      <w:tr w:rsidR="00BA3DFB" w:rsidRPr="00BA3DFB" w:rsidTr="00A715F4">
        <w:trPr>
          <w:jc w:val="center"/>
        </w:trPr>
        <w:tc>
          <w:tcPr>
            <w:tcW w:w="1590" w:type="dxa"/>
          </w:tcPr>
          <w:p w:rsidR="00DD241B" w:rsidRPr="00BA3DFB" w:rsidRDefault="00DD241B" w:rsidP="00A715F4">
            <w:pPr>
              <w:pStyle w:val="ListParagraph"/>
              <w:spacing w:line="480" w:lineRule="auto"/>
              <w:ind w:left="0"/>
              <w:jc w:val="center"/>
              <w:rPr>
                <w:rFonts w:ascii="Times New Roman" w:hAnsi="Times New Roman" w:cs="Times New Roman"/>
                <w:sz w:val="24"/>
                <w:szCs w:val="24"/>
              </w:rPr>
            </w:pPr>
            <w:r w:rsidRPr="00BA3DFB">
              <w:rPr>
                <w:rFonts w:ascii="Times New Roman" w:hAnsi="Times New Roman" w:cs="Times New Roman"/>
                <w:sz w:val="24"/>
                <w:szCs w:val="24"/>
              </w:rPr>
              <w:t>3</w:t>
            </w:r>
          </w:p>
        </w:tc>
        <w:tc>
          <w:tcPr>
            <w:tcW w:w="2552" w:type="dxa"/>
          </w:tcPr>
          <w:p w:rsidR="00DD241B" w:rsidRPr="00BA3DFB" w:rsidRDefault="00DD241B" w:rsidP="00A715F4">
            <w:pPr>
              <w:pStyle w:val="ListParagraph"/>
              <w:spacing w:line="480" w:lineRule="auto"/>
              <w:ind w:left="0"/>
              <w:jc w:val="center"/>
              <w:rPr>
                <w:rFonts w:ascii="Times New Roman" w:hAnsi="Times New Roman" w:cs="Times New Roman"/>
                <w:sz w:val="24"/>
                <w:szCs w:val="24"/>
              </w:rPr>
            </w:pPr>
            <w:r w:rsidRPr="00BA3DFB">
              <w:rPr>
                <w:rFonts w:ascii="Times New Roman" w:hAnsi="Times New Roman" w:cs="Times New Roman"/>
                <w:sz w:val="24"/>
                <w:szCs w:val="24"/>
              </w:rPr>
              <w:t>Cukup Sehat</w:t>
            </w:r>
          </w:p>
        </w:tc>
        <w:tc>
          <w:tcPr>
            <w:tcW w:w="2659" w:type="dxa"/>
          </w:tcPr>
          <w:p w:rsidR="00DD241B" w:rsidRPr="00BA3DFB" w:rsidRDefault="00DD241B" w:rsidP="00A715F4">
            <w:pPr>
              <w:pStyle w:val="ListParagraph"/>
              <w:spacing w:line="480" w:lineRule="auto"/>
              <w:ind w:left="0"/>
              <w:jc w:val="center"/>
              <w:rPr>
                <w:rFonts w:ascii="Times New Roman" w:hAnsi="Times New Roman" w:cs="Times New Roman"/>
                <w:sz w:val="24"/>
                <w:szCs w:val="24"/>
              </w:rPr>
            </w:pPr>
            <w:r w:rsidRPr="00BA3DFB">
              <w:rPr>
                <w:rFonts w:ascii="Times New Roman" w:hAnsi="Times New Roman" w:cs="Times New Roman"/>
                <w:sz w:val="24"/>
                <w:szCs w:val="24"/>
              </w:rPr>
              <w:t>85% &lt; LDR ≤ 100%</w:t>
            </w:r>
          </w:p>
        </w:tc>
      </w:tr>
      <w:tr w:rsidR="00BA3DFB" w:rsidRPr="00BA3DFB" w:rsidTr="00A715F4">
        <w:trPr>
          <w:jc w:val="center"/>
        </w:trPr>
        <w:tc>
          <w:tcPr>
            <w:tcW w:w="1590" w:type="dxa"/>
          </w:tcPr>
          <w:p w:rsidR="00DD241B" w:rsidRPr="00BA3DFB" w:rsidRDefault="00DD241B" w:rsidP="00A715F4">
            <w:pPr>
              <w:pStyle w:val="ListParagraph"/>
              <w:spacing w:line="480" w:lineRule="auto"/>
              <w:ind w:left="0"/>
              <w:jc w:val="center"/>
              <w:rPr>
                <w:rFonts w:ascii="Times New Roman" w:hAnsi="Times New Roman" w:cs="Times New Roman"/>
                <w:sz w:val="24"/>
                <w:szCs w:val="24"/>
              </w:rPr>
            </w:pPr>
            <w:r w:rsidRPr="00BA3DFB">
              <w:rPr>
                <w:rFonts w:ascii="Times New Roman" w:hAnsi="Times New Roman" w:cs="Times New Roman"/>
                <w:sz w:val="24"/>
                <w:szCs w:val="24"/>
              </w:rPr>
              <w:t>4</w:t>
            </w:r>
          </w:p>
        </w:tc>
        <w:tc>
          <w:tcPr>
            <w:tcW w:w="2552" w:type="dxa"/>
          </w:tcPr>
          <w:p w:rsidR="00DD241B" w:rsidRPr="00BA3DFB" w:rsidRDefault="00DD241B" w:rsidP="00A715F4">
            <w:pPr>
              <w:pStyle w:val="ListParagraph"/>
              <w:spacing w:line="480" w:lineRule="auto"/>
              <w:ind w:left="0"/>
              <w:jc w:val="center"/>
              <w:rPr>
                <w:rFonts w:ascii="Times New Roman" w:hAnsi="Times New Roman" w:cs="Times New Roman"/>
                <w:sz w:val="24"/>
                <w:szCs w:val="24"/>
              </w:rPr>
            </w:pPr>
            <w:r w:rsidRPr="00BA3DFB">
              <w:rPr>
                <w:rFonts w:ascii="Times New Roman" w:hAnsi="Times New Roman" w:cs="Times New Roman"/>
                <w:sz w:val="24"/>
                <w:szCs w:val="24"/>
              </w:rPr>
              <w:t>Kurang Sehat</w:t>
            </w:r>
          </w:p>
        </w:tc>
        <w:tc>
          <w:tcPr>
            <w:tcW w:w="2659" w:type="dxa"/>
          </w:tcPr>
          <w:p w:rsidR="00DD241B" w:rsidRPr="00BA3DFB" w:rsidRDefault="00DD241B" w:rsidP="00A715F4">
            <w:pPr>
              <w:pStyle w:val="ListParagraph"/>
              <w:spacing w:line="480" w:lineRule="auto"/>
              <w:ind w:left="0"/>
              <w:jc w:val="center"/>
              <w:rPr>
                <w:rFonts w:ascii="Times New Roman" w:hAnsi="Times New Roman" w:cs="Times New Roman"/>
                <w:sz w:val="24"/>
                <w:szCs w:val="24"/>
              </w:rPr>
            </w:pPr>
            <w:r w:rsidRPr="00BA3DFB">
              <w:rPr>
                <w:rFonts w:ascii="Times New Roman" w:hAnsi="Times New Roman" w:cs="Times New Roman"/>
                <w:sz w:val="24"/>
                <w:szCs w:val="24"/>
              </w:rPr>
              <w:t>100% &lt; LDR ≤ 120%</w:t>
            </w:r>
          </w:p>
        </w:tc>
      </w:tr>
      <w:tr w:rsidR="00BA3DFB" w:rsidRPr="00BA3DFB" w:rsidTr="00A715F4">
        <w:trPr>
          <w:jc w:val="center"/>
        </w:trPr>
        <w:tc>
          <w:tcPr>
            <w:tcW w:w="1590" w:type="dxa"/>
          </w:tcPr>
          <w:p w:rsidR="00DD241B" w:rsidRPr="00BA3DFB" w:rsidRDefault="00DD241B" w:rsidP="00A715F4">
            <w:pPr>
              <w:pStyle w:val="ListParagraph"/>
              <w:spacing w:line="480" w:lineRule="auto"/>
              <w:ind w:left="0"/>
              <w:jc w:val="center"/>
              <w:rPr>
                <w:rFonts w:ascii="Times New Roman" w:hAnsi="Times New Roman" w:cs="Times New Roman"/>
                <w:sz w:val="24"/>
                <w:szCs w:val="24"/>
              </w:rPr>
            </w:pPr>
            <w:r w:rsidRPr="00BA3DFB">
              <w:rPr>
                <w:rFonts w:ascii="Times New Roman" w:hAnsi="Times New Roman" w:cs="Times New Roman"/>
                <w:sz w:val="24"/>
                <w:szCs w:val="24"/>
              </w:rPr>
              <w:t>5</w:t>
            </w:r>
          </w:p>
        </w:tc>
        <w:tc>
          <w:tcPr>
            <w:tcW w:w="2552" w:type="dxa"/>
          </w:tcPr>
          <w:p w:rsidR="00DD241B" w:rsidRPr="00BA3DFB" w:rsidRDefault="00DD241B" w:rsidP="00A715F4">
            <w:pPr>
              <w:pStyle w:val="ListParagraph"/>
              <w:spacing w:line="480" w:lineRule="auto"/>
              <w:ind w:left="0"/>
              <w:jc w:val="center"/>
              <w:rPr>
                <w:rFonts w:ascii="Times New Roman" w:hAnsi="Times New Roman" w:cs="Times New Roman"/>
                <w:sz w:val="24"/>
                <w:szCs w:val="24"/>
              </w:rPr>
            </w:pPr>
            <w:r w:rsidRPr="00BA3DFB">
              <w:rPr>
                <w:rFonts w:ascii="Times New Roman" w:hAnsi="Times New Roman" w:cs="Times New Roman"/>
                <w:sz w:val="24"/>
                <w:szCs w:val="24"/>
              </w:rPr>
              <w:t>Tidak Sehat</w:t>
            </w:r>
          </w:p>
        </w:tc>
        <w:tc>
          <w:tcPr>
            <w:tcW w:w="2659" w:type="dxa"/>
          </w:tcPr>
          <w:p w:rsidR="00DD241B" w:rsidRPr="00BA3DFB" w:rsidRDefault="00DD241B" w:rsidP="00A715F4">
            <w:pPr>
              <w:pStyle w:val="ListParagraph"/>
              <w:spacing w:line="480" w:lineRule="auto"/>
              <w:ind w:left="0"/>
              <w:jc w:val="center"/>
              <w:rPr>
                <w:rFonts w:ascii="Times New Roman" w:hAnsi="Times New Roman" w:cs="Times New Roman"/>
                <w:sz w:val="24"/>
                <w:szCs w:val="24"/>
              </w:rPr>
            </w:pPr>
            <w:r w:rsidRPr="00BA3DFB">
              <w:rPr>
                <w:rFonts w:ascii="Times New Roman" w:hAnsi="Times New Roman" w:cs="Times New Roman"/>
                <w:sz w:val="24"/>
                <w:szCs w:val="24"/>
              </w:rPr>
              <w:t>LDR &gt; 120%</w:t>
            </w:r>
          </w:p>
        </w:tc>
      </w:tr>
    </w:tbl>
    <w:p w:rsidR="00DD241B" w:rsidRPr="00BA3DFB" w:rsidRDefault="00DD241B" w:rsidP="00DD241B">
      <w:pPr>
        <w:spacing w:line="480" w:lineRule="auto"/>
        <w:ind w:firstLine="720"/>
        <w:jc w:val="both"/>
        <w:rPr>
          <w:rFonts w:ascii="Times New Roman" w:hAnsi="Times New Roman" w:cs="Times New Roman"/>
          <w:sz w:val="24"/>
          <w:szCs w:val="24"/>
        </w:rPr>
      </w:pPr>
      <w:r w:rsidRPr="00BA3DFB">
        <w:rPr>
          <w:rFonts w:ascii="Times New Roman" w:hAnsi="Times New Roman" w:cs="Times New Roman"/>
          <w:sz w:val="24"/>
          <w:szCs w:val="24"/>
        </w:rPr>
        <w:t>Sumber : Surat Edaran Bank Indonesia No.13/24/DPNP Tahun 2011</w:t>
      </w:r>
    </w:p>
    <w:p w:rsidR="00DD241B" w:rsidRPr="00BA3DFB" w:rsidRDefault="00DD241B" w:rsidP="00DD241B">
      <w:pPr>
        <w:pStyle w:val="Heading5"/>
        <w:numPr>
          <w:ilvl w:val="2"/>
          <w:numId w:val="1"/>
        </w:numPr>
        <w:spacing w:line="480" w:lineRule="auto"/>
        <w:ind w:left="1418" w:hanging="425"/>
        <w:jc w:val="both"/>
        <w:rPr>
          <w:rFonts w:ascii="Times New Roman" w:hAnsi="Times New Roman" w:cs="Times New Roman"/>
          <w:color w:val="auto"/>
          <w:sz w:val="24"/>
          <w:szCs w:val="24"/>
        </w:rPr>
      </w:pPr>
      <w:r w:rsidRPr="00BA3DFB">
        <w:rPr>
          <w:rFonts w:ascii="Times New Roman" w:hAnsi="Times New Roman" w:cs="Times New Roman"/>
          <w:color w:val="auto"/>
          <w:sz w:val="24"/>
          <w:szCs w:val="24"/>
        </w:rPr>
        <w:t>Risiko Operasional</w:t>
      </w:r>
    </w:p>
    <w:p w:rsidR="00DD241B" w:rsidRPr="00BA3DFB" w:rsidRDefault="00DD241B" w:rsidP="00DD241B">
      <w:pPr>
        <w:pStyle w:val="Heading5"/>
        <w:spacing w:line="480" w:lineRule="auto"/>
        <w:ind w:left="1418"/>
        <w:jc w:val="both"/>
        <w:rPr>
          <w:rFonts w:ascii="Times New Roman" w:hAnsi="Times New Roman" w:cs="Times New Roman"/>
          <w:color w:val="auto"/>
          <w:sz w:val="24"/>
          <w:szCs w:val="24"/>
        </w:rPr>
      </w:pPr>
      <w:r w:rsidRPr="00BA3DFB">
        <w:rPr>
          <w:rFonts w:ascii="Times New Roman" w:eastAsiaTheme="minorEastAsia" w:hAnsi="Times New Roman" w:cs="Times New Roman"/>
          <w:color w:val="auto"/>
          <w:sz w:val="24"/>
          <w:szCs w:val="24"/>
        </w:rPr>
        <w:t>Risiko kerugian yang diakibatkan oleh kegagalan atau tidak memandainya proses internal, manusia dan sistem, atau sebagai akibat dan kejadian eksternal.</w:t>
      </w:r>
    </w:p>
    <w:p w:rsidR="00DD241B" w:rsidRPr="00BA3DFB" w:rsidRDefault="00DD241B" w:rsidP="00DD241B">
      <w:pPr>
        <w:pStyle w:val="Heading5"/>
        <w:numPr>
          <w:ilvl w:val="2"/>
          <w:numId w:val="1"/>
        </w:numPr>
        <w:spacing w:line="480" w:lineRule="auto"/>
        <w:ind w:left="1418" w:hanging="425"/>
        <w:jc w:val="both"/>
        <w:rPr>
          <w:rFonts w:ascii="Times New Roman" w:hAnsi="Times New Roman" w:cs="Times New Roman"/>
          <w:color w:val="auto"/>
          <w:sz w:val="24"/>
          <w:szCs w:val="24"/>
        </w:rPr>
      </w:pPr>
      <w:r w:rsidRPr="00BA3DFB">
        <w:rPr>
          <w:rFonts w:ascii="Times New Roman" w:hAnsi="Times New Roman" w:cs="Times New Roman"/>
          <w:color w:val="auto"/>
          <w:sz w:val="24"/>
          <w:szCs w:val="24"/>
        </w:rPr>
        <w:t>Risiko hukum</w:t>
      </w:r>
    </w:p>
    <w:p w:rsidR="00DD241B" w:rsidRPr="00BA3DFB" w:rsidRDefault="00DD241B" w:rsidP="00DD241B">
      <w:pPr>
        <w:pStyle w:val="Heading5"/>
        <w:spacing w:line="480" w:lineRule="auto"/>
        <w:ind w:left="1418"/>
        <w:jc w:val="both"/>
        <w:rPr>
          <w:rFonts w:ascii="Times New Roman" w:hAnsi="Times New Roman" w:cs="Times New Roman"/>
          <w:color w:val="auto"/>
          <w:sz w:val="24"/>
          <w:szCs w:val="24"/>
        </w:rPr>
      </w:pPr>
      <w:r w:rsidRPr="00BA3DFB">
        <w:rPr>
          <w:rFonts w:ascii="Times New Roman" w:eastAsiaTheme="minorEastAsia" w:hAnsi="Times New Roman" w:cs="Times New Roman"/>
          <w:color w:val="auto"/>
          <w:sz w:val="24"/>
          <w:szCs w:val="24"/>
        </w:rPr>
        <w:t>Risiko dari ketidakpastian tindakan atau tuntutan atau ketidakpastian dari pelaksanaan atau interpretasi dari kontrak, hukum atau peraturan.</w:t>
      </w:r>
    </w:p>
    <w:p w:rsidR="00DD241B" w:rsidRPr="00BA3DFB" w:rsidRDefault="00DD241B" w:rsidP="00DD241B">
      <w:pPr>
        <w:pStyle w:val="ListParagraph"/>
        <w:numPr>
          <w:ilvl w:val="0"/>
          <w:numId w:val="5"/>
        </w:numPr>
        <w:spacing w:line="480" w:lineRule="auto"/>
        <w:ind w:left="1418" w:hanging="425"/>
        <w:rPr>
          <w:rFonts w:ascii="Times New Roman" w:hAnsi="Times New Roman" w:cs="Times New Roman"/>
          <w:sz w:val="24"/>
          <w:szCs w:val="24"/>
        </w:rPr>
      </w:pPr>
      <w:r w:rsidRPr="00BA3DFB">
        <w:rPr>
          <w:rFonts w:ascii="Times New Roman" w:hAnsi="Times New Roman" w:cs="Times New Roman"/>
          <w:sz w:val="24"/>
          <w:szCs w:val="24"/>
        </w:rPr>
        <w:t>Risiko Stratergik</w:t>
      </w:r>
    </w:p>
    <w:p w:rsidR="00DD241B" w:rsidRPr="00BA3DFB" w:rsidRDefault="00DD241B" w:rsidP="00DD241B">
      <w:pPr>
        <w:pStyle w:val="ListParagraph"/>
        <w:spacing w:line="480" w:lineRule="auto"/>
        <w:ind w:left="1418"/>
        <w:rPr>
          <w:rFonts w:ascii="Times New Roman" w:hAnsi="Times New Roman" w:cs="Times New Roman"/>
          <w:sz w:val="24"/>
          <w:szCs w:val="24"/>
        </w:rPr>
      </w:pPr>
      <w:r w:rsidRPr="00BA3DFB">
        <w:rPr>
          <w:rFonts w:ascii="Times New Roman" w:hAnsi="Times New Roman" w:cs="Times New Roman"/>
          <w:sz w:val="24"/>
          <w:szCs w:val="24"/>
        </w:rPr>
        <w:lastRenderedPageBreak/>
        <w:t>Risiko yang disebabkan oleh adanya penetapan dan pelaksanaan strategi bank yang tidak tepat, pengambilan keputusan bisnis yang tidak tepat atau kurang responsifnya bank terhadap perubahan eksternal.</w:t>
      </w:r>
    </w:p>
    <w:p w:rsidR="00DD241B" w:rsidRPr="00BA3DFB" w:rsidRDefault="00DD241B" w:rsidP="00DD241B">
      <w:pPr>
        <w:pStyle w:val="ListParagraph"/>
        <w:numPr>
          <w:ilvl w:val="0"/>
          <w:numId w:val="5"/>
        </w:numPr>
        <w:spacing w:line="480" w:lineRule="auto"/>
        <w:ind w:left="1418" w:hanging="425"/>
        <w:rPr>
          <w:rFonts w:ascii="Times New Roman" w:hAnsi="Times New Roman" w:cs="Times New Roman"/>
          <w:sz w:val="24"/>
          <w:szCs w:val="24"/>
        </w:rPr>
      </w:pPr>
      <w:r w:rsidRPr="00BA3DFB">
        <w:rPr>
          <w:rFonts w:ascii="Times New Roman" w:hAnsi="Times New Roman" w:cs="Times New Roman"/>
          <w:sz w:val="24"/>
          <w:szCs w:val="24"/>
        </w:rPr>
        <w:t>Risiko Kepatuhan</w:t>
      </w:r>
    </w:p>
    <w:p w:rsidR="00DD241B" w:rsidRPr="00BA3DFB" w:rsidRDefault="00DD241B" w:rsidP="00DD241B">
      <w:pPr>
        <w:pStyle w:val="Heading5"/>
        <w:spacing w:line="480" w:lineRule="auto"/>
        <w:ind w:left="1418"/>
        <w:jc w:val="both"/>
        <w:rPr>
          <w:rFonts w:ascii="Times New Roman" w:hAnsi="Times New Roman" w:cs="Times New Roman"/>
          <w:color w:val="auto"/>
          <w:sz w:val="24"/>
          <w:szCs w:val="24"/>
        </w:rPr>
      </w:pPr>
      <w:r w:rsidRPr="00BA3DFB">
        <w:rPr>
          <w:rFonts w:ascii="Times New Roman" w:eastAsiaTheme="minorEastAsia" w:hAnsi="Times New Roman" w:cs="Times New Roman"/>
          <w:color w:val="auto"/>
          <w:sz w:val="24"/>
          <w:szCs w:val="24"/>
        </w:rPr>
        <w:t>Risiko yang disebabkan oleh ketidakpatuhan suatu bank untuk melaksanakan perundang-undangan dan ketentuan lain yang berlaku.</w:t>
      </w:r>
    </w:p>
    <w:p w:rsidR="00DD241B" w:rsidRPr="00BA3DFB" w:rsidRDefault="00DD241B" w:rsidP="00DD241B">
      <w:pPr>
        <w:pStyle w:val="ListParagraph"/>
        <w:numPr>
          <w:ilvl w:val="0"/>
          <w:numId w:val="5"/>
        </w:numPr>
        <w:spacing w:line="480" w:lineRule="auto"/>
        <w:ind w:left="1418" w:hanging="425"/>
        <w:rPr>
          <w:rFonts w:ascii="Times New Roman" w:hAnsi="Times New Roman" w:cs="Times New Roman"/>
          <w:sz w:val="24"/>
          <w:szCs w:val="24"/>
        </w:rPr>
      </w:pPr>
      <w:r w:rsidRPr="00BA3DFB">
        <w:rPr>
          <w:rFonts w:ascii="Times New Roman" w:hAnsi="Times New Roman" w:cs="Times New Roman"/>
          <w:sz w:val="24"/>
          <w:szCs w:val="24"/>
        </w:rPr>
        <w:t>Risiko Reputasi</w:t>
      </w:r>
    </w:p>
    <w:p w:rsidR="00DD241B" w:rsidRPr="00BA3DFB" w:rsidRDefault="00DD241B" w:rsidP="00DD241B">
      <w:pPr>
        <w:pStyle w:val="Heading5"/>
        <w:spacing w:line="480" w:lineRule="auto"/>
        <w:ind w:left="1418"/>
        <w:jc w:val="both"/>
        <w:rPr>
          <w:rFonts w:ascii="Times New Roman" w:eastAsiaTheme="minorEastAsia" w:hAnsi="Times New Roman" w:cs="Times New Roman"/>
          <w:color w:val="auto"/>
          <w:sz w:val="24"/>
          <w:szCs w:val="24"/>
        </w:rPr>
      </w:pPr>
      <w:r w:rsidRPr="00BA3DFB">
        <w:rPr>
          <w:rFonts w:ascii="Times New Roman" w:eastAsiaTheme="minorEastAsia" w:hAnsi="Times New Roman" w:cs="Times New Roman"/>
          <w:color w:val="auto"/>
          <w:sz w:val="24"/>
          <w:szCs w:val="24"/>
        </w:rPr>
        <w:t>Risiko akibat menurunnya tingkat kepercayaan stakeholder yang bersumber dari persepsi negatif terhadap bank.</w:t>
      </w:r>
    </w:p>
    <w:p w:rsidR="00DD241B" w:rsidRPr="00BA3DFB" w:rsidRDefault="00DD241B" w:rsidP="00DD241B">
      <w:pPr>
        <w:pStyle w:val="Heading4"/>
        <w:numPr>
          <w:ilvl w:val="0"/>
          <w:numId w:val="4"/>
        </w:numPr>
        <w:spacing w:line="480" w:lineRule="auto"/>
        <w:rPr>
          <w:rFonts w:ascii="Times New Roman" w:hAnsi="Times New Roman" w:cs="Times New Roman"/>
          <w:i w:val="0"/>
          <w:color w:val="auto"/>
          <w:sz w:val="24"/>
        </w:rPr>
      </w:pPr>
      <w:r w:rsidRPr="00BA3DFB">
        <w:rPr>
          <w:rFonts w:ascii="Times New Roman" w:hAnsi="Times New Roman" w:cs="Times New Roman"/>
          <w:i w:val="0"/>
          <w:color w:val="auto"/>
          <w:sz w:val="24"/>
        </w:rPr>
        <w:t>Good Corporate Governance</w:t>
      </w:r>
    </w:p>
    <w:p w:rsidR="00DD241B" w:rsidRPr="00BA3DFB" w:rsidRDefault="00DD241B" w:rsidP="00DD241B">
      <w:pPr>
        <w:spacing w:line="480" w:lineRule="auto"/>
        <w:ind w:left="568" w:firstLine="720"/>
        <w:jc w:val="both"/>
        <w:rPr>
          <w:rFonts w:ascii="Times New Roman" w:hAnsi="Times New Roman" w:cs="Times New Roman"/>
          <w:sz w:val="24"/>
          <w:szCs w:val="24"/>
        </w:rPr>
      </w:pPr>
      <w:r w:rsidRPr="00BA3DFB">
        <w:rPr>
          <w:rFonts w:ascii="Times New Roman" w:hAnsi="Times New Roman" w:cs="Times New Roman"/>
          <w:sz w:val="24"/>
          <w:szCs w:val="24"/>
        </w:rPr>
        <w:t xml:space="preserve">Penilaian pelaksanaan GCG bank mempertimbangkan faktor-faktor penilaian GCG secara komprehensif dan terstruktur, mencakup </w:t>
      </w:r>
      <w:r w:rsidRPr="00BA3DFB">
        <w:rPr>
          <w:rFonts w:ascii="Times New Roman" w:hAnsi="Times New Roman" w:cs="Times New Roman"/>
          <w:i/>
          <w:sz w:val="24"/>
          <w:szCs w:val="24"/>
        </w:rPr>
        <w:t xml:space="preserve">governance structur, governance process, </w:t>
      </w:r>
      <w:r w:rsidRPr="00BA3DFB">
        <w:rPr>
          <w:rFonts w:ascii="Times New Roman" w:hAnsi="Times New Roman" w:cs="Times New Roman"/>
          <w:sz w:val="24"/>
          <w:szCs w:val="24"/>
        </w:rPr>
        <w:t xml:space="preserve">dan </w:t>
      </w:r>
      <w:r w:rsidRPr="00BA3DFB">
        <w:rPr>
          <w:rFonts w:ascii="Times New Roman" w:hAnsi="Times New Roman" w:cs="Times New Roman"/>
          <w:i/>
          <w:sz w:val="24"/>
          <w:szCs w:val="24"/>
        </w:rPr>
        <w:t>governance outcome.</w:t>
      </w:r>
    </w:p>
    <w:p w:rsidR="00DD241B" w:rsidRPr="00BA3DFB" w:rsidRDefault="00DD241B" w:rsidP="00C61B99">
      <w:pPr>
        <w:spacing w:line="480" w:lineRule="auto"/>
        <w:ind w:left="568" w:firstLine="720"/>
        <w:jc w:val="both"/>
        <w:rPr>
          <w:rFonts w:ascii="Times New Roman" w:hAnsi="Times New Roman" w:cs="Times New Roman"/>
          <w:sz w:val="24"/>
          <w:szCs w:val="24"/>
        </w:rPr>
      </w:pPr>
      <w:r w:rsidRPr="00BA3DFB">
        <w:rPr>
          <w:rFonts w:ascii="Times New Roman" w:hAnsi="Times New Roman" w:cs="Times New Roman"/>
          <w:sz w:val="24"/>
          <w:szCs w:val="24"/>
        </w:rPr>
        <w:t xml:space="preserve">Berdasarkan SE BI No. 15/15/DPNP Tahun 2013 bank diharuskan melakukan penilaian sendiri </w:t>
      </w:r>
      <w:r w:rsidRPr="00BA3DFB">
        <w:rPr>
          <w:rFonts w:ascii="Times New Roman" w:hAnsi="Times New Roman" w:cs="Times New Roman"/>
          <w:i/>
          <w:sz w:val="24"/>
          <w:szCs w:val="24"/>
        </w:rPr>
        <w:t>(self assesment)</w:t>
      </w:r>
      <w:r w:rsidRPr="00BA3DFB">
        <w:rPr>
          <w:rFonts w:ascii="Times New Roman" w:hAnsi="Times New Roman" w:cs="Times New Roman"/>
          <w:sz w:val="24"/>
          <w:szCs w:val="24"/>
        </w:rPr>
        <w:t xml:space="preserve"> terhadap pelaksanaan GCG. Nilai komposit GCG membantu peneliti dalam melihat keadaan GCG masing-masing bank. </w:t>
      </w:r>
    </w:p>
    <w:p w:rsidR="00DD241B" w:rsidRPr="00BA3DFB" w:rsidRDefault="00DD241B" w:rsidP="00DD241B">
      <w:pPr>
        <w:pStyle w:val="Caption"/>
        <w:spacing w:line="480" w:lineRule="auto"/>
        <w:jc w:val="center"/>
        <w:rPr>
          <w:rFonts w:ascii="Times New Roman" w:hAnsi="Times New Roman" w:cs="Times New Roman"/>
          <w:color w:val="auto"/>
          <w:sz w:val="24"/>
          <w:szCs w:val="24"/>
        </w:rPr>
      </w:pPr>
      <w:bookmarkStart w:id="7" w:name="_Toc12306458"/>
      <w:r w:rsidRPr="00BA3DFB">
        <w:rPr>
          <w:rFonts w:ascii="Times New Roman" w:hAnsi="Times New Roman" w:cs="Times New Roman"/>
          <w:color w:val="auto"/>
          <w:sz w:val="24"/>
          <w:szCs w:val="24"/>
        </w:rPr>
        <w:t xml:space="preserve">Tabel </w:t>
      </w:r>
      <w:r w:rsidR="00C61B99" w:rsidRPr="00BA3DFB">
        <w:rPr>
          <w:rFonts w:ascii="Times New Roman" w:hAnsi="Times New Roman" w:cs="Times New Roman"/>
          <w:color w:val="auto"/>
          <w:sz w:val="24"/>
          <w:szCs w:val="24"/>
        </w:rPr>
        <w:t xml:space="preserve"> </w:t>
      </w:r>
      <w:r w:rsidRPr="00BA3DFB">
        <w:rPr>
          <w:rFonts w:ascii="Times New Roman" w:hAnsi="Times New Roman" w:cs="Times New Roman"/>
          <w:color w:val="auto"/>
          <w:sz w:val="24"/>
          <w:szCs w:val="24"/>
        </w:rPr>
        <w:t>Kriteria Penetapan Peringkat Good Corporate Governance (GCG)</w:t>
      </w:r>
      <w:bookmarkEnd w:id="7"/>
    </w:p>
    <w:tbl>
      <w:tblPr>
        <w:tblStyle w:val="TableGrid"/>
        <w:tblW w:w="0" w:type="auto"/>
        <w:jc w:val="center"/>
        <w:tblLook w:val="04A0" w:firstRow="1" w:lastRow="0" w:firstColumn="1" w:lastColumn="0" w:noHBand="0" w:noVBand="1"/>
      </w:tblPr>
      <w:tblGrid>
        <w:gridCol w:w="1590"/>
        <w:gridCol w:w="2127"/>
        <w:gridCol w:w="3084"/>
      </w:tblGrid>
      <w:tr w:rsidR="00BA3DFB" w:rsidRPr="00BA3DFB" w:rsidTr="00A715F4">
        <w:trPr>
          <w:jc w:val="center"/>
        </w:trPr>
        <w:tc>
          <w:tcPr>
            <w:tcW w:w="1590" w:type="dxa"/>
          </w:tcPr>
          <w:p w:rsidR="00DD241B" w:rsidRPr="00BA3DFB" w:rsidRDefault="00DD241B" w:rsidP="00A715F4">
            <w:pPr>
              <w:pStyle w:val="ListParagraph"/>
              <w:spacing w:line="480" w:lineRule="auto"/>
              <w:ind w:left="0"/>
              <w:jc w:val="center"/>
              <w:rPr>
                <w:rFonts w:ascii="Times New Roman" w:hAnsi="Times New Roman" w:cs="Times New Roman"/>
                <w:b/>
                <w:sz w:val="24"/>
                <w:szCs w:val="24"/>
              </w:rPr>
            </w:pPr>
            <w:r w:rsidRPr="00BA3DFB">
              <w:rPr>
                <w:rFonts w:ascii="Times New Roman" w:hAnsi="Times New Roman" w:cs="Times New Roman"/>
                <w:b/>
                <w:sz w:val="24"/>
                <w:szCs w:val="24"/>
              </w:rPr>
              <w:t>Peringkat</w:t>
            </w:r>
          </w:p>
        </w:tc>
        <w:tc>
          <w:tcPr>
            <w:tcW w:w="2127" w:type="dxa"/>
          </w:tcPr>
          <w:p w:rsidR="00DD241B" w:rsidRPr="00BA3DFB" w:rsidRDefault="00DD241B" w:rsidP="00A715F4">
            <w:pPr>
              <w:pStyle w:val="ListParagraph"/>
              <w:spacing w:line="480" w:lineRule="auto"/>
              <w:ind w:left="0"/>
              <w:jc w:val="center"/>
              <w:rPr>
                <w:rFonts w:ascii="Times New Roman" w:hAnsi="Times New Roman" w:cs="Times New Roman"/>
                <w:b/>
                <w:sz w:val="24"/>
                <w:szCs w:val="24"/>
              </w:rPr>
            </w:pPr>
            <w:r w:rsidRPr="00BA3DFB">
              <w:rPr>
                <w:rFonts w:ascii="Times New Roman" w:hAnsi="Times New Roman" w:cs="Times New Roman"/>
                <w:b/>
                <w:sz w:val="24"/>
                <w:szCs w:val="24"/>
              </w:rPr>
              <w:t>Keterangan</w:t>
            </w:r>
          </w:p>
        </w:tc>
        <w:tc>
          <w:tcPr>
            <w:tcW w:w="3084" w:type="dxa"/>
          </w:tcPr>
          <w:p w:rsidR="00DD241B" w:rsidRPr="00BA3DFB" w:rsidRDefault="00DD241B" w:rsidP="00A715F4">
            <w:pPr>
              <w:pStyle w:val="ListParagraph"/>
              <w:spacing w:line="480" w:lineRule="auto"/>
              <w:ind w:left="0"/>
              <w:jc w:val="center"/>
              <w:rPr>
                <w:rFonts w:ascii="Times New Roman" w:hAnsi="Times New Roman" w:cs="Times New Roman"/>
                <w:b/>
                <w:sz w:val="24"/>
                <w:szCs w:val="24"/>
              </w:rPr>
            </w:pPr>
            <w:r w:rsidRPr="00BA3DFB">
              <w:rPr>
                <w:rFonts w:ascii="Times New Roman" w:hAnsi="Times New Roman" w:cs="Times New Roman"/>
                <w:b/>
                <w:sz w:val="24"/>
                <w:szCs w:val="24"/>
              </w:rPr>
              <w:t>Kriteria</w:t>
            </w:r>
          </w:p>
        </w:tc>
      </w:tr>
      <w:tr w:rsidR="00BA3DFB" w:rsidRPr="00BA3DFB" w:rsidTr="00A715F4">
        <w:trPr>
          <w:jc w:val="center"/>
        </w:trPr>
        <w:tc>
          <w:tcPr>
            <w:tcW w:w="1590" w:type="dxa"/>
          </w:tcPr>
          <w:p w:rsidR="00DD241B" w:rsidRPr="00BA3DFB" w:rsidRDefault="00DD241B" w:rsidP="00A715F4">
            <w:pPr>
              <w:pStyle w:val="ListParagraph"/>
              <w:spacing w:line="480" w:lineRule="auto"/>
              <w:ind w:left="0"/>
              <w:jc w:val="center"/>
              <w:rPr>
                <w:rFonts w:ascii="Times New Roman" w:hAnsi="Times New Roman" w:cs="Times New Roman"/>
                <w:sz w:val="24"/>
                <w:szCs w:val="24"/>
              </w:rPr>
            </w:pPr>
            <w:r w:rsidRPr="00BA3DFB">
              <w:rPr>
                <w:rFonts w:ascii="Times New Roman" w:hAnsi="Times New Roman" w:cs="Times New Roman"/>
                <w:sz w:val="24"/>
                <w:szCs w:val="24"/>
              </w:rPr>
              <w:t>1</w:t>
            </w:r>
          </w:p>
        </w:tc>
        <w:tc>
          <w:tcPr>
            <w:tcW w:w="2127" w:type="dxa"/>
          </w:tcPr>
          <w:p w:rsidR="00DD241B" w:rsidRPr="00BA3DFB" w:rsidRDefault="00DD241B" w:rsidP="00A715F4">
            <w:pPr>
              <w:pStyle w:val="ListParagraph"/>
              <w:spacing w:line="480" w:lineRule="auto"/>
              <w:ind w:left="0"/>
              <w:jc w:val="center"/>
              <w:rPr>
                <w:rFonts w:ascii="Times New Roman" w:hAnsi="Times New Roman" w:cs="Times New Roman"/>
                <w:sz w:val="24"/>
                <w:szCs w:val="24"/>
              </w:rPr>
            </w:pPr>
            <w:r w:rsidRPr="00BA3DFB">
              <w:rPr>
                <w:rFonts w:ascii="Times New Roman" w:hAnsi="Times New Roman" w:cs="Times New Roman"/>
                <w:sz w:val="24"/>
                <w:szCs w:val="24"/>
              </w:rPr>
              <w:t>Sangat Baik</w:t>
            </w:r>
          </w:p>
        </w:tc>
        <w:tc>
          <w:tcPr>
            <w:tcW w:w="3084" w:type="dxa"/>
          </w:tcPr>
          <w:p w:rsidR="00DD241B" w:rsidRPr="00BA3DFB" w:rsidRDefault="00DD241B" w:rsidP="00A715F4">
            <w:pPr>
              <w:pStyle w:val="ListParagraph"/>
              <w:spacing w:line="480" w:lineRule="auto"/>
              <w:ind w:left="0"/>
              <w:jc w:val="center"/>
              <w:rPr>
                <w:rFonts w:ascii="Times New Roman" w:hAnsi="Times New Roman" w:cs="Times New Roman"/>
                <w:sz w:val="24"/>
                <w:szCs w:val="24"/>
              </w:rPr>
            </w:pPr>
            <w:r w:rsidRPr="00BA3DFB">
              <w:rPr>
                <w:rFonts w:ascii="Times New Roman" w:hAnsi="Times New Roman" w:cs="Times New Roman"/>
                <w:sz w:val="24"/>
                <w:szCs w:val="24"/>
              </w:rPr>
              <w:t>Memiliki NK &lt; 1,5</w:t>
            </w:r>
          </w:p>
        </w:tc>
      </w:tr>
      <w:tr w:rsidR="00BA3DFB" w:rsidRPr="00BA3DFB" w:rsidTr="00A715F4">
        <w:trPr>
          <w:jc w:val="center"/>
        </w:trPr>
        <w:tc>
          <w:tcPr>
            <w:tcW w:w="1590" w:type="dxa"/>
          </w:tcPr>
          <w:p w:rsidR="00DD241B" w:rsidRPr="00BA3DFB" w:rsidRDefault="00DD241B" w:rsidP="00A715F4">
            <w:pPr>
              <w:pStyle w:val="ListParagraph"/>
              <w:spacing w:line="480" w:lineRule="auto"/>
              <w:ind w:left="0"/>
              <w:jc w:val="center"/>
              <w:rPr>
                <w:rFonts w:ascii="Times New Roman" w:hAnsi="Times New Roman" w:cs="Times New Roman"/>
                <w:sz w:val="24"/>
                <w:szCs w:val="24"/>
              </w:rPr>
            </w:pPr>
            <w:r w:rsidRPr="00BA3DFB">
              <w:rPr>
                <w:rFonts w:ascii="Times New Roman" w:hAnsi="Times New Roman" w:cs="Times New Roman"/>
                <w:sz w:val="24"/>
                <w:szCs w:val="24"/>
              </w:rPr>
              <w:t>2</w:t>
            </w:r>
          </w:p>
        </w:tc>
        <w:tc>
          <w:tcPr>
            <w:tcW w:w="2127" w:type="dxa"/>
          </w:tcPr>
          <w:p w:rsidR="00DD241B" w:rsidRPr="00BA3DFB" w:rsidRDefault="00DD241B" w:rsidP="00A715F4">
            <w:pPr>
              <w:pStyle w:val="ListParagraph"/>
              <w:spacing w:line="480" w:lineRule="auto"/>
              <w:ind w:left="0"/>
              <w:jc w:val="center"/>
              <w:rPr>
                <w:rFonts w:ascii="Times New Roman" w:hAnsi="Times New Roman" w:cs="Times New Roman"/>
                <w:sz w:val="24"/>
                <w:szCs w:val="24"/>
              </w:rPr>
            </w:pPr>
            <w:r w:rsidRPr="00BA3DFB">
              <w:rPr>
                <w:rFonts w:ascii="Times New Roman" w:hAnsi="Times New Roman" w:cs="Times New Roman"/>
                <w:sz w:val="24"/>
                <w:szCs w:val="24"/>
              </w:rPr>
              <w:t>Baik</w:t>
            </w:r>
          </w:p>
        </w:tc>
        <w:tc>
          <w:tcPr>
            <w:tcW w:w="3084" w:type="dxa"/>
          </w:tcPr>
          <w:p w:rsidR="00DD241B" w:rsidRPr="00BA3DFB" w:rsidRDefault="00DD241B" w:rsidP="00A715F4">
            <w:pPr>
              <w:pStyle w:val="ListParagraph"/>
              <w:spacing w:line="480" w:lineRule="auto"/>
              <w:ind w:left="0"/>
              <w:jc w:val="center"/>
              <w:rPr>
                <w:rFonts w:ascii="Times New Roman" w:hAnsi="Times New Roman" w:cs="Times New Roman"/>
                <w:sz w:val="24"/>
                <w:szCs w:val="24"/>
              </w:rPr>
            </w:pPr>
            <w:r w:rsidRPr="00BA3DFB">
              <w:rPr>
                <w:rFonts w:ascii="Times New Roman" w:hAnsi="Times New Roman" w:cs="Times New Roman"/>
                <w:sz w:val="24"/>
                <w:szCs w:val="24"/>
              </w:rPr>
              <w:t>Memiliki NK 1,5 ≤ NK &lt; 2,5</w:t>
            </w:r>
          </w:p>
        </w:tc>
      </w:tr>
      <w:tr w:rsidR="00BA3DFB" w:rsidRPr="00BA3DFB" w:rsidTr="00A715F4">
        <w:trPr>
          <w:jc w:val="center"/>
        </w:trPr>
        <w:tc>
          <w:tcPr>
            <w:tcW w:w="1590" w:type="dxa"/>
          </w:tcPr>
          <w:p w:rsidR="00DD241B" w:rsidRPr="00BA3DFB" w:rsidRDefault="00DD241B" w:rsidP="00A715F4">
            <w:pPr>
              <w:pStyle w:val="ListParagraph"/>
              <w:spacing w:line="480" w:lineRule="auto"/>
              <w:ind w:left="0"/>
              <w:jc w:val="center"/>
              <w:rPr>
                <w:rFonts w:ascii="Times New Roman" w:hAnsi="Times New Roman" w:cs="Times New Roman"/>
                <w:sz w:val="24"/>
                <w:szCs w:val="24"/>
              </w:rPr>
            </w:pPr>
            <w:r w:rsidRPr="00BA3DFB">
              <w:rPr>
                <w:rFonts w:ascii="Times New Roman" w:hAnsi="Times New Roman" w:cs="Times New Roman"/>
                <w:sz w:val="24"/>
                <w:szCs w:val="24"/>
              </w:rPr>
              <w:t>3</w:t>
            </w:r>
          </w:p>
        </w:tc>
        <w:tc>
          <w:tcPr>
            <w:tcW w:w="2127" w:type="dxa"/>
          </w:tcPr>
          <w:p w:rsidR="00DD241B" w:rsidRPr="00BA3DFB" w:rsidRDefault="00DD241B" w:rsidP="00A715F4">
            <w:pPr>
              <w:pStyle w:val="ListParagraph"/>
              <w:spacing w:line="480" w:lineRule="auto"/>
              <w:ind w:left="0"/>
              <w:jc w:val="center"/>
              <w:rPr>
                <w:rFonts w:ascii="Times New Roman" w:hAnsi="Times New Roman" w:cs="Times New Roman"/>
                <w:sz w:val="24"/>
                <w:szCs w:val="24"/>
              </w:rPr>
            </w:pPr>
            <w:r w:rsidRPr="00BA3DFB">
              <w:rPr>
                <w:rFonts w:ascii="Times New Roman" w:hAnsi="Times New Roman" w:cs="Times New Roman"/>
                <w:sz w:val="24"/>
                <w:szCs w:val="24"/>
              </w:rPr>
              <w:t>Cukup Baik</w:t>
            </w:r>
          </w:p>
        </w:tc>
        <w:tc>
          <w:tcPr>
            <w:tcW w:w="3084" w:type="dxa"/>
          </w:tcPr>
          <w:p w:rsidR="00DD241B" w:rsidRPr="00BA3DFB" w:rsidRDefault="00DD241B" w:rsidP="00A715F4">
            <w:pPr>
              <w:pStyle w:val="ListParagraph"/>
              <w:spacing w:line="480" w:lineRule="auto"/>
              <w:ind w:left="0"/>
              <w:jc w:val="center"/>
              <w:rPr>
                <w:rFonts w:ascii="Times New Roman" w:hAnsi="Times New Roman" w:cs="Times New Roman"/>
                <w:sz w:val="24"/>
                <w:szCs w:val="24"/>
              </w:rPr>
            </w:pPr>
            <w:r w:rsidRPr="00BA3DFB">
              <w:rPr>
                <w:rFonts w:ascii="Times New Roman" w:hAnsi="Times New Roman" w:cs="Times New Roman"/>
                <w:sz w:val="24"/>
                <w:szCs w:val="24"/>
              </w:rPr>
              <w:t>Memiliki NK 2,5 ≤ NK 3,5</w:t>
            </w:r>
          </w:p>
        </w:tc>
      </w:tr>
      <w:tr w:rsidR="00BA3DFB" w:rsidRPr="00BA3DFB" w:rsidTr="00A715F4">
        <w:trPr>
          <w:jc w:val="center"/>
        </w:trPr>
        <w:tc>
          <w:tcPr>
            <w:tcW w:w="1590" w:type="dxa"/>
          </w:tcPr>
          <w:p w:rsidR="00DD241B" w:rsidRPr="00BA3DFB" w:rsidRDefault="00DD241B" w:rsidP="00A715F4">
            <w:pPr>
              <w:pStyle w:val="ListParagraph"/>
              <w:spacing w:line="480" w:lineRule="auto"/>
              <w:ind w:left="0"/>
              <w:jc w:val="center"/>
              <w:rPr>
                <w:rFonts w:ascii="Times New Roman" w:hAnsi="Times New Roman" w:cs="Times New Roman"/>
                <w:sz w:val="24"/>
                <w:szCs w:val="24"/>
              </w:rPr>
            </w:pPr>
            <w:r w:rsidRPr="00BA3DFB">
              <w:rPr>
                <w:rFonts w:ascii="Times New Roman" w:hAnsi="Times New Roman" w:cs="Times New Roman"/>
                <w:sz w:val="24"/>
                <w:szCs w:val="24"/>
              </w:rPr>
              <w:lastRenderedPageBreak/>
              <w:t>4</w:t>
            </w:r>
          </w:p>
        </w:tc>
        <w:tc>
          <w:tcPr>
            <w:tcW w:w="2127" w:type="dxa"/>
          </w:tcPr>
          <w:p w:rsidR="00DD241B" w:rsidRPr="00BA3DFB" w:rsidRDefault="00DD241B" w:rsidP="00A715F4">
            <w:pPr>
              <w:pStyle w:val="ListParagraph"/>
              <w:spacing w:line="480" w:lineRule="auto"/>
              <w:ind w:left="0"/>
              <w:jc w:val="center"/>
              <w:rPr>
                <w:rFonts w:ascii="Times New Roman" w:hAnsi="Times New Roman" w:cs="Times New Roman"/>
                <w:sz w:val="24"/>
                <w:szCs w:val="24"/>
              </w:rPr>
            </w:pPr>
            <w:r w:rsidRPr="00BA3DFB">
              <w:rPr>
                <w:rFonts w:ascii="Times New Roman" w:hAnsi="Times New Roman" w:cs="Times New Roman"/>
                <w:sz w:val="24"/>
                <w:szCs w:val="24"/>
              </w:rPr>
              <w:t>Kurang Baik</w:t>
            </w:r>
          </w:p>
        </w:tc>
        <w:tc>
          <w:tcPr>
            <w:tcW w:w="3084" w:type="dxa"/>
          </w:tcPr>
          <w:p w:rsidR="00DD241B" w:rsidRPr="00BA3DFB" w:rsidRDefault="00DD241B" w:rsidP="00A715F4">
            <w:pPr>
              <w:pStyle w:val="ListParagraph"/>
              <w:spacing w:line="480" w:lineRule="auto"/>
              <w:ind w:left="0"/>
              <w:jc w:val="center"/>
              <w:rPr>
                <w:rFonts w:ascii="Times New Roman" w:hAnsi="Times New Roman" w:cs="Times New Roman"/>
                <w:sz w:val="24"/>
                <w:szCs w:val="24"/>
              </w:rPr>
            </w:pPr>
            <w:r w:rsidRPr="00BA3DFB">
              <w:rPr>
                <w:rFonts w:ascii="Times New Roman" w:hAnsi="Times New Roman" w:cs="Times New Roman"/>
                <w:sz w:val="24"/>
                <w:szCs w:val="24"/>
              </w:rPr>
              <w:t>Memiliki NK 3,5 ≤ NK &lt; 4,5</w:t>
            </w:r>
          </w:p>
        </w:tc>
      </w:tr>
      <w:tr w:rsidR="00BA3DFB" w:rsidRPr="00BA3DFB" w:rsidTr="00A715F4">
        <w:trPr>
          <w:jc w:val="center"/>
        </w:trPr>
        <w:tc>
          <w:tcPr>
            <w:tcW w:w="1590" w:type="dxa"/>
          </w:tcPr>
          <w:p w:rsidR="00DD241B" w:rsidRPr="00BA3DFB" w:rsidRDefault="00DD241B" w:rsidP="00A715F4">
            <w:pPr>
              <w:pStyle w:val="ListParagraph"/>
              <w:spacing w:line="480" w:lineRule="auto"/>
              <w:ind w:left="0"/>
              <w:jc w:val="center"/>
              <w:rPr>
                <w:rFonts w:ascii="Times New Roman" w:hAnsi="Times New Roman" w:cs="Times New Roman"/>
                <w:sz w:val="24"/>
                <w:szCs w:val="24"/>
              </w:rPr>
            </w:pPr>
            <w:r w:rsidRPr="00BA3DFB">
              <w:rPr>
                <w:rFonts w:ascii="Times New Roman" w:hAnsi="Times New Roman" w:cs="Times New Roman"/>
                <w:sz w:val="24"/>
                <w:szCs w:val="24"/>
              </w:rPr>
              <w:t>5</w:t>
            </w:r>
          </w:p>
        </w:tc>
        <w:tc>
          <w:tcPr>
            <w:tcW w:w="2127" w:type="dxa"/>
          </w:tcPr>
          <w:p w:rsidR="00DD241B" w:rsidRPr="00BA3DFB" w:rsidRDefault="00DD241B" w:rsidP="00A715F4">
            <w:pPr>
              <w:pStyle w:val="ListParagraph"/>
              <w:spacing w:line="480" w:lineRule="auto"/>
              <w:ind w:left="0"/>
              <w:jc w:val="center"/>
              <w:rPr>
                <w:rFonts w:ascii="Times New Roman" w:hAnsi="Times New Roman" w:cs="Times New Roman"/>
                <w:sz w:val="24"/>
                <w:szCs w:val="24"/>
              </w:rPr>
            </w:pPr>
            <w:r w:rsidRPr="00BA3DFB">
              <w:rPr>
                <w:rFonts w:ascii="Times New Roman" w:hAnsi="Times New Roman" w:cs="Times New Roman"/>
                <w:sz w:val="24"/>
                <w:szCs w:val="24"/>
              </w:rPr>
              <w:t>Tidak Baik</w:t>
            </w:r>
          </w:p>
        </w:tc>
        <w:tc>
          <w:tcPr>
            <w:tcW w:w="3084" w:type="dxa"/>
          </w:tcPr>
          <w:p w:rsidR="00DD241B" w:rsidRPr="00BA3DFB" w:rsidRDefault="00DD241B" w:rsidP="00A715F4">
            <w:pPr>
              <w:pStyle w:val="ListParagraph"/>
              <w:spacing w:line="480" w:lineRule="auto"/>
              <w:ind w:left="0"/>
              <w:jc w:val="center"/>
              <w:rPr>
                <w:rFonts w:ascii="Times New Roman" w:hAnsi="Times New Roman" w:cs="Times New Roman"/>
                <w:sz w:val="24"/>
                <w:szCs w:val="24"/>
              </w:rPr>
            </w:pPr>
            <w:r w:rsidRPr="00BA3DFB">
              <w:rPr>
                <w:rFonts w:ascii="Times New Roman" w:hAnsi="Times New Roman" w:cs="Times New Roman"/>
                <w:sz w:val="24"/>
                <w:szCs w:val="24"/>
              </w:rPr>
              <w:t>Memiliki NK 4,5 ≤ NK &lt; 5</w:t>
            </w:r>
          </w:p>
        </w:tc>
      </w:tr>
    </w:tbl>
    <w:p w:rsidR="00DD241B" w:rsidRPr="00BA3DFB" w:rsidRDefault="00DD241B" w:rsidP="007448CE">
      <w:pPr>
        <w:spacing w:line="480" w:lineRule="auto"/>
        <w:ind w:firstLine="720"/>
        <w:jc w:val="both"/>
        <w:rPr>
          <w:rFonts w:ascii="Times New Roman" w:hAnsi="Times New Roman" w:cs="Times New Roman"/>
          <w:sz w:val="24"/>
          <w:szCs w:val="24"/>
        </w:rPr>
      </w:pPr>
      <w:r w:rsidRPr="00BA3DFB">
        <w:rPr>
          <w:rFonts w:ascii="Times New Roman" w:hAnsi="Times New Roman" w:cs="Times New Roman"/>
          <w:sz w:val="24"/>
          <w:szCs w:val="24"/>
        </w:rPr>
        <w:t>Sumber : SE Bank Indonesia No. 9/12/DPNP Tahun 2007</w:t>
      </w:r>
    </w:p>
    <w:p w:rsidR="00DD241B" w:rsidRPr="00BA3DFB" w:rsidRDefault="00DD241B" w:rsidP="00DD241B">
      <w:pPr>
        <w:pStyle w:val="Heading4"/>
        <w:numPr>
          <w:ilvl w:val="0"/>
          <w:numId w:val="4"/>
        </w:numPr>
        <w:spacing w:line="480" w:lineRule="auto"/>
        <w:rPr>
          <w:rFonts w:ascii="Times New Roman" w:hAnsi="Times New Roman" w:cs="Times New Roman"/>
          <w:color w:val="auto"/>
          <w:sz w:val="24"/>
        </w:rPr>
      </w:pPr>
      <w:r w:rsidRPr="00BA3DFB">
        <w:rPr>
          <w:rFonts w:ascii="Times New Roman" w:hAnsi="Times New Roman" w:cs="Times New Roman"/>
          <w:color w:val="auto"/>
          <w:sz w:val="24"/>
        </w:rPr>
        <w:t>Earnings</w:t>
      </w:r>
    </w:p>
    <w:p w:rsidR="00DD241B" w:rsidRPr="00BA3DFB" w:rsidRDefault="00DD241B" w:rsidP="00DD241B">
      <w:pPr>
        <w:spacing w:line="480" w:lineRule="auto"/>
        <w:ind w:left="568" w:firstLine="720"/>
        <w:jc w:val="both"/>
        <w:rPr>
          <w:rFonts w:ascii="Times New Roman" w:hAnsi="Times New Roman" w:cs="Times New Roman"/>
          <w:sz w:val="24"/>
          <w:szCs w:val="24"/>
        </w:rPr>
      </w:pPr>
      <w:r w:rsidRPr="00BA3DFB">
        <w:rPr>
          <w:rFonts w:ascii="Times New Roman" w:hAnsi="Times New Roman" w:cs="Times New Roman"/>
          <w:i/>
          <w:sz w:val="24"/>
          <w:szCs w:val="24"/>
        </w:rPr>
        <w:t xml:space="preserve">Earnings </w:t>
      </w:r>
      <w:r w:rsidRPr="00BA3DFB">
        <w:rPr>
          <w:rFonts w:ascii="Times New Roman" w:hAnsi="Times New Roman" w:cs="Times New Roman"/>
          <w:sz w:val="24"/>
          <w:szCs w:val="24"/>
        </w:rPr>
        <w:t xml:space="preserve">adalah salah satu penilaian kesehatan bank dari sisi rentabilitas. Indikator penilaian rentabilitas adalah ROA </w:t>
      </w:r>
      <w:r w:rsidRPr="00BA3DFB">
        <w:rPr>
          <w:rFonts w:ascii="Times New Roman" w:hAnsi="Times New Roman" w:cs="Times New Roman"/>
          <w:i/>
          <w:sz w:val="24"/>
          <w:szCs w:val="24"/>
        </w:rPr>
        <w:t>(Return On Assets),</w:t>
      </w:r>
      <w:r w:rsidRPr="00BA3DFB">
        <w:rPr>
          <w:rFonts w:ascii="Times New Roman" w:hAnsi="Times New Roman" w:cs="Times New Roman"/>
          <w:sz w:val="24"/>
          <w:szCs w:val="24"/>
        </w:rPr>
        <w:t xml:space="preserve">ROE </w:t>
      </w:r>
      <w:r w:rsidRPr="00BA3DFB">
        <w:rPr>
          <w:rFonts w:ascii="Times New Roman" w:hAnsi="Times New Roman" w:cs="Times New Roman"/>
          <w:i/>
          <w:sz w:val="24"/>
          <w:szCs w:val="24"/>
        </w:rPr>
        <w:t xml:space="preserve">(Return On Equity), </w:t>
      </w:r>
      <w:r w:rsidRPr="00BA3DFB">
        <w:rPr>
          <w:rFonts w:ascii="Times New Roman" w:hAnsi="Times New Roman" w:cs="Times New Roman"/>
          <w:sz w:val="24"/>
          <w:szCs w:val="24"/>
        </w:rPr>
        <w:t>NIM</w:t>
      </w:r>
      <w:r w:rsidRPr="00BA3DFB">
        <w:rPr>
          <w:rFonts w:ascii="Times New Roman" w:hAnsi="Times New Roman" w:cs="Times New Roman"/>
          <w:i/>
          <w:sz w:val="24"/>
          <w:szCs w:val="24"/>
        </w:rPr>
        <w:t xml:space="preserve"> (Net Interest Margin), </w:t>
      </w:r>
      <w:r w:rsidRPr="00BA3DFB">
        <w:rPr>
          <w:rFonts w:ascii="Times New Roman" w:hAnsi="Times New Roman" w:cs="Times New Roman"/>
          <w:sz w:val="24"/>
          <w:szCs w:val="24"/>
        </w:rPr>
        <w:t xml:space="preserve">dan BOPO (Beban Operasional Terhadap Pendapatan Operasional). Komponen laba </w:t>
      </w:r>
      <w:r w:rsidRPr="00BA3DFB">
        <w:rPr>
          <w:rFonts w:ascii="Times New Roman" w:hAnsi="Times New Roman" w:cs="Times New Roman"/>
          <w:i/>
          <w:sz w:val="24"/>
          <w:szCs w:val="24"/>
        </w:rPr>
        <w:t xml:space="preserve">actual </w:t>
      </w:r>
      <w:r w:rsidRPr="00BA3DFB">
        <w:rPr>
          <w:rFonts w:ascii="Times New Roman" w:hAnsi="Times New Roman" w:cs="Times New Roman"/>
          <w:sz w:val="24"/>
          <w:szCs w:val="24"/>
        </w:rPr>
        <w:t xml:space="preserve">terhadap proyeksi anggaran dan kemampuan komponen laba dalam meningkatkan permodalan. Karakteristik bank dari sisi rantabilitas adalah kinerja bank dalam menghasilkan laba, kestabilan komponen-komponen yang mendukung </w:t>
      </w:r>
      <w:r w:rsidRPr="00BA3DFB">
        <w:rPr>
          <w:rFonts w:ascii="Times New Roman" w:hAnsi="Times New Roman" w:cs="Times New Roman"/>
          <w:i/>
          <w:sz w:val="24"/>
          <w:szCs w:val="24"/>
        </w:rPr>
        <w:t>core earning,</w:t>
      </w:r>
      <w:r w:rsidRPr="00BA3DFB">
        <w:rPr>
          <w:rFonts w:ascii="Times New Roman" w:hAnsi="Times New Roman" w:cs="Times New Roman"/>
          <w:sz w:val="24"/>
          <w:szCs w:val="24"/>
        </w:rPr>
        <w:t xml:space="preserve"> dan kemampuan laba dalam meningkatkan permodalan dan prospek laba di masa depan.</w:t>
      </w:r>
    </w:p>
    <w:p w:rsidR="00DD241B" w:rsidRPr="00BA3DFB" w:rsidRDefault="00DD241B" w:rsidP="00DD241B">
      <w:pPr>
        <w:spacing w:line="480" w:lineRule="auto"/>
        <w:ind w:left="568" w:firstLine="720"/>
        <w:jc w:val="both"/>
        <w:rPr>
          <w:rFonts w:ascii="Times New Roman" w:hAnsi="Times New Roman" w:cs="Times New Roman"/>
          <w:sz w:val="24"/>
          <w:szCs w:val="24"/>
        </w:rPr>
      </w:pPr>
      <w:r w:rsidRPr="00BA3DFB">
        <w:rPr>
          <w:rFonts w:ascii="Times New Roman" w:hAnsi="Times New Roman" w:cs="Times New Roman"/>
          <w:sz w:val="24"/>
          <w:szCs w:val="24"/>
        </w:rPr>
        <w:t xml:space="preserve">Penilaian terhadap faktor </w:t>
      </w:r>
      <w:r w:rsidRPr="00BA3DFB">
        <w:rPr>
          <w:rFonts w:ascii="Times New Roman" w:hAnsi="Times New Roman" w:cs="Times New Roman"/>
          <w:i/>
          <w:sz w:val="24"/>
          <w:szCs w:val="24"/>
        </w:rPr>
        <w:t xml:space="preserve">earnings </w:t>
      </w:r>
      <w:r w:rsidRPr="00BA3DFB">
        <w:rPr>
          <w:rFonts w:ascii="Times New Roman" w:hAnsi="Times New Roman" w:cs="Times New Roman"/>
          <w:sz w:val="24"/>
          <w:szCs w:val="24"/>
        </w:rPr>
        <w:t>didasarkan pada dua rasio yaitu :</w:t>
      </w:r>
    </w:p>
    <w:p w:rsidR="00DD241B" w:rsidRPr="00BA3DFB" w:rsidRDefault="00DD241B" w:rsidP="00DD241B">
      <w:pPr>
        <w:pStyle w:val="ListParagraph"/>
        <w:numPr>
          <w:ilvl w:val="0"/>
          <w:numId w:val="3"/>
        </w:numPr>
        <w:spacing w:line="480" w:lineRule="auto"/>
        <w:jc w:val="both"/>
        <w:rPr>
          <w:rFonts w:ascii="Times New Roman" w:hAnsi="Times New Roman" w:cs="Times New Roman"/>
          <w:sz w:val="24"/>
          <w:szCs w:val="24"/>
        </w:rPr>
      </w:pPr>
      <w:r w:rsidRPr="00BA3DFB">
        <w:rPr>
          <w:rFonts w:ascii="Times New Roman" w:hAnsi="Times New Roman" w:cs="Times New Roman"/>
          <w:i/>
          <w:sz w:val="24"/>
          <w:szCs w:val="24"/>
        </w:rPr>
        <w:t xml:space="preserve">Return on Assets </w:t>
      </w:r>
      <w:r w:rsidRPr="00BA3DFB">
        <w:rPr>
          <w:rFonts w:ascii="Times New Roman" w:hAnsi="Times New Roman" w:cs="Times New Roman"/>
          <w:sz w:val="24"/>
          <w:szCs w:val="24"/>
        </w:rPr>
        <w:t>(ROA)</w:t>
      </w:r>
    </w:p>
    <w:p w:rsidR="00DD241B" w:rsidRPr="00BA3DFB" w:rsidRDefault="00DD241B" w:rsidP="00DD241B">
      <w:pPr>
        <w:spacing w:line="480" w:lineRule="auto"/>
        <w:ind w:left="1276" w:firstLine="1276"/>
        <w:jc w:val="both"/>
        <w:rPr>
          <w:rFonts w:ascii="Times New Roman" w:hAnsi="Times New Roman" w:cs="Times New Roman"/>
          <w:sz w:val="24"/>
          <w:szCs w:val="24"/>
        </w:rPr>
      </w:pPr>
      <m:oMathPara>
        <m:oMathParaPr>
          <m:jc m:val="left"/>
        </m:oMathParaPr>
        <m:oMath>
          <m:r>
            <w:rPr>
              <w:rFonts w:ascii="Cambria Math" w:hAnsi="Cambria Math" w:cs="Times New Roman"/>
              <w:sz w:val="24"/>
              <w:szCs w:val="24"/>
            </w:rPr>
            <m:t>ROA</m:t>
          </m:r>
          <m:r>
            <m:rPr>
              <m:sty m:val="p"/>
            </m:rPr>
            <w:rPr>
              <w:rFonts w:ascii="Cambria Math" w:hAnsi="Times New Roman" w:cs="Times New Roman"/>
              <w:sz w:val="24"/>
              <w:szCs w:val="24"/>
            </w:rPr>
            <m:t>=</m:t>
          </m:r>
          <m:f>
            <m:fPr>
              <m:ctrlPr>
                <w:rPr>
                  <w:rFonts w:ascii="Cambria Math" w:hAnsi="Times New Roman" w:cs="Times New Roman"/>
                  <w:sz w:val="24"/>
                  <w:szCs w:val="24"/>
                </w:rPr>
              </m:ctrlPr>
            </m:fPr>
            <m:num>
              <m:r>
                <m:rPr>
                  <m:sty m:val="p"/>
                </m:rPr>
                <w:rPr>
                  <w:rFonts w:ascii="Cambria Math" w:hAnsi="Times New Roman" w:cs="Times New Roman"/>
                  <w:sz w:val="24"/>
                  <w:szCs w:val="24"/>
                </w:rPr>
                <m:t>Laba Sebelum Pajak</m:t>
              </m:r>
            </m:num>
            <m:den>
              <m:r>
                <m:rPr>
                  <m:sty m:val="p"/>
                </m:rPr>
                <w:rPr>
                  <w:rFonts w:ascii="Cambria Math" w:hAnsi="Times New Roman" w:cs="Times New Roman"/>
                  <w:sz w:val="24"/>
                  <w:szCs w:val="24"/>
                </w:rPr>
                <m:t>Rata</m:t>
              </m:r>
              <m:r>
                <m:rPr>
                  <m:sty m:val="p"/>
                </m:rPr>
                <w:rPr>
                  <w:rFonts w:ascii="Times New Roman" w:hAnsi="Times New Roman" w:cs="Times New Roman"/>
                  <w:sz w:val="24"/>
                  <w:szCs w:val="24"/>
                </w:rPr>
                <m:t>-</m:t>
              </m:r>
              <m:r>
                <m:rPr>
                  <m:sty m:val="p"/>
                </m:rPr>
                <w:rPr>
                  <w:rFonts w:ascii="Cambria Math" w:hAnsi="Times New Roman" w:cs="Times New Roman"/>
                  <w:sz w:val="24"/>
                  <w:szCs w:val="24"/>
                </w:rPr>
                <m:t>rata total aset</m:t>
              </m:r>
            </m:den>
          </m:f>
          <m:r>
            <m:rPr>
              <m:sty m:val="p"/>
            </m:rPr>
            <w:rPr>
              <w:rFonts w:ascii="Cambria Math" w:hAnsi="Times New Roman" w:cs="Times New Roman"/>
              <w:sz w:val="24"/>
              <w:szCs w:val="24"/>
            </w:rPr>
            <m:t>x 100%</m:t>
          </m:r>
        </m:oMath>
      </m:oMathPara>
    </w:p>
    <w:p w:rsidR="00DD241B" w:rsidRPr="00BA3DFB" w:rsidRDefault="00DD241B" w:rsidP="007448CE">
      <w:pPr>
        <w:pStyle w:val="Caption"/>
        <w:spacing w:line="480" w:lineRule="auto"/>
        <w:ind w:left="556" w:firstLine="720"/>
        <w:rPr>
          <w:rFonts w:ascii="Times New Roman" w:hAnsi="Times New Roman" w:cs="Times New Roman"/>
          <w:color w:val="auto"/>
          <w:sz w:val="24"/>
          <w:szCs w:val="24"/>
        </w:rPr>
      </w:pPr>
      <w:bookmarkStart w:id="8" w:name="_Toc12306459"/>
      <w:r w:rsidRPr="00BA3DFB">
        <w:rPr>
          <w:rFonts w:ascii="Times New Roman" w:hAnsi="Times New Roman" w:cs="Times New Roman"/>
          <w:color w:val="auto"/>
          <w:sz w:val="24"/>
          <w:szCs w:val="24"/>
        </w:rPr>
        <w:t>Tabel  Kriteria Penetapan Peringkat Return On Assets (ROA)</w:t>
      </w:r>
      <w:bookmarkEnd w:id="8"/>
    </w:p>
    <w:tbl>
      <w:tblPr>
        <w:tblStyle w:val="TableGrid"/>
        <w:tblW w:w="0" w:type="auto"/>
        <w:jc w:val="center"/>
        <w:tblInd w:w="-570" w:type="dxa"/>
        <w:tblLook w:val="04A0" w:firstRow="1" w:lastRow="0" w:firstColumn="1" w:lastColumn="0" w:noHBand="0" w:noVBand="1"/>
      </w:tblPr>
      <w:tblGrid>
        <w:gridCol w:w="1590"/>
        <w:gridCol w:w="2552"/>
        <w:gridCol w:w="2659"/>
      </w:tblGrid>
      <w:tr w:rsidR="00BA3DFB" w:rsidRPr="00BA3DFB" w:rsidTr="00A715F4">
        <w:trPr>
          <w:jc w:val="center"/>
        </w:trPr>
        <w:tc>
          <w:tcPr>
            <w:tcW w:w="1590" w:type="dxa"/>
          </w:tcPr>
          <w:p w:rsidR="00DD241B" w:rsidRPr="00BA3DFB" w:rsidRDefault="00DD241B" w:rsidP="00A715F4">
            <w:pPr>
              <w:pStyle w:val="ListParagraph"/>
              <w:spacing w:line="480" w:lineRule="auto"/>
              <w:ind w:left="0"/>
              <w:jc w:val="center"/>
              <w:rPr>
                <w:rFonts w:ascii="Times New Roman" w:hAnsi="Times New Roman" w:cs="Times New Roman"/>
                <w:b/>
                <w:sz w:val="24"/>
                <w:szCs w:val="24"/>
              </w:rPr>
            </w:pPr>
            <w:r w:rsidRPr="00BA3DFB">
              <w:rPr>
                <w:rFonts w:ascii="Times New Roman" w:hAnsi="Times New Roman" w:cs="Times New Roman"/>
                <w:b/>
                <w:sz w:val="24"/>
                <w:szCs w:val="24"/>
              </w:rPr>
              <w:t>Peringkat</w:t>
            </w:r>
          </w:p>
        </w:tc>
        <w:tc>
          <w:tcPr>
            <w:tcW w:w="2552" w:type="dxa"/>
          </w:tcPr>
          <w:p w:rsidR="00DD241B" w:rsidRPr="00BA3DFB" w:rsidRDefault="00DD241B" w:rsidP="00A715F4">
            <w:pPr>
              <w:pStyle w:val="ListParagraph"/>
              <w:spacing w:line="480" w:lineRule="auto"/>
              <w:ind w:left="0"/>
              <w:jc w:val="center"/>
              <w:rPr>
                <w:rFonts w:ascii="Times New Roman" w:hAnsi="Times New Roman" w:cs="Times New Roman"/>
                <w:b/>
                <w:sz w:val="24"/>
                <w:szCs w:val="24"/>
              </w:rPr>
            </w:pPr>
            <w:r w:rsidRPr="00BA3DFB">
              <w:rPr>
                <w:rFonts w:ascii="Times New Roman" w:hAnsi="Times New Roman" w:cs="Times New Roman"/>
                <w:b/>
                <w:sz w:val="24"/>
                <w:szCs w:val="24"/>
              </w:rPr>
              <w:t>Keterangan</w:t>
            </w:r>
          </w:p>
        </w:tc>
        <w:tc>
          <w:tcPr>
            <w:tcW w:w="2659" w:type="dxa"/>
          </w:tcPr>
          <w:p w:rsidR="00DD241B" w:rsidRPr="00BA3DFB" w:rsidRDefault="00DD241B" w:rsidP="00A715F4">
            <w:pPr>
              <w:pStyle w:val="ListParagraph"/>
              <w:spacing w:line="480" w:lineRule="auto"/>
              <w:ind w:left="0"/>
              <w:jc w:val="center"/>
              <w:rPr>
                <w:rFonts w:ascii="Times New Roman" w:hAnsi="Times New Roman" w:cs="Times New Roman"/>
                <w:b/>
                <w:sz w:val="24"/>
                <w:szCs w:val="24"/>
              </w:rPr>
            </w:pPr>
            <w:r w:rsidRPr="00BA3DFB">
              <w:rPr>
                <w:rFonts w:ascii="Times New Roman" w:hAnsi="Times New Roman" w:cs="Times New Roman"/>
                <w:b/>
                <w:sz w:val="24"/>
                <w:szCs w:val="24"/>
              </w:rPr>
              <w:t>Kriteria</w:t>
            </w:r>
          </w:p>
        </w:tc>
      </w:tr>
      <w:tr w:rsidR="00BA3DFB" w:rsidRPr="00BA3DFB" w:rsidTr="00A715F4">
        <w:trPr>
          <w:jc w:val="center"/>
        </w:trPr>
        <w:tc>
          <w:tcPr>
            <w:tcW w:w="1590" w:type="dxa"/>
          </w:tcPr>
          <w:p w:rsidR="00DD241B" w:rsidRPr="00BA3DFB" w:rsidRDefault="00DD241B" w:rsidP="00A715F4">
            <w:pPr>
              <w:pStyle w:val="ListParagraph"/>
              <w:spacing w:line="480" w:lineRule="auto"/>
              <w:ind w:left="0"/>
              <w:jc w:val="center"/>
              <w:rPr>
                <w:rFonts w:ascii="Times New Roman" w:hAnsi="Times New Roman" w:cs="Times New Roman"/>
                <w:sz w:val="24"/>
                <w:szCs w:val="24"/>
              </w:rPr>
            </w:pPr>
            <w:r w:rsidRPr="00BA3DFB">
              <w:rPr>
                <w:rFonts w:ascii="Times New Roman" w:hAnsi="Times New Roman" w:cs="Times New Roman"/>
                <w:sz w:val="24"/>
                <w:szCs w:val="24"/>
              </w:rPr>
              <w:t>1</w:t>
            </w:r>
          </w:p>
        </w:tc>
        <w:tc>
          <w:tcPr>
            <w:tcW w:w="2552" w:type="dxa"/>
          </w:tcPr>
          <w:p w:rsidR="00DD241B" w:rsidRPr="00BA3DFB" w:rsidRDefault="00DD241B" w:rsidP="00A715F4">
            <w:pPr>
              <w:pStyle w:val="ListParagraph"/>
              <w:spacing w:line="480" w:lineRule="auto"/>
              <w:ind w:left="0"/>
              <w:jc w:val="center"/>
              <w:rPr>
                <w:rFonts w:ascii="Times New Roman" w:hAnsi="Times New Roman" w:cs="Times New Roman"/>
                <w:sz w:val="24"/>
                <w:szCs w:val="24"/>
              </w:rPr>
            </w:pPr>
            <w:r w:rsidRPr="00BA3DFB">
              <w:rPr>
                <w:rFonts w:ascii="Times New Roman" w:hAnsi="Times New Roman" w:cs="Times New Roman"/>
                <w:sz w:val="24"/>
                <w:szCs w:val="24"/>
              </w:rPr>
              <w:t>Sangat Sehat</w:t>
            </w:r>
          </w:p>
        </w:tc>
        <w:tc>
          <w:tcPr>
            <w:tcW w:w="2659" w:type="dxa"/>
          </w:tcPr>
          <w:p w:rsidR="00DD241B" w:rsidRPr="00BA3DFB" w:rsidRDefault="00DD241B" w:rsidP="00A715F4">
            <w:pPr>
              <w:pStyle w:val="ListParagraph"/>
              <w:spacing w:line="480" w:lineRule="auto"/>
              <w:ind w:left="0"/>
              <w:jc w:val="center"/>
              <w:rPr>
                <w:rFonts w:ascii="Times New Roman" w:hAnsi="Times New Roman" w:cs="Times New Roman"/>
                <w:sz w:val="24"/>
                <w:szCs w:val="24"/>
              </w:rPr>
            </w:pPr>
            <w:r w:rsidRPr="00BA3DFB">
              <w:rPr>
                <w:rFonts w:ascii="Times New Roman" w:hAnsi="Times New Roman" w:cs="Times New Roman"/>
                <w:sz w:val="24"/>
                <w:szCs w:val="24"/>
              </w:rPr>
              <w:t>ROA &gt; 1,5%</w:t>
            </w:r>
          </w:p>
        </w:tc>
      </w:tr>
      <w:tr w:rsidR="00BA3DFB" w:rsidRPr="00BA3DFB" w:rsidTr="00A715F4">
        <w:trPr>
          <w:jc w:val="center"/>
        </w:trPr>
        <w:tc>
          <w:tcPr>
            <w:tcW w:w="1590" w:type="dxa"/>
          </w:tcPr>
          <w:p w:rsidR="00DD241B" w:rsidRPr="00BA3DFB" w:rsidRDefault="00DD241B" w:rsidP="00A715F4">
            <w:pPr>
              <w:pStyle w:val="ListParagraph"/>
              <w:spacing w:line="480" w:lineRule="auto"/>
              <w:ind w:left="0"/>
              <w:jc w:val="center"/>
              <w:rPr>
                <w:rFonts w:ascii="Times New Roman" w:hAnsi="Times New Roman" w:cs="Times New Roman"/>
                <w:sz w:val="24"/>
                <w:szCs w:val="24"/>
              </w:rPr>
            </w:pPr>
            <w:r w:rsidRPr="00BA3DFB">
              <w:rPr>
                <w:rFonts w:ascii="Times New Roman" w:hAnsi="Times New Roman" w:cs="Times New Roman"/>
                <w:sz w:val="24"/>
                <w:szCs w:val="24"/>
              </w:rPr>
              <w:t>2</w:t>
            </w:r>
          </w:p>
        </w:tc>
        <w:tc>
          <w:tcPr>
            <w:tcW w:w="2552" w:type="dxa"/>
          </w:tcPr>
          <w:p w:rsidR="00DD241B" w:rsidRPr="00BA3DFB" w:rsidRDefault="00DD241B" w:rsidP="00A715F4">
            <w:pPr>
              <w:pStyle w:val="ListParagraph"/>
              <w:spacing w:line="480" w:lineRule="auto"/>
              <w:ind w:left="0"/>
              <w:jc w:val="center"/>
              <w:rPr>
                <w:rFonts w:ascii="Times New Roman" w:hAnsi="Times New Roman" w:cs="Times New Roman"/>
                <w:sz w:val="24"/>
                <w:szCs w:val="24"/>
              </w:rPr>
            </w:pPr>
            <w:r w:rsidRPr="00BA3DFB">
              <w:rPr>
                <w:rFonts w:ascii="Times New Roman" w:hAnsi="Times New Roman" w:cs="Times New Roman"/>
                <w:sz w:val="24"/>
                <w:szCs w:val="24"/>
              </w:rPr>
              <w:t>Sehat</w:t>
            </w:r>
          </w:p>
        </w:tc>
        <w:tc>
          <w:tcPr>
            <w:tcW w:w="2659" w:type="dxa"/>
          </w:tcPr>
          <w:p w:rsidR="00DD241B" w:rsidRPr="00BA3DFB" w:rsidRDefault="00DD241B" w:rsidP="00A715F4">
            <w:pPr>
              <w:pStyle w:val="ListParagraph"/>
              <w:spacing w:line="480" w:lineRule="auto"/>
              <w:ind w:left="0"/>
              <w:jc w:val="center"/>
              <w:rPr>
                <w:rFonts w:ascii="Times New Roman" w:hAnsi="Times New Roman" w:cs="Times New Roman"/>
                <w:sz w:val="24"/>
                <w:szCs w:val="24"/>
              </w:rPr>
            </w:pPr>
            <w:r w:rsidRPr="00BA3DFB">
              <w:rPr>
                <w:rFonts w:ascii="Times New Roman" w:hAnsi="Times New Roman" w:cs="Times New Roman"/>
                <w:sz w:val="24"/>
                <w:szCs w:val="24"/>
              </w:rPr>
              <w:t>1,25% &lt; ROA ≤ 1,5%</w:t>
            </w:r>
          </w:p>
        </w:tc>
      </w:tr>
      <w:tr w:rsidR="00BA3DFB" w:rsidRPr="00BA3DFB" w:rsidTr="00A715F4">
        <w:trPr>
          <w:jc w:val="center"/>
        </w:trPr>
        <w:tc>
          <w:tcPr>
            <w:tcW w:w="1590" w:type="dxa"/>
          </w:tcPr>
          <w:p w:rsidR="00DD241B" w:rsidRPr="00BA3DFB" w:rsidRDefault="00DD241B" w:rsidP="00A715F4">
            <w:pPr>
              <w:pStyle w:val="ListParagraph"/>
              <w:spacing w:line="480" w:lineRule="auto"/>
              <w:ind w:left="0"/>
              <w:jc w:val="center"/>
              <w:rPr>
                <w:rFonts w:ascii="Times New Roman" w:hAnsi="Times New Roman" w:cs="Times New Roman"/>
                <w:sz w:val="24"/>
                <w:szCs w:val="24"/>
              </w:rPr>
            </w:pPr>
            <w:r w:rsidRPr="00BA3DFB">
              <w:rPr>
                <w:rFonts w:ascii="Times New Roman" w:hAnsi="Times New Roman" w:cs="Times New Roman"/>
                <w:sz w:val="24"/>
                <w:szCs w:val="24"/>
              </w:rPr>
              <w:t>3</w:t>
            </w:r>
          </w:p>
        </w:tc>
        <w:tc>
          <w:tcPr>
            <w:tcW w:w="2552" w:type="dxa"/>
          </w:tcPr>
          <w:p w:rsidR="00DD241B" w:rsidRPr="00BA3DFB" w:rsidRDefault="00DD241B" w:rsidP="00A715F4">
            <w:pPr>
              <w:pStyle w:val="ListParagraph"/>
              <w:spacing w:line="480" w:lineRule="auto"/>
              <w:ind w:left="0"/>
              <w:jc w:val="center"/>
              <w:rPr>
                <w:rFonts w:ascii="Times New Roman" w:hAnsi="Times New Roman" w:cs="Times New Roman"/>
                <w:sz w:val="24"/>
                <w:szCs w:val="24"/>
              </w:rPr>
            </w:pPr>
            <w:r w:rsidRPr="00BA3DFB">
              <w:rPr>
                <w:rFonts w:ascii="Times New Roman" w:hAnsi="Times New Roman" w:cs="Times New Roman"/>
                <w:sz w:val="24"/>
                <w:szCs w:val="24"/>
              </w:rPr>
              <w:t>Cukup Sehat</w:t>
            </w:r>
          </w:p>
        </w:tc>
        <w:tc>
          <w:tcPr>
            <w:tcW w:w="2659" w:type="dxa"/>
          </w:tcPr>
          <w:p w:rsidR="00DD241B" w:rsidRPr="00BA3DFB" w:rsidRDefault="00DD241B" w:rsidP="00A715F4">
            <w:pPr>
              <w:pStyle w:val="ListParagraph"/>
              <w:spacing w:line="480" w:lineRule="auto"/>
              <w:ind w:left="0"/>
              <w:jc w:val="center"/>
              <w:rPr>
                <w:rFonts w:ascii="Times New Roman" w:hAnsi="Times New Roman" w:cs="Times New Roman"/>
                <w:sz w:val="24"/>
                <w:szCs w:val="24"/>
              </w:rPr>
            </w:pPr>
            <w:r w:rsidRPr="00BA3DFB">
              <w:rPr>
                <w:rFonts w:ascii="Times New Roman" w:hAnsi="Times New Roman" w:cs="Times New Roman"/>
                <w:sz w:val="24"/>
                <w:szCs w:val="24"/>
              </w:rPr>
              <w:t>0,5% &lt; ROA ≤ 1,25%</w:t>
            </w:r>
          </w:p>
        </w:tc>
      </w:tr>
      <w:tr w:rsidR="00BA3DFB" w:rsidRPr="00BA3DFB" w:rsidTr="00A715F4">
        <w:trPr>
          <w:jc w:val="center"/>
        </w:trPr>
        <w:tc>
          <w:tcPr>
            <w:tcW w:w="1590" w:type="dxa"/>
          </w:tcPr>
          <w:p w:rsidR="00DD241B" w:rsidRPr="00BA3DFB" w:rsidRDefault="00DD241B" w:rsidP="00A715F4">
            <w:pPr>
              <w:pStyle w:val="ListParagraph"/>
              <w:spacing w:line="480" w:lineRule="auto"/>
              <w:ind w:left="0"/>
              <w:jc w:val="center"/>
              <w:rPr>
                <w:rFonts w:ascii="Times New Roman" w:hAnsi="Times New Roman" w:cs="Times New Roman"/>
                <w:sz w:val="24"/>
                <w:szCs w:val="24"/>
              </w:rPr>
            </w:pPr>
            <w:r w:rsidRPr="00BA3DFB">
              <w:rPr>
                <w:rFonts w:ascii="Times New Roman" w:hAnsi="Times New Roman" w:cs="Times New Roman"/>
                <w:sz w:val="24"/>
                <w:szCs w:val="24"/>
              </w:rPr>
              <w:t>4</w:t>
            </w:r>
          </w:p>
        </w:tc>
        <w:tc>
          <w:tcPr>
            <w:tcW w:w="2552" w:type="dxa"/>
          </w:tcPr>
          <w:p w:rsidR="00DD241B" w:rsidRPr="00BA3DFB" w:rsidRDefault="00DD241B" w:rsidP="00A715F4">
            <w:pPr>
              <w:pStyle w:val="ListParagraph"/>
              <w:spacing w:line="480" w:lineRule="auto"/>
              <w:ind w:left="0"/>
              <w:jc w:val="center"/>
              <w:rPr>
                <w:rFonts w:ascii="Times New Roman" w:hAnsi="Times New Roman" w:cs="Times New Roman"/>
                <w:sz w:val="24"/>
                <w:szCs w:val="24"/>
              </w:rPr>
            </w:pPr>
            <w:r w:rsidRPr="00BA3DFB">
              <w:rPr>
                <w:rFonts w:ascii="Times New Roman" w:hAnsi="Times New Roman" w:cs="Times New Roman"/>
                <w:sz w:val="24"/>
                <w:szCs w:val="24"/>
              </w:rPr>
              <w:t>Kurang Sehat</w:t>
            </w:r>
          </w:p>
        </w:tc>
        <w:tc>
          <w:tcPr>
            <w:tcW w:w="2659" w:type="dxa"/>
          </w:tcPr>
          <w:p w:rsidR="00DD241B" w:rsidRPr="00BA3DFB" w:rsidRDefault="00DD241B" w:rsidP="00A715F4">
            <w:pPr>
              <w:pStyle w:val="ListParagraph"/>
              <w:spacing w:line="480" w:lineRule="auto"/>
              <w:ind w:left="0"/>
              <w:jc w:val="center"/>
              <w:rPr>
                <w:rFonts w:ascii="Times New Roman" w:hAnsi="Times New Roman" w:cs="Times New Roman"/>
                <w:sz w:val="24"/>
                <w:szCs w:val="24"/>
              </w:rPr>
            </w:pPr>
            <w:r w:rsidRPr="00BA3DFB">
              <w:rPr>
                <w:rFonts w:ascii="Times New Roman" w:hAnsi="Times New Roman" w:cs="Times New Roman"/>
                <w:sz w:val="24"/>
                <w:szCs w:val="24"/>
              </w:rPr>
              <w:t>0% &lt; ROA ≤ 0,5%</w:t>
            </w:r>
          </w:p>
        </w:tc>
      </w:tr>
      <w:tr w:rsidR="00BA3DFB" w:rsidRPr="00BA3DFB" w:rsidTr="00A715F4">
        <w:trPr>
          <w:jc w:val="center"/>
        </w:trPr>
        <w:tc>
          <w:tcPr>
            <w:tcW w:w="1590" w:type="dxa"/>
          </w:tcPr>
          <w:p w:rsidR="00DD241B" w:rsidRPr="00BA3DFB" w:rsidRDefault="00DD241B" w:rsidP="00A715F4">
            <w:pPr>
              <w:pStyle w:val="ListParagraph"/>
              <w:spacing w:line="480" w:lineRule="auto"/>
              <w:ind w:left="0"/>
              <w:jc w:val="center"/>
              <w:rPr>
                <w:rFonts w:ascii="Times New Roman" w:hAnsi="Times New Roman" w:cs="Times New Roman"/>
                <w:sz w:val="24"/>
                <w:szCs w:val="24"/>
              </w:rPr>
            </w:pPr>
            <w:r w:rsidRPr="00BA3DFB">
              <w:rPr>
                <w:rFonts w:ascii="Times New Roman" w:hAnsi="Times New Roman" w:cs="Times New Roman"/>
                <w:sz w:val="24"/>
                <w:szCs w:val="24"/>
              </w:rPr>
              <w:lastRenderedPageBreak/>
              <w:t>5</w:t>
            </w:r>
          </w:p>
        </w:tc>
        <w:tc>
          <w:tcPr>
            <w:tcW w:w="2552" w:type="dxa"/>
          </w:tcPr>
          <w:p w:rsidR="00DD241B" w:rsidRPr="00BA3DFB" w:rsidRDefault="00DD241B" w:rsidP="00A715F4">
            <w:pPr>
              <w:pStyle w:val="ListParagraph"/>
              <w:spacing w:line="480" w:lineRule="auto"/>
              <w:ind w:left="0"/>
              <w:jc w:val="center"/>
              <w:rPr>
                <w:rFonts w:ascii="Times New Roman" w:hAnsi="Times New Roman" w:cs="Times New Roman"/>
                <w:sz w:val="24"/>
                <w:szCs w:val="24"/>
              </w:rPr>
            </w:pPr>
            <w:r w:rsidRPr="00BA3DFB">
              <w:rPr>
                <w:rFonts w:ascii="Times New Roman" w:hAnsi="Times New Roman" w:cs="Times New Roman"/>
                <w:sz w:val="24"/>
                <w:szCs w:val="24"/>
              </w:rPr>
              <w:t>Tidak Sehat</w:t>
            </w:r>
          </w:p>
        </w:tc>
        <w:tc>
          <w:tcPr>
            <w:tcW w:w="2659" w:type="dxa"/>
          </w:tcPr>
          <w:p w:rsidR="00DD241B" w:rsidRPr="00BA3DFB" w:rsidRDefault="00DD241B" w:rsidP="00A715F4">
            <w:pPr>
              <w:pStyle w:val="ListParagraph"/>
              <w:spacing w:line="480" w:lineRule="auto"/>
              <w:ind w:left="0"/>
              <w:jc w:val="center"/>
              <w:rPr>
                <w:rFonts w:ascii="Times New Roman" w:hAnsi="Times New Roman" w:cs="Times New Roman"/>
                <w:sz w:val="24"/>
                <w:szCs w:val="24"/>
              </w:rPr>
            </w:pPr>
            <w:r w:rsidRPr="00BA3DFB">
              <w:rPr>
                <w:rFonts w:ascii="Times New Roman" w:hAnsi="Times New Roman" w:cs="Times New Roman"/>
                <w:sz w:val="24"/>
                <w:szCs w:val="24"/>
              </w:rPr>
              <w:t>ROA ≤ 0%</w:t>
            </w:r>
          </w:p>
        </w:tc>
      </w:tr>
    </w:tbl>
    <w:p w:rsidR="00DD241B" w:rsidRPr="00BA3DFB" w:rsidRDefault="00DD241B" w:rsidP="00C61B99">
      <w:pPr>
        <w:spacing w:line="480" w:lineRule="auto"/>
        <w:ind w:firstLine="720"/>
        <w:jc w:val="both"/>
        <w:rPr>
          <w:rFonts w:ascii="Times New Roman" w:hAnsi="Times New Roman" w:cs="Times New Roman"/>
          <w:sz w:val="24"/>
          <w:szCs w:val="24"/>
        </w:rPr>
      </w:pPr>
      <w:r w:rsidRPr="00BA3DFB">
        <w:rPr>
          <w:rFonts w:ascii="Times New Roman" w:hAnsi="Times New Roman" w:cs="Times New Roman"/>
          <w:sz w:val="24"/>
          <w:szCs w:val="24"/>
        </w:rPr>
        <w:t>Sumber : Surat Edaran Bank Indonesia No.13/24/DPNP Tahun 2011</w:t>
      </w:r>
    </w:p>
    <w:p w:rsidR="00DD241B" w:rsidRPr="00BA3DFB" w:rsidRDefault="00DD241B" w:rsidP="00DD241B">
      <w:pPr>
        <w:pStyle w:val="ListParagraph"/>
        <w:numPr>
          <w:ilvl w:val="0"/>
          <w:numId w:val="3"/>
        </w:numPr>
        <w:spacing w:line="480" w:lineRule="auto"/>
        <w:jc w:val="both"/>
        <w:rPr>
          <w:rFonts w:ascii="Times New Roman" w:hAnsi="Times New Roman" w:cs="Times New Roman"/>
          <w:sz w:val="24"/>
          <w:szCs w:val="24"/>
        </w:rPr>
      </w:pPr>
      <w:r w:rsidRPr="00BA3DFB">
        <w:rPr>
          <w:rFonts w:ascii="Times New Roman" w:hAnsi="Times New Roman" w:cs="Times New Roman"/>
          <w:i/>
          <w:sz w:val="24"/>
          <w:szCs w:val="24"/>
        </w:rPr>
        <w:t xml:space="preserve">Return on Equity </w:t>
      </w:r>
      <w:r w:rsidRPr="00BA3DFB">
        <w:rPr>
          <w:rFonts w:ascii="Times New Roman" w:hAnsi="Times New Roman" w:cs="Times New Roman"/>
          <w:sz w:val="24"/>
          <w:szCs w:val="24"/>
        </w:rPr>
        <w:t>(ROE)</w:t>
      </w:r>
    </w:p>
    <w:p w:rsidR="00DD241B" w:rsidRPr="00BA3DFB" w:rsidRDefault="00DD241B" w:rsidP="00DD241B">
      <w:pPr>
        <w:pStyle w:val="ListParagraph"/>
        <w:spacing w:line="480" w:lineRule="auto"/>
        <w:ind w:left="1276"/>
        <w:jc w:val="both"/>
        <w:rPr>
          <w:rFonts w:ascii="Times New Roman" w:hAnsi="Times New Roman" w:cs="Times New Roman"/>
          <w:sz w:val="24"/>
          <w:szCs w:val="24"/>
        </w:rPr>
      </w:pPr>
      <m:oMathPara>
        <m:oMathParaPr>
          <m:jc m:val="left"/>
        </m:oMathParaPr>
        <m:oMath>
          <m:r>
            <w:rPr>
              <w:rFonts w:ascii="Cambria Math" w:hAnsi="Cambria Math" w:cs="Times New Roman"/>
              <w:sz w:val="24"/>
              <w:szCs w:val="24"/>
            </w:rPr>
            <m:t>ROE</m:t>
          </m:r>
          <m:r>
            <m:rPr>
              <m:sty m:val="p"/>
            </m:rPr>
            <w:rPr>
              <w:rFonts w:ascii="Cambria Math" w:hAnsi="Times New Roman" w:cs="Times New Roman"/>
              <w:sz w:val="24"/>
              <w:szCs w:val="24"/>
            </w:rPr>
            <m:t>=</m:t>
          </m:r>
          <m:f>
            <m:fPr>
              <m:ctrlPr>
                <w:rPr>
                  <w:rFonts w:ascii="Cambria Math" w:hAnsi="Times New Roman" w:cs="Times New Roman"/>
                  <w:sz w:val="24"/>
                  <w:szCs w:val="24"/>
                </w:rPr>
              </m:ctrlPr>
            </m:fPr>
            <m:num>
              <m:r>
                <m:rPr>
                  <m:sty m:val="p"/>
                </m:rPr>
                <w:rPr>
                  <w:rFonts w:ascii="Cambria Math" w:hAnsi="Times New Roman" w:cs="Times New Roman"/>
                  <w:sz w:val="24"/>
                  <w:szCs w:val="24"/>
                </w:rPr>
                <m:t>Laba Setelah Pajak</m:t>
              </m:r>
            </m:num>
            <m:den>
              <m:r>
                <m:rPr>
                  <m:sty m:val="p"/>
                </m:rPr>
                <w:rPr>
                  <w:rFonts w:ascii="Cambria Math" w:hAnsi="Times New Roman" w:cs="Times New Roman"/>
                  <w:sz w:val="24"/>
                  <w:szCs w:val="24"/>
                </w:rPr>
                <m:t>Rata</m:t>
              </m:r>
              <m:r>
                <m:rPr>
                  <m:sty m:val="p"/>
                </m:rPr>
                <w:rPr>
                  <w:rFonts w:ascii="Times New Roman" w:hAnsi="Times New Roman" w:cs="Times New Roman"/>
                  <w:sz w:val="24"/>
                  <w:szCs w:val="24"/>
                </w:rPr>
                <m:t>-</m:t>
              </m:r>
              <m:r>
                <m:rPr>
                  <m:sty m:val="p"/>
                </m:rPr>
                <w:rPr>
                  <w:rFonts w:ascii="Cambria Math" w:hAnsi="Times New Roman" w:cs="Times New Roman"/>
                  <w:sz w:val="24"/>
                  <w:szCs w:val="24"/>
                </w:rPr>
                <m:t>rata modal inti</m:t>
              </m:r>
            </m:den>
          </m:f>
          <m:r>
            <m:rPr>
              <m:sty m:val="p"/>
            </m:rPr>
            <w:rPr>
              <w:rFonts w:ascii="Cambria Math" w:hAnsi="Times New Roman" w:cs="Times New Roman"/>
              <w:sz w:val="24"/>
              <w:szCs w:val="24"/>
            </w:rPr>
            <m:t>x 100%</m:t>
          </m:r>
        </m:oMath>
      </m:oMathPara>
    </w:p>
    <w:p w:rsidR="00DD241B" w:rsidRPr="00BA3DFB" w:rsidRDefault="00DD241B" w:rsidP="00DD241B">
      <w:pPr>
        <w:pStyle w:val="ListParagraph"/>
        <w:numPr>
          <w:ilvl w:val="0"/>
          <w:numId w:val="3"/>
        </w:numPr>
        <w:spacing w:line="480" w:lineRule="auto"/>
        <w:jc w:val="both"/>
        <w:rPr>
          <w:rFonts w:ascii="Times New Roman" w:hAnsi="Times New Roman" w:cs="Times New Roman"/>
          <w:sz w:val="24"/>
          <w:szCs w:val="24"/>
        </w:rPr>
      </w:pPr>
      <w:r w:rsidRPr="00BA3DFB">
        <w:rPr>
          <w:rFonts w:ascii="Times New Roman" w:hAnsi="Times New Roman" w:cs="Times New Roman"/>
          <w:i/>
          <w:sz w:val="24"/>
          <w:szCs w:val="24"/>
        </w:rPr>
        <w:t xml:space="preserve">Net Interest Margin </w:t>
      </w:r>
      <w:r w:rsidRPr="00BA3DFB">
        <w:rPr>
          <w:rFonts w:ascii="Times New Roman" w:hAnsi="Times New Roman" w:cs="Times New Roman"/>
          <w:sz w:val="24"/>
          <w:szCs w:val="24"/>
        </w:rPr>
        <w:t>(NIM)</w:t>
      </w:r>
    </w:p>
    <w:p w:rsidR="00DD241B" w:rsidRPr="00BA3DFB" w:rsidRDefault="00DD241B" w:rsidP="00DD241B">
      <w:pPr>
        <w:pStyle w:val="ListParagraph"/>
        <w:spacing w:line="480" w:lineRule="auto"/>
        <w:ind w:left="1276"/>
        <w:jc w:val="both"/>
        <w:rPr>
          <w:rFonts w:ascii="Times New Roman" w:hAnsi="Times New Roman" w:cs="Times New Roman"/>
          <w:sz w:val="24"/>
          <w:szCs w:val="24"/>
        </w:rPr>
      </w:pPr>
      <m:oMathPara>
        <m:oMathParaPr>
          <m:jc m:val="left"/>
        </m:oMathParaPr>
        <m:oMath>
          <m:r>
            <w:rPr>
              <w:rFonts w:ascii="Cambria Math" w:hAnsi="Cambria Math" w:cs="Times New Roman"/>
              <w:sz w:val="24"/>
              <w:szCs w:val="24"/>
            </w:rPr>
            <m:t>NIM</m:t>
          </m:r>
          <m:r>
            <m:rPr>
              <m:sty m:val="p"/>
            </m:rPr>
            <w:rPr>
              <w:rFonts w:ascii="Cambria Math" w:hAnsi="Times New Roman" w:cs="Times New Roman"/>
              <w:sz w:val="24"/>
              <w:szCs w:val="24"/>
            </w:rPr>
            <m:t>=</m:t>
          </m:r>
          <m:f>
            <m:fPr>
              <m:ctrlPr>
                <w:rPr>
                  <w:rFonts w:ascii="Cambria Math" w:hAnsi="Times New Roman" w:cs="Times New Roman"/>
                  <w:sz w:val="24"/>
                  <w:szCs w:val="24"/>
                </w:rPr>
              </m:ctrlPr>
            </m:fPr>
            <m:num>
              <m:r>
                <m:rPr>
                  <m:sty m:val="p"/>
                </m:rPr>
                <w:rPr>
                  <w:rFonts w:ascii="Cambria Math" w:hAnsi="Times New Roman" w:cs="Times New Roman"/>
                  <w:sz w:val="24"/>
                  <w:szCs w:val="24"/>
                </w:rPr>
                <m:t>Pendapatan Bunga Bersih</m:t>
              </m:r>
            </m:num>
            <m:den>
              <m:r>
                <m:rPr>
                  <m:sty m:val="p"/>
                </m:rPr>
                <w:rPr>
                  <w:rFonts w:ascii="Cambria Math" w:hAnsi="Times New Roman" w:cs="Times New Roman"/>
                  <w:sz w:val="24"/>
                  <w:szCs w:val="24"/>
                </w:rPr>
                <m:t>Rata</m:t>
              </m:r>
              <m:r>
                <m:rPr>
                  <m:sty m:val="p"/>
                </m:rPr>
                <w:rPr>
                  <w:rFonts w:ascii="Cambria Math" w:hAnsi="Cambria Math" w:cs="Times New Roman"/>
                  <w:sz w:val="24"/>
                  <w:szCs w:val="24"/>
                </w:rPr>
                <m:t>-</m:t>
              </m:r>
              <m:r>
                <m:rPr>
                  <m:sty m:val="p"/>
                </m:rPr>
                <w:rPr>
                  <w:rFonts w:ascii="Cambria Math" w:hAnsi="Times New Roman" w:cs="Times New Roman"/>
                  <w:sz w:val="24"/>
                  <w:szCs w:val="24"/>
                </w:rPr>
                <m:t>rata aktiva tetap</m:t>
              </m:r>
            </m:den>
          </m:f>
          <m:r>
            <m:rPr>
              <m:sty m:val="p"/>
            </m:rPr>
            <w:rPr>
              <w:rFonts w:ascii="Cambria Math" w:hAnsi="Times New Roman" w:cs="Times New Roman"/>
              <w:sz w:val="24"/>
              <w:szCs w:val="24"/>
            </w:rPr>
            <m:t>x 100%</m:t>
          </m:r>
        </m:oMath>
      </m:oMathPara>
    </w:p>
    <w:p w:rsidR="00DD241B" w:rsidRPr="00BA3DFB" w:rsidRDefault="00DD241B" w:rsidP="007448CE">
      <w:pPr>
        <w:pStyle w:val="Caption"/>
        <w:spacing w:line="480" w:lineRule="auto"/>
        <w:ind w:left="556" w:firstLine="720"/>
        <w:rPr>
          <w:rFonts w:ascii="Times New Roman" w:hAnsi="Times New Roman" w:cs="Times New Roman"/>
          <w:color w:val="auto"/>
          <w:sz w:val="24"/>
          <w:szCs w:val="24"/>
        </w:rPr>
      </w:pPr>
      <w:bookmarkStart w:id="9" w:name="_Toc12306460"/>
      <w:r w:rsidRPr="00BA3DFB">
        <w:rPr>
          <w:rFonts w:ascii="Times New Roman" w:hAnsi="Times New Roman" w:cs="Times New Roman"/>
          <w:color w:val="auto"/>
          <w:sz w:val="24"/>
          <w:szCs w:val="24"/>
        </w:rPr>
        <w:t>Tabel</w:t>
      </w:r>
      <w:r w:rsidR="00C61B99" w:rsidRPr="00BA3DFB">
        <w:rPr>
          <w:rFonts w:ascii="Times New Roman" w:hAnsi="Times New Roman" w:cs="Times New Roman"/>
          <w:color w:val="auto"/>
          <w:sz w:val="24"/>
          <w:szCs w:val="24"/>
        </w:rPr>
        <w:t xml:space="preserve">  </w:t>
      </w:r>
      <w:r w:rsidRPr="00BA3DFB">
        <w:rPr>
          <w:rFonts w:ascii="Times New Roman" w:hAnsi="Times New Roman" w:cs="Times New Roman"/>
          <w:color w:val="auto"/>
          <w:sz w:val="24"/>
          <w:szCs w:val="24"/>
        </w:rPr>
        <w:t>Kriteria Penetapan Peringkat Net Interest Margin (NIM)</w:t>
      </w:r>
      <w:bookmarkEnd w:id="9"/>
    </w:p>
    <w:tbl>
      <w:tblPr>
        <w:tblStyle w:val="TableGrid"/>
        <w:tblW w:w="0" w:type="auto"/>
        <w:jc w:val="center"/>
        <w:tblInd w:w="-788" w:type="dxa"/>
        <w:tblLook w:val="04A0" w:firstRow="1" w:lastRow="0" w:firstColumn="1" w:lastColumn="0" w:noHBand="0" w:noVBand="1"/>
      </w:tblPr>
      <w:tblGrid>
        <w:gridCol w:w="1590"/>
        <w:gridCol w:w="2552"/>
        <w:gridCol w:w="2659"/>
      </w:tblGrid>
      <w:tr w:rsidR="00BA3DFB" w:rsidRPr="00BA3DFB" w:rsidTr="00A715F4">
        <w:trPr>
          <w:jc w:val="center"/>
        </w:trPr>
        <w:tc>
          <w:tcPr>
            <w:tcW w:w="1590" w:type="dxa"/>
          </w:tcPr>
          <w:p w:rsidR="00DD241B" w:rsidRPr="00BA3DFB" w:rsidRDefault="00DD241B" w:rsidP="00A715F4">
            <w:pPr>
              <w:pStyle w:val="ListParagraph"/>
              <w:spacing w:line="480" w:lineRule="auto"/>
              <w:ind w:left="0"/>
              <w:jc w:val="center"/>
              <w:rPr>
                <w:rFonts w:ascii="Times New Roman" w:hAnsi="Times New Roman" w:cs="Times New Roman"/>
                <w:b/>
                <w:sz w:val="24"/>
                <w:szCs w:val="24"/>
              </w:rPr>
            </w:pPr>
            <w:r w:rsidRPr="00BA3DFB">
              <w:rPr>
                <w:rFonts w:ascii="Times New Roman" w:hAnsi="Times New Roman" w:cs="Times New Roman"/>
                <w:b/>
                <w:sz w:val="24"/>
                <w:szCs w:val="24"/>
              </w:rPr>
              <w:t>Peringkat</w:t>
            </w:r>
          </w:p>
        </w:tc>
        <w:tc>
          <w:tcPr>
            <w:tcW w:w="2552" w:type="dxa"/>
          </w:tcPr>
          <w:p w:rsidR="00DD241B" w:rsidRPr="00BA3DFB" w:rsidRDefault="00DD241B" w:rsidP="00A715F4">
            <w:pPr>
              <w:pStyle w:val="ListParagraph"/>
              <w:spacing w:line="480" w:lineRule="auto"/>
              <w:ind w:left="0"/>
              <w:jc w:val="center"/>
              <w:rPr>
                <w:rFonts w:ascii="Times New Roman" w:hAnsi="Times New Roman" w:cs="Times New Roman"/>
                <w:b/>
                <w:sz w:val="24"/>
                <w:szCs w:val="24"/>
              </w:rPr>
            </w:pPr>
            <w:r w:rsidRPr="00BA3DFB">
              <w:rPr>
                <w:rFonts w:ascii="Times New Roman" w:hAnsi="Times New Roman" w:cs="Times New Roman"/>
                <w:b/>
                <w:sz w:val="24"/>
                <w:szCs w:val="24"/>
              </w:rPr>
              <w:t>Keterangan</w:t>
            </w:r>
          </w:p>
        </w:tc>
        <w:tc>
          <w:tcPr>
            <w:tcW w:w="2659" w:type="dxa"/>
          </w:tcPr>
          <w:p w:rsidR="00DD241B" w:rsidRPr="00BA3DFB" w:rsidRDefault="00DD241B" w:rsidP="00A715F4">
            <w:pPr>
              <w:pStyle w:val="ListParagraph"/>
              <w:spacing w:line="480" w:lineRule="auto"/>
              <w:ind w:left="0"/>
              <w:jc w:val="center"/>
              <w:rPr>
                <w:rFonts w:ascii="Times New Roman" w:hAnsi="Times New Roman" w:cs="Times New Roman"/>
                <w:b/>
                <w:sz w:val="24"/>
                <w:szCs w:val="24"/>
              </w:rPr>
            </w:pPr>
            <w:r w:rsidRPr="00BA3DFB">
              <w:rPr>
                <w:rFonts w:ascii="Times New Roman" w:hAnsi="Times New Roman" w:cs="Times New Roman"/>
                <w:b/>
                <w:sz w:val="24"/>
                <w:szCs w:val="24"/>
              </w:rPr>
              <w:t>Kriteria</w:t>
            </w:r>
          </w:p>
        </w:tc>
      </w:tr>
      <w:tr w:rsidR="00BA3DFB" w:rsidRPr="00BA3DFB" w:rsidTr="00A715F4">
        <w:trPr>
          <w:jc w:val="center"/>
        </w:trPr>
        <w:tc>
          <w:tcPr>
            <w:tcW w:w="1590" w:type="dxa"/>
          </w:tcPr>
          <w:p w:rsidR="00DD241B" w:rsidRPr="00BA3DFB" w:rsidRDefault="00DD241B" w:rsidP="00A715F4">
            <w:pPr>
              <w:pStyle w:val="ListParagraph"/>
              <w:spacing w:line="480" w:lineRule="auto"/>
              <w:ind w:left="0"/>
              <w:jc w:val="center"/>
              <w:rPr>
                <w:rFonts w:ascii="Times New Roman" w:hAnsi="Times New Roman" w:cs="Times New Roman"/>
                <w:sz w:val="24"/>
                <w:szCs w:val="24"/>
              </w:rPr>
            </w:pPr>
            <w:r w:rsidRPr="00BA3DFB">
              <w:rPr>
                <w:rFonts w:ascii="Times New Roman" w:hAnsi="Times New Roman" w:cs="Times New Roman"/>
                <w:sz w:val="24"/>
                <w:szCs w:val="24"/>
              </w:rPr>
              <w:t>1</w:t>
            </w:r>
          </w:p>
        </w:tc>
        <w:tc>
          <w:tcPr>
            <w:tcW w:w="2552" w:type="dxa"/>
          </w:tcPr>
          <w:p w:rsidR="00DD241B" w:rsidRPr="00BA3DFB" w:rsidRDefault="00DD241B" w:rsidP="00A715F4">
            <w:pPr>
              <w:pStyle w:val="ListParagraph"/>
              <w:spacing w:line="480" w:lineRule="auto"/>
              <w:ind w:left="0"/>
              <w:jc w:val="center"/>
              <w:rPr>
                <w:rFonts w:ascii="Times New Roman" w:hAnsi="Times New Roman" w:cs="Times New Roman"/>
                <w:sz w:val="24"/>
                <w:szCs w:val="24"/>
              </w:rPr>
            </w:pPr>
            <w:r w:rsidRPr="00BA3DFB">
              <w:rPr>
                <w:rFonts w:ascii="Times New Roman" w:hAnsi="Times New Roman" w:cs="Times New Roman"/>
                <w:sz w:val="24"/>
                <w:szCs w:val="24"/>
              </w:rPr>
              <w:t>Sangat Sehat</w:t>
            </w:r>
          </w:p>
        </w:tc>
        <w:tc>
          <w:tcPr>
            <w:tcW w:w="2659" w:type="dxa"/>
          </w:tcPr>
          <w:p w:rsidR="00DD241B" w:rsidRPr="00BA3DFB" w:rsidRDefault="00DD241B" w:rsidP="00A715F4">
            <w:pPr>
              <w:pStyle w:val="ListParagraph"/>
              <w:spacing w:line="480" w:lineRule="auto"/>
              <w:ind w:left="0"/>
              <w:jc w:val="center"/>
              <w:rPr>
                <w:rFonts w:ascii="Times New Roman" w:hAnsi="Times New Roman" w:cs="Times New Roman"/>
                <w:sz w:val="24"/>
                <w:szCs w:val="24"/>
              </w:rPr>
            </w:pPr>
            <w:r w:rsidRPr="00BA3DFB">
              <w:rPr>
                <w:rFonts w:ascii="Times New Roman" w:hAnsi="Times New Roman" w:cs="Times New Roman"/>
                <w:sz w:val="24"/>
                <w:szCs w:val="24"/>
              </w:rPr>
              <w:t>3% &lt; NIM</w:t>
            </w:r>
          </w:p>
        </w:tc>
      </w:tr>
      <w:tr w:rsidR="00BA3DFB" w:rsidRPr="00BA3DFB" w:rsidTr="00A715F4">
        <w:trPr>
          <w:jc w:val="center"/>
        </w:trPr>
        <w:tc>
          <w:tcPr>
            <w:tcW w:w="1590" w:type="dxa"/>
          </w:tcPr>
          <w:p w:rsidR="00DD241B" w:rsidRPr="00BA3DFB" w:rsidRDefault="00DD241B" w:rsidP="00A715F4">
            <w:pPr>
              <w:pStyle w:val="ListParagraph"/>
              <w:spacing w:line="480" w:lineRule="auto"/>
              <w:ind w:left="0"/>
              <w:jc w:val="center"/>
              <w:rPr>
                <w:rFonts w:ascii="Times New Roman" w:hAnsi="Times New Roman" w:cs="Times New Roman"/>
                <w:sz w:val="24"/>
                <w:szCs w:val="24"/>
              </w:rPr>
            </w:pPr>
            <w:r w:rsidRPr="00BA3DFB">
              <w:rPr>
                <w:rFonts w:ascii="Times New Roman" w:hAnsi="Times New Roman" w:cs="Times New Roman"/>
                <w:sz w:val="24"/>
                <w:szCs w:val="24"/>
              </w:rPr>
              <w:t>2</w:t>
            </w:r>
          </w:p>
        </w:tc>
        <w:tc>
          <w:tcPr>
            <w:tcW w:w="2552" w:type="dxa"/>
          </w:tcPr>
          <w:p w:rsidR="00DD241B" w:rsidRPr="00BA3DFB" w:rsidRDefault="00DD241B" w:rsidP="00A715F4">
            <w:pPr>
              <w:pStyle w:val="ListParagraph"/>
              <w:spacing w:line="480" w:lineRule="auto"/>
              <w:ind w:left="0"/>
              <w:jc w:val="center"/>
              <w:rPr>
                <w:rFonts w:ascii="Times New Roman" w:hAnsi="Times New Roman" w:cs="Times New Roman"/>
                <w:sz w:val="24"/>
                <w:szCs w:val="24"/>
              </w:rPr>
            </w:pPr>
            <w:r w:rsidRPr="00BA3DFB">
              <w:rPr>
                <w:rFonts w:ascii="Times New Roman" w:hAnsi="Times New Roman" w:cs="Times New Roman"/>
                <w:sz w:val="24"/>
                <w:szCs w:val="24"/>
              </w:rPr>
              <w:t>Sehat</w:t>
            </w:r>
          </w:p>
        </w:tc>
        <w:tc>
          <w:tcPr>
            <w:tcW w:w="2659" w:type="dxa"/>
          </w:tcPr>
          <w:p w:rsidR="00DD241B" w:rsidRPr="00BA3DFB" w:rsidRDefault="00DD241B" w:rsidP="00A715F4">
            <w:pPr>
              <w:pStyle w:val="ListParagraph"/>
              <w:spacing w:line="480" w:lineRule="auto"/>
              <w:ind w:left="0"/>
              <w:jc w:val="center"/>
              <w:rPr>
                <w:rFonts w:ascii="Times New Roman" w:hAnsi="Times New Roman" w:cs="Times New Roman"/>
                <w:sz w:val="24"/>
                <w:szCs w:val="24"/>
              </w:rPr>
            </w:pPr>
            <w:r w:rsidRPr="00BA3DFB">
              <w:rPr>
                <w:rFonts w:ascii="Times New Roman" w:hAnsi="Times New Roman" w:cs="Times New Roman"/>
                <w:sz w:val="24"/>
                <w:szCs w:val="24"/>
              </w:rPr>
              <w:t>2% &lt; NIM ≤ 3%</w:t>
            </w:r>
          </w:p>
        </w:tc>
      </w:tr>
      <w:tr w:rsidR="00BA3DFB" w:rsidRPr="00BA3DFB" w:rsidTr="00A715F4">
        <w:trPr>
          <w:jc w:val="center"/>
        </w:trPr>
        <w:tc>
          <w:tcPr>
            <w:tcW w:w="1590" w:type="dxa"/>
          </w:tcPr>
          <w:p w:rsidR="00DD241B" w:rsidRPr="00BA3DFB" w:rsidRDefault="00DD241B" w:rsidP="00A715F4">
            <w:pPr>
              <w:pStyle w:val="ListParagraph"/>
              <w:spacing w:line="480" w:lineRule="auto"/>
              <w:ind w:left="0"/>
              <w:jc w:val="center"/>
              <w:rPr>
                <w:rFonts w:ascii="Times New Roman" w:hAnsi="Times New Roman" w:cs="Times New Roman"/>
                <w:sz w:val="24"/>
                <w:szCs w:val="24"/>
              </w:rPr>
            </w:pPr>
            <w:r w:rsidRPr="00BA3DFB">
              <w:rPr>
                <w:rFonts w:ascii="Times New Roman" w:hAnsi="Times New Roman" w:cs="Times New Roman"/>
                <w:sz w:val="24"/>
                <w:szCs w:val="24"/>
              </w:rPr>
              <w:t>3</w:t>
            </w:r>
          </w:p>
        </w:tc>
        <w:tc>
          <w:tcPr>
            <w:tcW w:w="2552" w:type="dxa"/>
          </w:tcPr>
          <w:p w:rsidR="00DD241B" w:rsidRPr="00BA3DFB" w:rsidRDefault="00DD241B" w:rsidP="00A715F4">
            <w:pPr>
              <w:pStyle w:val="ListParagraph"/>
              <w:spacing w:line="480" w:lineRule="auto"/>
              <w:ind w:left="0"/>
              <w:jc w:val="center"/>
              <w:rPr>
                <w:rFonts w:ascii="Times New Roman" w:hAnsi="Times New Roman" w:cs="Times New Roman"/>
                <w:sz w:val="24"/>
                <w:szCs w:val="24"/>
              </w:rPr>
            </w:pPr>
            <w:r w:rsidRPr="00BA3DFB">
              <w:rPr>
                <w:rFonts w:ascii="Times New Roman" w:hAnsi="Times New Roman" w:cs="Times New Roman"/>
                <w:sz w:val="24"/>
                <w:szCs w:val="24"/>
              </w:rPr>
              <w:t>Cukup Sehat</w:t>
            </w:r>
          </w:p>
        </w:tc>
        <w:tc>
          <w:tcPr>
            <w:tcW w:w="2659" w:type="dxa"/>
          </w:tcPr>
          <w:p w:rsidR="00DD241B" w:rsidRPr="00BA3DFB" w:rsidRDefault="00DD241B" w:rsidP="00A715F4">
            <w:pPr>
              <w:pStyle w:val="ListParagraph"/>
              <w:spacing w:line="480" w:lineRule="auto"/>
              <w:ind w:left="0"/>
              <w:jc w:val="center"/>
              <w:rPr>
                <w:rFonts w:ascii="Times New Roman" w:hAnsi="Times New Roman" w:cs="Times New Roman"/>
                <w:sz w:val="24"/>
                <w:szCs w:val="24"/>
              </w:rPr>
            </w:pPr>
            <w:r w:rsidRPr="00BA3DFB">
              <w:rPr>
                <w:rFonts w:ascii="Times New Roman" w:hAnsi="Times New Roman" w:cs="Times New Roman"/>
                <w:sz w:val="24"/>
                <w:szCs w:val="24"/>
              </w:rPr>
              <w:t>1,5 %&lt; NIM ≤ 2%</w:t>
            </w:r>
          </w:p>
        </w:tc>
      </w:tr>
      <w:tr w:rsidR="00BA3DFB" w:rsidRPr="00BA3DFB" w:rsidTr="00A715F4">
        <w:trPr>
          <w:jc w:val="center"/>
        </w:trPr>
        <w:tc>
          <w:tcPr>
            <w:tcW w:w="1590" w:type="dxa"/>
          </w:tcPr>
          <w:p w:rsidR="00DD241B" w:rsidRPr="00BA3DFB" w:rsidRDefault="00DD241B" w:rsidP="00A715F4">
            <w:pPr>
              <w:pStyle w:val="ListParagraph"/>
              <w:spacing w:line="480" w:lineRule="auto"/>
              <w:ind w:left="0"/>
              <w:jc w:val="center"/>
              <w:rPr>
                <w:rFonts w:ascii="Times New Roman" w:hAnsi="Times New Roman" w:cs="Times New Roman"/>
                <w:sz w:val="24"/>
                <w:szCs w:val="24"/>
              </w:rPr>
            </w:pPr>
            <w:r w:rsidRPr="00BA3DFB">
              <w:rPr>
                <w:rFonts w:ascii="Times New Roman" w:hAnsi="Times New Roman" w:cs="Times New Roman"/>
                <w:sz w:val="24"/>
                <w:szCs w:val="24"/>
              </w:rPr>
              <w:t>4</w:t>
            </w:r>
          </w:p>
        </w:tc>
        <w:tc>
          <w:tcPr>
            <w:tcW w:w="2552" w:type="dxa"/>
          </w:tcPr>
          <w:p w:rsidR="00DD241B" w:rsidRPr="00BA3DFB" w:rsidRDefault="00DD241B" w:rsidP="00A715F4">
            <w:pPr>
              <w:pStyle w:val="ListParagraph"/>
              <w:spacing w:line="480" w:lineRule="auto"/>
              <w:ind w:left="0"/>
              <w:jc w:val="center"/>
              <w:rPr>
                <w:rFonts w:ascii="Times New Roman" w:hAnsi="Times New Roman" w:cs="Times New Roman"/>
                <w:sz w:val="24"/>
                <w:szCs w:val="24"/>
              </w:rPr>
            </w:pPr>
            <w:r w:rsidRPr="00BA3DFB">
              <w:rPr>
                <w:rFonts w:ascii="Times New Roman" w:hAnsi="Times New Roman" w:cs="Times New Roman"/>
                <w:sz w:val="24"/>
                <w:szCs w:val="24"/>
              </w:rPr>
              <w:t>Kurang Sehat</w:t>
            </w:r>
          </w:p>
        </w:tc>
        <w:tc>
          <w:tcPr>
            <w:tcW w:w="2659" w:type="dxa"/>
          </w:tcPr>
          <w:p w:rsidR="00DD241B" w:rsidRPr="00BA3DFB" w:rsidRDefault="00DD241B" w:rsidP="00A715F4">
            <w:pPr>
              <w:pStyle w:val="ListParagraph"/>
              <w:spacing w:line="480" w:lineRule="auto"/>
              <w:ind w:left="0"/>
              <w:jc w:val="center"/>
              <w:rPr>
                <w:rFonts w:ascii="Times New Roman" w:hAnsi="Times New Roman" w:cs="Times New Roman"/>
                <w:sz w:val="24"/>
                <w:szCs w:val="24"/>
              </w:rPr>
            </w:pPr>
            <w:r w:rsidRPr="00BA3DFB">
              <w:rPr>
                <w:rFonts w:ascii="Times New Roman" w:hAnsi="Times New Roman" w:cs="Times New Roman"/>
                <w:sz w:val="24"/>
                <w:szCs w:val="24"/>
              </w:rPr>
              <w:t>1% &lt; NIM ≤ 1,5%</w:t>
            </w:r>
          </w:p>
        </w:tc>
      </w:tr>
      <w:tr w:rsidR="00BA3DFB" w:rsidRPr="00BA3DFB" w:rsidTr="00A715F4">
        <w:trPr>
          <w:jc w:val="center"/>
        </w:trPr>
        <w:tc>
          <w:tcPr>
            <w:tcW w:w="1590" w:type="dxa"/>
          </w:tcPr>
          <w:p w:rsidR="00DD241B" w:rsidRPr="00BA3DFB" w:rsidRDefault="00DD241B" w:rsidP="00A715F4">
            <w:pPr>
              <w:pStyle w:val="ListParagraph"/>
              <w:spacing w:line="480" w:lineRule="auto"/>
              <w:ind w:left="0"/>
              <w:jc w:val="center"/>
              <w:rPr>
                <w:rFonts w:ascii="Times New Roman" w:hAnsi="Times New Roman" w:cs="Times New Roman"/>
                <w:sz w:val="24"/>
                <w:szCs w:val="24"/>
              </w:rPr>
            </w:pPr>
            <w:r w:rsidRPr="00BA3DFB">
              <w:rPr>
                <w:rFonts w:ascii="Times New Roman" w:hAnsi="Times New Roman" w:cs="Times New Roman"/>
                <w:sz w:val="24"/>
                <w:szCs w:val="24"/>
              </w:rPr>
              <w:t>5</w:t>
            </w:r>
          </w:p>
        </w:tc>
        <w:tc>
          <w:tcPr>
            <w:tcW w:w="2552" w:type="dxa"/>
          </w:tcPr>
          <w:p w:rsidR="00DD241B" w:rsidRPr="00BA3DFB" w:rsidRDefault="00DD241B" w:rsidP="00A715F4">
            <w:pPr>
              <w:pStyle w:val="ListParagraph"/>
              <w:spacing w:line="480" w:lineRule="auto"/>
              <w:ind w:left="0"/>
              <w:jc w:val="center"/>
              <w:rPr>
                <w:rFonts w:ascii="Times New Roman" w:hAnsi="Times New Roman" w:cs="Times New Roman"/>
                <w:sz w:val="24"/>
                <w:szCs w:val="24"/>
              </w:rPr>
            </w:pPr>
            <w:r w:rsidRPr="00BA3DFB">
              <w:rPr>
                <w:rFonts w:ascii="Times New Roman" w:hAnsi="Times New Roman" w:cs="Times New Roman"/>
                <w:sz w:val="24"/>
                <w:szCs w:val="24"/>
              </w:rPr>
              <w:t>Tidak Sehat</w:t>
            </w:r>
          </w:p>
        </w:tc>
        <w:tc>
          <w:tcPr>
            <w:tcW w:w="2659" w:type="dxa"/>
          </w:tcPr>
          <w:p w:rsidR="00DD241B" w:rsidRPr="00BA3DFB" w:rsidRDefault="00DD241B" w:rsidP="00A715F4">
            <w:pPr>
              <w:pStyle w:val="ListParagraph"/>
              <w:spacing w:line="480" w:lineRule="auto"/>
              <w:ind w:left="0"/>
              <w:jc w:val="center"/>
              <w:rPr>
                <w:rFonts w:ascii="Times New Roman" w:hAnsi="Times New Roman" w:cs="Times New Roman"/>
                <w:sz w:val="24"/>
                <w:szCs w:val="24"/>
              </w:rPr>
            </w:pPr>
            <w:r w:rsidRPr="00BA3DFB">
              <w:rPr>
                <w:rFonts w:ascii="Times New Roman" w:hAnsi="Times New Roman" w:cs="Times New Roman"/>
                <w:sz w:val="24"/>
                <w:szCs w:val="24"/>
              </w:rPr>
              <w:t>NIM ≤ 1%</w:t>
            </w:r>
          </w:p>
        </w:tc>
      </w:tr>
    </w:tbl>
    <w:p w:rsidR="00DD241B" w:rsidRPr="00BA3DFB" w:rsidRDefault="00DD241B" w:rsidP="00DD241B">
      <w:pPr>
        <w:spacing w:line="480" w:lineRule="auto"/>
        <w:ind w:firstLine="720"/>
        <w:jc w:val="both"/>
        <w:rPr>
          <w:rFonts w:ascii="Times New Roman" w:hAnsi="Times New Roman" w:cs="Times New Roman"/>
          <w:sz w:val="24"/>
          <w:szCs w:val="24"/>
        </w:rPr>
      </w:pPr>
      <w:r w:rsidRPr="00BA3DFB">
        <w:rPr>
          <w:rFonts w:ascii="Times New Roman" w:hAnsi="Times New Roman" w:cs="Times New Roman"/>
          <w:sz w:val="24"/>
          <w:szCs w:val="24"/>
        </w:rPr>
        <w:t>Sumber : Surat Edaran Bank Indonesia No.13/24/DPNP Tahun 2011</w:t>
      </w:r>
    </w:p>
    <w:p w:rsidR="00DD241B" w:rsidRPr="00BA3DFB" w:rsidRDefault="00DD241B" w:rsidP="00DD241B">
      <w:pPr>
        <w:pStyle w:val="ListParagraph"/>
        <w:numPr>
          <w:ilvl w:val="0"/>
          <w:numId w:val="3"/>
        </w:numPr>
        <w:spacing w:line="480" w:lineRule="auto"/>
        <w:jc w:val="both"/>
        <w:rPr>
          <w:rFonts w:ascii="Times New Roman" w:hAnsi="Times New Roman" w:cs="Times New Roman"/>
          <w:sz w:val="24"/>
          <w:szCs w:val="24"/>
        </w:rPr>
      </w:pPr>
      <w:r w:rsidRPr="00BA3DFB">
        <w:rPr>
          <w:rFonts w:ascii="Times New Roman" w:hAnsi="Times New Roman" w:cs="Times New Roman"/>
          <w:sz w:val="24"/>
          <w:szCs w:val="24"/>
        </w:rPr>
        <w:t>Beban Operasional terhadap Pendapatan Operasional (BOPO)</w:t>
      </w:r>
    </w:p>
    <w:p w:rsidR="00DD241B" w:rsidRPr="00BA3DFB" w:rsidRDefault="00DD241B" w:rsidP="00DD241B">
      <w:pPr>
        <w:spacing w:line="480" w:lineRule="auto"/>
        <w:ind w:left="1276"/>
        <w:jc w:val="both"/>
        <w:rPr>
          <w:rFonts w:ascii="Times New Roman" w:hAnsi="Times New Roman" w:cs="Times New Roman"/>
          <w:sz w:val="24"/>
          <w:szCs w:val="24"/>
        </w:rPr>
      </w:pPr>
      <m:oMathPara>
        <m:oMathParaPr>
          <m:jc m:val="left"/>
        </m:oMathParaPr>
        <m:oMath>
          <m:r>
            <w:rPr>
              <w:rFonts w:ascii="Cambria Math" w:hAnsi="Cambria Math" w:cs="Times New Roman"/>
              <w:sz w:val="24"/>
              <w:szCs w:val="24"/>
            </w:rPr>
            <m:t>BOPO</m:t>
          </m:r>
          <m:r>
            <m:rPr>
              <m:sty m:val="p"/>
            </m:rPr>
            <w:rPr>
              <w:rFonts w:ascii="Cambria Math" w:hAnsi="Times New Roman" w:cs="Times New Roman"/>
              <w:sz w:val="24"/>
              <w:szCs w:val="24"/>
            </w:rPr>
            <m:t>=</m:t>
          </m:r>
          <m:f>
            <m:fPr>
              <m:ctrlPr>
                <w:rPr>
                  <w:rFonts w:ascii="Cambria Math" w:hAnsi="Times New Roman" w:cs="Times New Roman"/>
                  <w:sz w:val="24"/>
                  <w:szCs w:val="24"/>
                </w:rPr>
              </m:ctrlPr>
            </m:fPr>
            <m:num>
              <m:r>
                <m:rPr>
                  <m:sty m:val="p"/>
                </m:rPr>
                <w:rPr>
                  <w:rFonts w:ascii="Cambria Math" w:hAnsi="Times New Roman" w:cs="Times New Roman"/>
                  <w:sz w:val="24"/>
                  <w:szCs w:val="24"/>
                </w:rPr>
                <m:t>Beban Operasional</m:t>
              </m:r>
            </m:num>
            <m:den>
              <m:r>
                <m:rPr>
                  <m:sty m:val="p"/>
                </m:rPr>
                <w:rPr>
                  <w:rFonts w:ascii="Cambria Math" w:hAnsi="Times New Roman" w:cs="Times New Roman"/>
                  <w:sz w:val="24"/>
                  <w:szCs w:val="24"/>
                </w:rPr>
                <m:t>Pendapatan Operasional</m:t>
              </m:r>
            </m:den>
          </m:f>
          <m:r>
            <m:rPr>
              <m:sty m:val="p"/>
            </m:rPr>
            <w:rPr>
              <w:rFonts w:ascii="Cambria Math" w:hAnsi="Times New Roman" w:cs="Times New Roman"/>
              <w:sz w:val="24"/>
              <w:szCs w:val="24"/>
            </w:rPr>
            <m:t>x 100%</m:t>
          </m:r>
        </m:oMath>
      </m:oMathPara>
    </w:p>
    <w:p w:rsidR="00DD241B" w:rsidRPr="00BA3DFB" w:rsidRDefault="00DD241B" w:rsidP="00C61B99">
      <w:pPr>
        <w:spacing w:line="480" w:lineRule="auto"/>
        <w:jc w:val="both"/>
        <w:rPr>
          <w:rFonts w:ascii="Times New Roman" w:hAnsi="Times New Roman" w:cs="Times New Roman"/>
          <w:sz w:val="24"/>
          <w:szCs w:val="24"/>
        </w:rPr>
      </w:pPr>
    </w:p>
    <w:p w:rsidR="00DD241B" w:rsidRPr="00BA3DFB" w:rsidRDefault="00DD241B" w:rsidP="00DD241B">
      <w:pPr>
        <w:pStyle w:val="Heading4"/>
        <w:numPr>
          <w:ilvl w:val="0"/>
          <w:numId w:val="4"/>
        </w:numPr>
        <w:spacing w:line="480" w:lineRule="auto"/>
        <w:rPr>
          <w:rFonts w:ascii="Times New Roman" w:hAnsi="Times New Roman" w:cs="Times New Roman"/>
          <w:color w:val="auto"/>
          <w:sz w:val="24"/>
        </w:rPr>
      </w:pPr>
      <w:r w:rsidRPr="00BA3DFB">
        <w:rPr>
          <w:rFonts w:ascii="Times New Roman" w:hAnsi="Times New Roman" w:cs="Times New Roman"/>
          <w:color w:val="auto"/>
          <w:sz w:val="24"/>
        </w:rPr>
        <w:lastRenderedPageBreak/>
        <w:t>Capital</w:t>
      </w:r>
    </w:p>
    <w:p w:rsidR="00DD241B" w:rsidRPr="00BA3DFB" w:rsidRDefault="00DD241B" w:rsidP="00DD241B">
      <w:pPr>
        <w:spacing w:line="480" w:lineRule="auto"/>
        <w:ind w:left="568" w:firstLine="720"/>
        <w:jc w:val="both"/>
        <w:rPr>
          <w:rFonts w:ascii="Times New Roman" w:hAnsi="Times New Roman" w:cs="Times New Roman"/>
          <w:sz w:val="24"/>
          <w:szCs w:val="24"/>
        </w:rPr>
      </w:pPr>
      <w:r w:rsidRPr="00BA3DFB">
        <w:rPr>
          <w:rFonts w:ascii="Times New Roman" w:hAnsi="Times New Roman" w:cs="Times New Roman"/>
          <w:i/>
          <w:sz w:val="24"/>
          <w:szCs w:val="24"/>
        </w:rPr>
        <w:t xml:space="preserve">Capital </w:t>
      </w:r>
      <w:r w:rsidRPr="00BA3DFB">
        <w:rPr>
          <w:rFonts w:ascii="Times New Roman" w:hAnsi="Times New Roman" w:cs="Times New Roman"/>
          <w:sz w:val="24"/>
          <w:szCs w:val="24"/>
        </w:rPr>
        <w:t>atau permodalan memiliki indicator antara lain rasio kecukupan modal daln kecukupan modal bank untuk mengantisipasi potensi kerugian sesuai profil resiko, yang disertai dengan pengelolaan permodalan yang sangat kuat sesuai dengan karakteristik, skala usaha dan kompleksitas usaha bank.</w:t>
      </w:r>
    </w:p>
    <w:p w:rsidR="00DD241B" w:rsidRPr="00BA3DFB" w:rsidRDefault="00DD241B" w:rsidP="00DD241B">
      <w:pPr>
        <w:spacing w:line="480" w:lineRule="auto"/>
        <w:ind w:left="568" w:firstLine="720"/>
        <w:jc w:val="both"/>
        <w:rPr>
          <w:rFonts w:ascii="Times New Roman" w:hAnsi="Times New Roman" w:cs="Times New Roman"/>
          <w:sz w:val="24"/>
          <w:szCs w:val="24"/>
        </w:rPr>
      </w:pPr>
      <w:r w:rsidRPr="00BA3DFB">
        <w:rPr>
          <w:rFonts w:ascii="Times New Roman" w:hAnsi="Times New Roman" w:cs="Times New Roman"/>
          <w:sz w:val="24"/>
          <w:szCs w:val="24"/>
        </w:rPr>
        <w:t>Rasio kecukupan modal :</w:t>
      </w:r>
    </w:p>
    <w:p w:rsidR="00DD241B" w:rsidRPr="00BA3DFB" w:rsidRDefault="00DD241B" w:rsidP="00DD241B">
      <w:pPr>
        <w:tabs>
          <w:tab w:val="left" w:pos="1276"/>
        </w:tabs>
        <w:spacing w:line="480" w:lineRule="auto"/>
        <w:ind w:left="1276"/>
        <w:jc w:val="both"/>
        <w:rPr>
          <w:rFonts w:ascii="Times New Roman" w:hAnsi="Times New Roman" w:cs="Times New Roman"/>
          <w:sz w:val="24"/>
          <w:szCs w:val="24"/>
        </w:rPr>
      </w:pPr>
      <m:oMathPara>
        <m:oMathParaPr>
          <m:jc m:val="left"/>
        </m:oMathParaPr>
        <m:oMath>
          <m:r>
            <w:rPr>
              <w:rFonts w:ascii="Cambria Math" w:hAnsi="Cambria Math" w:cs="Times New Roman"/>
              <w:sz w:val="24"/>
              <w:szCs w:val="24"/>
            </w:rPr>
            <m:t>CAR</m:t>
          </m:r>
          <m:r>
            <m:rPr>
              <m:sty m:val="p"/>
            </m:rPr>
            <w:rPr>
              <w:rFonts w:ascii="Cambria Math" w:hAnsi="Times New Roman" w:cs="Times New Roman"/>
              <w:sz w:val="24"/>
              <w:szCs w:val="24"/>
            </w:rPr>
            <m:t>=</m:t>
          </m:r>
          <m:f>
            <m:fPr>
              <m:ctrlPr>
                <w:rPr>
                  <w:rFonts w:ascii="Cambria Math" w:hAnsi="Times New Roman" w:cs="Times New Roman"/>
                  <w:sz w:val="24"/>
                  <w:szCs w:val="24"/>
                </w:rPr>
              </m:ctrlPr>
            </m:fPr>
            <m:num>
              <m:r>
                <m:rPr>
                  <m:sty m:val="p"/>
                </m:rPr>
                <w:rPr>
                  <w:rFonts w:ascii="Cambria Math" w:hAnsi="Times New Roman" w:cs="Times New Roman"/>
                  <w:sz w:val="24"/>
                  <w:szCs w:val="24"/>
                </w:rPr>
                <m:t>Modal</m:t>
              </m:r>
            </m:num>
            <m:den>
              <m:r>
                <m:rPr>
                  <m:sty m:val="p"/>
                </m:rPr>
                <w:rPr>
                  <w:rFonts w:ascii="Cambria Math" w:hAnsi="Times New Roman" w:cs="Times New Roman"/>
                  <w:sz w:val="24"/>
                  <w:szCs w:val="24"/>
                </w:rPr>
                <m:t>ATMR</m:t>
              </m:r>
            </m:den>
          </m:f>
          <m:r>
            <m:rPr>
              <m:sty m:val="p"/>
            </m:rPr>
            <w:rPr>
              <w:rFonts w:ascii="Cambria Math" w:hAnsi="Times New Roman" w:cs="Times New Roman"/>
              <w:sz w:val="24"/>
              <w:szCs w:val="24"/>
            </w:rPr>
            <m:t>x 100%</m:t>
          </m:r>
        </m:oMath>
      </m:oMathPara>
    </w:p>
    <w:p w:rsidR="00DD241B" w:rsidRPr="00BA3DFB" w:rsidRDefault="00DD241B" w:rsidP="00DD241B">
      <w:pPr>
        <w:pStyle w:val="Caption"/>
        <w:spacing w:line="480" w:lineRule="auto"/>
        <w:jc w:val="center"/>
        <w:rPr>
          <w:rFonts w:ascii="Times New Roman" w:hAnsi="Times New Roman" w:cs="Times New Roman"/>
          <w:color w:val="auto"/>
          <w:sz w:val="24"/>
          <w:szCs w:val="24"/>
        </w:rPr>
      </w:pPr>
      <w:bookmarkStart w:id="10" w:name="_Toc12306461"/>
      <w:r w:rsidRPr="00BA3DFB">
        <w:rPr>
          <w:rFonts w:ascii="Times New Roman" w:hAnsi="Times New Roman" w:cs="Times New Roman"/>
          <w:color w:val="auto"/>
          <w:sz w:val="24"/>
          <w:szCs w:val="24"/>
        </w:rPr>
        <w:t xml:space="preserve">Tabel </w:t>
      </w:r>
      <w:r w:rsidR="007448CE" w:rsidRPr="00BA3DFB">
        <w:rPr>
          <w:rFonts w:ascii="Times New Roman" w:hAnsi="Times New Roman" w:cs="Times New Roman"/>
          <w:color w:val="auto"/>
          <w:sz w:val="24"/>
          <w:szCs w:val="24"/>
        </w:rPr>
        <w:t xml:space="preserve"> </w:t>
      </w:r>
      <w:r w:rsidRPr="00BA3DFB">
        <w:rPr>
          <w:rFonts w:ascii="Times New Roman" w:hAnsi="Times New Roman" w:cs="Times New Roman"/>
          <w:color w:val="auto"/>
          <w:sz w:val="24"/>
          <w:szCs w:val="24"/>
        </w:rPr>
        <w:t>Kriteria Penetapan Peringkat Capital Adequacy Ratio (CAR)</w:t>
      </w:r>
      <w:bookmarkEnd w:id="10"/>
    </w:p>
    <w:tbl>
      <w:tblPr>
        <w:tblStyle w:val="TableGrid"/>
        <w:tblW w:w="0" w:type="auto"/>
        <w:jc w:val="center"/>
        <w:tblInd w:w="1353" w:type="dxa"/>
        <w:tblLook w:val="04A0" w:firstRow="1" w:lastRow="0" w:firstColumn="1" w:lastColumn="0" w:noHBand="0" w:noVBand="1"/>
      </w:tblPr>
      <w:tblGrid>
        <w:gridCol w:w="1590"/>
        <w:gridCol w:w="2552"/>
        <w:gridCol w:w="2659"/>
      </w:tblGrid>
      <w:tr w:rsidR="00BA3DFB" w:rsidRPr="00BA3DFB" w:rsidTr="00A715F4">
        <w:trPr>
          <w:jc w:val="center"/>
        </w:trPr>
        <w:tc>
          <w:tcPr>
            <w:tcW w:w="1590" w:type="dxa"/>
          </w:tcPr>
          <w:p w:rsidR="00DD241B" w:rsidRPr="00BA3DFB" w:rsidRDefault="00DD241B" w:rsidP="00A715F4">
            <w:pPr>
              <w:pStyle w:val="ListParagraph"/>
              <w:spacing w:line="480" w:lineRule="auto"/>
              <w:ind w:left="0"/>
              <w:jc w:val="center"/>
              <w:rPr>
                <w:rFonts w:ascii="Times New Roman" w:hAnsi="Times New Roman" w:cs="Times New Roman"/>
                <w:b/>
                <w:sz w:val="24"/>
                <w:szCs w:val="24"/>
              </w:rPr>
            </w:pPr>
            <w:r w:rsidRPr="00BA3DFB">
              <w:rPr>
                <w:rFonts w:ascii="Times New Roman" w:hAnsi="Times New Roman" w:cs="Times New Roman"/>
                <w:b/>
                <w:sz w:val="24"/>
                <w:szCs w:val="24"/>
              </w:rPr>
              <w:t>Peringkat</w:t>
            </w:r>
          </w:p>
        </w:tc>
        <w:tc>
          <w:tcPr>
            <w:tcW w:w="2552" w:type="dxa"/>
          </w:tcPr>
          <w:p w:rsidR="00DD241B" w:rsidRPr="00BA3DFB" w:rsidRDefault="00DD241B" w:rsidP="00A715F4">
            <w:pPr>
              <w:pStyle w:val="ListParagraph"/>
              <w:spacing w:line="480" w:lineRule="auto"/>
              <w:ind w:left="0"/>
              <w:jc w:val="center"/>
              <w:rPr>
                <w:rFonts w:ascii="Times New Roman" w:hAnsi="Times New Roman" w:cs="Times New Roman"/>
                <w:b/>
                <w:sz w:val="24"/>
                <w:szCs w:val="24"/>
              </w:rPr>
            </w:pPr>
            <w:r w:rsidRPr="00BA3DFB">
              <w:rPr>
                <w:rFonts w:ascii="Times New Roman" w:hAnsi="Times New Roman" w:cs="Times New Roman"/>
                <w:b/>
                <w:sz w:val="24"/>
                <w:szCs w:val="24"/>
              </w:rPr>
              <w:t>Keterangan</w:t>
            </w:r>
          </w:p>
        </w:tc>
        <w:tc>
          <w:tcPr>
            <w:tcW w:w="2659" w:type="dxa"/>
          </w:tcPr>
          <w:p w:rsidR="00DD241B" w:rsidRPr="00BA3DFB" w:rsidRDefault="00DD241B" w:rsidP="00A715F4">
            <w:pPr>
              <w:pStyle w:val="ListParagraph"/>
              <w:spacing w:line="480" w:lineRule="auto"/>
              <w:ind w:left="0"/>
              <w:jc w:val="center"/>
              <w:rPr>
                <w:rFonts w:ascii="Times New Roman" w:hAnsi="Times New Roman" w:cs="Times New Roman"/>
                <w:b/>
                <w:sz w:val="24"/>
                <w:szCs w:val="24"/>
              </w:rPr>
            </w:pPr>
            <w:r w:rsidRPr="00BA3DFB">
              <w:rPr>
                <w:rFonts w:ascii="Times New Roman" w:hAnsi="Times New Roman" w:cs="Times New Roman"/>
                <w:b/>
                <w:sz w:val="24"/>
                <w:szCs w:val="24"/>
              </w:rPr>
              <w:t>Kriteria</w:t>
            </w:r>
          </w:p>
        </w:tc>
      </w:tr>
      <w:tr w:rsidR="00BA3DFB" w:rsidRPr="00BA3DFB" w:rsidTr="00A715F4">
        <w:trPr>
          <w:jc w:val="center"/>
        </w:trPr>
        <w:tc>
          <w:tcPr>
            <w:tcW w:w="1590" w:type="dxa"/>
          </w:tcPr>
          <w:p w:rsidR="00DD241B" w:rsidRPr="00BA3DFB" w:rsidRDefault="00DD241B" w:rsidP="00A715F4">
            <w:pPr>
              <w:pStyle w:val="ListParagraph"/>
              <w:spacing w:line="480" w:lineRule="auto"/>
              <w:ind w:left="0"/>
              <w:jc w:val="center"/>
              <w:rPr>
                <w:rFonts w:ascii="Times New Roman" w:hAnsi="Times New Roman" w:cs="Times New Roman"/>
                <w:sz w:val="24"/>
                <w:szCs w:val="24"/>
              </w:rPr>
            </w:pPr>
            <w:r w:rsidRPr="00BA3DFB">
              <w:rPr>
                <w:rFonts w:ascii="Times New Roman" w:hAnsi="Times New Roman" w:cs="Times New Roman"/>
                <w:sz w:val="24"/>
                <w:szCs w:val="24"/>
              </w:rPr>
              <w:t>1</w:t>
            </w:r>
          </w:p>
        </w:tc>
        <w:tc>
          <w:tcPr>
            <w:tcW w:w="2552" w:type="dxa"/>
          </w:tcPr>
          <w:p w:rsidR="00DD241B" w:rsidRPr="00BA3DFB" w:rsidRDefault="00DD241B" w:rsidP="00A715F4">
            <w:pPr>
              <w:pStyle w:val="ListParagraph"/>
              <w:spacing w:line="480" w:lineRule="auto"/>
              <w:ind w:left="0"/>
              <w:jc w:val="center"/>
              <w:rPr>
                <w:rFonts w:ascii="Times New Roman" w:hAnsi="Times New Roman" w:cs="Times New Roman"/>
                <w:sz w:val="24"/>
                <w:szCs w:val="24"/>
              </w:rPr>
            </w:pPr>
            <w:r w:rsidRPr="00BA3DFB">
              <w:rPr>
                <w:rFonts w:ascii="Times New Roman" w:hAnsi="Times New Roman" w:cs="Times New Roman"/>
                <w:sz w:val="24"/>
                <w:szCs w:val="24"/>
              </w:rPr>
              <w:t>Sangat Sehat</w:t>
            </w:r>
          </w:p>
        </w:tc>
        <w:tc>
          <w:tcPr>
            <w:tcW w:w="2659" w:type="dxa"/>
          </w:tcPr>
          <w:p w:rsidR="00DD241B" w:rsidRPr="00BA3DFB" w:rsidRDefault="00DD241B" w:rsidP="00A715F4">
            <w:pPr>
              <w:pStyle w:val="ListParagraph"/>
              <w:spacing w:line="480" w:lineRule="auto"/>
              <w:ind w:left="0"/>
              <w:jc w:val="center"/>
              <w:rPr>
                <w:rFonts w:ascii="Times New Roman" w:hAnsi="Times New Roman" w:cs="Times New Roman"/>
                <w:sz w:val="24"/>
                <w:szCs w:val="24"/>
              </w:rPr>
            </w:pPr>
            <w:r w:rsidRPr="00BA3DFB">
              <w:rPr>
                <w:rFonts w:ascii="Times New Roman" w:hAnsi="Times New Roman" w:cs="Times New Roman"/>
                <w:sz w:val="24"/>
                <w:szCs w:val="24"/>
              </w:rPr>
              <w:t>CAR &gt; 12%</w:t>
            </w:r>
          </w:p>
        </w:tc>
      </w:tr>
      <w:tr w:rsidR="00BA3DFB" w:rsidRPr="00BA3DFB" w:rsidTr="00A715F4">
        <w:trPr>
          <w:jc w:val="center"/>
        </w:trPr>
        <w:tc>
          <w:tcPr>
            <w:tcW w:w="1590" w:type="dxa"/>
          </w:tcPr>
          <w:p w:rsidR="00DD241B" w:rsidRPr="00BA3DFB" w:rsidRDefault="00DD241B" w:rsidP="00A715F4">
            <w:pPr>
              <w:pStyle w:val="ListParagraph"/>
              <w:spacing w:line="480" w:lineRule="auto"/>
              <w:ind w:left="0"/>
              <w:jc w:val="center"/>
              <w:rPr>
                <w:rFonts w:ascii="Times New Roman" w:hAnsi="Times New Roman" w:cs="Times New Roman"/>
                <w:sz w:val="24"/>
                <w:szCs w:val="24"/>
              </w:rPr>
            </w:pPr>
            <w:r w:rsidRPr="00BA3DFB">
              <w:rPr>
                <w:rFonts w:ascii="Times New Roman" w:hAnsi="Times New Roman" w:cs="Times New Roman"/>
                <w:sz w:val="24"/>
                <w:szCs w:val="24"/>
              </w:rPr>
              <w:t>2</w:t>
            </w:r>
          </w:p>
        </w:tc>
        <w:tc>
          <w:tcPr>
            <w:tcW w:w="2552" w:type="dxa"/>
          </w:tcPr>
          <w:p w:rsidR="00DD241B" w:rsidRPr="00BA3DFB" w:rsidRDefault="00DD241B" w:rsidP="00A715F4">
            <w:pPr>
              <w:pStyle w:val="ListParagraph"/>
              <w:spacing w:line="480" w:lineRule="auto"/>
              <w:ind w:left="0"/>
              <w:jc w:val="center"/>
              <w:rPr>
                <w:rFonts w:ascii="Times New Roman" w:hAnsi="Times New Roman" w:cs="Times New Roman"/>
                <w:sz w:val="24"/>
                <w:szCs w:val="24"/>
              </w:rPr>
            </w:pPr>
            <w:r w:rsidRPr="00BA3DFB">
              <w:rPr>
                <w:rFonts w:ascii="Times New Roman" w:hAnsi="Times New Roman" w:cs="Times New Roman"/>
                <w:sz w:val="24"/>
                <w:szCs w:val="24"/>
              </w:rPr>
              <w:t>Sehat</w:t>
            </w:r>
          </w:p>
        </w:tc>
        <w:tc>
          <w:tcPr>
            <w:tcW w:w="2659" w:type="dxa"/>
          </w:tcPr>
          <w:p w:rsidR="00DD241B" w:rsidRPr="00BA3DFB" w:rsidRDefault="00DD241B" w:rsidP="00A715F4">
            <w:pPr>
              <w:pStyle w:val="ListParagraph"/>
              <w:spacing w:line="480" w:lineRule="auto"/>
              <w:ind w:left="0"/>
              <w:jc w:val="center"/>
              <w:rPr>
                <w:rFonts w:ascii="Times New Roman" w:hAnsi="Times New Roman" w:cs="Times New Roman"/>
                <w:sz w:val="24"/>
                <w:szCs w:val="24"/>
              </w:rPr>
            </w:pPr>
            <w:r w:rsidRPr="00BA3DFB">
              <w:rPr>
                <w:rFonts w:ascii="Times New Roman" w:hAnsi="Times New Roman" w:cs="Times New Roman"/>
                <w:sz w:val="24"/>
                <w:szCs w:val="24"/>
              </w:rPr>
              <w:t>9% ≤ CAR &lt; 12%</w:t>
            </w:r>
          </w:p>
        </w:tc>
      </w:tr>
      <w:tr w:rsidR="00BA3DFB" w:rsidRPr="00BA3DFB" w:rsidTr="00A715F4">
        <w:trPr>
          <w:jc w:val="center"/>
        </w:trPr>
        <w:tc>
          <w:tcPr>
            <w:tcW w:w="1590" w:type="dxa"/>
          </w:tcPr>
          <w:p w:rsidR="00DD241B" w:rsidRPr="00BA3DFB" w:rsidRDefault="00DD241B" w:rsidP="00A715F4">
            <w:pPr>
              <w:pStyle w:val="ListParagraph"/>
              <w:spacing w:line="480" w:lineRule="auto"/>
              <w:ind w:left="0"/>
              <w:jc w:val="center"/>
              <w:rPr>
                <w:rFonts w:ascii="Times New Roman" w:hAnsi="Times New Roman" w:cs="Times New Roman"/>
                <w:sz w:val="24"/>
                <w:szCs w:val="24"/>
              </w:rPr>
            </w:pPr>
            <w:r w:rsidRPr="00BA3DFB">
              <w:rPr>
                <w:rFonts w:ascii="Times New Roman" w:hAnsi="Times New Roman" w:cs="Times New Roman"/>
                <w:sz w:val="24"/>
                <w:szCs w:val="24"/>
              </w:rPr>
              <w:t>3</w:t>
            </w:r>
          </w:p>
        </w:tc>
        <w:tc>
          <w:tcPr>
            <w:tcW w:w="2552" w:type="dxa"/>
          </w:tcPr>
          <w:p w:rsidR="00DD241B" w:rsidRPr="00BA3DFB" w:rsidRDefault="00DD241B" w:rsidP="00A715F4">
            <w:pPr>
              <w:pStyle w:val="ListParagraph"/>
              <w:spacing w:line="480" w:lineRule="auto"/>
              <w:ind w:left="0"/>
              <w:jc w:val="center"/>
              <w:rPr>
                <w:rFonts w:ascii="Times New Roman" w:hAnsi="Times New Roman" w:cs="Times New Roman"/>
                <w:sz w:val="24"/>
                <w:szCs w:val="24"/>
              </w:rPr>
            </w:pPr>
            <w:r w:rsidRPr="00BA3DFB">
              <w:rPr>
                <w:rFonts w:ascii="Times New Roman" w:hAnsi="Times New Roman" w:cs="Times New Roman"/>
                <w:sz w:val="24"/>
                <w:szCs w:val="24"/>
              </w:rPr>
              <w:t>Cukup Sehat</w:t>
            </w:r>
          </w:p>
        </w:tc>
        <w:tc>
          <w:tcPr>
            <w:tcW w:w="2659" w:type="dxa"/>
          </w:tcPr>
          <w:p w:rsidR="00DD241B" w:rsidRPr="00BA3DFB" w:rsidRDefault="00DD241B" w:rsidP="00A715F4">
            <w:pPr>
              <w:pStyle w:val="ListParagraph"/>
              <w:spacing w:line="480" w:lineRule="auto"/>
              <w:ind w:left="0"/>
              <w:jc w:val="center"/>
              <w:rPr>
                <w:rFonts w:ascii="Times New Roman" w:hAnsi="Times New Roman" w:cs="Times New Roman"/>
                <w:sz w:val="24"/>
                <w:szCs w:val="24"/>
              </w:rPr>
            </w:pPr>
            <w:r w:rsidRPr="00BA3DFB">
              <w:rPr>
                <w:rFonts w:ascii="Times New Roman" w:hAnsi="Times New Roman" w:cs="Times New Roman"/>
                <w:sz w:val="24"/>
                <w:szCs w:val="24"/>
              </w:rPr>
              <w:t>8% ≤ CAR &lt; 9%</w:t>
            </w:r>
          </w:p>
        </w:tc>
      </w:tr>
      <w:tr w:rsidR="00BA3DFB" w:rsidRPr="00BA3DFB" w:rsidTr="00A715F4">
        <w:trPr>
          <w:jc w:val="center"/>
        </w:trPr>
        <w:tc>
          <w:tcPr>
            <w:tcW w:w="1590" w:type="dxa"/>
          </w:tcPr>
          <w:p w:rsidR="00DD241B" w:rsidRPr="00BA3DFB" w:rsidRDefault="00DD241B" w:rsidP="00A715F4">
            <w:pPr>
              <w:pStyle w:val="ListParagraph"/>
              <w:spacing w:line="480" w:lineRule="auto"/>
              <w:ind w:left="0"/>
              <w:jc w:val="center"/>
              <w:rPr>
                <w:rFonts w:ascii="Times New Roman" w:hAnsi="Times New Roman" w:cs="Times New Roman"/>
                <w:sz w:val="24"/>
                <w:szCs w:val="24"/>
              </w:rPr>
            </w:pPr>
            <w:r w:rsidRPr="00BA3DFB">
              <w:rPr>
                <w:rFonts w:ascii="Times New Roman" w:hAnsi="Times New Roman" w:cs="Times New Roman"/>
                <w:sz w:val="24"/>
                <w:szCs w:val="24"/>
              </w:rPr>
              <w:t>4</w:t>
            </w:r>
          </w:p>
        </w:tc>
        <w:tc>
          <w:tcPr>
            <w:tcW w:w="2552" w:type="dxa"/>
          </w:tcPr>
          <w:p w:rsidR="00DD241B" w:rsidRPr="00BA3DFB" w:rsidRDefault="00DD241B" w:rsidP="00A715F4">
            <w:pPr>
              <w:pStyle w:val="ListParagraph"/>
              <w:spacing w:line="480" w:lineRule="auto"/>
              <w:ind w:left="0"/>
              <w:jc w:val="center"/>
              <w:rPr>
                <w:rFonts w:ascii="Times New Roman" w:hAnsi="Times New Roman" w:cs="Times New Roman"/>
                <w:sz w:val="24"/>
                <w:szCs w:val="24"/>
              </w:rPr>
            </w:pPr>
            <w:r w:rsidRPr="00BA3DFB">
              <w:rPr>
                <w:rFonts w:ascii="Times New Roman" w:hAnsi="Times New Roman" w:cs="Times New Roman"/>
                <w:sz w:val="24"/>
                <w:szCs w:val="24"/>
              </w:rPr>
              <w:t>Kurang Sehat</w:t>
            </w:r>
          </w:p>
        </w:tc>
        <w:tc>
          <w:tcPr>
            <w:tcW w:w="2659" w:type="dxa"/>
          </w:tcPr>
          <w:p w:rsidR="00DD241B" w:rsidRPr="00BA3DFB" w:rsidRDefault="00DD241B" w:rsidP="00A715F4">
            <w:pPr>
              <w:pStyle w:val="ListParagraph"/>
              <w:spacing w:line="480" w:lineRule="auto"/>
              <w:ind w:left="0"/>
              <w:jc w:val="center"/>
              <w:rPr>
                <w:rFonts w:ascii="Times New Roman" w:hAnsi="Times New Roman" w:cs="Times New Roman"/>
                <w:sz w:val="24"/>
                <w:szCs w:val="24"/>
              </w:rPr>
            </w:pPr>
            <w:r w:rsidRPr="00BA3DFB">
              <w:rPr>
                <w:rFonts w:ascii="Times New Roman" w:hAnsi="Times New Roman" w:cs="Times New Roman"/>
                <w:sz w:val="24"/>
                <w:szCs w:val="24"/>
              </w:rPr>
              <w:t>6 % &lt; CAR &lt; 8%</w:t>
            </w:r>
          </w:p>
        </w:tc>
      </w:tr>
      <w:tr w:rsidR="00BA3DFB" w:rsidRPr="00BA3DFB" w:rsidTr="00A715F4">
        <w:trPr>
          <w:jc w:val="center"/>
        </w:trPr>
        <w:tc>
          <w:tcPr>
            <w:tcW w:w="1590" w:type="dxa"/>
          </w:tcPr>
          <w:p w:rsidR="00DD241B" w:rsidRPr="00BA3DFB" w:rsidRDefault="00DD241B" w:rsidP="00A715F4">
            <w:pPr>
              <w:pStyle w:val="ListParagraph"/>
              <w:spacing w:line="480" w:lineRule="auto"/>
              <w:ind w:left="0"/>
              <w:jc w:val="center"/>
              <w:rPr>
                <w:rFonts w:ascii="Times New Roman" w:hAnsi="Times New Roman" w:cs="Times New Roman"/>
                <w:sz w:val="24"/>
                <w:szCs w:val="24"/>
              </w:rPr>
            </w:pPr>
            <w:r w:rsidRPr="00BA3DFB">
              <w:rPr>
                <w:rFonts w:ascii="Times New Roman" w:hAnsi="Times New Roman" w:cs="Times New Roman"/>
                <w:sz w:val="24"/>
                <w:szCs w:val="24"/>
              </w:rPr>
              <w:t>5</w:t>
            </w:r>
          </w:p>
        </w:tc>
        <w:tc>
          <w:tcPr>
            <w:tcW w:w="2552" w:type="dxa"/>
          </w:tcPr>
          <w:p w:rsidR="00DD241B" w:rsidRPr="00BA3DFB" w:rsidRDefault="00DD241B" w:rsidP="00A715F4">
            <w:pPr>
              <w:pStyle w:val="ListParagraph"/>
              <w:spacing w:line="480" w:lineRule="auto"/>
              <w:ind w:left="0"/>
              <w:jc w:val="center"/>
              <w:rPr>
                <w:rFonts w:ascii="Times New Roman" w:hAnsi="Times New Roman" w:cs="Times New Roman"/>
                <w:sz w:val="24"/>
                <w:szCs w:val="24"/>
              </w:rPr>
            </w:pPr>
            <w:r w:rsidRPr="00BA3DFB">
              <w:rPr>
                <w:rFonts w:ascii="Times New Roman" w:hAnsi="Times New Roman" w:cs="Times New Roman"/>
                <w:sz w:val="24"/>
                <w:szCs w:val="24"/>
              </w:rPr>
              <w:t>Tidak Sehat</w:t>
            </w:r>
          </w:p>
        </w:tc>
        <w:tc>
          <w:tcPr>
            <w:tcW w:w="2659" w:type="dxa"/>
          </w:tcPr>
          <w:p w:rsidR="00DD241B" w:rsidRPr="00BA3DFB" w:rsidRDefault="00DD241B" w:rsidP="00A715F4">
            <w:pPr>
              <w:pStyle w:val="ListParagraph"/>
              <w:spacing w:line="480" w:lineRule="auto"/>
              <w:ind w:left="0"/>
              <w:jc w:val="center"/>
              <w:rPr>
                <w:rFonts w:ascii="Times New Roman" w:hAnsi="Times New Roman" w:cs="Times New Roman"/>
                <w:sz w:val="24"/>
                <w:szCs w:val="24"/>
              </w:rPr>
            </w:pPr>
            <w:r w:rsidRPr="00BA3DFB">
              <w:rPr>
                <w:rFonts w:ascii="Times New Roman" w:hAnsi="Times New Roman" w:cs="Times New Roman"/>
                <w:sz w:val="24"/>
                <w:szCs w:val="24"/>
              </w:rPr>
              <w:t>CAR ≤ 6%</w:t>
            </w:r>
          </w:p>
        </w:tc>
      </w:tr>
    </w:tbl>
    <w:p w:rsidR="00DD241B" w:rsidRPr="00BA3DFB" w:rsidRDefault="00DD241B" w:rsidP="00DD241B">
      <w:pPr>
        <w:spacing w:line="480" w:lineRule="auto"/>
        <w:ind w:firstLine="720"/>
        <w:jc w:val="both"/>
        <w:rPr>
          <w:rFonts w:ascii="Times New Roman" w:hAnsi="Times New Roman" w:cs="Times New Roman"/>
          <w:sz w:val="24"/>
          <w:szCs w:val="24"/>
        </w:rPr>
      </w:pPr>
      <w:r w:rsidRPr="00BA3DFB">
        <w:rPr>
          <w:rFonts w:ascii="Times New Roman" w:hAnsi="Times New Roman" w:cs="Times New Roman"/>
          <w:sz w:val="24"/>
          <w:szCs w:val="24"/>
        </w:rPr>
        <w:t>Sumber : Surat Edaran Bank Indonesia No.13/24/DPNP Tahun 2011</w:t>
      </w:r>
    </w:p>
    <w:p w:rsidR="00DD241B" w:rsidRPr="00BA3DFB" w:rsidRDefault="00C61B99" w:rsidP="00320171">
      <w:pPr>
        <w:rPr>
          <w:rFonts w:ascii="Times New Roman" w:hAnsi="Times New Roman" w:cs="Times New Roman"/>
          <w:b/>
          <w:sz w:val="24"/>
          <w:szCs w:val="24"/>
        </w:rPr>
      </w:pPr>
      <w:r w:rsidRPr="00BA3DFB">
        <w:rPr>
          <w:rFonts w:ascii="Times New Roman" w:hAnsi="Times New Roman" w:cs="Times New Roman"/>
          <w:b/>
          <w:sz w:val="24"/>
          <w:szCs w:val="24"/>
        </w:rPr>
        <w:t>HASIL PENELITIAN DAN PEMBAHASAN</w:t>
      </w:r>
    </w:p>
    <w:p w:rsidR="007448CE" w:rsidRPr="00BA3DFB" w:rsidRDefault="007448CE" w:rsidP="007448CE">
      <w:pPr>
        <w:pStyle w:val="ListParagraph"/>
        <w:spacing w:before="240" w:line="480" w:lineRule="auto"/>
        <w:ind w:left="360"/>
        <w:jc w:val="both"/>
        <w:rPr>
          <w:rFonts w:ascii="Times New Roman" w:hAnsi="Times New Roman" w:cs="Times New Roman"/>
          <w:sz w:val="24"/>
          <w:szCs w:val="24"/>
        </w:rPr>
      </w:pPr>
      <w:r w:rsidRPr="00BA3DFB">
        <w:rPr>
          <w:rFonts w:ascii="Times New Roman" w:hAnsi="Times New Roman" w:cs="Times New Roman"/>
          <w:sz w:val="24"/>
          <w:szCs w:val="24"/>
        </w:rPr>
        <w:t>Penetapan Peringkat Komposit Penilaian Tingkat Kesehatan PT. Bank BRI (Persero) Tbk dengan metode RGEC.</w:t>
      </w:r>
    </w:p>
    <w:p w:rsidR="007448CE" w:rsidRPr="00BA3DFB" w:rsidRDefault="007448CE" w:rsidP="007448CE">
      <w:pPr>
        <w:pStyle w:val="ListParagraph"/>
        <w:spacing w:before="240" w:line="480" w:lineRule="auto"/>
        <w:ind w:left="360"/>
        <w:jc w:val="both"/>
        <w:rPr>
          <w:rFonts w:ascii="Times New Roman" w:hAnsi="Times New Roman" w:cs="Times New Roman"/>
          <w:sz w:val="24"/>
          <w:szCs w:val="24"/>
        </w:rPr>
      </w:pPr>
    </w:p>
    <w:p w:rsidR="007448CE" w:rsidRPr="00BA3DFB" w:rsidRDefault="007448CE" w:rsidP="007448CE">
      <w:pPr>
        <w:pStyle w:val="ListParagraph"/>
        <w:spacing w:before="240" w:line="480" w:lineRule="auto"/>
        <w:ind w:left="360"/>
        <w:jc w:val="both"/>
        <w:rPr>
          <w:rFonts w:ascii="Times New Roman" w:hAnsi="Times New Roman" w:cs="Times New Roman"/>
          <w:sz w:val="24"/>
          <w:szCs w:val="24"/>
        </w:rPr>
      </w:pPr>
    </w:p>
    <w:p w:rsidR="007448CE" w:rsidRPr="00BA3DFB" w:rsidRDefault="007448CE" w:rsidP="007448CE">
      <w:pPr>
        <w:pStyle w:val="ListParagraph"/>
        <w:spacing w:before="240" w:line="480" w:lineRule="auto"/>
        <w:ind w:left="360"/>
        <w:jc w:val="both"/>
        <w:rPr>
          <w:rFonts w:ascii="Times New Roman" w:hAnsi="Times New Roman" w:cs="Times New Roman"/>
          <w:sz w:val="24"/>
          <w:szCs w:val="24"/>
        </w:rPr>
      </w:pPr>
    </w:p>
    <w:p w:rsidR="00C61B99" w:rsidRPr="00BA3DFB" w:rsidRDefault="00C61B99" w:rsidP="00C61B99">
      <w:pPr>
        <w:pStyle w:val="Caption"/>
        <w:jc w:val="center"/>
        <w:rPr>
          <w:rFonts w:ascii="Times New Roman" w:hAnsi="Times New Roman" w:cs="Times New Roman"/>
          <w:color w:val="auto"/>
          <w:sz w:val="24"/>
          <w:szCs w:val="24"/>
        </w:rPr>
      </w:pPr>
      <w:bookmarkStart w:id="11" w:name="_Toc12306480"/>
      <w:r w:rsidRPr="00BA3DFB">
        <w:rPr>
          <w:rFonts w:ascii="Times New Roman" w:hAnsi="Times New Roman" w:cs="Times New Roman"/>
          <w:color w:val="auto"/>
          <w:sz w:val="24"/>
          <w:szCs w:val="24"/>
        </w:rPr>
        <w:lastRenderedPageBreak/>
        <w:t>Tabel  Penilaian tingkat kesehatan PT BRI (Persero) Tbk periode 2015</w:t>
      </w:r>
      <w:bookmarkEnd w:id="11"/>
    </w:p>
    <w:tbl>
      <w:tblPr>
        <w:tblStyle w:val="TableGrid"/>
        <w:tblW w:w="8395" w:type="dxa"/>
        <w:jc w:val="center"/>
        <w:tblLook w:val="04A0" w:firstRow="1" w:lastRow="0" w:firstColumn="1" w:lastColumn="0" w:noHBand="0" w:noVBand="1"/>
      </w:tblPr>
      <w:tblGrid>
        <w:gridCol w:w="1823"/>
        <w:gridCol w:w="1591"/>
        <w:gridCol w:w="1360"/>
        <w:gridCol w:w="1770"/>
        <w:gridCol w:w="1851"/>
      </w:tblGrid>
      <w:tr w:rsidR="00BA3DFB" w:rsidRPr="00BA3DFB" w:rsidTr="00A715F4">
        <w:trPr>
          <w:trHeight w:val="1335"/>
          <w:jc w:val="center"/>
        </w:trPr>
        <w:tc>
          <w:tcPr>
            <w:tcW w:w="1823" w:type="dxa"/>
          </w:tcPr>
          <w:p w:rsidR="00C61B99" w:rsidRPr="00BA3DFB" w:rsidRDefault="00C61B99" w:rsidP="00A715F4">
            <w:pPr>
              <w:spacing w:before="240" w:line="480" w:lineRule="auto"/>
              <w:jc w:val="center"/>
              <w:rPr>
                <w:rFonts w:ascii="Times New Roman" w:hAnsi="Times New Roman" w:cs="Times New Roman"/>
                <w:b/>
                <w:sz w:val="24"/>
                <w:szCs w:val="24"/>
              </w:rPr>
            </w:pPr>
            <w:r w:rsidRPr="00BA3DFB">
              <w:rPr>
                <w:rFonts w:ascii="Times New Roman" w:hAnsi="Times New Roman" w:cs="Times New Roman"/>
                <w:b/>
                <w:sz w:val="24"/>
                <w:szCs w:val="24"/>
              </w:rPr>
              <w:t>Komponen Faktor</w:t>
            </w:r>
          </w:p>
        </w:tc>
        <w:tc>
          <w:tcPr>
            <w:tcW w:w="1591" w:type="dxa"/>
          </w:tcPr>
          <w:p w:rsidR="00C61B99" w:rsidRPr="00BA3DFB" w:rsidRDefault="00C61B99" w:rsidP="00A715F4">
            <w:pPr>
              <w:spacing w:before="240" w:line="480" w:lineRule="auto"/>
              <w:jc w:val="center"/>
              <w:rPr>
                <w:rFonts w:ascii="Times New Roman" w:hAnsi="Times New Roman" w:cs="Times New Roman"/>
                <w:b/>
                <w:sz w:val="24"/>
                <w:szCs w:val="24"/>
              </w:rPr>
            </w:pPr>
            <w:r w:rsidRPr="00BA3DFB">
              <w:rPr>
                <w:rFonts w:ascii="Times New Roman" w:hAnsi="Times New Roman" w:cs="Times New Roman"/>
                <w:b/>
                <w:sz w:val="24"/>
                <w:szCs w:val="24"/>
              </w:rPr>
              <w:t>Rasio</w:t>
            </w:r>
          </w:p>
        </w:tc>
        <w:tc>
          <w:tcPr>
            <w:tcW w:w="1360" w:type="dxa"/>
          </w:tcPr>
          <w:p w:rsidR="00C61B99" w:rsidRPr="00BA3DFB" w:rsidRDefault="00C61B99" w:rsidP="00A715F4">
            <w:pPr>
              <w:spacing w:before="240" w:line="480" w:lineRule="auto"/>
              <w:jc w:val="center"/>
              <w:rPr>
                <w:rFonts w:ascii="Times New Roman" w:hAnsi="Times New Roman" w:cs="Times New Roman"/>
                <w:b/>
                <w:sz w:val="24"/>
                <w:szCs w:val="24"/>
              </w:rPr>
            </w:pPr>
            <w:r w:rsidRPr="00BA3DFB">
              <w:rPr>
                <w:rFonts w:ascii="Times New Roman" w:hAnsi="Times New Roman" w:cs="Times New Roman"/>
                <w:b/>
                <w:sz w:val="24"/>
                <w:szCs w:val="24"/>
              </w:rPr>
              <w:t>% Rasio</w:t>
            </w:r>
          </w:p>
        </w:tc>
        <w:tc>
          <w:tcPr>
            <w:tcW w:w="1770" w:type="dxa"/>
          </w:tcPr>
          <w:p w:rsidR="00C61B99" w:rsidRPr="00BA3DFB" w:rsidRDefault="00C61B99" w:rsidP="00A715F4">
            <w:pPr>
              <w:spacing w:before="240" w:line="480" w:lineRule="auto"/>
              <w:jc w:val="center"/>
              <w:rPr>
                <w:rFonts w:ascii="Times New Roman" w:hAnsi="Times New Roman" w:cs="Times New Roman"/>
                <w:b/>
                <w:sz w:val="24"/>
                <w:szCs w:val="24"/>
              </w:rPr>
            </w:pPr>
            <w:r w:rsidRPr="00BA3DFB">
              <w:rPr>
                <w:rFonts w:ascii="Times New Roman" w:hAnsi="Times New Roman" w:cs="Times New Roman"/>
                <w:b/>
                <w:sz w:val="24"/>
                <w:szCs w:val="24"/>
              </w:rPr>
              <w:t>Peringkat</w:t>
            </w:r>
          </w:p>
        </w:tc>
        <w:tc>
          <w:tcPr>
            <w:tcW w:w="1851" w:type="dxa"/>
          </w:tcPr>
          <w:p w:rsidR="00C61B99" w:rsidRPr="00BA3DFB" w:rsidRDefault="00C61B99" w:rsidP="00A715F4">
            <w:pPr>
              <w:spacing w:before="240" w:line="480" w:lineRule="auto"/>
              <w:jc w:val="center"/>
              <w:rPr>
                <w:rFonts w:ascii="Times New Roman" w:hAnsi="Times New Roman" w:cs="Times New Roman"/>
                <w:b/>
                <w:sz w:val="24"/>
                <w:szCs w:val="24"/>
              </w:rPr>
            </w:pPr>
            <w:r w:rsidRPr="00BA3DFB">
              <w:rPr>
                <w:rFonts w:ascii="Times New Roman" w:hAnsi="Times New Roman" w:cs="Times New Roman"/>
                <w:b/>
                <w:sz w:val="24"/>
                <w:szCs w:val="24"/>
              </w:rPr>
              <w:t>Keterangan</w:t>
            </w:r>
          </w:p>
        </w:tc>
      </w:tr>
      <w:tr w:rsidR="00BA3DFB" w:rsidRPr="00BA3DFB" w:rsidTr="00A715F4">
        <w:trPr>
          <w:trHeight w:val="795"/>
          <w:jc w:val="center"/>
        </w:trPr>
        <w:tc>
          <w:tcPr>
            <w:tcW w:w="1823" w:type="dxa"/>
          </w:tcPr>
          <w:p w:rsidR="00C61B99" w:rsidRPr="00BA3DFB" w:rsidRDefault="00C61B99" w:rsidP="00A715F4">
            <w:pPr>
              <w:spacing w:before="240" w:line="480" w:lineRule="auto"/>
              <w:rPr>
                <w:rFonts w:ascii="Times New Roman" w:hAnsi="Times New Roman" w:cs="Times New Roman"/>
                <w:sz w:val="24"/>
                <w:szCs w:val="24"/>
              </w:rPr>
            </w:pPr>
            <w:r w:rsidRPr="00BA3DFB">
              <w:rPr>
                <w:rFonts w:ascii="Times New Roman" w:hAnsi="Times New Roman" w:cs="Times New Roman"/>
                <w:sz w:val="24"/>
                <w:szCs w:val="24"/>
              </w:rPr>
              <w:t>Profil Risiko</w:t>
            </w:r>
          </w:p>
        </w:tc>
        <w:tc>
          <w:tcPr>
            <w:tcW w:w="1591" w:type="dxa"/>
          </w:tcPr>
          <w:p w:rsidR="00C61B99" w:rsidRPr="00BA3DFB" w:rsidRDefault="00C61B99" w:rsidP="00A715F4">
            <w:pPr>
              <w:spacing w:before="240" w:line="480" w:lineRule="auto"/>
              <w:jc w:val="center"/>
              <w:rPr>
                <w:rFonts w:ascii="Times New Roman" w:hAnsi="Times New Roman" w:cs="Times New Roman"/>
                <w:sz w:val="24"/>
                <w:szCs w:val="24"/>
              </w:rPr>
            </w:pPr>
            <w:r w:rsidRPr="00BA3DFB">
              <w:rPr>
                <w:rFonts w:ascii="Times New Roman" w:hAnsi="Times New Roman" w:cs="Times New Roman"/>
                <w:sz w:val="24"/>
                <w:szCs w:val="24"/>
              </w:rPr>
              <w:t>NPL</w:t>
            </w:r>
          </w:p>
        </w:tc>
        <w:tc>
          <w:tcPr>
            <w:tcW w:w="1360" w:type="dxa"/>
          </w:tcPr>
          <w:p w:rsidR="00C61B99" w:rsidRPr="00BA3DFB" w:rsidRDefault="00C61B99" w:rsidP="00A715F4">
            <w:pPr>
              <w:spacing w:before="240" w:line="480" w:lineRule="auto"/>
              <w:jc w:val="center"/>
              <w:rPr>
                <w:rFonts w:ascii="Times New Roman" w:hAnsi="Times New Roman" w:cs="Times New Roman"/>
                <w:sz w:val="24"/>
                <w:szCs w:val="24"/>
              </w:rPr>
            </w:pPr>
            <w:r w:rsidRPr="00BA3DFB">
              <w:rPr>
                <w:rFonts w:ascii="Times New Roman" w:hAnsi="Times New Roman" w:cs="Times New Roman"/>
                <w:sz w:val="24"/>
                <w:szCs w:val="24"/>
              </w:rPr>
              <w:t>1.17</w:t>
            </w:r>
          </w:p>
        </w:tc>
        <w:tc>
          <w:tcPr>
            <w:tcW w:w="1770" w:type="dxa"/>
          </w:tcPr>
          <w:p w:rsidR="00C61B99" w:rsidRPr="00BA3DFB" w:rsidRDefault="00C61B99" w:rsidP="00A715F4">
            <w:pPr>
              <w:spacing w:before="240" w:line="480" w:lineRule="auto"/>
              <w:jc w:val="center"/>
              <w:rPr>
                <w:rFonts w:ascii="Times New Roman" w:hAnsi="Times New Roman" w:cs="Times New Roman"/>
                <w:sz w:val="24"/>
                <w:szCs w:val="24"/>
              </w:rPr>
            </w:pPr>
            <w:r w:rsidRPr="00BA3DFB">
              <w:rPr>
                <w:rFonts w:ascii="Times New Roman" w:hAnsi="Times New Roman" w:cs="Times New Roman"/>
                <w:sz w:val="24"/>
                <w:szCs w:val="24"/>
              </w:rPr>
              <w:t>1</w:t>
            </w:r>
          </w:p>
        </w:tc>
        <w:tc>
          <w:tcPr>
            <w:tcW w:w="1851" w:type="dxa"/>
          </w:tcPr>
          <w:p w:rsidR="00C61B99" w:rsidRPr="00BA3DFB" w:rsidRDefault="00C61B99" w:rsidP="00A715F4">
            <w:pPr>
              <w:spacing w:before="240" w:line="480" w:lineRule="auto"/>
              <w:jc w:val="center"/>
              <w:rPr>
                <w:rFonts w:ascii="Times New Roman" w:hAnsi="Times New Roman" w:cs="Times New Roman"/>
                <w:sz w:val="24"/>
                <w:szCs w:val="24"/>
              </w:rPr>
            </w:pPr>
            <w:r w:rsidRPr="00BA3DFB">
              <w:rPr>
                <w:rFonts w:ascii="Times New Roman" w:hAnsi="Times New Roman" w:cs="Times New Roman"/>
                <w:sz w:val="24"/>
                <w:szCs w:val="24"/>
              </w:rPr>
              <w:t>Sangat Sehat</w:t>
            </w:r>
          </w:p>
        </w:tc>
      </w:tr>
      <w:tr w:rsidR="00BA3DFB" w:rsidRPr="00BA3DFB" w:rsidTr="00A715F4">
        <w:trPr>
          <w:trHeight w:val="795"/>
          <w:jc w:val="center"/>
        </w:trPr>
        <w:tc>
          <w:tcPr>
            <w:tcW w:w="1823" w:type="dxa"/>
          </w:tcPr>
          <w:p w:rsidR="00C61B99" w:rsidRPr="00BA3DFB" w:rsidRDefault="00C61B99" w:rsidP="00A715F4">
            <w:pPr>
              <w:spacing w:before="240" w:line="480" w:lineRule="auto"/>
              <w:rPr>
                <w:rFonts w:ascii="Times New Roman" w:hAnsi="Times New Roman" w:cs="Times New Roman"/>
                <w:sz w:val="24"/>
                <w:szCs w:val="24"/>
              </w:rPr>
            </w:pPr>
          </w:p>
        </w:tc>
        <w:tc>
          <w:tcPr>
            <w:tcW w:w="1591" w:type="dxa"/>
          </w:tcPr>
          <w:p w:rsidR="00C61B99" w:rsidRPr="00BA3DFB" w:rsidRDefault="00C61B99" w:rsidP="00A715F4">
            <w:pPr>
              <w:spacing w:before="240" w:line="480" w:lineRule="auto"/>
              <w:jc w:val="center"/>
              <w:rPr>
                <w:rFonts w:ascii="Times New Roman" w:hAnsi="Times New Roman" w:cs="Times New Roman"/>
                <w:sz w:val="24"/>
                <w:szCs w:val="24"/>
              </w:rPr>
            </w:pPr>
            <w:r w:rsidRPr="00BA3DFB">
              <w:rPr>
                <w:rFonts w:ascii="Times New Roman" w:hAnsi="Times New Roman" w:cs="Times New Roman"/>
                <w:sz w:val="24"/>
                <w:szCs w:val="24"/>
              </w:rPr>
              <w:t>LDR</w:t>
            </w:r>
          </w:p>
        </w:tc>
        <w:tc>
          <w:tcPr>
            <w:tcW w:w="1360" w:type="dxa"/>
          </w:tcPr>
          <w:p w:rsidR="00C61B99" w:rsidRPr="00BA3DFB" w:rsidRDefault="00C61B99" w:rsidP="00A715F4">
            <w:pPr>
              <w:spacing w:before="240" w:line="480" w:lineRule="auto"/>
              <w:jc w:val="center"/>
              <w:rPr>
                <w:rFonts w:ascii="Times New Roman" w:hAnsi="Times New Roman" w:cs="Times New Roman"/>
                <w:sz w:val="24"/>
                <w:szCs w:val="24"/>
              </w:rPr>
            </w:pPr>
            <w:r w:rsidRPr="00BA3DFB">
              <w:rPr>
                <w:rFonts w:ascii="Times New Roman" w:hAnsi="Times New Roman" w:cs="Times New Roman"/>
                <w:sz w:val="24"/>
                <w:szCs w:val="24"/>
              </w:rPr>
              <w:t>84.38</w:t>
            </w:r>
          </w:p>
        </w:tc>
        <w:tc>
          <w:tcPr>
            <w:tcW w:w="1770" w:type="dxa"/>
          </w:tcPr>
          <w:p w:rsidR="00C61B99" w:rsidRPr="00BA3DFB" w:rsidRDefault="00C61B99" w:rsidP="00A715F4">
            <w:pPr>
              <w:spacing w:before="240" w:line="480" w:lineRule="auto"/>
              <w:jc w:val="center"/>
              <w:rPr>
                <w:rFonts w:ascii="Times New Roman" w:hAnsi="Times New Roman" w:cs="Times New Roman"/>
                <w:sz w:val="24"/>
                <w:szCs w:val="24"/>
              </w:rPr>
            </w:pPr>
            <w:r w:rsidRPr="00BA3DFB">
              <w:rPr>
                <w:rFonts w:ascii="Times New Roman" w:hAnsi="Times New Roman" w:cs="Times New Roman"/>
                <w:sz w:val="24"/>
                <w:szCs w:val="24"/>
              </w:rPr>
              <w:t>2</w:t>
            </w:r>
          </w:p>
        </w:tc>
        <w:tc>
          <w:tcPr>
            <w:tcW w:w="1851" w:type="dxa"/>
          </w:tcPr>
          <w:p w:rsidR="00C61B99" w:rsidRPr="00BA3DFB" w:rsidRDefault="00C61B99" w:rsidP="00A715F4">
            <w:pPr>
              <w:spacing w:before="240" w:line="480" w:lineRule="auto"/>
              <w:jc w:val="center"/>
              <w:rPr>
                <w:rFonts w:ascii="Times New Roman" w:hAnsi="Times New Roman" w:cs="Times New Roman"/>
                <w:sz w:val="24"/>
                <w:szCs w:val="24"/>
              </w:rPr>
            </w:pPr>
            <w:r w:rsidRPr="00BA3DFB">
              <w:rPr>
                <w:rFonts w:ascii="Times New Roman" w:hAnsi="Times New Roman" w:cs="Times New Roman"/>
                <w:sz w:val="24"/>
                <w:szCs w:val="24"/>
              </w:rPr>
              <w:t>Sehat</w:t>
            </w:r>
          </w:p>
        </w:tc>
      </w:tr>
      <w:tr w:rsidR="00BA3DFB" w:rsidRPr="00BA3DFB" w:rsidTr="00A715F4">
        <w:trPr>
          <w:trHeight w:val="795"/>
          <w:jc w:val="center"/>
        </w:trPr>
        <w:tc>
          <w:tcPr>
            <w:tcW w:w="1823" w:type="dxa"/>
          </w:tcPr>
          <w:p w:rsidR="00C61B99" w:rsidRPr="00BA3DFB" w:rsidRDefault="00C61B99" w:rsidP="00A715F4">
            <w:pPr>
              <w:spacing w:before="240" w:line="480" w:lineRule="auto"/>
              <w:rPr>
                <w:rFonts w:ascii="Times New Roman" w:hAnsi="Times New Roman" w:cs="Times New Roman"/>
                <w:sz w:val="24"/>
                <w:szCs w:val="24"/>
              </w:rPr>
            </w:pPr>
            <w:r w:rsidRPr="00BA3DFB">
              <w:rPr>
                <w:rFonts w:ascii="Times New Roman" w:hAnsi="Times New Roman" w:cs="Times New Roman"/>
                <w:sz w:val="24"/>
                <w:szCs w:val="24"/>
              </w:rPr>
              <w:t>Tata Kelola</w:t>
            </w:r>
          </w:p>
        </w:tc>
        <w:tc>
          <w:tcPr>
            <w:tcW w:w="1591" w:type="dxa"/>
          </w:tcPr>
          <w:p w:rsidR="00C61B99" w:rsidRPr="00BA3DFB" w:rsidRDefault="00C61B99" w:rsidP="00A715F4">
            <w:pPr>
              <w:spacing w:before="240" w:line="480" w:lineRule="auto"/>
              <w:jc w:val="center"/>
              <w:rPr>
                <w:rFonts w:ascii="Times New Roman" w:hAnsi="Times New Roman" w:cs="Times New Roman"/>
                <w:sz w:val="24"/>
                <w:szCs w:val="24"/>
              </w:rPr>
            </w:pPr>
            <w:r w:rsidRPr="00BA3DFB">
              <w:rPr>
                <w:rFonts w:ascii="Times New Roman" w:hAnsi="Times New Roman" w:cs="Times New Roman"/>
                <w:sz w:val="24"/>
                <w:szCs w:val="24"/>
              </w:rPr>
              <w:t>GCG</w:t>
            </w:r>
          </w:p>
        </w:tc>
        <w:tc>
          <w:tcPr>
            <w:tcW w:w="1360" w:type="dxa"/>
          </w:tcPr>
          <w:p w:rsidR="00C61B99" w:rsidRPr="00BA3DFB" w:rsidRDefault="00C61B99" w:rsidP="00A715F4">
            <w:pPr>
              <w:spacing w:before="240" w:line="480" w:lineRule="auto"/>
              <w:jc w:val="center"/>
              <w:rPr>
                <w:rFonts w:ascii="Times New Roman" w:hAnsi="Times New Roman" w:cs="Times New Roman"/>
                <w:sz w:val="24"/>
                <w:szCs w:val="24"/>
              </w:rPr>
            </w:pPr>
            <w:r w:rsidRPr="00BA3DFB">
              <w:rPr>
                <w:rFonts w:ascii="Times New Roman" w:hAnsi="Times New Roman" w:cs="Times New Roman"/>
                <w:sz w:val="24"/>
                <w:szCs w:val="24"/>
              </w:rPr>
              <w:t>1,17</w:t>
            </w:r>
          </w:p>
        </w:tc>
        <w:tc>
          <w:tcPr>
            <w:tcW w:w="1770" w:type="dxa"/>
          </w:tcPr>
          <w:p w:rsidR="00C61B99" w:rsidRPr="00BA3DFB" w:rsidRDefault="00C61B99" w:rsidP="00A715F4">
            <w:pPr>
              <w:spacing w:before="240" w:line="480" w:lineRule="auto"/>
              <w:jc w:val="center"/>
              <w:rPr>
                <w:rFonts w:ascii="Times New Roman" w:hAnsi="Times New Roman" w:cs="Times New Roman"/>
                <w:sz w:val="24"/>
                <w:szCs w:val="24"/>
              </w:rPr>
            </w:pPr>
            <w:r w:rsidRPr="00BA3DFB">
              <w:rPr>
                <w:rFonts w:ascii="Times New Roman" w:hAnsi="Times New Roman" w:cs="Times New Roman"/>
                <w:sz w:val="24"/>
                <w:szCs w:val="24"/>
              </w:rPr>
              <w:t>1</w:t>
            </w:r>
          </w:p>
        </w:tc>
        <w:tc>
          <w:tcPr>
            <w:tcW w:w="1851" w:type="dxa"/>
          </w:tcPr>
          <w:p w:rsidR="00C61B99" w:rsidRPr="00BA3DFB" w:rsidRDefault="00C61B99" w:rsidP="00A715F4">
            <w:pPr>
              <w:spacing w:before="240" w:line="480" w:lineRule="auto"/>
              <w:jc w:val="center"/>
              <w:rPr>
                <w:rFonts w:ascii="Times New Roman" w:hAnsi="Times New Roman" w:cs="Times New Roman"/>
                <w:sz w:val="24"/>
                <w:szCs w:val="24"/>
              </w:rPr>
            </w:pPr>
            <w:r w:rsidRPr="00BA3DFB">
              <w:rPr>
                <w:rFonts w:ascii="Times New Roman" w:hAnsi="Times New Roman" w:cs="Times New Roman"/>
                <w:sz w:val="24"/>
                <w:szCs w:val="24"/>
              </w:rPr>
              <w:t>Baik</w:t>
            </w:r>
          </w:p>
        </w:tc>
      </w:tr>
      <w:tr w:rsidR="00BA3DFB" w:rsidRPr="00BA3DFB" w:rsidTr="00A715F4">
        <w:trPr>
          <w:trHeight w:val="780"/>
          <w:jc w:val="center"/>
        </w:trPr>
        <w:tc>
          <w:tcPr>
            <w:tcW w:w="1823" w:type="dxa"/>
          </w:tcPr>
          <w:p w:rsidR="00C61B99" w:rsidRPr="00BA3DFB" w:rsidRDefault="00C61B99" w:rsidP="00A715F4">
            <w:pPr>
              <w:spacing w:before="240" w:line="480" w:lineRule="auto"/>
              <w:rPr>
                <w:rFonts w:ascii="Times New Roman" w:hAnsi="Times New Roman" w:cs="Times New Roman"/>
                <w:sz w:val="24"/>
                <w:szCs w:val="24"/>
              </w:rPr>
            </w:pPr>
            <w:r w:rsidRPr="00BA3DFB">
              <w:rPr>
                <w:rFonts w:ascii="Times New Roman" w:hAnsi="Times New Roman" w:cs="Times New Roman"/>
                <w:sz w:val="24"/>
                <w:szCs w:val="24"/>
              </w:rPr>
              <w:t>Rentabilitas</w:t>
            </w:r>
          </w:p>
        </w:tc>
        <w:tc>
          <w:tcPr>
            <w:tcW w:w="1591" w:type="dxa"/>
          </w:tcPr>
          <w:p w:rsidR="00C61B99" w:rsidRPr="00BA3DFB" w:rsidRDefault="00C61B99" w:rsidP="00A715F4">
            <w:pPr>
              <w:spacing w:before="240" w:line="480" w:lineRule="auto"/>
              <w:jc w:val="center"/>
              <w:rPr>
                <w:rFonts w:ascii="Times New Roman" w:hAnsi="Times New Roman" w:cs="Times New Roman"/>
                <w:sz w:val="24"/>
                <w:szCs w:val="24"/>
              </w:rPr>
            </w:pPr>
            <w:r w:rsidRPr="00BA3DFB">
              <w:rPr>
                <w:rFonts w:ascii="Times New Roman" w:hAnsi="Times New Roman" w:cs="Times New Roman"/>
                <w:sz w:val="24"/>
                <w:szCs w:val="24"/>
              </w:rPr>
              <w:t>ROA</w:t>
            </w:r>
          </w:p>
        </w:tc>
        <w:tc>
          <w:tcPr>
            <w:tcW w:w="1360" w:type="dxa"/>
          </w:tcPr>
          <w:p w:rsidR="00C61B99" w:rsidRPr="00BA3DFB" w:rsidRDefault="00C61B99" w:rsidP="00A715F4">
            <w:pPr>
              <w:spacing w:before="240" w:line="480" w:lineRule="auto"/>
              <w:jc w:val="center"/>
              <w:rPr>
                <w:rFonts w:ascii="Times New Roman" w:hAnsi="Times New Roman" w:cs="Times New Roman"/>
                <w:sz w:val="24"/>
                <w:szCs w:val="24"/>
              </w:rPr>
            </w:pPr>
            <w:r w:rsidRPr="00BA3DFB">
              <w:rPr>
                <w:rFonts w:ascii="Times New Roman" w:hAnsi="Times New Roman" w:cs="Times New Roman"/>
                <w:sz w:val="24"/>
                <w:szCs w:val="24"/>
              </w:rPr>
              <w:t>3.87</w:t>
            </w:r>
          </w:p>
        </w:tc>
        <w:tc>
          <w:tcPr>
            <w:tcW w:w="1770" w:type="dxa"/>
          </w:tcPr>
          <w:p w:rsidR="00C61B99" w:rsidRPr="00BA3DFB" w:rsidRDefault="00C61B99" w:rsidP="00A715F4">
            <w:pPr>
              <w:spacing w:before="240" w:line="480" w:lineRule="auto"/>
              <w:jc w:val="center"/>
              <w:rPr>
                <w:rFonts w:ascii="Times New Roman" w:hAnsi="Times New Roman" w:cs="Times New Roman"/>
                <w:sz w:val="24"/>
                <w:szCs w:val="24"/>
              </w:rPr>
            </w:pPr>
            <w:r w:rsidRPr="00BA3DFB">
              <w:rPr>
                <w:rFonts w:ascii="Times New Roman" w:hAnsi="Times New Roman" w:cs="Times New Roman"/>
                <w:sz w:val="24"/>
                <w:szCs w:val="24"/>
              </w:rPr>
              <w:t>1</w:t>
            </w:r>
          </w:p>
        </w:tc>
        <w:tc>
          <w:tcPr>
            <w:tcW w:w="1851" w:type="dxa"/>
          </w:tcPr>
          <w:p w:rsidR="00C61B99" w:rsidRPr="00BA3DFB" w:rsidRDefault="00C61B99" w:rsidP="00A715F4">
            <w:pPr>
              <w:spacing w:before="240" w:line="480" w:lineRule="auto"/>
              <w:jc w:val="center"/>
              <w:rPr>
                <w:rFonts w:ascii="Times New Roman" w:hAnsi="Times New Roman" w:cs="Times New Roman"/>
                <w:sz w:val="24"/>
                <w:szCs w:val="24"/>
              </w:rPr>
            </w:pPr>
            <w:r w:rsidRPr="00BA3DFB">
              <w:rPr>
                <w:rFonts w:ascii="Times New Roman" w:hAnsi="Times New Roman" w:cs="Times New Roman"/>
                <w:sz w:val="24"/>
                <w:szCs w:val="24"/>
              </w:rPr>
              <w:t>Sangat Sehat</w:t>
            </w:r>
          </w:p>
        </w:tc>
      </w:tr>
      <w:tr w:rsidR="00BA3DFB" w:rsidRPr="00BA3DFB" w:rsidTr="00A715F4">
        <w:trPr>
          <w:trHeight w:val="795"/>
          <w:jc w:val="center"/>
        </w:trPr>
        <w:tc>
          <w:tcPr>
            <w:tcW w:w="1823" w:type="dxa"/>
          </w:tcPr>
          <w:p w:rsidR="00C61B99" w:rsidRPr="00BA3DFB" w:rsidRDefault="00C61B99" w:rsidP="00A715F4">
            <w:pPr>
              <w:spacing w:before="240" w:line="480" w:lineRule="auto"/>
              <w:jc w:val="center"/>
              <w:rPr>
                <w:rFonts w:ascii="Times New Roman" w:hAnsi="Times New Roman" w:cs="Times New Roman"/>
                <w:sz w:val="24"/>
                <w:szCs w:val="24"/>
              </w:rPr>
            </w:pPr>
          </w:p>
        </w:tc>
        <w:tc>
          <w:tcPr>
            <w:tcW w:w="1591" w:type="dxa"/>
          </w:tcPr>
          <w:p w:rsidR="00C61B99" w:rsidRPr="00BA3DFB" w:rsidRDefault="00C61B99" w:rsidP="00A715F4">
            <w:pPr>
              <w:spacing w:before="240" w:line="480" w:lineRule="auto"/>
              <w:jc w:val="center"/>
              <w:rPr>
                <w:rFonts w:ascii="Times New Roman" w:hAnsi="Times New Roman" w:cs="Times New Roman"/>
                <w:sz w:val="24"/>
                <w:szCs w:val="24"/>
              </w:rPr>
            </w:pPr>
            <w:r w:rsidRPr="00BA3DFB">
              <w:rPr>
                <w:rFonts w:ascii="Times New Roman" w:hAnsi="Times New Roman" w:cs="Times New Roman"/>
                <w:sz w:val="24"/>
                <w:szCs w:val="24"/>
              </w:rPr>
              <w:t>NIM</w:t>
            </w:r>
          </w:p>
        </w:tc>
        <w:tc>
          <w:tcPr>
            <w:tcW w:w="1360" w:type="dxa"/>
          </w:tcPr>
          <w:p w:rsidR="00C61B99" w:rsidRPr="00BA3DFB" w:rsidRDefault="00C61B99" w:rsidP="00A715F4">
            <w:pPr>
              <w:spacing w:before="240" w:line="480" w:lineRule="auto"/>
              <w:jc w:val="center"/>
              <w:rPr>
                <w:rFonts w:ascii="Times New Roman" w:hAnsi="Times New Roman" w:cs="Times New Roman"/>
                <w:sz w:val="24"/>
                <w:szCs w:val="24"/>
              </w:rPr>
            </w:pPr>
            <w:r w:rsidRPr="00BA3DFB">
              <w:rPr>
                <w:rFonts w:ascii="Times New Roman" w:hAnsi="Times New Roman" w:cs="Times New Roman"/>
                <w:sz w:val="24"/>
                <w:szCs w:val="24"/>
              </w:rPr>
              <w:t>7.7</w:t>
            </w:r>
          </w:p>
        </w:tc>
        <w:tc>
          <w:tcPr>
            <w:tcW w:w="1770" w:type="dxa"/>
          </w:tcPr>
          <w:p w:rsidR="00C61B99" w:rsidRPr="00BA3DFB" w:rsidRDefault="00C61B99" w:rsidP="00A715F4">
            <w:pPr>
              <w:spacing w:before="240" w:line="480" w:lineRule="auto"/>
              <w:jc w:val="center"/>
              <w:rPr>
                <w:rFonts w:ascii="Times New Roman" w:hAnsi="Times New Roman" w:cs="Times New Roman"/>
                <w:sz w:val="24"/>
                <w:szCs w:val="24"/>
              </w:rPr>
            </w:pPr>
            <w:r w:rsidRPr="00BA3DFB">
              <w:rPr>
                <w:rFonts w:ascii="Times New Roman" w:hAnsi="Times New Roman" w:cs="Times New Roman"/>
                <w:sz w:val="24"/>
                <w:szCs w:val="24"/>
              </w:rPr>
              <w:t>1</w:t>
            </w:r>
          </w:p>
        </w:tc>
        <w:tc>
          <w:tcPr>
            <w:tcW w:w="1851" w:type="dxa"/>
          </w:tcPr>
          <w:p w:rsidR="00C61B99" w:rsidRPr="00BA3DFB" w:rsidRDefault="00C61B99" w:rsidP="00A715F4">
            <w:pPr>
              <w:spacing w:before="240" w:line="480" w:lineRule="auto"/>
              <w:jc w:val="center"/>
              <w:rPr>
                <w:rFonts w:ascii="Times New Roman" w:hAnsi="Times New Roman" w:cs="Times New Roman"/>
                <w:sz w:val="24"/>
                <w:szCs w:val="24"/>
              </w:rPr>
            </w:pPr>
            <w:r w:rsidRPr="00BA3DFB">
              <w:rPr>
                <w:rFonts w:ascii="Times New Roman" w:hAnsi="Times New Roman" w:cs="Times New Roman"/>
                <w:sz w:val="24"/>
                <w:szCs w:val="24"/>
              </w:rPr>
              <w:t>Sangat Sehat</w:t>
            </w:r>
          </w:p>
        </w:tc>
      </w:tr>
      <w:tr w:rsidR="00BA3DFB" w:rsidRPr="00BA3DFB" w:rsidTr="00A715F4">
        <w:trPr>
          <w:trHeight w:val="780"/>
          <w:jc w:val="center"/>
        </w:trPr>
        <w:tc>
          <w:tcPr>
            <w:tcW w:w="1823" w:type="dxa"/>
          </w:tcPr>
          <w:p w:rsidR="00C61B99" w:rsidRPr="00BA3DFB" w:rsidRDefault="00C61B99" w:rsidP="00A715F4">
            <w:pPr>
              <w:spacing w:before="240" w:line="480" w:lineRule="auto"/>
              <w:rPr>
                <w:rFonts w:ascii="Times New Roman" w:hAnsi="Times New Roman" w:cs="Times New Roman"/>
                <w:sz w:val="24"/>
                <w:szCs w:val="24"/>
              </w:rPr>
            </w:pPr>
            <w:r w:rsidRPr="00BA3DFB">
              <w:rPr>
                <w:rFonts w:ascii="Times New Roman" w:hAnsi="Times New Roman" w:cs="Times New Roman"/>
                <w:sz w:val="24"/>
                <w:szCs w:val="24"/>
              </w:rPr>
              <w:t>Permodalan</w:t>
            </w:r>
          </w:p>
        </w:tc>
        <w:tc>
          <w:tcPr>
            <w:tcW w:w="1591" w:type="dxa"/>
          </w:tcPr>
          <w:p w:rsidR="00C61B99" w:rsidRPr="00BA3DFB" w:rsidRDefault="00C61B99" w:rsidP="00A715F4">
            <w:pPr>
              <w:spacing w:before="240" w:line="480" w:lineRule="auto"/>
              <w:jc w:val="center"/>
              <w:rPr>
                <w:rFonts w:ascii="Times New Roman" w:hAnsi="Times New Roman" w:cs="Times New Roman"/>
                <w:sz w:val="24"/>
                <w:szCs w:val="24"/>
              </w:rPr>
            </w:pPr>
            <w:r w:rsidRPr="00BA3DFB">
              <w:rPr>
                <w:rFonts w:ascii="Times New Roman" w:hAnsi="Times New Roman" w:cs="Times New Roman"/>
                <w:sz w:val="24"/>
                <w:szCs w:val="24"/>
              </w:rPr>
              <w:t>CAR</w:t>
            </w:r>
          </w:p>
        </w:tc>
        <w:tc>
          <w:tcPr>
            <w:tcW w:w="1360" w:type="dxa"/>
          </w:tcPr>
          <w:p w:rsidR="00C61B99" w:rsidRPr="00BA3DFB" w:rsidRDefault="00C61B99" w:rsidP="00A715F4">
            <w:pPr>
              <w:spacing w:before="240" w:line="480" w:lineRule="auto"/>
              <w:jc w:val="center"/>
              <w:rPr>
                <w:rFonts w:ascii="Times New Roman" w:hAnsi="Times New Roman" w:cs="Times New Roman"/>
                <w:sz w:val="24"/>
                <w:szCs w:val="24"/>
              </w:rPr>
            </w:pPr>
            <w:r w:rsidRPr="00BA3DFB">
              <w:rPr>
                <w:rFonts w:ascii="Times New Roman" w:hAnsi="Times New Roman" w:cs="Times New Roman"/>
                <w:sz w:val="24"/>
                <w:szCs w:val="24"/>
              </w:rPr>
              <w:t>20.59</w:t>
            </w:r>
          </w:p>
        </w:tc>
        <w:tc>
          <w:tcPr>
            <w:tcW w:w="1770" w:type="dxa"/>
          </w:tcPr>
          <w:p w:rsidR="00C61B99" w:rsidRPr="00BA3DFB" w:rsidRDefault="00C61B99" w:rsidP="00A715F4">
            <w:pPr>
              <w:spacing w:before="240" w:line="480" w:lineRule="auto"/>
              <w:jc w:val="center"/>
              <w:rPr>
                <w:rFonts w:ascii="Times New Roman" w:hAnsi="Times New Roman" w:cs="Times New Roman"/>
                <w:sz w:val="24"/>
                <w:szCs w:val="24"/>
              </w:rPr>
            </w:pPr>
            <w:r w:rsidRPr="00BA3DFB">
              <w:rPr>
                <w:rFonts w:ascii="Times New Roman" w:hAnsi="Times New Roman" w:cs="Times New Roman"/>
                <w:sz w:val="24"/>
                <w:szCs w:val="24"/>
              </w:rPr>
              <w:t>1</w:t>
            </w:r>
          </w:p>
        </w:tc>
        <w:tc>
          <w:tcPr>
            <w:tcW w:w="1851" w:type="dxa"/>
          </w:tcPr>
          <w:p w:rsidR="00C61B99" w:rsidRPr="00BA3DFB" w:rsidRDefault="00C61B99" w:rsidP="00A715F4">
            <w:pPr>
              <w:spacing w:before="240" w:line="480" w:lineRule="auto"/>
              <w:jc w:val="center"/>
              <w:rPr>
                <w:rFonts w:ascii="Times New Roman" w:hAnsi="Times New Roman" w:cs="Times New Roman"/>
                <w:sz w:val="24"/>
                <w:szCs w:val="24"/>
              </w:rPr>
            </w:pPr>
            <w:r w:rsidRPr="00BA3DFB">
              <w:rPr>
                <w:rFonts w:ascii="Times New Roman" w:hAnsi="Times New Roman" w:cs="Times New Roman"/>
                <w:sz w:val="24"/>
                <w:szCs w:val="24"/>
              </w:rPr>
              <w:t>Sangat Sehat</w:t>
            </w:r>
          </w:p>
        </w:tc>
      </w:tr>
      <w:tr w:rsidR="00BA3DFB" w:rsidRPr="00BA3DFB" w:rsidTr="00A715F4">
        <w:trPr>
          <w:trHeight w:val="795"/>
          <w:jc w:val="center"/>
        </w:trPr>
        <w:tc>
          <w:tcPr>
            <w:tcW w:w="4774" w:type="dxa"/>
            <w:gridSpan w:val="3"/>
          </w:tcPr>
          <w:p w:rsidR="00C61B99" w:rsidRPr="00BA3DFB" w:rsidRDefault="00C61B99" w:rsidP="00A715F4">
            <w:pPr>
              <w:spacing w:before="240" w:line="480" w:lineRule="auto"/>
              <w:jc w:val="center"/>
              <w:rPr>
                <w:rFonts w:ascii="Times New Roman" w:hAnsi="Times New Roman" w:cs="Times New Roman"/>
                <w:b/>
                <w:sz w:val="24"/>
                <w:szCs w:val="24"/>
              </w:rPr>
            </w:pPr>
            <w:r w:rsidRPr="00BA3DFB">
              <w:rPr>
                <w:rFonts w:ascii="Times New Roman" w:hAnsi="Times New Roman" w:cs="Times New Roman"/>
                <w:b/>
                <w:sz w:val="24"/>
                <w:szCs w:val="24"/>
              </w:rPr>
              <w:t>Peringkat Komposit</w:t>
            </w:r>
          </w:p>
        </w:tc>
        <w:tc>
          <w:tcPr>
            <w:tcW w:w="3621" w:type="dxa"/>
            <w:gridSpan w:val="2"/>
          </w:tcPr>
          <w:p w:rsidR="00C61B99" w:rsidRPr="00BA3DFB" w:rsidRDefault="00C61B99" w:rsidP="00A715F4">
            <w:pPr>
              <w:spacing w:before="240" w:line="480" w:lineRule="auto"/>
              <w:jc w:val="center"/>
              <w:rPr>
                <w:rFonts w:ascii="Times New Roman" w:hAnsi="Times New Roman" w:cs="Times New Roman"/>
                <w:b/>
                <w:sz w:val="24"/>
                <w:szCs w:val="24"/>
              </w:rPr>
            </w:pPr>
            <w:r w:rsidRPr="00BA3DFB">
              <w:rPr>
                <w:rFonts w:ascii="Times New Roman" w:hAnsi="Times New Roman" w:cs="Times New Roman"/>
                <w:b/>
                <w:sz w:val="24"/>
                <w:szCs w:val="24"/>
              </w:rPr>
              <w:t>SANGAT SEHAT</w:t>
            </w:r>
          </w:p>
        </w:tc>
      </w:tr>
    </w:tbl>
    <w:p w:rsidR="00C61B99" w:rsidRPr="00BA3DFB" w:rsidRDefault="00C61B99" w:rsidP="007448CE">
      <w:pPr>
        <w:spacing w:before="240" w:line="480" w:lineRule="auto"/>
        <w:ind w:left="568"/>
        <w:jc w:val="both"/>
        <w:rPr>
          <w:rFonts w:ascii="Times New Roman" w:hAnsi="Times New Roman" w:cs="Times New Roman"/>
          <w:sz w:val="24"/>
          <w:szCs w:val="24"/>
        </w:rPr>
      </w:pPr>
      <w:r w:rsidRPr="00BA3DFB">
        <w:rPr>
          <w:rFonts w:ascii="Times New Roman" w:hAnsi="Times New Roman" w:cs="Times New Roman"/>
          <w:sz w:val="24"/>
          <w:szCs w:val="24"/>
        </w:rPr>
        <w:t>Sumber : Data sekunder yang diolah peneliti (2019)</w:t>
      </w:r>
    </w:p>
    <w:p w:rsidR="00C61B99" w:rsidRPr="00BA3DFB" w:rsidRDefault="007448CE" w:rsidP="00C61B99">
      <w:pPr>
        <w:spacing w:before="240" w:line="480" w:lineRule="auto"/>
        <w:ind w:firstLine="720"/>
        <w:jc w:val="both"/>
        <w:rPr>
          <w:rFonts w:ascii="Times New Roman" w:hAnsi="Times New Roman" w:cs="Times New Roman"/>
          <w:sz w:val="24"/>
          <w:szCs w:val="24"/>
        </w:rPr>
      </w:pPr>
      <w:r w:rsidRPr="00BA3DFB">
        <w:rPr>
          <w:rFonts w:ascii="Times New Roman" w:hAnsi="Times New Roman" w:cs="Times New Roman"/>
          <w:sz w:val="24"/>
          <w:szCs w:val="24"/>
        </w:rPr>
        <w:t>Berdasarkan tabel diatas</w:t>
      </w:r>
      <w:r w:rsidR="00C61B99" w:rsidRPr="00BA3DFB">
        <w:rPr>
          <w:rFonts w:ascii="Times New Roman" w:hAnsi="Times New Roman" w:cs="Times New Roman"/>
          <w:sz w:val="24"/>
          <w:szCs w:val="24"/>
        </w:rPr>
        <w:t xml:space="preserve">, terlihat bahwa pada tahun 2015 diperoleh </w:t>
      </w:r>
      <w:r w:rsidR="00C61B99" w:rsidRPr="00BA3DFB">
        <w:rPr>
          <w:rFonts w:ascii="Times New Roman" w:hAnsi="Times New Roman" w:cs="Times New Roman"/>
          <w:i/>
          <w:sz w:val="24"/>
          <w:szCs w:val="24"/>
        </w:rPr>
        <w:t xml:space="preserve">Non Performing Loan </w:t>
      </w:r>
      <w:r w:rsidR="00C61B99" w:rsidRPr="00BA3DFB">
        <w:rPr>
          <w:rFonts w:ascii="Times New Roman" w:hAnsi="Times New Roman" w:cs="Times New Roman"/>
          <w:sz w:val="24"/>
          <w:szCs w:val="24"/>
        </w:rPr>
        <w:t xml:space="preserve">(NPL) sebesar 1.17% berarti terdapat 1.17% dana yang termasuk dalam kredit kurang lancar, diragukan, dan macet dari total kredit yang diberikan oleh Bank. Semakin besar NPL maka menunjukkan jika bank kurang baik dalam menyeleksi calon peminjam. Hal ini membuktikan bahwa pada tahun 2015 PT Bank BRI (Persero) Tbk mampu menyeleksi calon peminjamnya dengan sangat baik. Sehingga kemampuan bank dalam menumbuhkan rasa kepercayaan nasabahnya semakin meningkat. Pada tahun 2015 bank mengalami penurunan NPL dari 1.25% </w:t>
      </w:r>
      <w:r w:rsidR="00C61B99" w:rsidRPr="00BA3DFB">
        <w:rPr>
          <w:rFonts w:ascii="Times New Roman" w:hAnsi="Times New Roman" w:cs="Times New Roman"/>
          <w:sz w:val="24"/>
          <w:szCs w:val="24"/>
        </w:rPr>
        <w:lastRenderedPageBreak/>
        <w:t>ditahun 2014 menurun menjadi 1.17% ditahun 2015. Memiliki nilai NPL sebesar 1.17% dan termasuk dalam predikat komposit 1 karena tidak melebihi batas maksimal yaitu 2%.</w:t>
      </w:r>
    </w:p>
    <w:p w:rsidR="00C61B99" w:rsidRPr="00BA3DFB" w:rsidRDefault="00C61B99" w:rsidP="00C61B99">
      <w:pPr>
        <w:spacing w:before="240" w:line="480" w:lineRule="auto"/>
        <w:ind w:firstLine="720"/>
        <w:jc w:val="both"/>
        <w:rPr>
          <w:rFonts w:ascii="Times New Roman" w:hAnsi="Times New Roman" w:cs="Times New Roman"/>
          <w:sz w:val="24"/>
          <w:szCs w:val="24"/>
        </w:rPr>
      </w:pPr>
      <w:r w:rsidRPr="00BA3DFB">
        <w:rPr>
          <w:rFonts w:ascii="Times New Roman" w:hAnsi="Times New Roman" w:cs="Times New Roman"/>
          <w:i/>
          <w:sz w:val="24"/>
          <w:szCs w:val="24"/>
        </w:rPr>
        <w:t xml:space="preserve">Loan to Deposit Ratio </w:t>
      </w:r>
      <w:r w:rsidRPr="00BA3DFB">
        <w:rPr>
          <w:rFonts w:ascii="Times New Roman" w:hAnsi="Times New Roman" w:cs="Times New Roman"/>
          <w:sz w:val="24"/>
          <w:szCs w:val="24"/>
        </w:rPr>
        <w:t xml:space="preserve">(LDR) di tahun 2015 sebesar 84.38%, berarti setiap dana yang dihimpun bank dapat mendukung pinjaman yang diberikan sebesar 84.38% dari total kredit yang diberikan. Hal ini membuktikan bahwaa pada tahun 2015 PT Bank BRI (Persero) Tbk, dapat mengelola simpanan dalam bentuk kredit hingga mencapai 84.38%. Sehingga kemampuan menghasilkan laba suatu bank akan meningkat seiring peningkatan pemberian kredit. Pada tahun 2015 bank mengalami kenaikan dalam hal pemberian kredit dari 81.75% ditahun 2014 meningkat menjadi 84.38% di tahun 2015. Memiliki nilai LDR sebesar 84.38% dan termasuk dalam predikat sehat atau predikat komposit 2 karena tidak melebihi batas maksimal yaitu 100%. </w:t>
      </w:r>
    </w:p>
    <w:p w:rsidR="00C61B99" w:rsidRPr="00BA3DFB" w:rsidRDefault="00C61B99" w:rsidP="00C61B99">
      <w:pPr>
        <w:spacing w:before="240" w:line="480" w:lineRule="auto"/>
        <w:ind w:firstLine="720"/>
        <w:jc w:val="both"/>
        <w:rPr>
          <w:rFonts w:ascii="Times New Roman" w:hAnsi="Times New Roman" w:cs="Times New Roman"/>
          <w:sz w:val="24"/>
          <w:szCs w:val="24"/>
        </w:rPr>
      </w:pPr>
      <w:r w:rsidRPr="00BA3DFB">
        <w:rPr>
          <w:rFonts w:ascii="Times New Roman" w:hAnsi="Times New Roman" w:cs="Times New Roman"/>
          <w:sz w:val="24"/>
          <w:szCs w:val="24"/>
        </w:rPr>
        <w:t xml:space="preserve">Tahun 2015 </w:t>
      </w:r>
      <w:r w:rsidRPr="00BA3DFB">
        <w:rPr>
          <w:rFonts w:ascii="Times New Roman" w:hAnsi="Times New Roman" w:cs="Times New Roman"/>
          <w:i/>
          <w:sz w:val="24"/>
          <w:szCs w:val="24"/>
        </w:rPr>
        <w:t xml:space="preserve">Good Corporate Governance </w:t>
      </w:r>
      <w:r w:rsidRPr="00BA3DFB">
        <w:rPr>
          <w:rFonts w:ascii="Times New Roman" w:hAnsi="Times New Roman" w:cs="Times New Roman"/>
          <w:sz w:val="24"/>
          <w:szCs w:val="24"/>
        </w:rPr>
        <w:t xml:space="preserve">(GCG) sebesar 86.92% dan memperoleh predikat sangat terpecaya berdasarkan hasil pemeringkatan CGPI yang dilakukan oleh lembaga IICG pada laporan tahunan tata kelola perusahaan PT Bank BRI (Persero) Tbk. Pada tahun 2015 GCG mengalami kenaikan dari 85.43% ditahun 2014 meningkat menjadi 86.92% ditahun 2015. Hal ini membuktikan bahwa PT Bank BRI (Persero) Tbk melakukan manajemen yang baik dan mengikuti prinsip-prinsip GCG sesuai dengan ketentuan yang sudah ditetapkan oleh Peraturan Bank Indonesia. Hasil </w:t>
      </w:r>
      <w:r w:rsidRPr="00BA3DFB">
        <w:rPr>
          <w:rFonts w:ascii="Times New Roman" w:hAnsi="Times New Roman" w:cs="Times New Roman"/>
          <w:i/>
          <w:sz w:val="24"/>
          <w:szCs w:val="24"/>
        </w:rPr>
        <w:t xml:space="preserve">Self Assesment on Implementation of GCG </w:t>
      </w:r>
      <w:r w:rsidRPr="00BA3DFB">
        <w:rPr>
          <w:rFonts w:ascii="Times New Roman" w:hAnsi="Times New Roman" w:cs="Times New Roman"/>
          <w:sz w:val="24"/>
          <w:szCs w:val="24"/>
        </w:rPr>
        <w:t>pada tahun 2015 PT Bank BRI (Persero) Tbk termasuk bank yang memiliki predikat “Sangat Baik” karena memiliki nilai komposit 1.17 dan tidak melebihi angka komposit 1.5 .</w:t>
      </w:r>
    </w:p>
    <w:p w:rsidR="00C61B99" w:rsidRPr="00BA3DFB" w:rsidRDefault="00C61B99" w:rsidP="00C61B99">
      <w:pPr>
        <w:spacing w:before="240" w:line="480" w:lineRule="auto"/>
        <w:ind w:firstLine="720"/>
        <w:jc w:val="both"/>
        <w:rPr>
          <w:rFonts w:ascii="Times New Roman" w:hAnsi="Times New Roman" w:cs="Times New Roman"/>
          <w:sz w:val="24"/>
          <w:szCs w:val="24"/>
        </w:rPr>
      </w:pPr>
      <w:r w:rsidRPr="00BA3DFB">
        <w:rPr>
          <w:rFonts w:ascii="Times New Roman" w:hAnsi="Times New Roman" w:cs="Times New Roman"/>
          <w:i/>
          <w:sz w:val="24"/>
          <w:szCs w:val="24"/>
        </w:rPr>
        <w:t xml:space="preserve">Return On Asset </w:t>
      </w:r>
      <w:r w:rsidRPr="00BA3DFB">
        <w:rPr>
          <w:rFonts w:ascii="Times New Roman" w:hAnsi="Times New Roman" w:cs="Times New Roman"/>
          <w:sz w:val="24"/>
          <w:szCs w:val="24"/>
        </w:rPr>
        <w:t xml:space="preserve">(ROA) tahun 2015 sebesar 3.87%, berarti tingkat produktivitas aset dari rata-rata total aset yang digunakan mampu menghasilkan laba sekitar 3.87%. Semakin tinggi prosentase maka tingkat produktivitasnya akan semakin meningkat. Ditahun 2015 terdapat </w:t>
      </w:r>
      <w:r w:rsidRPr="00BA3DFB">
        <w:rPr>
          <w:rFonts w:ascii="Times New Roman" w:hAnsi="Times New Roman" w:cs="Times New Roman"/>
          <w:sz w:val="24"/>
          <w:szCs w:val="24"/>
        </w:rPr>
        <w:lastRenderedPageBreak/>
        <w:t>kenaikan tingkat produktivitas aset dari 3.85% ditahun 2014 menjadi 3.87% ditahun 2015. Hal ini membuktikan bahwa PT Bank BRI (Persero) Tbk mampu mengelola aset-asetnya dengan baik sehingga dapat menghasilkan laba bersih. Memiliki ROA sebesar 3.87% dan predikat sangat sehat atau tingkat komposit 1 karena melebihi batas maksimal 1.5%.</w:t>
      </w:r>
    </w:p>
    <w:p w:rsidR="00C61B99" w:rsidRPr="00BA3DFB" w:rsidRDefault="00C61B99" w:rsidP="00C61B99">
      <w:pPr>
        <w:spacing w:before="240" w:line="480" w:lineRule="auto"/>
        <w:ind w:firstLine="720"/>
        <w:jc w:val="both"/>
        <w:rPr>
          <w:rFonts w:ascii="Times New Roman" w:hAnsi="Times New Roman" w:cs="Times New Roman"/>
          <w:sz w:val="24"/>
          <w:szCs w:val="24"/>
        </w:rPr>
      </w:pPr>
      <w:r w:rsidRPr="00BA3DFB">
        <w:rPr>
          <w:rFonts w:ascii="Times New Roman" w:hAnsi="Times New Roman" w:cs="Times New Roman"/>
          <w:i/>
          <w:sz w:val="24"/>
          <w:szCs w:val="24"/>
        </w:rPr>
        <w:t>Net Interest Margin</w:t>
      </w:r>
      <w:r w:rsidRPr="00BA3DFB">
        <w:rPr>
          <w:rFonts w:ascii="Times New Roman" w:hAnsi="Times New Roman" w:cs="Times New Roman"/>
          <w:sz w:val="24"/>
          <w:szCs w:val="24"/>
        </w:rPr>
        <w:t xml:space="preserve"> (NIM) tahun 2015 sebesar 7.70% berarti terdapat 7.70% pendapatan bunga bersih terhadap total aset produktif pada tahun 2015. Semakin tinggi prosentase NIM maka tingkat pendapatan bunga bersih akan semakin meningkat. Ditahun 2015 terjadi kenaikan NIM dari 6.29% ditahun 2014 menjadi 7.70% ditahun 2015. Hal ini membuktikan bahwa pada tahun 2015 PT Bank BRI (Persero) Tbk mampu melakukan manajemen untuk mengelola aset produktif dengan sangat baik sehingga bisa menghasilkan bunga bersih. Memiliki NIM sebesar 7.70% dan predikat sangat sehat atau tingkat komposit 1 karena melebihi batas maksimal 3%.</w:t>
      </w:r>
    </w:p>
    <w:p w:rsidR="00C61B99" w:rsidRPr="00BA3DFB" w:rsidRDefault="00C61B99" w:rsidP="00C61B99">
      <w:pPr>
        <w:spacing w:before="240" w:line="480" w:lineRule="auto"/>
        <w:ind w:firstLine="720"/>
        <w:jc w:val="both"/>
        <w:rPr>
          <w:rFonts w:ascii="Times New Roman" w:hAnsi="Times New Roman" w:cs="Times New Roman"/>
          <w:sz w:val="24"/>
          <w:szCs w:val="24"/>
        </w:rPr>
      </w:pPr>
      <w:r w:rsidRPr="00BA3DFB">
        <w:rPr>
          <w:rFonts w:ascii="Times New Roman" w:hAnsi="Times New Roman" w:cs="Times New Roman"/>
          <w:sz w:val="24"/>
          <w:szCs w:val="24"/>
        </w:rPr>
        <w:t xml:space="preserve">Tahun 2015 diperoleh </w:t>
      </w:r>
      <w:r w:rsidRPr="00BA3DFB">
        <w:rPr>
          <w:rFonts w:ascii="Times New Roman" w:hAnsi="Times New Roman" w:cs="Times New Roman"/>
          <w:i/>
          <w:sz w:val="24"/>
          <w:szCs w:val="24"/>
        </w:rPr>
        <w:t xml:space="preserve">Capital Adequacy Ratio </w:t>
      </w:r>
      <w:r w:rsidRPr="00BA3DFB">
        <w:rPr>
          <w:rFonts w:ascii="Times New Roman" w:hAnsi="Times New Roman" w:cs="Times New Roman"/>
          <w:sz w:val="24"/>
          <w:szCs w:val="24"/>
        </w:rPr>
        <w:t>(CAR) sebesar 20.59%, berarti permodalan yang dimiliki bank tersebut dapat mengantisipasi risiko kredit sebesar 20.59%. Semakin besar presentase maka semakin baik, karena presentase CAR menunjukkan kemampuan permodalan untuk menutupi kemungkinan kegagalan kredit. Sehingga dengan semakin besarnya presentase CAR maka kemampuan modal menutupi kredit semakin baik. Ditahun 2015 terjadi kenaikan CAR dari 18.30% ditahun 2014 menjadi 20.59% ditahun 2015 PT Bank BRI (Persero) Tbk mampu membiayai berbagai kegiatan operasional dengan sangat baik serta memberikan kontribusi kepada perusahaannya secara maksimal. Memiliki CAR sebesar 20.59% dan predikat sangat sehat atau tingkat komposit 1 karena melebihi batas minimal yaitu 12%.</w:t>
      </w:r>
    </w:p>
    <w:p w:rsidR="00C61B99" w:rsidRPr="00BA3DFB" w:rsidRDefault="00C61B99" w:rsidP="007448CE">
      <w:pPr>
        <w:spacing w:before="240" w:line="480" w:lineRule="auto"/>
        <w:ind w:firstLine="720"/>
        <w:jc w:val="both"/>
        <w:rPr>
          <w:rFonts w:ascii="Times New Roman" w:hAnsi="Times New Roman" w:cs="Times New Roman"/>
          <w:sz w:val="24"/>
          <w:szCs w:val="24"/>
        </w:rPr>
      </w:pPr>
      <w:r w:rsidRPr="00BA3DFB">
        <w:rPr>
          <w:rFonts w:ascii="Times New Roman" w:hAnsi="Times New Roman" w:cs="Times New Roman"/>
          <w:sz w:val="24"/>
          <w:szCs w:val="24"/>
        </w:rPr>
        <w:t xml:space="preserve">Jadi tingkat kesehatan PT Bank BRI (Persero) Tbk pada tahun 2015 dilihat secara keseluruhan termasuk dalam kategori “Sangat Sehat” atau peringkat komposit 1 (PK-1). </w:t>
      </w:r>
      <w:r w:rsidRPr="00BA3DFB">
        <w:rPr>
          <w:rFonts w:ascii="Times New Roman" w:hAnsi="Times New Roman" w:cs="Times New Roman"/>
          <w:sz w:val="24"/>
          <w:szCs w:val="24"/>
        </w:rPr>
        <w:lastRenderedPageBreak/>
        <w:t>Sehingga PT Bank BRI (Persero) Tbk dinilai sangat mampu menghadapi pengaruh negatif yang signifikan dari perubahan kondisi bisnis dan faktor eksternal lainnya.</w:t>
      </w:r>
    </w:p>
    <w:p w:rsidR="00C61B99" w:rsidRPr="00BA3DFB" w:rsidRDefault="00C61B99" w:rsidP="00C61B99">
      <w:pPr>
        <w:pStyle w:val="Caption"/>
        <w:spacing w:line="480" w:lineRule="auto"/>
        <w:jc w:val="center"/>
        <w:rPr>
          <w:rFonts w:ascii="Times New Roman" w:hAnsi="Times New Roman" w:cs="Times New Roman"/>
          <w:color w:val="auto"/>
          <w:sz w:val="24"/>
          <w:szCs w:val="24"/>
        </w:rPr>
      </w:pPr>
      <w:bookmarkStart w:id="12" w:name="_Toc12306481"/>
      <w:r w:rsidRPr="00BA3DFB">
        <w:rPr>
          <w:rFonts w:ascii="Times New Roman" w:hAnsi="Times New Roman" w:cs="Times New Roman"/>
          <w:color w:val="auto"/>
          <w:sz w:val="24"/>
          <w:szCs w:val="24"/>
        </w:rPr>
        <w:t>Tabel</w:t>
      </w:r>
      <w:r w:rsidR="007448CE" w:rsidRPr="00BA3DFB">
        <w:rPr>
          <w:rFonts w:ascii="Times New Roman" w:hAnsi="Times New Roman" w:cs="Times New Roman"/>
          <w:color w:val="auto"/>
          <w:sz w:val="24"/>
          <w:szCs w:val="24"/>
        </w:rPr>
        <w:t xml:space="preserve"> </w:t>
      </w:r>
      <w:r w:rsidRPr="00BA3DFB">
        <w:rPr>
          <w:rFonts w:ascii="Times New Roman" w:hAnsi="Times New Roman" w:cs="Times New Roman"/>
          <w:color w:val="auto"/>
          <w:sz w:val="24"/>
          <w:szCs w:val="24"/>
        </w:rPr>
        <w:t>Penilaian tingkat kesehatan PT BRI (Persero) Tbk periode 2016</w:t>
      </w:r>
      <w:bookmarkEnd w:id="12"/>
    </w:p>
    <w:tbl>
      <w:tblPr>
        <w:tblStyle w:val="TableGrid"/>
        <w:tblW w:w="8395" w:type="dxa"/>
        <w:jc w:val="center"/>
        <w:tblLook w:val="04A0" w:firstRow="1" w:lastRow="0" w:firstColumn="1" w:lastColumn="0" w:noHBand="0" w:noVBand="1"/>
      </w:tblPr>
      <w:tblGrid>
        <w:gridCol w:w="1823"/>
        <w:gridCol w:w="1591"/>
        <w:gridCol w:w="1360"/>
        <w:gridCol w:w="1770"/>
        <w:gridCol w:w="1851"/>
      </w:tblGrid>
      <w:tr w:rsidR="00BA3DFB" w:rsidRPr="00BA3DFB" w:rsidTr="00A715F4">
        <w:trPr>
          <w:trHeight w:val="1335"/>
          <w:jc w:val="center"/>
        </w:trPr>
        <w:tc>
          <w:tcPr>
            <w:tcW w:w="1823" w:type="dxa"/>
          </w:tcPr>
          <w:p w:rsidR="00C61B99" w:rsidRPr="00BA3DFB" w:rsidRDefault="00C61B99" w:rsidP="00A715F4">
            <w:pPr>
              <w:spacing w:before="240" w:line="480" w:lineRule="auto"/>
              <w:jc w:val="center"/>
              <w:rPr>
                <w:rFonts w:ascii="Times New Roman" w:hAnsi="Times New Roman" w:cs="Times New Roman"/>
                <w:b/>
                <w:sz w:val="24"/>
                <w:szCs w:val="24"/>
              </w:rPr>
            </w:pPr>
            <w:r w:rsidRPr="00BA3DFB">
              <w:rPr>
                <w:rFonts w:ascii="Times New Roman" w:hAnsi="Times New Roman" w:cs="Times New Roman"/>
                <w:b/>
                <w:sz w:val="24"/>
                <w:szCs w:val="24"/>
              </w:rPr>
              <w:t>Komponen Faktor</w:t>
            </w:r>
          </w:p>
        </w:tc>
        <w:tc>
          <w:tcPr>
            <w:tcW w:w="1591" w:type="dxa"/>
          </w:tcPr>
          <w:p w:rsidR="00C61B99" w:rsidRPr="00BA3DFB" w:rsidRDefault="00C61B99" w:rsidP="00A715F4">
            <w:pPr>
              <w:spacing w:before="240" w:line="480" w:lineRule="auto"/>
              <w:jc w:val="center"/>
              <w:rPr>
                <w:rFonts w:ascii="Times New Roman" w:hAnsi="Times New Roman" w:cs="Times New Roman"/>
                <w:b/>
                <w:sz w:val="24"/>
                <w:szCs w:val="24"/>
              </w:rPr>
            </w:pPr>
            <w:r w:rsidRPr="00BA3DFB">
              <w:rPr>
                <w:rFonts w:ascii="Times New Roman" w:hAnsi="Times New Roman" w:cs="Times New Roman"/>
                <w:b/>
                <w:sz w:val="24"/>
                <w:szCs w:val="24"/>
              </w:rPr>
              <w:t>Rasio</w:t>
            </w:r>
          </w:p>
        </w:tc>
        <w:tc>
          <w:tcPr>
            <w:tcW w:w="1360" w:type="dxa"/>
          </w:tcPr>
          <w:p w:rsidR="00C61B99" w:rsidRPr="00BA3DFB" w:rsidRDefault="00C61B99" w:rsidP="00A715F4">
            <w:pPr>
              <w:spacing w:before="240" w:line="480" w:lineRule="auto"/>
              <w:jc w:val="center"/>
              <w:rPr>
                <w:rFonts w:ascii="Times New Roman" w:hAnsi="Times New Roman" w:cs="Times New Roman"/>
                <w:b/>
                <w:sz w:val="24"/>
                <w:szCs w:val="24"/>
              </w:rPr>
            </w:pPr>
            <w:r w:rsidRPr="00BA3DFB">
              <w:rPr>
                <w:rFonts w:ascii="Times New Roman" w:hAnsi="Times New Roman" w:cs="Times New Roman"/>
                <w:b/>
                <w:sz w:val="24"/>
                <w:szCs w:val="24"/>
              </w:rPr>
              <w:t>% Rasio</w:t>
            </w:r>
          </w:p>
        </w:tc>
        <w:tc>
          <w:tcPr>
            <w:tcW w:w="1770" w:type="dxa"/>
          </w:tcPr>
          <w:p w:rsidR="00C61B99" w:rsidRPr="00BA3DFB" w:rsidRDefault="00C61B99" w:rsidP="00A715F4">
            <w:pPr>
              <w:spacing w:before="240" w:line="480" w:lineRule="auto"/>
              <w:jc w:val="center"/>
              <w:rPr>
                <w:rFonts w:ascii="Times New Roman" w:hAnsi="Times New Roman" w:cs="Times New Roman"/>
                <w:b/>
                <w:sz w:val="24"/>
                <w:szCs w:val="24"/>
              </w:rPr>
            </w:pPr>
            <w:r w:rsidRPr="00BA3DFB">
              <w:rPr>
                <w:rFonts w:ascii="Times New Roman" w:hAnsi="Times New Roman" w:cs="Times New Roman"/>
                <w:b/>
                <w:sz w:val="24"/>
                <w:szCs w:val="24"/>
              </w:rPr>
              <w:t>Peringkat</w:t>
            </w:r>
          </w:p>
        </w:tc>
        <w:tc>
          <w:tcPr>
            <w:tcW w:w="1851" w:type="dxa"/>
          </w:tcPr>
          <w:p w:rsidR="00C61B99" w:rsidRPr="00BA3DFB" w:rsidRDefault="00C61B99" w:rsidP="00A715F4">
            <w:pPr>
              <w:spacing w:before="240" w:line="480" w:lineRule="auto"/>
              <w:jc w:val="center"/>
              <w:rPr>
                <w:rFonts w:ascii="Times New Roman" w:hAnsi="Times New Roman" w:cs="Times New Roman"/>
                <w:b/>
                <w:sz w:val="24"/>
                <w:szCs w:val="24"/>
              </w:rPr>
            </w:pPr>
            <w:r w:rsidRPr="00BA3DFB">
              <w:rPr>
                <w:rFonts w:ascii="Times New Roman" w:hAnsi="Times New Roman" w:cs="Times New Roman"/>
                <w:b/>
                <w:sz w:val="24"/>
                <w:szCs w:val="24"/>
              </w:rPr>
              <w:t>Keterangan</w:t>
            </w:r>
          </w:p>
        </w:tc>
      </w:tr>
      <w:tr w:rsidR="00BA3DFB" w:rsidRPr="00BA3DFB" w:rsidTr="00A715F4">
        <w:trPr>
          <w:trHeight w:val="795"/>
          <w:jc w:val="center"/>
        </w:trPr>
        <w:tc>
          <w:tcPr>
            <w:tcW w:w="1823" w:type="dxa"/>
          </w:tcPr>
          <w:p w:rsidR="00C61B99" w:rsidRPr="00BA3DFB" w:rsidRDefault="00C61B99" w:rsidP="00A715F4">
            <w:pPr>
              <w:spacing w:before="240" w:line="480" w:lineRule="auto"/>
              <w:rPr>
                <w:rFonts w:ascii="Times New Roman" w:hAnsi="Times New Roman" w:cs="Times New Roman"/>
                <w:sz w:val="24"/>
                <w:szCs w:val="24"/>
              </w:rPr>
            </w:pPr>
            <w:r w:rsidRPr="00BA3DFB">
              <w:rPr>
                <w:rFonts w:ascii="Times New Roman" w:hAnsi="Times New Roman" w:cs="Times New Roman"/>
                <w:sz w:val="24"/>
                <w:szCs w:val="24"/>
              </w:rPr>
              <w:t>Profil Risiko</w:t>
            </w:r>
          </w:p>
        </w:tc>
        <w:tc>
          <w:tcPr>
            <w:tcW w:w="1591" w:type="dxa"/>
          </w:tcPr>
          <w:p w:rsidR="00C61B99" w:rsidRPr="00BA3DFB" w:rsidRDefault="00C61B99" w:rsidP="00A715F4">
            <w:pPr>
              <w:spacing w:before="240" w:line="480" w:lineRule="auto"/>
              <w:jc w:val="center"/>
              <w:rPr>
                <w:rFonts w:ascii="Times New Roman" w:hAnsi="Times New Roman" w:cs="Times New Roman"/>
                <w:sz w:val="24"/>
                <w:szCs w:val="24"/>
              </w:rPr>
            </w:pPr>
            <w:r w:rsidRPr="00BA3DFB">
              <w:rPr>
                <w:rFonts w:ascii="Times New Roman" w:hAnsi="Times New Roman" w:cs="Times New Roman"/>
                <w:sz w:val="24"/>
                <w:szCs w:val="24"/>
              </w:rPr>
              <w:t>NPL</w:t>
            </w:r>
          </w:p>
        </w:tc>
        <w:tc>
          <w:tcPr>
            <w:tcW w:w="1360" w:type="dxa"/>
          </w:tcPr>
          <w:p w:rsidR="00C61B99" w:rsidRPr="00BA3DFB" w:rsidRDefault="00C61B99" w:rsidP="00A715F4">
            <w:pPr>
              <w:spacing w:before="240" w:line="480" w:lineRule="auto"/>
              <w:jc w:val="center"/>
              <w:rPr>
                <w:rFonts w:ascii="Times New Roman" w:hAnsi="Times New Roman" w:cs="Times New Roman"/>
                <w:sz w:val="24"/>
                <w:szCs w:val="24"/>
              </w:rPr>
            </w:pPr>
            <w:r w:rsidRPr="00BA3DFB">
              <w:rPr>
                <w:rFonts w:ascii="Times New Roman" w:hAnsi="Times New Roman" w:cs="Times New Roman"/>
                <w:sz w:val="24"/>
                <w:szCs w:val="24"/>
              </w:rPr>
              <w:t>1.05</w:t>
            </w:r>
          </w:p>
        </w:tc>
        <w:tc>
          <w:tcPr>
            <w:tcW w:w="1770" w:type="dxa"/>
          </w:tcPr>
          <w:p w:rsidR="00C61B99" w:rsidRPr="00BA3DFB" w:rsidRDefault="00C61B99" w:rsidP="00A715F4">
            <w:pPr>
              <w:spacing w:before="240" w:line="480" w:lineRule="auto"/>
              <w:jc w:val="center"/>
              <w:rPr>
                <w:rFonts w:ascii="Times New Roman" w:hAnsi="Times New Roman" w:cs="Times New Roman"/>
                <w:sz w:val="24"/>
                <w:szCs w:val="24"/>
              </w:rPr>
            </w:pPr>
            <w:r w:rsidRPr="00BA3DFB">
              <w:rPr>
                <w:rFonts w:ascii="Times New Roman" w:hAnsi="Times New Roman" w:cs="Times New Roman"/>
                <w:sz w:val="24"/>
                <w:szCs w:val="24"/>
              </w:rPr>
              <w:t>1</w:t>
            </w:r>
          </w:p>
        </w:tc>
        <w:tc>
          <w:tcPr>
            <w:tcW w:w="1851" w:type="dxa"/>
          </w:tcPr>
          <w:p w:rsidR="00C61B99" w:rsidRPr="00BA3DFB" w:rsidRDefault="00C61B99" w:rsidP="00A715F4">
            <w:pPr>
              <w:spacing w:before="240" w:line="480" w:lineRule="auto"/>
              <w:jc w:val="center"/>
              <w:rPr>
                <w:rFonts w:ascii="Times New Roman" w:hAnsi="Times New Roman" w:cs="Times New Roman"/>
                <w:sz w:val="24"/>
                <w:szCs w:val="24"/>
              </w:rPr>
            </w:pPr>
            <w:r w:rsidRPr="00BA3DFB">
              <w:rPr>
                <w:rFonts w:ascii="Times New Roman" w:hAnsi="Times New Roman" w:cs="Times New Roman"/>
                <w:sz w:val="24"/>
                <w:szCs w:val="24"/>
              </w:rPr>
              <w:t>Sangat Sehat</w:t>
            </w:r>
          </w:p>
        </w:tc>
      </w:tr>
      <w:tr w:rsidR="00BA3DFB" w:rsidRPr="00BA3DFB" w:rsidTr="00A715F4">
        <w:trPr>
          <w:trHeight w:val="795"/>
          <w:jc w:val="center"/>
        </w:trPr>
        <w:tc>
          <w:tcPr>
            <w:tcW w:w="1823" w:type="dxa"/>
          </w:tcPr>
          <w:p w:rsidR="00C61B99" w:rsidRPr="00BA3DFB" w:rsidRDefault="00C61B99" w:rsidP="00A715F4">
            <w:pPr>
              <w:spacing w:before="240" w:line="480" w:lineRule="auto"/>
              <w:rPr>
                <w:rFonts w:ascii="Times New Roman" w:hAnsi="Times New Roman" w:cs="Times New Roman"/>
                <w:sz w:val="24"/>
                <w:szCs w:val="24"/>
              </w:rPr>
            </w:pPr>
          </w:p>
        </w:tc>
        <w:tc>
          <w:tcPr>
            <w:tcW w:w="1591" w:type="dxa"/>
          </w:tcPr>
          <w:p w:rsidR="00C61B99" w:rsidRPr="00BA3DFB" w:rsidRDefault="00C61B99" w:rsidP="00A715F4">
            <w:pPr>
              <w:spacing w:before="240" w:line="480" w:lineRule="auto"/>
              <w:jc w:val="center"/>
              <w:rPr>
                <w:rFonts w:ascii="Times New Roman" w:hAnsi="Times New Roman" w:cs="Times New Roman"/>
                <w:sz w:val="24"/>
                <w:szCs w:val="24"/>
              </w:rPr>
            </w:pPr>
            <w:r w:rsidRPr="00BA3DFB">
              <w:rPr>
                <w:rFonts w:ascii="Times New Roman" w:hAnsi="Times New Roman" w:cs="Times New Roman"/>
                <w:sz w:val="24"/>
                <w:szCs w:val="24"/>
              </w:rPr>
              <w:t>LDR</w:t>
            </w:r>
          </w:p>
        </w:tc>
        <w:tc>
          <w:tcPr>
            <w:tcW w:w="1360" w:type="dxa"/>
          </w:tcPr>
          <w:p w:rsidR="00C61B99" w:rsidRPr="00BA3DFB" w:rsidRDefault="00C61B99" w:rsidP="00A715F4">
            <w:pPr>
              <w:spacing w:before="240" w:line="480" w:lineRule="auto"/>
              <w:jc w:val="center"/>
              <w:rPr>
                <w:rFonts w:ascii="Times New Roman" w:hAnsi="Times New Roman" w:cs="Times New Roman"/>
                <w:sz w:val="24"/>
                <w:szCs w:val="24"/>
              </w:rPr>
            </w:pPr>
            <w:r w:rsidRPr="00BA3DFB">
              <w:rPr>
                <w:rFonts w:ascii="Times New Roman" w:hAnsi="Times New Roman" w:cs="Times New Roman"/>
                <w:sz w:val="24"/>
                <w:szCs w:val="24"/>
              </w:rPr>
              <w:t>85.28</w:t>
            </w:r>
          </w:p>
        </w:tc>
        <w:tc>
          <w:tcPr>
            <w:tcW w:w="1770" w:type="dxa"/>
          </w:tcPr>
          <w:p w:rsidR="00C61B99" w:rsidRPr="00BA3DFB" w:rsidRDefault="00C61B99" w:rsidP="00A715F4">
            <w:pPr>
              <w:spacing w:before="240" w:line="480" w:lineRule="auto"/>
              <w:jc w:val="center"/>
              <w:rPr>
                <w:rFonts w:ascii="Times New Roman" w:hAnsi="Times New Roman" w:cs="Times New Roman"/>
                <w:sz w:val="24"/>
                <w:szCs w:val="24"/>
              </w:rPr>
            </w:pPr>
            <w:r w:rsidRPr="00BA3DFB">
              <w:rPr>
                <w:rFonts w:ascii="Times New Roman" w:hAnsi="Times New Roman" w:cs="Times New Roman"/>
                <w:sz w:val="24"/>
                <w:szCs w:val="24"/>
              </w:rPr>
              <w:t>3</w:t>
            </w:r>
          </w:p>
        </w:tc>
        <w:tc>
          <w:tcPr>
            <w:tcW w:w="1851" w:type="dxa"/>
          </w:tcPr>
          <w:p w:rsidR="00C61B99" w:rsidRPr="00BA3DFB" w:rsidRDefault="00C61B99" w:rsidP="00A715F4">
            <w:pPr>
              <w:spacing w:before="240" w:line="480" w:lineRule="auto"/>
              <w:jc w:val="center"/>
              <w:rPr>
                <w:rFonts w:ascii="Times New Roman" w:hAnsi="Times New Roman" w:cs="Times New Roman"/>
                <w:sz w:val="24"/>
                <w:szCs w:val="24"/>
              </w:rPr>
            </w:pPr>
            <w:r w:rsidRPr="00BA3DFB">
              <w:rPr>
                <w:rFonts w:ascii="Times New Roman" w:hAnsi="Times New Roman" w:cs="Times New Roman"/>
                <w:sz w:val="24"/>
                <w:szCs w:val="24"/>
              </w:rPr>
              <w:t>Cukup Sehat</w:t>
            </w:r>
          </w:p>
        </w:tc>
      </w:tr>
      <w:tr w:rsidR="00BA3DFB" w:rsidRPr="00BA3DFB" w:rsidTr="00A715F4">
        <w:trPr>
          <w:trHeight w:val="795"/>
          <w:jc w:val="center"/>
        </w:trPr>
        <w:tc>
          <w:tcPr>
            <w:tcW w:w="1823" w:type="dxa"/>
          </w:tcPr>
          <w:p w:rsidR="00C61B99" w:rsidRPr="00BA3DFB" w:rsidRDefault="00C61B99" w:rsidP="00A715F4">
            <w:pPr>
              <w:spacing w:before="240" w:line="480" w:lineRule="auto"/>
              <w:rPr>
                <w:rFonts w:ascii="Times New Roman" w:hAnsi="Times New Roman" w:cs="Times New Roman"/>
                <w:sz w:val="24"/>
                <w:szCs w:val="24"/>
              </w:rPr>
            </w:pPr>
            <w:r w:rsidRPr="00BA3DFB">
              <w:rPr>
                <w:rFonts w:ascii="Times New Roman" w:hAnsi="Times New Roman" w:cs="Times New Roman"/>
                <w:sz w:val="24"/>
                <w:szCs w:val="24"/>
              </w:rPr>
              <w:t xml:space="preserve">Tata Kelola </w:t>
            </w:r>
          </w:p>
        </w:tc>
        <w:tc>
          <w:tcPr>
            <w:tcW w:w="1591" w:type="dxa"/>
          </w:tcPr>
          <w:p w:rsidR="00C61B99" w:rsidRPr="00BA3DFB" w:rsidRDefault="00C61B99" w:rsidP="00A715F4">
            <w:pPr>
              <w:spacing w:before="240" w:line="480" w:lineRule="auto"/>
              <w:jc w:val="center"/>
              <w:rPr>
                <w:rFonts w:ascii="Times New Roman" w:hAnsi="Times New Roman" w:cs="Times New Roman"/>
                <w:sz w:val="24"/>
                <w:szCs w:val="24"/>
              </w:rPr>
            </w:pPr>
            <w:r w:rsidRPr="00BA3DFB">
              <w:rPr>
                <w:rFonts w:ascii="Times New Roman" w:hAnsi="Times New Roman" w:cs="Times New Roman"/>
                <w:sz w:val="24"/>
                <w:szCs w:val="24"/>
              </w:rPr>
              <w:t>GCG</w:t>
            </w:r>
          </w:p>
        </w:tc>
        <w:tc>
          <w:tcPr>
            <w:tcW w:w="1360" w:type="dxa"/>
          </w:tcPr>
          <w:p w:rsidR="00C61B99" w:rsidRPr="00BA3DFB" w:rsidRDefault="00C61B99" w:rsidP="00A715F4">
            <w:pPr>
              <w:spacing w:before="240" w:line="480" w:lineRule="auto"/>
              <w:jc w:val="center"/>
              <w:rPr>
                <w:rFonts w:ascii="Times New Roman" w:hAnsi="Times New Roman" w:cs="Times New Roman"/>
                <w:sz w:val="24"/>
                <w:szCs w:val="24"/>
              </w:rPr>
            </w:pPr>
            <w:r w:rsidRPr="00BA3DFB">
              <w:rPr>
                <w:rFonts w:ascii="Times New Roman" w:hAnsi="Times New Roman" w:cs="Times New Roman"/>
                <w:sz w:val="24"/>
                <w:szCs w:val="24"/>
              </w:rPr>
              <w:t>2.00</w:t>
            </w:r>
          </w:p>
        </w:tc>
        <w:tc>
          <w:tcPr>
            <w:tcW w:w="1770" w:type="dxa"/>
          </w:tcPr>
          <w:p w:rsidR="00C61B99" w:rsidRPr="00BA3DFB" w:rsidRDefault="00C61B99" w:rsidP="00A715F4">
            <w:pPr>
              <w:spacing w:before="240" w:line="480" w:lineRule="auto"/>
              <w:jc w:val="center"/>
              <w:rPr>
                <w:rFonts w:ascii="Times New Roman" w:hAnsi="Times New Roman" w:cs="Times New Roman"/>
                <w:sz w:val="24"/>
                <w:szCs w:val="24"/>
              </w:rPr>
            </w:pPr>
            <w:r w:rsidRPr="00BA3DFB">
              <w:rPr>
                <w:rFonts w:ascii="Times New Roman" w:hAnsi="Times New Roman" w:cs="Times New Roman"/>
                <w:sz w:val="24"/>
                <w:szCs w:val="24"/>
              </w:rPr>
              <w:t>2</w:t>
            </w:r>
          </w:p>
        </w:tc>
        <w:tc>
          <w:tcPr>
            <w:tcW w:w="1851" w:type="dxa"/>
          </w:tcPr>
          <w:p w:rsidR="00C61B99" w:rsidRPr="00BA3DFB" w:rsidRDefault="00C61B99" w:rsidP="00A715F4">
            <w:pPr>
              <w:spacing w:before="240" w:line="480" w:lineRule="auto"/>
              <w:jc w:val="center"/>
              <w:rPr>
                <w:rFonts w:ascii="Times New Roman" w:hAnsi="Times New Roman" w:cs="Times New Roman"/>
                <w:sz w:val="24"/>
                <w:szCs w:val="24"/>
              </w:rPr>
            </w:pPr>
            <w:r w:rsidRPr="00BA3DFB">
              <w:rPr>
                <w:rFonts w:ascii="Times New Roman" w:hAnsi="Times New Roman" w:cs="Times New Roman"/>
                <w:sz w:val="24"/>
                <w:szCs w:val="24"/>
              </w:rPr>
              <w:t>Baik</w:t>
            </w:r>
          </w:p>
        </w:tc>
      </w:tr>
      <w:tr w:rsidR="00BA3DFB" w:rsidRPr="00BA3DFB" w:rsidTr="00A715F4">
        <w:trPr>
          <w:trHeight w:val="780"/>
          <w:jc w:val="center"/>
        </w:trPr>
        <w:tc>
          <w:tcPr>
            <w:tcW w:w="1823" w:type="dxa"/>
          </w:tcPr>
          <w:p w:rsidR="00C61B99" w:rsidRPr="00BA3DFB" w:rsidRDefault="00C61B99" w:rsidP="00A715F4">
            <w:pPr>
              <w:spacing w:before="240" w:line="480" w:lineRule="auto"/>
              <w:rPr>
                <w:rFonts w:ascii="Times New Roman" w:hAnsi="Times New Roman" w:cs="Times New Roman"/>
                <w:sz w:val="24"/>
                <w:szCs w:val="24"/>
              </w:rPr>
            </w:pPr>
            <w:r w:rsidRPr="00BA3DFB">
              <w:rPr>
                <w:rFonts w:ascii="Times New Roman" w:hAnsi="Times New Roman" w:cs="Times New Roman"/>
                <w:sz w:val="24"/>
                <w:szCs w:val="24"/>
              </w:rPr>
              <w:t>Rentabilitas</w:t>
            </w:r>
          </w:p>
        </w:tc>
        <w:tc>
          <w:tcPr>
            <w:tcW w:w="1591" w:type="dxa"/>
          </w:tcPr>
          <w:p w:rsidR="00C61B99" w:rsidRPr="00BA3DFB" w:rsidRDefault="00C61B99" w:rsidP="00A715F4">
            <w:pPr>
              <w:spacing w:before="240" w:line="480" w:lineRule="auto"/>
              <w:jc w:val="center"/>
              <w:rPr>
                <w:rFonts w:ascii="Times New Roman" w:hAnsi="Times New Roman" w:cs="Times New Roman"/>
                <w:sz w:val="24"/>
                <w:szCs w:val="24"/>
              </w:rPr>
            </w:pPr>
            <w:r w:rsidRPr="00BA3DFB">
              <w:rPr>
                <w:rFonts w:ascii="Times New Roman" w:hAnsi="Times New Roman" w:cs="Times New Roman"/>
                <w:sz w:val="24"/>
                <w:szCs w:val="24"/>
              </w:rPr>
              <w:t>ROA</w:t>
            </w:r>
          </w:p>
        </w:tc>
        <w:tc>
          <w:tcPr>
            <w:tcW w:w="1360" w:type="dxa"/>
          </w:tcPr>
          <w:p w:rsidR="00C61B99" w:rsidRPr="00BA3DFB" w:rsidRDefault="00C61B99" w:rsidP="00A715F4">
            <w:pPr>
              <w:spacing w:before="240" w:line="480" w:lineRule="auto"/>
              <w:jc w:val="center"/>
              <w:rPr>
                <w:rFonts w:ascii="Times New Roman" w:hAnsi="Times New Roman" w:cs="Times New Roman"/>
                <w:sz w:val="24"/>
                <w:szCs w:val="24"/>
              </w:rPr>
            </w:pPr>
            <w:r w:rsidRPr="00BA3DFB">
              <w:rPr>
                <w:rFonts w:ascii="Times New Roman" w:hAnsi="Times New Roman" w:cs="Times New Roman"/>
                <w:sz w:val="24"/>
                <w:szCs w:val="24"/>
              </w:rPr>
              <w:t>3.61</w:t>
            </w:r>
          </w:p>
        </w:tc>
        <w:tc>
          <w:tcPr>
            <w:tcW w:w="1770" w:type="dxa"/>
          </w:tcPr>
          <w:p w:rsidR="00C61B99" w:rsidRPr="00BA3DFB" w:rsidRDefault="00C61B99" w:rsidP="00A715F4">
            <w:pPr>
              <w:spacing w:before="240" w:line="480" w:lineRule="auto"/>
              <w:jc w:val="center"/>
              <w:rPr>
                <w:rFonts w:ascii="Times New Roman" w:hAnsi="Times New Roman" w:cs="Times New Roman"/>
                <w:sz w:val="24"/>
                <w:szCs w:val="24"/>
              </w:rPr>
            </w:pPr>
            <w:r w:rsidRPr="00BA3DFB">
              <w:rPr>
                <w:rFonts w:ascii="Times New Roman" w:hAnsi="Times New Roman" w:cs="Times New Roman"/>
                <w:sz w:val="24"/>
                <w:szCs w:val="24"/>
              </w:rPr>
              <w:t>1</w:t>
            </w:r>
          </w:p>
        </w:tc>
        <w:tc>
          <w:tcPr>
            <w:tcW w:w="1851" w:type="dxa"/>
          </w:tcPr>
          <w:p w:rsidR="00C61B99" w:rsidRPr="00BA3DFB" w:rsidRDefault="00C61B99" w:rsidP="00A715F4">
            <w:pPr>
              <w:spacing w:before="240" w:line="480" w:lineRule="auto"/>
              <w:jc w:val="center"/>
              <w:rPr>
                <w:rFonts w:ascii="Times New Roman" w:hAnsi="Times New Roman" w:cs="Times New Roman"/>
                <w:sz w:val="24"/>
                <w:szCs w:val="24"/>
              </w:rPr>
            </w:pPr>
            <w:r w:rsidRPr="00BA3DFB">
              <w:rPr>
                <w:rFonts w:ascii="Times New Roman" w:hAnsi="Times New Roman" w:cs="Times New Roman"/>
                <w:sz w:val="24"/>
                <w:szCs w:val="24"/>
              </w:rPr>
              <w:t>Sangat Sehat</w:t>
            </w:r>
          </w:p>
        </w:tc>
      </w:tr>
      <w:tr w:rsidR="00BA3DFB" w:rsidRPr="00BA3DFB" w:rsidTr="00A715F4">
        <w:trPr>
          <w:trHeight w:val="795"/>
          <w:jc w:val="center"/>
        </w:trPr>
        <w:tc>
          <w:tcPr>
            <w:tcW w:w="1823" w:type="dxa"/>
          </w:tcPr>
          <w:p w:rsidR="00C61B99" w:rsidRPr="00BA3DFB" w:rsidRDefault="00C61B99" w:rsidP="00A715F4">
            <w:pPr>
              <w:spacing w:before="240" w:line="480" w:lineRule="auto"/>
              <w:jc w:val="center"/>
              <w:rPr>
                <w:rFonts w:ascii="Times New Roman" w:hAnsi="Times New Roman" w:cs="Times New Roman"/>
                <w:sz w:val="24"/>
                <w:szCs w:val="24"/>
              </w:rPr>
            </w:pPr>
          </w:p>
        </w:tc>
        <w:tc>
          <w:tcPr>
            <w:tcW w:w="1591" w:type="dxa"/>
          </w:tcPr>
          <w:p w:rsidR="00C61B99" w:rsidRPr="00BA3DFB" w:rsidRDefault="00C61B99" w:rsidP="00A715F4">
            <w:pPr>
              <w:spacing w:before="240" w:line="480" w:lineRule="auto"/>
              <w:jc w:val="center"/>
              <w:rPr>
                <w:rFonts w:ascii="Times New Roman" w:hAnsi="Times New Roman" w:cs="Times New Roman"/>
                <w:sz w:val="24"/>
                <w:szCs w:val="24"/>
              </w:rPr>
            </w:pPr>
            <w:r w:rsidRPr="00BA3DFB">
              <w:rPr>
                <w:rFonts w:ascii="Times New Roman" w:hAnsi="Times New Roman" w:cs="Times New Roman"/>
                <w:sz w:val="24"/>
                <w:szCs w:val="24"/>
              </w:rPr>
              <w:t>NIM</w:t>
            </w:r>
          </w:p>
        </w:tc>
        <w:tc>
          <w:tcPr>
            <w:tcW w:w="1360" w:type="dxa"/>
          </w:tcPr>
          <w:p w:rsidR="00C61B99" w:rsidRPr="00BA3DFB" w:rsidRDefault="00C61B99" w:rsidP="00A715F4">
            <w:pPr>
              <w:spacing w:before="240" w:line="480" w:lineRule="auto"/>
              <w:jc w:val="center"/>
              <w:rPr>
                <w:rFonts w:ascii="Times New Roman" w:hAnsi="Times New Roman" w:cs="Times New Roman"/>
                <w:sz w:val="24"/>
                <w:szCs w:val="24"/>
              </w:rPr>
            </w:pPr>
            <w:r w:rsidRPr="00BA3DFB">
              <w:rPr>
                <w:rFonts w:ascii="Times New Roman" w:hAnsi="Times New Roman" w:cs="Times New Roman"/>
                <w:sz w:val="24"/>
                <w:szCs w:val="24"/>
              </w:rPr>
              <w:t>7.4</w:t>
            </w:r>
          </w:p>
        </w:tc>
        <w:tc>
          <w:tcPr>
            <w:tcW w:w="1770" w:type="dxa"/>
          </w:tcPr>
          <w:p w:rsidR="00C61B99" w:rsidRPr="00BA3DFB" w:rsidRDefault="00C61B99" w:rsidP="00A715F4">
            <w:pPr>
              <w:spacing w:before="240" w:line="480" w:lineRule="auto"/>
              <w:jc w:val="center"/>
              <w:rPr>
                <w:rFonts w:ascii="Times New Roman" w:hAnsi="Times New Roman" w:cs="Times New Roman"/>
                <w:sz w:val="24"/>
                <w:szCs w:val="24"/>
              </w:rPr>
            </w:pPr>
            <w:r w:rsidRPr="00BA3DFB">
              <w:rPr>
                <w:rFonts w:ascii="Times New Roman" w:hAnsi="Times New Roman" w:cs="Times New Roman"/>
                <w:sz w:val="24"/>
                <w:szCs w:val="24"/>
              </w:rPr>
              <w:t>1</w:t>
            </w:r>
          </w:p>
        </w:tc>
        <w:tc>
          <w:tcPr>
            <w:tcW w:w="1851" w:type="dxa"/>
          </w:tcPr>
          <w:p w:rsidR="00C61B99" w:rsidRPr="00BA3DFB" w:rsidRDefault="00C61B99" w:rsidP="00A715F4">
            <w:pPr>
              <w:spacing w:before="240" w:line="480" w:lineRule="auto"/>
              <w:jc w:val="center"/>
              <w:rPr>
                <w:rFonts w:ascii="Times New Roman" w:hAnsi="Times New Roman" w:cs="Times New Roman"/>
                <w:sz w:val="24"/>
                <w:szCs w:val="24"/>
              </w:rPr>
            </w:pPr>
            <w:r w:rsidRPr="00BA3DFB">
              <w:rPr>
                <w:rFonts w:ascii="Times New Roman" w:hAnsi="Times New Roman" w:cs="Times New Roman"/>
                <w:sz w:val="24"/>
                <w:szCs w:val="24"/>
              </w:rPr>
              <w:t>Sangat Sehat</w:t>
            </w:r>
          </w:p>
        </w:tc>
      </w:tr>
      <w:tr w:rsidR="00BA3DFB" w:rsidRPr="00BA3DFB" w:rsidTr="00A715F4">
        <w:trPr>
          <w:trHeight w:val="780"/>
          <w:jc w:val="center"/>
        </w:trPr>
        <w:tc>
          <w:tcPr>
            <w:tcW w:w="1823" w:type="dxa"/>
          </w:tcPr>
          <w:p w:rsidR="00C61B99" w:rsidRPr="00BA3DFB" w:rsidRDefault="00C61B99" w:rsidP="00A715F4">
            <w:pPr>
              <w:spacing w:before="240" w:line="480" w:lineRule="auto"/>
              <w:rPr>
                <w:rFonts w:ascii="Times New Roman" w:hAnsi="Times New Roman" w:cs="Times New Roman"/>
                <w:sz w:val="24"/>
                <w:szCs w:val="24"/>
              </w:rPr>
            </w:pPr>
            <w:r w:rsidRPr="00BA3DFB">
              <w:rPr>
                <w:rFonts w:ascii="Times New Roman" w:hAnsi="Times New Roman" w:cs="Times New Roman"/>
                <w:sz w:val="24"/>
                <w:szCs w:val="24"/>
              </w:rPr>
              <w:t>Permodalan</w:t>
            </w:r>
          </w:p>
        </w:tc>
        <w:tc>
          <w:tcPr>
            <w:tcW w:w="1591" w:type="dxa"/>
          </w:tcPr>
          <w:p w:rsidR="00C61B99" w:rsidRPr="00BA3DFB" w:rsidRDefault="00C61B99" w:rsidP="00A715F4">
            <w:pPr>
              <w:spacing w:before="240" w:line="480" w:lineRule="auto"/>
              <w:jc w:val="center"/>
              <w:rPr>
                <w:rFonts w:ascii="Times New Roman" w:hAnsi="Times New Roman" w:cs="Times New Roman"/>
                <w:sz w:val="24"/>
                <w:szCs w:val="24"/>
              </w:rPr>
            </w:pPr>
            <w:r w:rsidRPr="00BA3DFB">
              <w:rPr>
                <w:rFonts w:ascii="Times New Roman" w:hAnsi="Times New Roman" w:cs="Times New Roman"/>
                <w:sz w:val="24"/>
                <w:szCs w:val="24"/>
              </w:rPr>
              <w:t>CAR</w:t>
            </w:r>
          </w:p>
        </w:tc>
        <w:tc>
          <w:tcPr>
            <w:tcW w:w="1360" w:type="dxa"/>
          </w:tcPr>
          <w:p w:rsidR="00C61B99" w:rsidRPr="00BA3DFB" w:rsidRDefault="00C61B99" w:rsidP="00A715F4">
            <w:pPr>
              <w:spacing w:before="240" w:line="480" w:lineRule="auto"/>
              <w:jc w:val="center"/>
              <w:rPr>
                <w:rFonts w:ascii="Times New Roman" w:hAnsi="Times New Roman" w:cs="Times New Roman"/>
                <w:sz w:val="24"/>
                <w:szCs w:val="24"/>
              </w:rPr>
            </w:pPr>
            <w:r w:rsidRPr="00BA3DFB">
              <w:rPr>
                <w:rFonts w:ascii="Times New Roman" w:hAnsi="Times New Roman" w:cs="Times New Roman"/>
                <w:sz w:val="24"/>
                <w:szCs w:val="24"/>
              </w:rPr>
              <w:t>22.91</w:t>
            </w:r>
          </w:p>
        </w:tc>
        <w:tc>
          <w:tcPr>
            <w:tcW w:w="1770" w:type="dxa"/>
          </w:tcPr>
          <w:p w:rsidR="00C61B99" w:rsidRPr="00BA3DFB" w:rsidRDefault="00C61B99" w:rsidP="00A715F4">
            <w:pPr>
              <w:spacing w:before="240" w:line="480" w:lineRule="auto"/>
              <w:jc w:val="center"/>
              <w:rPr>
                <w:rFonts w:ascii="Times New Roman" w:hAnsi="Times New Roman" w:cs="Times New Roman"/>
                <w:sz w:val="24"/>
                <w:szCs w:val="24"/>
              </w:rPr>
            </w:pPr>
            <w:r w:rsidRPr="00BA3DFB">
              <w:rPr>
                <w:rFonts w:ascii="Times New Roman" w:hAnsi="Times New Roman" w:cs="Times New Roman"/>
                <w:sz w:val="24"/>
                <w:szCs w:val="24"/>
              </w:rPr>
              <w:t>1</w:t>
            </w:r>
          </w:p>
        </w:tc>
        <w:tc>
          <w:tcPr>
            <w:tcW w:w="1851" w:type="dxa"/>
          </w:tcPr>
          <w:p w:rsidR="00C61B99" w:rsidRPr="00BA3DFB" w:rsidRDefault="00C61B99" w:rsidP="00A715F4">
            <w:pPr>
              <w:spacing w:before="240" w:line="480" w:lineRule="auto"/>
              <w:jc w:val="center"/>
              <w:rPr>
                <w:rFonts w:ascii="Times New Roman" w:hAnsi="Times New Roman" w:cs="Times New Roman"/>
                <w:sz w:val="24"/>
                <w:szCs w:val="24"/>
              </w:rPr>
            </w:pPr>
            <w:r w:rsidRPr="00BA3DFB">
              <w:rPr>
                <w:rFonts w:ascii="Times New Roman" w:hAnsi="Times New Roman" w:cs="Times New Roman"/>
                <w:sz w:val="24"/>
                <w:szCs w:val="24"/>
              </w:rPr>
              <w:t>Sangat Sehat</w:t>
            </w:r>
          </w:p>
        </w:tc>
      </w:tr>
      <w:tr w:rsidR="00BA3DFB" w:rsidRPr="00BA3DFB" w:rsidTr="00A715F4">
        <w:trPr>
          <w:trHeight w:val="795"/>
          <w:jc w:val="center"/>
        </w:trPr>
        <w:tc>
          <w:tcPr>
            <w:tcW w:w="4774" w:type="dxa"/>
            <w:gridSpan w:val="3"/>
          </w:tcPr>
          <w:p w:rsidR="00C61B99" w:rsidRPr="00BA3DFB" w:rsidRDefault="00C61B99" w:rsidP="00A715F4">
            <w:pPr>
              <w:spacing w:before="240" w:line="480" w:lineRule="auto"/>
              <w:jc w:val="center"/>
              <w:rPr>
                <w:rFonts w:ascii="Times New Roman" w:hAnsi="Times New Roman" w:cs="Times New Roman"/>
                <w:b/>
                <w:sz w:val="24"/>
                <w:szCs w:val="24"/>
              </w:rPr>
            </w:pPr>
            <w:r w:rsidRPr="00BA3DFB">
              <w:rPr>
                <w:rFonts w:ascii="Times New Roman" w:hAnsi="Times New Roman" w:cs="Times New Roman"/>
                <w:b/>
                <w:sz w:val="24"/>
                <w:szCs w:val="24"/>
              </w:rPr>
              <w:t>Peringkat Komposit</w:t>
            </w:r>
          </w:p>
        </w:tc>
        <w:tc>
          <w:tcPr>
            <w:tcW w:w="3621" w:type="dxa"/>
            <w:gridSpan w:val="2"/>
          </w:tcPr>
          <w:p w:rsidR="00C61B99" w:rsidRPr="00BA3DFB" w:rsidRDefault="00C61B99" w:rsidP="00A715F4">
            <w:pPr>
              <w:spacing w:before="240" w:line="480" w:lineRule="auto"/>
              <w:jc w:val="center"/>
              <w:rPr>
                <w:rFonts w:ascii="Times New Roman" w:hAnsi="Times New Roman" w:cs="Times New Roman"/>
                <w:b/>
                <w:sz w:val="24"/>
                <w:szCs w:val="24"/>
              </w:rPr>
            </w:pPr>
            <w:r w:rsidRPr="00BA3DFB">
              <w:rPr>
                <w:rFonts w:ascii="Times New Roman" w:hAnsi="Times New Roman" w:cs="Times New Roman"/>
                <w:b/>
                <w:sz w:val="24"/>
                <w:szCs w:val="24"/>
              </w:rPr>
              <w:t>SANGAT SEHAT</w:t>
            </w:r>
          </w:p>
        </w:tc>
      </w:tr>
    </w:tbl>
    <w:p w:rsidR="00C61B99" w:rsidRPr="00BA3DFB" w:rsidRDefault="00C61B99" w:rsidP="007448CE">
      <w:pPr>
        <w:spacing w:before="240" w:line="480" w:lineRule="auto"/>
        <w:ind w:left="568"/>
        <w:jc w:val="both"/>
        <w:rPr>
          <w:rFonts w:ascii="Times New Roman" w:hAnsi="Times New Roman" w:cs="Times New Roman"/>
          <w:sz w:val="24"/>
          <w:szCs w:val="24"/>
        </w:rPr>
      </w:pPr>
      <w:r w:rsidRPr="00BA3DFB">
        <w:rPr>
          <w:rFonts w:ascii="Times New Roman" w:hAnsi="Times New Roman" w:cs="Times New Roman"/>
          <w:sz w:val="24"/>
          <w:szCs w:val="24"/>
        </w:rPr>
        <w:t>Sumber : Data sekunder yang diolah peneliti (2019)</w:t>
      </w:r>
    </w:p>
    <w:p w:rsidR="00C61B99" w:rsidRPr="00BA3DFB" w:rsidRDefault="0022374A" w:rsidP="00C61B99">
      <w:pPr>
        <w:spacing w:before="240" w:line="480" w:lineRule="auto"/>
        <w:ind w:firstLine="720"/>
        <w:jc w:val="both"/>
        <w:rPr>
          <w:rFonts w:ascii="Times New Roman" w:hAnsi="Times New Roman" w:cs="Times New Roman"/>
          <w:sz w:val="24"/>
          <w:szCs w:val="24"/>
        </w:rPr>
      </w:pPr>
      <w:r w:rsidRPr="00BA3DFB">
        <w:rPr>
          <w:rFonts w:ascii="Times New Roman" w:hAnsi="Times New Roman" w:cs="Times New Roman"/>
          <w:sz w:val="24"/>
          <w:szCs w:val="24"/>
        </w:rPr>
        <w:t>Berdasarkan tabel</w:t>
      </w:r>
      <w:r w:rsidR="00C61B99" w:rsidRPr="00BA3DFB">
        <w:rPr>
          <w:rFonts w:ascii="Times New Roman" w:hAnsi="Times New Roman" w:cs="Times New Roman"/>
          <w:sz w:val="24"/>
          <w:szCs w:val="24"/>
        </w:rPr>
        <w:t xml:space="preserve">, terlihat bahwa pada tahun 2015 diperoleh </w:t>
      </w:r>
      <w:r w:rsidR="00C61B99" w:rsidRPr="00BA3DFB">
        <w:rPr>
          <w:rFonts w:ascii="Times New Roman" w:hAnsi="Times New Roman" w:cs="Times New Roman"/>
          <w:i/>
          <w:sz w:val="24"/>
          <w:szCs w:val="24"/>
        </w:rPr>
        <w:t xml:space="preserve">Non Performing Loan </w:t>
      </w:r>
      <w:r w:rsidR="00C61B99" w:rsidRPr="00BA3DFB">
        <w:rPr>
          <w:rFonts w:ascii="Times New Roman" w:hAnsi="Times New Roman" w:cs="Times New Roman"/>
          <w:sz w:val="24"/>
          <w:szCs w:val="24"/>
        </w:rPr>
        <w:t xml:space="preserve">(NPL) sebesar 1.05% berarti terdapat 1.05% dana yang termasuk dalam kredit kurang lancar, diragukan, dan macet dari total kredit yang diberikan oleh Bank. Semakin besar NPL maka menunjukkan jika bank kurang baik dalam menyeleksi calon peminjam. Hal ini membuktikan bahwa pada tahun 2016 PT Bank BRI (Persero) Tbk mampu menyeleksi calon peminjamnya </w:t>
      </w:r>
      <w:r w:rsidR="00C61B99" w:rsidRPr="00BA3DFB">
        <w:rPr>
          <w:rFonts w:ascii="Times New Roman" w:hAnsi="Times New Roman" w:cs="Times New Roman"/>
          <w:sz w:val="24"/>
          <w:szCs w:val="24"/>
        </w:rPr>
        <w:lastRenderedPageBreak/>
        <w:t>dengan sangat baik. Sehingga kemampuan bank dalam menumbuhkan rasa kepercayaan nasabahnya semakin meningkat. Pada tahun 2016 bank mengalami penurunan NPL dari 1.17% ditahun 2015 menurun menjadi 1.05% ditahun 2016. Memiliki nilai NPL sebesar 1.05% dan termasuk dalam predikat komposit 1 karena tidak melebihi batas maksimal yaitu 2%.</w:t>
      </w:r>
    </w:p>
    <w:p w:rsidR="00C61B99" w:rsidRPr="00BA3DFB" w:rsidRDefault="00C61B99" w:rsidP="00C61B99">
      <w:pPr>
        <w:spacing w:before="240" w:line="480" w:lineRule="auto"/>
        <w:ind w:firstLine="720"/>
        <w:jc w:val="both"/>
        <w:rPr>
          <w:rFonts w:ascii="Times New Roman" w:hAnsi="Times New Roman" w:cs="Times New Roman"/>
          <w:sz w:val="24"/>
          <w:szCs w:val="24"/>
        </w:rPr>
      </w:pPr>
      <w:r w:rsidRPr="00BA3DFB">
        <w:rPr>
          <w:rFonts w:ascii="Times New Roman" w:hAnsi="Times New Roman" w:cs="Times New Roman"/>
          <w:i/>
          <w:sz w:val="24"/>
          <w:szCs w:val="24"/>
        </w:rPr>
        <w:t xml:space="preserve">Loan to Deposit Ratio </w:t>
      </w:r>
      <w:r w:rsidRPr="00BA3DFB">
        <w:rPr>
          <w:rFonts w:ascii="Times New Roman" w:hAnsi="Times New Roman" w:cs="Times New Roman"/>
          <w:sz w:val="24"/>
          <w:szCs w:val="24"/>
        </w:rPr>
        <w:t xml:space="preserve">(LDR) di tahun 2016 sebesar 85.28%, berarti setiap dana yang dihimpun bank dapat mendukung pinjaman yang diberikan sebesar 85.28% dari total kredit yang diberikan. Hal ini membuktikan bahwa pada tahun 2016 PT Bank BRI (Persero) Tbk, dapat mengelola simpanan dalam bentuk kredit hingga mencapai 85.28%. Sehingga kemampuan menghasilkan laba suatu bank akan meningkat seiring peningkatan pemberian kredit. Pada tahun 2016 bank mengalami kenaikan dalam hal pemberian kredit dari 84.37% ditahun 2015 meningkat menjadi 85.28% ditahun 2016. Memiliki nilai LDR sebesar 85.28% dan termasuk dalam predikat cukup sehat atau predikat komposit 3 karena tidak melebihi batas maksimal yaitu 100%. </w:t>
      </w:r>
    </w:p>
    <w:p w:rsidR="00C61B99" w:rsidRPr="00BA3DFB" w:rsidRDefault="00C61B99" w:rsidP="00C61B99">
      <w:pPr>
        <w:spacing w:before="240" w:line="480" w:lineRule="auto"/>
        <w:ind w:firstLine="720"/>
        <w:jc w:val="both"/>
        <w:rPr>
          <w:rFonts w:ascii="Times New Roman" w:hAnsi="Times New Roman" w:cs="Times New Roman"/>
          <w:sz w:val="24"/>
          <w:szCs w:val="24"/>
        </w:rPr>
      </w:pPr>
      <w:r w:rsidRPr="00BA3DFB">
        <w:rPr>
          <w:rFonts w:ascii="Times New Roman" w:hAnsi="Times New Roman" w:cs="Times New Roman"/>
          <w:sz w:val="24"/>
          <w:szCs w:val="24"/>
        </w:rPr>
        <w:t xml:space="preserve">Tahun 2016 </w:t>
      </w:r>
      <w:r w:rsidRPr="00BA3DFB">
        <w:rPr>
          <w:rFonts w:ascii="Times New Roman" w:hAnsi="Times New Roman" w:cs="Times New Roman"/>
          <w:i/>
          <w:sz w:val="24"/>
          <w:szCs w:val="24"/>
        </w:rPr>
        <w:t xml:space="preserve">Good Corporate Governance </w:t>
      </w:r>
      <w:r w:rsidRPr="00BA3DFB">
        <w:rPr>
          <w:rFonts w:ascii="Times New Roman" w:hAnsi="Times New Roman" w:cs="Times New Roman"/>
          <w:sz w:val="24"/>
          <w:szCs w:val="24"/>
        </w:rPr>
        <w:t xml:space="preserve">(GCG) sebesar 87.74% dan memperoleh predikat sangat terpecaya berdasarkan hasil pemeringkatan CGPI yang dilakukan oleh lembaga IICG pada laporan tahunan tata kelola perusahaan PT Bank BRI (Persero) Tbk. Pada tahun 2016 GCG mengalami kenaikan dari 86.92% ditahun 2015 meningkat menjadi 87.74% ditahun 2016. Hal ini membuktikan bahwa PT Bank BRI (Persero) Tbk melakukan manajemen yang baik dan mengikuti prinsip-prinsip GCG sesuai dengan ketentuan yang sudah ditetapkan oleh Peraturan Bank Indonesia. Hasil </w:t>
      </w:r>
      <w:r w:rsidRPr="00BA3DFB">
        <w:rPr>
          <w:rFonts w:ascii="Times New Roman" w:hAnsi="Times New Roman" w:cs="Times New Roman"/>
          <w:i/>
          <w:sz w:val="24"/>
          <w:szCs w:val="24"/>
        </w:rPr>
        <w:t xml:space="preserve">Self Assesment on Implementation of GCG </w:t>
      </w:r>
      <w:r w:rsidRPr="00BA3DFB">
        <w:rPr>
          <w:rFonts w:ascii="Times New Roman" w:hAnsi="Times New Roman" w:cs="Times New Roman"/>
          <w:sz w:val="24"/>
          <w:szCs w:val="24"/>
        </w:rPr>
        <w:t>pada tahun 2016 PT Bank BRI (Persero) Tbk termasuk bank yang memiliki predikat “Baik” karena memiliki nilai komposit 2.00  dan tidak melebihi angka komposit 1.5 .</w:t>
      </w:r>
    </w:p>
    <w:p w:rsidR="00C61B99" w:rsidRPr="00BA3DFB" w:rsidRDefault="00C61B99" w:rsidP="00C61B99">
      <w:pPr>
        <w:spacing w:before="240" w:line="480" w:lineRule="auto"/>
        <w:ind w:firstLine="720"/>
        <w:jc w:val="both"/>
        <w:rPr>
          <w:rFonts w:ascii="Times New Roman" w:hAnsi="Times New Roman" w:cs="Times New Roman"/>
          <w:sz w:val="24"/>
          <w:szCs w:val="24"/>
        </w:rPr>
      </w:pPr>
      <w:r w:rsidRPr="00BA3DFB">
        <w:rPr>
          <w:rFonts w:ascii="Times New Roman" w:hAnsi="Times New Roman" w:cs="Times New Roman"/>
          <w:i/>
          <w:sz w:val="24"/>
          <w:szCs w:val="24"/>
        </w:rPr>
        <w:lastRenderedPageBreak/>
        <w:t xml:space="preserve">Return On Asset </w:t>
      </w:r>
      <w:r w:rsidRPr="00BA3DFB">
        <w:rPr>
          <w:rFonts w:ascii="Times New Roman" w:hAnsi="Times New Roman" w:cs="Times New Roman"/>
          <w:sz w:val="24"/>
          <w:szCs w:val="24"/>
        </w:rPr>
        <w:t>(ROA) tahun 2016 sebesar 3.61%, berarti tingkat produktivitas aset dari rata-rata total aset yang digunakan mampu menghasilkan laba sekitar 3.61%. Semakin tinggi prosentase maka tingkat produktivitasnya akan semakin meningkat. Ditahun 2016 terdapat penurunan tingkat produktivitas aset dari 3.86% ditahun 2015 menjadi 3.61% ditahun 2016. Hal ini membuktikan bahwa PT Bank BRI (Persero) Tbk mampu mengelola aset-asetnya dengan baik sehingga dapat menghasilkan laba bersih. Memiliki ROA sebesar 3.61% dan predikat sangat sehat atau tingkat komposit 1 karena melebihi batas maksimal 1.5%.</w:t>
      </w:r>
    </w:p>
    <w:p w:rsidR="00C61B99" w:rsidRPr="00BA3DFB" w:rsidRDefault="00C61B99" w:rsidP="00C61B99">
      <w:pPr>
        <w:spacing w:before="240" w:line="480" w:lineRule="auto"/>
        <w:ind w:firstLine="720"/>
        <w:jc w:val="both"/>
        <w:rPr>
          <w:rFonts w:ascii="Times New Roman" w:hAnsi="Times New Roman" w:cs="Times New Roman"/>
          <w:sz w:val="24"/>
          <w:szCs w:val="24"/>
        </w:rPr>
      </w:pPr>
      <w:r w:rsidRPr="00BA3DFB">
        <w:rPr>
          <w:rFonts w:ascii="Times New Roman" w:hAnsi="Times New Roman" w:cs="Times New Roman"/>
          <w:i/>
          <w:sz w:val="24"/>
          <w:szCs w:val="24"/>
        </w:rPr>
        <w:t>Net Interest Margin</w:t>
      </w:r>
      <w:r w:rsidRPr="00BA3DFB">
        <w:rPr>
          <w:rFonts w:ascii="Times New Roman" w:hAnsi="Times New Roman" w:cs="Times New Roman"/>
          <w:sz w:val="24"/>
          <w:szCs w:val="24"/>
        </w:rPr>
        <w:t xml:space="preserve"> (NIM) tahun 2016 sebesar 7.40% berarti terdapat 7.40% pendapatan bunga bersih terhadap total aset produktif pada tahun 2016. Semakin tinggi prosentase NIM maka tingkat pendapatan bunga bersih akan semakin meningkat. Ditahun 2016 terjadi penurunan  NIM dari 7.70% ditahun 2015 menjadi 7.40% ditahun 2016. Hal ini membuktikan bahwa pada tahun 2016 PT Bank BRI (Persero) Tbk mampu melakukan manajemen untuk mengelola aset produktif dengan sangat baik sehingga bisa menghasilkan bunga bersih. Memiliki NIM sebesar 7.40% dan predikat sangat sehat atau tingkat komposit 1 karena melebihi batas maksimal 3%.</w:t>
      </w:r>
    </w:p>
    <w:p w:rsidR="00C61B99" w:rsidRPr="00BA3DFB" w:rsidRDefault="00C61B99" w:rsidP="00C61B99">
      <w:pPr>
        <w:spacing w:before="240" w:line="480" w:lineRule="auto"/>
        <w:ind w:firstLine="720"/>
        <w:jc w:val="both"/>
        <w:rPr>
          <w:rFonts w:ascii="Times New Roman" w:hAnsi="Times New Roman" w:cs="Times New Roman"/>
          <w:sz w:val="24"/>
          <w:szCs w:val="24"/>
        </w:rPr>
      </w:pPr>
      <w:r w:rsidRPr="00BA3DFB">
        <w:rPr>
          <w:rFonts w:ascii="Times New Roman" w:hAnsi="Times New Roman" w:cs="Times New Roman"/>
          <w:sz w:val="24"/>
          <w:szCs w:val="24"/>
        </w:rPr>
        <w:t xml:space="preserve">Tahun 2016 diperoleh </w:t>
      </w:r>
      <w:r w:rsidRPr="00BA3DFB">
        <w:rPr>
          <w:rFonts w:ascii="Times New Roman" w:hAnsi="Times New Roman" w:cs="Times New Roman"/>
          <w:i/>
          <w:sz w:val="24"/>
          <w:szCs w:val="24"/>
        </w:rPr>
        <w:t xml:space="preserve">Capital Adequacy Ratio </w:t>
      </w:r>
      <w:r w:rsidRPr="00BA3DFB">
        <w:rPr>
          <w:rFonts w:ascii="Times New Roman" w:hAnsi="Times New Roman" w:cs="Times New Roman"/>
          <w:sz w:val="24"/>
          <w:szCs w:val="24"/>
        </w:rPr>
        <w:t>(CAR) sebesar 22.91%, berarti permodalan yang dimiliki bank tersebut dapat mengantisipasi risiko kredit sebesar 22.91%. Semakin besar presentase maka semakin baik, karena presentase CAR menunjukkan kemampuan permodalan untuk menutupi kemungkinan kegagalan kredit. Sehingga dengan semakin besarnya presentase CAR maka kemampuan modal menutupi kredit semakin baik. Ditahun 2016 terjadi kenaikan CAR dari 20.59% ditahun 2016 menjadi 22.91%  ditahun 2016 PT Bank BRI (Persero) Tbk mampu membiayai berbagai kegiatan operasional dengan sangat baik serta memberikan kontribusi kepada perusahaannya secara maksimal. Memiliki CAR sebesar 22.91% dan predikat sangat sehat atau tingkat komposit 1 karena melebihi batas minimal yaitu 12%.</w:t>
      </w:r>
    </w:p>
    <w:p w:rsidR="00C61B99" w:rsidRPr="00BA3DFB" w:rsidRDefault="00C61B99" w:rsidP="007448CE">
      <w:pPr>
        <w:spacing w:before="240" w:line="480" w:lineRule="auto"/>
        <w:ind w:firstLine="720"/>
        <w:jc w:val="both"/>
        <w:rPr>
          <w:rFonts w:ascii="Times New Roman" w:hAnsi="Times New Roman" w:cs="Times New Roman"/>
          <w:sz w:val="24"/>
          <w:szCs w:val="24"/>
        </w:rPr>
      </w:pPr>
      <w:r w:rsidRPr="00BA3DFB">
        <w:rPr>
          <w:rFonts w:ascii="Times New Roman" w:hAnsi="Times New Roman" w:cs="Times New Roman"/>
          <w:sz w:val="24"/>
          <w:szCs w:val="24"/>
        </w:rPr>
        <w:lastRenderedPageBreak/>
        <w:t>Jadi tingkat kesehatan PT Bank BRI (Persero) Tbk pada tahun 2016 dilihat secara keseluruhan termasuk dalam kategori “Sangat Sehat” atau peringkat komposit 1 (PK-1). Sehingga PT Bank BRI (Persero) Tbk dinilai sangat mampu menghadapi pengaruh negatif yang signifikan dari perubahan kondisi bisnis dan faktor eksternal lainnya.</w:t>
      </w:r>
    </w:p>
    <w:p w:rsidR="00C61B99" w:rsidRPr="00BA3DFB" w:rsidRDefault="00C61B99" w:rsidP="00C61B99">
      <w:pPr>
        <w:pStyle w:val="Caption"/>
        <w:spacing w:line="480" w:lineRule="auto"/>
        <w:jc w:val="center"/>
        <w:rPr>
          <w:rFonts w:ascii="Times New Roman" w:hAnsi="Times New Roman" w:cs="Times New Roman"/>
          <w:color w:val="auto"/>
          <w:sz w:val="24"/>
          <w:szCs w:val="24"/>
        </w:rPr>
      </w:pPr>
      <w:bookmarkStart w:id="13" w:name="_Toc12306482"/>
      <w:r w:rsidRPr="00BA3DFB">
        <w:rPr>
          <w:rFonts w:ascii="Times New Roman" w:hAnsi="Times New Roman" w:cs="Times New Roman"/>
          <w:color w:val="auto"/>
          <w:sz w:val="24"/>
          <w:szCs w:val="24"/>
        </w:rPr>
        <w:t>Tabel</w:t>
      </w:r>
      <w:r w:rsidR="007448CE" w:rsidRPr="00BA3DFB">
        <w:rPr>
          <w:rFonts w:ascii="Times New Roman" w:hAnsi="Times New Roman" w:cs="Times New Roman"/>
          <w:color w:val="auto"/>
          <w:sz w:val="24"/>
          <w:szCs w:val="24"/>
        </w:rPr>
        <w:t xml:space="preserve"> </w:t>
      </w:r>
      <w:r w:rsidRPr="00BA3DFB">
        <w:rPr>
          <w:rFonts w:ascii="Times New Roman" w:hAnsi="Times New Roman" w:cs="Times New Roman"/>
          <w:color w:val="auto"/>
          <w:sz w:val="24"/>
          <w:szCs w:val="24"/>
        </w:rPr>
        <w:t xml:space="preserve"> Penilaian tingkat kesehatan PT BRI (Persero) Tbk periode 2017</w:t>
      </w:r>
      <w:bookmarkEnd w:id="13"/>
    </w:p>
    <w:tbl>
      <w:tblPr>
        <w:tblStyle w:val="TableGrid"/>
        <w:tblW w:w="8395" w:type="dxa"/>
        <w:jc w:val="center"/>
        <w:tblLook w:val="04A0" w:firstRow="1" w:lastRow="0" w:firstColumn="1" w:lastColumn="0" w:noHBand="0" w:noVBand="1"/>
      </w:tblPr>
      <w:tblGrid>
        <w:gridCol w:w="1823"/>
        <w:gridCol w:w="1591"/>
        <w:gridCol w:w="1360"/>
        <w:gridCol w:w="1770"/>
        <w:gridCol w:w="1851"/>
      </w:tblGrid>
      <w:tr w:rsidR="00BA3DFB" w:rsidRPr="00BA3DFB" w:rsidTr="00A715F4">
        <w:trPr>
          <w:trHeight w:val="1335"/>
          <w:jc w:val="center"/>
        </w:trPr>
        <w:tc>
          <w:tcPr>
            <w:tcW w:w="1823" w:type="dxa"/>
          </w:tcPr>
          <w:p w:rsidR="00C61B99" w:rsidRPr="00BA3DFB" w:rsidRDefault="00C61B99" w:rsidP="00A715F4">
            <w:pPr>
              <w:spacing w:before="240" w:line="480" w:lineRule="auto"/>
              <w:jc w:val="center"/>
              <w:rPr>
                <w:rFonts w:ascii="Times New Roman" w:hAnsi="Times New Roman" w:cs="Times New Roman"/>
                <w:b/>
                <w:sz w:val="24"/>
                <w:szCs w:val="24"/>
              </w:rPr>
            </w:pPr>
            <w:r w:rsidRPr="00BA3DFB">
              <w:rPr>
                <w:rFonts w:ascii="Times New Roman" w:hAnsi="Times New Roman" w:cs="Times New Roman"/>
                <w:b/>
                <w:sz w:val="24"/>
                <w:szCs w:val="24"/>
              </w:rPr>
              <w:t>Komponen Faktor</w:t>
            </w:r>
          </w:p>
        </w:tc>
        <w:tc>
          <w:tcPr>
            <w:tcW w:w="1591" w:type="dxa"/>
          </w:tcPr>
          <w:p w:rsidR="00C61B99" w:rsidRPr="00BA3DFB" w:rsidRDefault="00C61B99" w:rsidP="00A715F4">
            <w:pPr>
              <w:spacing w:before="240" w:line="480" w:lineRule="auto"/>
              <w:jc w:val="center"/>
              <w:rPr>
                <w:rFonts w:ascii="Times New Roman" w:hAnsi="Times New Roman" w:cs="Times New Roman"/>
                <w:b/>
                <w:sz w:val="24"/>
                <w:szCs w:val="24"/>
              </w:rPr>
            </w:pPr>
            <w:r w:rsidRPr="00BA3DFB">
              <w:rPr>
                <w:rFonts w:ascii="Times New Roman" w:hAnsi="Times New Roman" w:cs="Times New Roman"/>
                <w:b/>
                <w:sz w:val="24"/>
                <w:szCs w:val="24"/>
              </w:rPr>
              <w:t>Rasio</w:t>
            </w:r>
          </w:p>
        </w:tc>
        <w:tc>
          <w:tcPr>
            <w:tcW w:w="1360" w:type="dxa"/>
          </w:tcPr>
          <w:p w:rsidR="00C61B99" w:rsidRPr="00BA3DFB" w:rsidRDefault="00C61B99" w:rsidP="00A715F4">
            <w:pPr>
              <w:spacing w:before="240" w:line="480" w:lineRule="auto"/>
              <w:jc w:val="center"/>
              <w:rPr>
                <w:rFonts w:ascii="Times New Roman" w:hAnsi="Times New Roman" w:cs="Times New Roman"/>
                <w:b/>
                <w:sz w:val="24"/>
                <w:szCs w:val="24"/>
              </w:rPr>
            </w:pPr>
            <w:r w:rsidRPr="00BA3DFB">
              <w:rPr>
                <w:rFonts w:ascii="Times New Roman" w:hAnsi="Times New Roman" w:cs="Times New Roman"/>
                <w:b/>
                <w:sz w:val="24"/>
                <w:szCs w:val="24"/>
              </w:rPr>
              <w:t>% Rasio</w:t>
            </w:r>
          </w:p>
        </w:tc>
        <w:tc>
          <w:tcPr>
            <w:tcW w:w="1770" w:type="dxa"/>
          </w:tcPr>
          <w:p w:rsidR="00C61B99" w:rsidRPr="00BA3DFB" w:rsidRDefault="00C61B99" w:rsidP="00A715F4">
            <w:pPr>
              <w:spacing w:before="240" w:line="480" w:lineRule="auto"/>
              <w:jc w:val="center"/>
              <w:rPr>
                <w:rFonts w:ascii="Times New Roman" w:hAnsi="Times New Roman" w:cs="Times New Roman"/>
                <w:b/>
                <w:sz w:val="24"/>
                <w:szCs w:val="24"/>
              </w:rPr>
            </w:pPr>
            <w:r w:rsidRPr="00BA3DFB">
              <w:rPr>
                <w:rFonts w:ascii="Times New Roman" w:hAnsi="Times New Roman" w:cs="Times New Roman"/>
                <w:b/>
                <w:sz w:val="24"/>
                <w:szCs w:val="24"/>
              </w:rPr>
              <w:t>Peringkat</w:t>
            </w:r>
          </w:p>
        </w:tc>
        <w:tc>
          <w:tcPr>
            <w:tcW w:w="1851" w:type="dxa"/>
          </w:tcPr>
          <w:p w:rsidR="00C61B99" w:rsidRPr="00BA3DFB" w:rsidRDefault="00C61B99" w:rsidP="00A715F4">
            <w:pPr>
              <w:spacing w:before="240" w:line="480" w:lineRule="auto"/>
              <w:jc w:val="center"/>
              <w:rPr>
                <w:rFonts w:ascii="Times New Roman" w:hAnsi="Times New Roman" w:cs="Times New Roman"/>
                <w:b/>
                <w:sz w:val="24"/>
                <w:szCs w:val="24"/>
              </w:rPr>
            </w:pPr>
            <w:r w:rsidRPr="00BA3DFB">
              <w:rPr>
                <w:rFonts w:ascii="Times New Roman" w:hAnsi="Times New Roman" w:cs="Times New Roman"/>
                <w:b/>
                <w:sz w:val="24"/>
                <w:szCs w:val="24"/>
              </w:rPr>
              <w:t>Keterangan</w:t>
            </w:r>
          </w:p>
        </w:tc>
      </w:tr>
      <w:tr w:rsidR="00BA3DFB" w:rsidRPr="00BA3DFB" w:rsidTr="00A715F4">
        <w:trPr>
          <w:trHeight w:val="795"/>
          <w:jc w:val="center"/>
        </w:trPr>
        <w:tc>
          <w:tcPr>
            <w:tcW w:w="1823" w:type="dxa"/>
          </w:tcPr>
          <w:p w:rsidR="00C61B99" w:rsidRPr="00BA3DFB" w:rsidRDefault="00C61B99" w:rsidP="00A715F4">
            <w:pPr>
              <w:spacing w:before="240" w:line="480" w:lineRule="auto"/>
              <w:rPr>
                <w:rFonts w:ascii="Times New Roman" w:hAnsi="Times New Roman" w:cs="Times New Roman"/>
                <w:sz w:val="24"/>
                <w:szCs w:val="24"/>
              </w:rPr>
            </w:pPr>
            <w:r w:rsidRPr="00BA3DFB">
              <w:rPr>
                <w:rFonts w:ascii="Times New Roman" w:hAnsi="Times New Roman" w:cs="Times New Roman"/>
                <w:sz w:val="24"/>
                <w:szCs w:val="24"/>
              </w:rPr>
              <w:t>Profil Risiko</w:t>
            </w:r>
          </w:p>
        </w:tc>
        <w:tc>
          <w:tcPr>
            <w:tcW w:w="1591" w:type="dxa"/>
          </w:tcPr>
          <w:p w:rsidR="00C61B99" w:rsidRPr="00BA3DFB" w:rsidRDefault="00C61B99" w:rsidP="00A715F4">
            <w:pPr>
              <w:spacing w:before="240" w:line="480" w:lineRule="auto"/>
              <w:jc w:val="center"/>
              <w:rPr>
                <w:rFonts w:ascii="Times New Roman" w:hAnsi="Times New Roman" w:cs="Times New Roman"/>
                <w:sz w:val="24"/>
                <w:szCs w:val="24"/>
              </w:rPr>
            </w:pPr>
            <w:r w:rsidRPr="00BA3DFB">
              <w:rPr>
                <w:rFonts w:ascii="Times New Roman" w:hAnsi="Times New Roman" w:cs="Times New Roman"/>
                <w:sz w:val="24"/>
                <w:szCs w:val="24"/>
              </w:rPr>
              <w:t>NPL</w:t>
            </w:r>
          </w:p>
        </w:tc>
        <w:tc>
          <w:tcPr>
            <w:tcW w:w="1360" w:type="dxa"/>
          </w:tcPr>
          <w:p w:rsidR="00C61B99" w:rsidRPr="00BA3DFB" w:rsidRDefault="00C61B99" w:rsidP="00A715F4">
            <w:pPr>
              <w:spacing w:before="240" w:line="480" w:lineRule="auto"/>
              <w:jc w:val="center"/>
              <w:rPr>
                <w:rFonts w:ascii="Times New Roman" w:hAnsi="Times New Roman" w:cs="Times New Roman"/>
                <w:sz w:val="24"/>
                <w:szCs w:val="24"/>
              </w:rPr>
            </w:pPr>
            <w:r w:rsidRPr="00BA3DFB">
              <w:rPr>
                <w:rFonts w:ascii="Times New Roman" w:hAnsi="Times New Roman" w:cs="Times New Roman"/>
                <w:sz w:val="24"/>
                <w:szCs w:val="24"/>
              </w:rPr>
              <w:t>1.10</w:t>
            </w:r>
          </w:p>
        </w:tc>
        <w:tc>
          <w:tcPr>
            <w:tcW w:w="1770" w:type="dxa"/>
          </w:tcPr>
          <w:p w:rsidR="00C61B99" w:rsidRPr="00BA3DFB" w:rsidRDefault="00C61B99" w:rsidP="00A715F4">
            <w:pPr>
              <w:spacing w:before="240" w:line="480" w:lineRule="auto"/>
              <w:jc w:val="center"/>
              <w:rPr>
                <w:rFonts w:ascii="Times New Roman" w:hAnsi="Times New Roman" w:cs="Times New Roman"/>
                <w:sz w:val="24"/>
                <w:szCs w:val="24"/>
              </w:rPr>
            </w:pPr>
            <w:r w:rsidRPr="00BA3DFB">
              <w:rPr>
                <w:rFonts w:ascii="Times New Roman" w:hAnsi="Times New Roman" w:cs="Times New Roman"/>
                <w:sz w:val="24"/>
                <w:szCs w:val="24"/>
              </w:rPr>
              <w:t>1</w:t>
            </w:r>
          </w:p>
        </w:tc>
        <w:tc>
          <w:tcPr>
            <w:tcW w:w="1851" w:type="dxa"/>
          </w:tcPr>
          <w:p w:rsidR="00C61B99" w:rsidRPr="00BA3DFB" w:rsidRDefault="00C61B99" w:rsidP="00A715F4">
            <w:pPr>
              <w:spacing w:before="240" w:line="480" w:lineRule="auto"/>
              <w:jc w:val="center"/>
              <w:rPr>
                <w:rFonts w:ascii="Times New Roman" w:hAnsi="Times New Roman" w:cs="Times New Roman"/>
                <w:sz w:val="24"/>
                <w:szCs w:val="24"/>
              </w:rPr>
            </w:pPr>
            <w:r w:rsidRPr="00BA3DFB">
              <w:rPr>
                <w:rFonts w:ascii="Times New Roman" w:hAnsi="Times New Roman" w:cs="Times New Roman"/>
                <w:sz w:val="24"/>
                <w:szCs w:val="24"/>
              </w:rPr>
              <w:t>Sangat Sehat</w:t>
            </w:r>
          </w:p>
        </w:tc>
      </w:tr>
      <w:tr w:rsidR="00BA3DFB" w:rsidRPr="00BA3DFB" w:rsidTr="00A715F4">
        <w:trPr>
          <w:trHeight w:val="795"/>
          <w:jc w:val="center"/>
        </w:trPr>
        <w:tc>
          <w:tcPr>
            <w:tcW w:w="1823" w:type="dxa"/>
          </w:tcPr>
          <w:p w:rsidR="00C61B99" w:rsidRPr="00BA3DFB" w:rsidRDefault="00C61B99" w:rsidP="00A715F4">
            <w:pPr>
              <w:spacing w:before="240" w:line="480" w:lineRule="auto"/>
              <w:rPr>
                <w:rFonts w:ascii="Times New Roman" w:hAnsi="Times New Roman" w:cs="Times New Roman"/>
                <w:sz w:val="24"/>
                <w:szCs w:val="24"/>
              </w:rPr>
            </w:pPr>
          </w:p>
        </w:tc>
        <w:tc>
          <w:tcPr>
            <w:tcW w:w="1591" w:type="dxa"/>
          </w:tcPr>
          <w:p w:rsidR="00C61B99" w:rsidRPr="00BA3DFB" w:rsidRDefault="00C61B99" w:rsidP="00A715F4">
            <w:pPr>
              <w:spacing w:before="240" w:line="480" w:lineRule="auto"/>
              <w:jc w:val="center"/>
              <w:rPr>
                <w:rFonts w:ascii="Times New Roman" w:hAnsi="Times New Roman" w:cs="Times New Roman"/>
                <w:sz w:val="24"/>
                <w:szCs w:val="24"/>
              </w:rPr>
            </w:pPr>
            <w:r w:rsidRPr="00BA3DFB">
              <w:rPr>
                <w:rFonts w:ascii="Times New Roman" w:hAnsi="Times New Roman" w:cs="Times New Roman"/>
                <w:sz w:val="24"/>
                <w:szCs w:val="24"/>
              </w:rPr>
              <w:t>LDR</w:t>
            </w:r>
          </w:p>
        </w:tc>
        <w:tc>
          <w:tcPr>
            <w:tcW w:w="1360" w:type="dxa"/>
          </w:tcPr>
          <w:p w:rsidR="00C61B99" w:rsidRPr="00BA3DFB" w:rsidRDefault="00C61B99" w:rsidP="00A715F4">
            <w:pPr>
              <w:spacing w:before="240" w:line="480" w:lineRule="auto"/>
              <w:jc w:val="center"/>
              <w:rPr>
                <w:rFonts w:ascii="Times New Roman" w:hAnsi="Times New Roman" w:cs="Times New Roman"/>
                <w:sz w:val="24"/>
                <w:szCs w:val="24"/>
              </w:rPr>
            </w:pPr>
            <w:r w:rsidRPr="00BA3DFB">
              <w:rPr>
                <w:rFonts w:ascii="Times New Roman" w:hAnsi="Times New Roman" w:cs="Times New Roman"/>
                <w:sz w:val="24"/>
                <w:szCs w:val="24"/>
              </w:rPr>
              <w:t>85.42</w:t>
            </w:r>
          </w:p>
        </w:tc>
        <w:tc>
          <w:tcPr>
            <w:tcW w:w="1770" w:type="dxa"/>
          </w:tcPr>
          <w:p w:rsidR="00C61B99" w:rsidRPr="00BA3DFB" w:rsidRDefault="00C61B99" w:rsidP="00A715F4">
            <w:pPr>
              <w:spacing w:before="240" w:line="480" w:lineRule="auto"/>
              <w:jc w:val="center"/>
              <w:rPr>
                <w:rFonts w:ascii="Times New Roman" w:hAnsi="Times New Roman" w:cs="Times New Roman"/>
                <w:sz w:val="24"/>
                <w:szCs w:val="24"/>
              </w:rPr>
            </w:pPr>
            <w:r w:rsidRPr="00BA3DFB">
              <w:rPr>
                <w:rFonts w:ascii="Times New Roman" w:hAnsi="Times New Roman" w:cs="Times New Roman"/>
                <w:sz w:val="24"/>
                <w:szCs w:val="24"/>
              </w:rPr>
              <w:t>3</w:t>
            </w:r>
          </w:p>
        </w:tc>
        <w:tc>
          <w:tcPr>
            <w:tcW w:w="1851" w:type="dxa"/>
          </w:tcPr>
          <w:p w:rsidR="00C61B99" w:rsidRPr="00BA3DFB" w:rsidRDefault="00C61B99" w:rsidP="00A715F4">
            <w:pPr>
              <w:spacing w:before="240" w:line="480" w:lineRule="auto"/>
              <w:jc w:val="center"/>
              <w:rPr>
                <w:rFonts w:ascii="Times New Roman" w:hAnsi="Times New Roman" w:cs="Times New Roman"/>
                <w:sz w:val="24"/>
                <w:szCs w:val="24"/>
              </w:rPr>
            </w:pPr>
            <w:r w:rsidRPr="00BA3DFB">
              <w:rPr>
                <w:rFonts w:ascii="Times New Roman" w:hAnsi="Times New Roman" w:cs="Times New Roman"/>
                <w:sz w:val="24"/>
                <w:szCs w:val="24"/>
              </w:rPr>
              <w:t>Cukup Sehat</w:t>
            </w:r>
          </w:p>
        </w:tc>
      </w:tr>
      <w:tr w:rsidR="00BA3DFB" w:rsidRPr="00BA3DFB" w:rsidTr="00A715F4">
        <w:trPr>
          <w:trHeight w:val="795"/>
          <w:jc w:val="center"/>
        </w:trPr>
        <w:tc>
          <w:tcPr>
            <w:tcW w:w="1823" w:type="dxa"/>
          </w:tcPr>
          <w:p w:rsidR="00C61B99" w:rsidRPr="00BA3DFB" w:rsidRDefault="00C61B99" w:rsidP="00A715F4">
            <w:pPr>
              <w:spacing w:before="240" w:line="480" w:lineRule="auto"/>
              <w:rPr>
                <w:rFonts w:ascii="Times New Roman" w:hAnsi="Times New Roman" w:cs="Times New Roman"/>
                <w:sz w:val="24"/>
                <w:szCs w:val="24"/>
              </w:rPr>
            </w:pPr>
            <w:r w:rsidRPr="00BA3DFB">
              <w:rPr>
                <w:rFonts w:ascii="Times New Roman" w:hAnsi="Times New Roman" w:cs="Times New Roman"/>
                <w:sz w:val="24"/>
                <w:szCs w:val="24"/>
              </w:rPr>
              <w:t>Tata Kelola</w:t>
            </w:r>
          </w:p>
        </w:tc>
        <w:tc>
          <w:tcPr>
            <w:tcW w:w="1591" w:type="dxa"/>
          </w:tcPr>
          <w:p w:rsidR="00C61B99" w:rsidRPr="00BA3DFB" w:rsidRDefault="00C61B99" w:rsidP="00A715F4">
            <w:pPr>
              <w:spacing w:before="240" w:line="480" w:lineRule="auto"/>
              <w:jc w:val="center"/>
              <w:rPr>
                <w:rFonts w:ascii="Times New Roman" w:hAnsi="Times New Roman" w:cs="Times New Roman"/>
                <w:sz w:val="24"/>
                <w:szCs w:val="24"/>
              </w:rPr>
            </w:pPr>
            <w:r w:rsidRPr="00BA3DFB">
              <w:rPr>
                <w:rFonts w:ascii="Times New Roman" w:hAnsi="Times New Roman" w:cs="Times New Roman"/>
                <w:sz w:val="24"/>
                <w:szCs w:val="24"/>
              </w:rPr>
              <w:t>GCG</w:t>
            </w:r>
          </w:p>
        </w:tc>
        <w:tc>
          <w:tcPr>
            <w:tcW w:w="1360" w:type="dxa"/>
          </w:tcPr>
          <w:p w:rsidR="00C61B99" w:rsidRPr="00BA3DFB" w:rsidRDefault="00C61B99" w:rsidP="00A715F4">
            <w:pPr>
              <w:spacing w:before="240" w:line="480" w:lineRule="auto"/>
              <w:jc w:val="center"/>
              <w:rPr>
                <w:rFonts w:ascii="Times New Roman" w:hAnsi="Times New Roman" w:cs="Times New Roman"/>
                <w:sz w:val="24"/>
                <w:szCs w:val="24"/>
              </w:rPr>
            </w:pPr>
            <w:r w:rsidRPr="00BA3DFB">
              <w:rPr>
                <w:rFonts w:ascii="Times New Roman" w:hAnsi="Times New Roman" w:cs="Times New Roman"/>
                <w:sz w:val="24"/>
                <w:szCs w:val="24"/>
              </w:rPr>
              <w:t>2.00</w:t>
            </w:r>
          </w:p>
        </w:tc>
        <w:tc>
          <w:tcPr>
            <w:tcW w:w="1770" w:type="dxa"/>
          </w:tcPr>
          <w:p w:rsidR="00C61B99" w:rsidRPr="00BA3DFB" w:rsidRDefault="00C61B99" w:rsidP="00A715F4">
            <w:pPr>
              <w:spacing w:before="240" w:line="480" w:lineRule="auto"/>
              <w:jc w:val="center"/>
              <w:rPr>
                <w:rFonts w:ascii="Times New Roman" w:hAnsi="Times New Roman" w:cs="Times New Roman"/>
                <w:sz w:val="24"/>
                <w:szCs w:val="24"/>
              </w:rPr>
            </w:pPr>
            <w:r w:rsidRPr="00BA3DFB">
              <w:rPr>
                <w:rFonts w:ascii="Times New Roman" w:hAnsi="Times New Roman" w:cs="Times New Roman"/>
                <w:sz w:val="24"/>
                <w:szCs w:val="24"/>
              </w:rPr>
              <w:t>2</w:t>
            </w:r>
          </w:p>
        </w:tc>
        <w:tc>
          <w:tcPr>
            <w:tcW w:w="1851" w:type="dxa"/>
          </w:tcPr>
          <w:p w:rsidR="00C61B99" w:rsidRPr="00BA3DFB" w:rsidRDefault="00C61B99" w:rsidP="00A715F4">
            <w:pPr>
              <w:spacing w:before="240" w:line="480" w:lineRule="auto"/>
              <w:jc w:val="center"/>
              <w:rPr>
                <w:rFonts w:ascii="Times New Roman" w:hAnsi="Times New Roman" w:cs="Times New Roman"/>
                <w:sz w:val="24"/>
                <w:szCs w:val="24"/>
              </w:rPr>
            </w:pPr>
            <w:r w:rsidRPr="00BA3DFB">
              <w:rPr>
                <w:rFonts w:ascii="Times New Roman" w:hAnsi="Times New Roman" w:cs="Times New Roman"/>
                <w:sz w:val="24"/>
                <w:szCs w:val="24"/>
              </w:rPr>
              <w:t>Baik</w:t>
            </w:r>
          </w:p>
        </w:tc>
      </w:tr>
      <w:tr w:rsidR="00BA3DFB" w:rsidRPr="00BA3DFB" w:rsidTr="00A715F4">
        <w:trPr>
          <w:trHeight w:val="780"/>
          <w:jc w:val="center"/>
        </w:trPr>
        <w:tc>
          <w:tcPr>
            <w:tcW w:w="1823" w:type="dxa"/>
          </w:tcPr>
          <w:p w:rsidR="00C61B99" w:rsidRPr="00BA3DFB" w:rsidRDefault="00C61B99" w:rsidP="00A715F4">
            <w:pPr>
              <w:spacing w:before="240" w:line="480" w:lineRule="auto"/>
              <w:rPr>
                <w:rFonts w:ascii="Times New Roman" w:hAnsi="Times New Roman" w:cs="Times New Roman"/>
                <w:sz w:val="24"/>
                <w:szCs w:val="24"/>
              </w:rPr>
            </w:pPr>
            <w:r w:rsidRPr="00BA3DFB">
              <w:rPr>
                <w:rFonts w:ascii="Times New Roman" w:hAnsi="Times New Roman" w:cs="Times New Roman"/>
                <w:sz w:val="24"/>
                <w:szCs w:val="24"/>
              </w:rPr>
              <w:t>Rentabilitas</w:t>
            </w:r>
          </w:p>
        </w:tc>
        <w:tc>
          <w:tcPr>
            <w:tcW w:w="1591" w:type="dxa"/>
          </w:tcPr>
          <w:p w:rsidR="00C61B99" w:rsidRPr="00BA3DFB" w:rsidRDefault="00C61B99" w:rsidP="00A715F4">
            <w:pPr>
              <w:spacing w:before="240" w:line="480" w:lineRule="auto"/>
              <w:jc w:val="center"/>
              <w:rPr>
                <w:rFonts w:ascii="Times New Roman" w:hAnsi="Times New Roman" w:cs="Times New Roman"/>
                <w:sz w:val="24"/>
                <w:szCs w:val="24"/>
              </w:rPr>
            </w:pPr>
            <w:r w:rsidRPr="00BA3DFB">
              <w:rPr>
                <w:rFonts w:ascii="Times New Roman" w:hAnsi="Times New Roman" w:cs="Times New Roman"/>
                <w:sz w:val="24"/>
                <w:szCs w:val="24"/>
              </w:rPr>
              <w:t>ROA</w:t>
            </w:r>
          </w:p>
        </w:tc>
        <w:tc>
          <w:tcPr>
            <w:tcW w:w="1360" w:type="dxa"/>
          </w:tcPr>
          <w:p w:rsidR="00C61B99" w:rsidRPr="00BA3DFB" w:rsidRDefault="00C61B99" w:rsidP="00A715F4">
            <w:pPr>
              <w:spacing w:before="240" w:line="480" w:lineRule="auto"/>
              <w:jc w:val="center"/>
              <w:rPr>
                <w:rFonts w:ascii="Times New Roman" w:hAnsi="Times New Roman" w:cs="Times New Roman"/>
                <w:sz w:val="24"/>
                <w:szCs w:val="24"/>
              </w:rPr>
            </w:pPr>
            <w:r w:rsidRPr="00BA3DFB">
              <w:rPr>
                <w:rFonts w:ascii="Times New Roman" w:hAnsi="Times New Roman" w:cs="Times New Roman"/>
                <w:sz w:val="24"/>
                <w:szCs w:val="24"/>
              </w:rPr>
              <w:t>3.48</w:t>
            </w:r>
          </w:p>
        </w:tc>
        <w:tc>
          <w:tcPr>
            <w:tcW w:w="1770" w:type="dxa"/>
          </w:tcPr>
          <w:p w:rsidR="00C61B99" w:rsidRPr="00BA3DFB" w:rsidRDefault="00C61B99" w:rsidP="00A715F4">
            <w:pPr>
              <w:spacing w:before="240" w:line="480" w:lineRule="auto"/>
              <w:jc w:val="center"/>
              <w:rPr>
                <w:rFonts w:ascii="Times New Roman" w:hAnsi="Times New Roman" w:cs="Times New Roman"/>
                <w:sz w:val="24"/>
                <w:szCs w:val="24"/>
              </w:rPr>
            </w:pPr>
            <w:r w:rsidRPr="00BA3DFB">
              <w:rPr>
                <w:rFonts w:ascii="Times New Roman" w:hAnsi="Times New Roman" w:cs="Times New Roman"/>
                <w:sz w:val="24"/>
                <w:szCs w:val="24"/>
              </w:rPr>
              <w:t>1</w:t>
            </w:r>
          </w:p>
        </w:tc>
        <w:tc>
          <w:tcPr>
            <w:tcW w:w="1851" w:type="dxa"/>
          </w:tcPr>
          <w:p w:rsidR="00C61B99" w:rsidRPr="00BA3DFB" w:rsidRDefault="00C61B99" w:rsidP="00A715F4">
            <w:pPr>
              <w:spacing w:before="240" w:line="480" w:lineRule="auto"/>
              <w:jc w:val="center"/>
              <w:rPr>
                <w:rFonts w:ascii="Times New Roman" w:hAnsi="Times New Roman" w:cs="Times New Roman"/>
                <w:sz w:val="24"/>
                <w:szCs w:val="24"/>
              </w:rPr>
            </w:pPr>
            <w:r w:rsidRPr="00BA3DFB">
              <w:rPr>
                <w:rFonts w:ascii="Times New Roman" w:hAnsi="Times New Roman" w:cs="Times New Roman"/>
                <w:sz w:val="24"/>
                <w:szCs w:val="24"/>
              </w:rPr>
              <w:t>Sangat Sehat</w:t>
            </w:r>
          </w:p>
        </w:tc>
      </w:tr>
      <w:tr w:rsidR="00BA3DFB" w:rsidRPr="00BA3DFB" w:rsidTr="00A715F4">
        <w:trPr>
          <w:trHeight w:val="795"/>
          <w:jc w:val="center"/>
        </w:trPr>
        <w:tc>
          <w:tcPr>
            <w:tcW w:w="1823" w:type="dxa"/>
          </w:tcPr>
          <w:p w:rsidR="00C61B99" w:rsidRPr="00BA3DFB" w:rsidRDefault="00C61B99" w:rsidP="00A715F4">
            <w:pPr>
              <w:spacing w:before="240" w:line="480" w:lineRule="auto"/>
              <w:jc w:val="center"/>
              <w:rPr>
                <w:rFonts w:ascii="Times New Roman" w:hAnsi="Times New Roman" w:cs="Times New Roman"/>
                <w:sz w:val="24"/>
                <w:szCs w:val="24"/>
              </w:rPr>
            </w:pPr>
          </w:p>
        </w:tc>
        <w:tc>
          <w:tcPr>
            <w:tcW w:w="1591" w:type="dxa"/>
          </w:tcPr>
          <w:p w:rsidR="00C61B99" w:rsidRPr="00BA3DFB" w:rsidRDefault="00C61B99" w:rsidP="00A715F4">
            <w:pPr>
              <w:spacing w:before="240" w:line="480" w:lineRule="auto"/>
              <w:jc w:val="center"/>
              <w:rPr>
                <w:rFonts w:ascii="Times New Roman" w:hAnsi="Times New Roman" w:cs="Times New Roman"/>
                <w:sz w:val="24"/>
                <w:szCs w:val="24"/>
              </w:rPr>
            </w:pPr>
            <w:r w:rsidRPr="00BA3DFB">
              <w:rPr>
                <w:rFonts w:ascii="Times New Roman" w:hAnsi="Times New Roman" w:cs="Times New Roman"/>
                <w:sz w:val="24"/>
                <w:szCs w:val="24"/>
              </w:rPr>
              <w:t>NIM</w:t>
            </w:r>
          </w:p>
        </w:tc>
        <w:tc>
          <w:tcPr>
            <w:tcW w:w="1360" w:type="dxa"/>
          </w:tcPr>
          <w:p w:rsidR="00C61B99" w:rsidRPr="00BA3DFB" w:rsidRDefault="00C61B99" w:rsidP="00A715F4">
            <w:pPr>
              <w:spacing w:before="240" w:line="480" w:lineRule="auto"/>
              <w:jc w:val="center"/>
              <w:rPr>
                <w:rFonts w:ascii="Times New Roman" w:hAnsi="Times New Roman" w:cs="Times New Roman"/>
                <w:sz w:val="24"/>
                <w:szCs w:val="24"/>
              </w:rPr>
            </w:pPr>
            <w:r w:rsidRPr="00BA3DFB">
              <w:rPr>
                <w:rFonts w:ascii="Times New Roman" w:hAnsi="Times New Roman" w:cs="Times New Roman"/>
                <w:sz w:val="24"/>
                <w:szCs w:val="24"/>
              </w:rPr>
              <w:t>6.9</w:t>
            </w:r>
          </w:p>
        </w:tc>
        <w:tc>
          <w:tcPr>
            <w:tcW w:w="1770" w:type="dxa"/>
          </w:tcPr>
          <w:p w:rsidR="00C61B99" w:rsidRPr="00BA3DFB" w:rsidRDefault="00C61B99" w:rsidP="00A715F4">
            <w:pPr>
              <w:spacing w:before="240" w:line="480" w:lineRule="auto"/>
              <w:jc w:val="center"/>
              <w:rPr>
                <w:rFonts w:ascii="Times New Roman" w:hAnsi="Times New Roman" w:cs="Times New Roman"/>
                <w:sz w:val="24"/>
                <w:szCs w:val="24"/>
              </w:rPr>
            </w:pPr>
            <w:r w:rsidRPr="00BA3DFB">
              <w:rPr>
                <w:rFonts w:ascii="Times New Roman" w:hAnsi="Times New Roman" w:cs="Times New Roman"/>
                <w:sz w:val="24"/>
                <w:szCs w:val="24"/>
              </w:rPr>
              <w:t>1</w:t>
            </w:r>
          </w:p>
        </w:tc>
        <w:tc>
          <w:tcPr>
            <w:tcW w:w="1851" w:type="dxa"/>
          </w:tcPr>
          <w:p w:rsidR="00C61B99" w:rsidRPr="00BA3DFB" w:rsidRDefault="00C61B99" w:rsidP="00A715F4">
            <w:pPr>
              <w:spacing w:before="240" w:line="480" w:lineRule="auto"/>
              <w:jc w:val="center"/>
              <w:rPr>
                <w:rFonts w:ascii="Times New Roman" w:hAnsi="Times New Roman" w:cs="Times New Roman"/>
                <w:sz w:val="24"/>
                <w:szCs w:val="24"/>
              </w:rPr>
            </w:pPr>
            <w:r w:rsidRPr="00BA3DFB">
              <w:rPr>
                <w:rFonts w:ascii="Times New Roman" w:hAnsi="Times New Roman" w:cs="Times New Roman"/>
                <w:sz w:val="24"/>
                <w:szCs w:val="24"/>
              </w:rPr>
              <w:t>Sangat Sehat</w:t>
            </w:r>
          </w:p>
        </w:tc>
      </w:tr>
      <w:tr w:rsidR="00BA3DFB" w:rsidRPr="00BA3DFB" w:rsidTr="00A715F4">
        <w:trPr>
          <w:trHeight w:val="780"/>
          <w:jc w:val="center"/>
        </w:trPr>
        <w:tc>
          <w:tcPr>
            <w:tcW w:w="1823" w:type="dxa"/>
          </w:tcPr>
          <w:p w:rsidR="00C61B99" w:rsidRPr="00BA3DFB" w:rsidRDefault="00C61B99" w:rsidP="00A715F4">
            <w:pPr>
              <w:spacing w:before="240" w:line="480" w:lineRule="auto"/>
              <w:rPr>
                <w:rFonts w:ascii="Times New Roman" w:hAnsi="Times New Roman" w:cs="Times New Roman"/>
                <w:sz w:val="24"/>
                <w:szCs w:val="24"/>
              </w:rPr>
            </w:pPr>
            <w:r w:rsidRPr="00BA3DFB">
              <w:rPr>
                <w:rFonts w:ascii="Times New Roman" w:hAnsi="Times New Roman" w:cs="Times New Roman"/>
                <w:sz w:val="24"/>
                <w:szCs w:val="24"/>
              </w:rPr>
              <w:t>Permodalan</w:t>
            </w:r>
          </w:p>
        </w:tc>
        <w:tc>
          <w:tcPr>
            <w:tcW w:w="1591" w:type="dxa"/>
          </w:tcPr>
          <w:p w:rsidR="00C61B99" w:rsidRPr="00BA3DFB" w:rsidRDefault="00C61B99" w:rsidP="00A715F4">
            <w:pPr>
              <w:spacing w:before="240" w:line="480" w:lineRule="auto"/>
              <w:jc w:val="center"/>
              <w:rPr>
                <w:rFonts w:ascii="Times New Roman" w:hAnsi="Times New Roman" w:cs="Times New Roman"/>
                <w:sz w:val="24"/>
                <w:szCs w:val="24"/>
              </w:rPr>
            </w:pPr>
            <w:r w:rsidRPr="00BA3DFB">
              <w:rPr>
                <w:rFonts w:ascii="Times New Roman" w:hAnsi="Times New Roman" w:cs="Times New Roman"/>
                <w:sz w:val="24"/>
                <w:szCs w:val="24"/>
              </w:rPr>
              <w:t>CAR</w:t>
            </w:r>
          </w:p>
        </w:tc>
        <w:tc>
          <w:tcPr>
            <w:tcW w:w="1360" w:type="dxa"/>
          </w:tcPr>
          <w:p w:rsidR="00C61B99" w:rsidRPr="00BA3DFB" w:rsidRDefault="00C61B99" w:rsidP="00A715F4">
            <w:pPr>
              <w:spacing w:before="240" w:line="480" w:lineRule="auto"/>
              <w:jc w:val="center"/>
              <w:rPr>
                <w:rFonts w:ascii="Times New Roman" w:hAnsi="Times New Roman" w:cs="Times New Roman"/>
                <w:sz w:val="24"/>
                <w:szCs w:val="24"/>
              </w:rPr>
            </w:pPr>
            <w:r w:rsidRPr="00BA3DFB">
              <w:rPr>
                <w:rFonts w:ascii="Times New Roman" w:hAnsi="Times New Roman" w:cs="Times New Roman"/>
                <w:sz w:val="24"/>
                <w:szCs w:val="24"/>
              </w:rPr>
              <w:t>22.96</w:t>
            </w:r>
          </w:p>
        </w:tc>
        <w:tc>
          <w:tcPr>
            <w:tcW w:w="1770" w:type="dxa"/>
          </w:tcPr>
          <w:p w:rsidR="00C61B99" w:rsidRPr="00BA3DFB" w:rsidRDefault="00C61B99" w:rsidP="00A715F4">
            <w:pPr>
              <w:spacing w:before="240" w:line="480" w:lineRule="auto"/>
              <w:jc w:val="center"/>
              <w:rPr>
                <w:rFonts w:ascii="Times New Roman" w:hAnsi="Times New Roman" w:cs="Times New Roman"/>
                <w:sz w:val="24"/>
                <w:szCs w:val="24"/>
              </w:rPr>
            </w:pPr>
            <w:r w:rsidRPr="00BA3DFB">
              <w:rPr>
                <w:rFonts w:ascii="Times New Roman" w:hAnsi="Times New Roman" w:cs="Times New Roman"/>
                <w:sz w:val="24"/>
                <w:szCs w:val="24"/>
              </w:rPr>
              <w:t>1</w:t>
            </w:r>
          </w:p>
        </w:tc>
        <w:tc>
          <w:tcPr>
            <w:tcW w:w="1851" w:type="dxa"/>
          </w:tcPr>
          <w:p w:rsidR="00C61B99" w:rsidRPr="00BA3DFB" w:rsidRDefault="00C61B99" w:rsidP="00A715F4">
            <w:pPr>
              <w:spacing w:before="240" w:line="480" w:lineRule="auto"/>
              <w:jc w:val="center"/>
              <w:rPr>
                <w:rFonts w:ascii="Times New Roman" w:hAnsi="Times New Roman" w:cs="Times New Roman"/>
                <w:sz w:val="24"/>
                <w:szCs w:val="24"/>
              </w:rPr>
            </w:pPr>
            <w:r w:rsidRPr="00BA3DFB">
              <w:rPr>
                <w:rFonts w:ascii="Times New Roman" w:hAnsi="Times New Roman" w:cs="Times New Roman"/>
                <w:sz w:val="24"/>
                <w:szCs w:val="24"/>
              </w:rPr>
              <w:t>Sangat Sehat</w:t>
            </w:r>
          </w:p>
        </w:tc>
      </w:tr>
      <w:tr w:rsidR="00BA3DFB" w:rsidRPr="00BA3DFB" w:rsidTr="00A715F4">
        <w:trPr>
          <w:trHeight w:val="795"/>
          <w:jc w:val="center"/>
        </w:trPr>
        <w:tc>
          <w:tcPr>
            <w:tcW w:w="4774" w:type="dxa"/>
            <w:gridSpan w:val="3"/>
          </w:tcPr>
          <w:p w:rsidR="00C61B99" w:rsidRPr="00BA3DFB" w:rsidRDefault="00C61B99" w:rsidP="00A715F4">
            <w:pPr>
              <w:spacing w:before="240" w:line="480" w:lineRule="auto"/>
              <w:jc w:val="center"/>
              <w:rPr>
                <w:rFonts w:ascii="Times New Roman" w:hAnsi="Times New Roman" w:cs="Times New Roman"/>
                <w:b/>
                <w:sz w:val="24"/>
                <w:szCs w:val="24"/>
              </w:rPr>
            </w:pPr>
            <w:r w:rsidRPr="00BA3DFB">
              <w:rPr>
                <w:rFonts w:ascii="Times New Roman" w:hAnsi="Times New Roman" w:cs="Times New Roman"/>
                <w:b/>
                <w:sz w:val="24"/>
                <w:szCs w:val="24"/>
              </w:rPr>
              <w:t>Peringkat Komposit</w:t>
            </w:r>
          </w:p>
        </w:tc>
        <w:tc>
          <w:tcPr>
            <w:tcW w:w="3621" w:type="dxa"/>
            <w:gridSpan w:val="2"/>
          </w:tcPr>
          <w:p w:rsidR="00C61B99" w:rsidRPr="00BA3DFB" w:rsidRDefault="00C61B99" w:rsidP="00A715F4">
            <w:pPr>
              <w:spacing w:before="240" w:line="480" w:lineRule="auto"/>
              <w:jc w:val="center"/>
              <w:rPr>
                <w:rFonts w:ascii="Times New Roman" w:hAnsi="Times New Roman" w:cs="Times New Roman"/>
                <w:b/>
                <w:sz w:val="24"/>
                <w:szCs w:val="24"/>
              </w:rPr>
            </w:pPr>
            <w:r w:rsidRPr="00BA3DFB">
              <w:rPr>
                <w:rFonts w:ascii="Times New Roman" w:hAnsi="Times New Roman" w:cs="Times New Roman"/>
                <w:b/>
                <w:sz w:val="24"/>
                <w:szCs w:val="24"/>
              </w:rPr>
              <w:t>SANGAT SEHAT</w:t>
            </w:r>
          </w:p>
        </w:tc>
      </w:tr>
    </w:tbl>
    <w:p w:rsidR="00C61B99" w:rsidRPr="00BA3DFB" w:rsidRDefault="00C61B99" w:rsidP="007448CE">
      <w:pPr>
        <w:spacing w:before="240" w:line="480" w:lineRule="auto"/>
        <w:ind w:left="568"/>
        <w:jc w:val="both"/>
        <w:rPr>
          <w:rFonts w:ascii="Times New Roman" w:hAnsi="Times New Roman" w:cs="Times New Roman"/>
          <w:sz w:val="24"/>
          <w:szCs w:val="24"/>
        </w:rPr>
      </w:pPr>
      <w:r w:rsidRPr="00BA3DFB">
        <w:rPr>
          <w:rFonts w:ascii="Times New Roman" w:hAnsi="Times New Roman" w:cs="Times New Roman"/>
          <w:sz w:val="24"/>
          <w:szCs w:val="24"/>
        </w:rPr>
        <w:t>Sumber : Data sekunder yang diolah peneliti (2019)</w:t>
      </w:r>
    </w:p>
    <w:p w:rsidR="00C61B99" w:rsidRPr="00BA3DFB" w:rsidRDefault="007448CE" w:rsidP="00C61B99">
      <w:pPr>
        <w:spacing w:before="240" w:line="480" w:lineRule="auto"/>
        <w:ind w:firstLine="720"/>
        <w:jc w:val="both"/>
        <w:rPr>
          <w:rFonts w:ascii="Times New Roman" w:hAnsi="Times New Roman" w:cs="Times New Roman"/>
          <w:sz w:val="24"/>
          <w:szCs w:val="24"/>
        </w:rPr>
      </w:pPr>
      <w:r w:rsidRPr="00BA3DFB">
        <w:rPr>
          <w:rFonts w:ascii="Times New Roman" w:hAnsi="Times New Roman" w:cs="Times New Roman"/>
          <w:sz w:val="24"/>
          <w:szCs w:val="24"/>
        </w:rPr>
        <w:t>Berdasarkan tabel</w:t>
      </w:r>
      <w:r w:rsidR="00C61B99" w:rsidRPr="00BA3DFB">
        <w:rPr>
          <w:rFonts w:ascii="Times New Roman" w:hAnsi="Times New Roman" w:cs="Times New Roman"/>
          <w:sz w:val="24"/>
          <w:szCs w:val="24"/>
        </w:rPr>
        <w:t xml:space="preserve">, terlihat bahwa pada tahun 2017 diperoleh </w:t>
      </w:r>
      <w:r w:rsidR="00C61B99" w:rsidRPr="00BA3DFB">
        <w:rPr>
          <w:rFonts w:ascii="Times New Roman" w:hAnsi="Times New Roman" w:cs="Times New Roman"/>
          <w:i/>
          <w:sz w:val="24"/>
          <w:szCs w:val="24"/>
        </w:rPr>
        <w:t xml:space="preserve">Non Performing Loan </w:t>
      </w:r>
      <w:r w:rsidR="00C61B99" w:rsidRPr="00BA3DFB">
        <w:rPr>
          <w:rFonts w:ascii="Times New Roman" w:hAnsi="Times New Roman" w:cs="Times New Roman"/>
          <w:sz w:val="24"/>
          <w:szCs w:val="24"/>
        </w:rPr>
        <w:t xml:space="preserve">(NPL) sebesar 1.10% berarti terdapat 1.10% dana yang termasuk dalam kredit kurang lancar, diragukan, dan macet dari total kredit yang diberikan oleh Bank. Semakin besar NPL maka </w:t>
      </w:r>
      <w:r w:rsidR="00C61B99" w:rsidRPr="00BA3DFB">
        <w:rPr>
          <w:rFonts w:ascii="Times New Roman" w:hAnsi="Times New Roman" w:cs="Times New Roman"/>
          <w:sz w:val="24"/>
          <w:szCs w:val="24"/>
        </w:rPr>
        <w:lastRenderedPageBreak/>
        <w:t>menunjukkan jika bank kurang baik dalam menyeleksi calon peminjam. Hal ini membuktikan bahwa pada tahun 2017 PT Bank BRI (Persero) Tbk mampu menyeleksi calon peminjamnya dengan sangat baik. Sehingga kemampuan bank dalam menumbuhkan rasa kepercayaan nasabahnya semakin meningkat. Pada tahun 2017 bank mengalami kenaikan NPL dari 1.05% ditahun 2016 naik menjadi 1.10% ditahun 2017. Memiliki nilai NPL sebesar 1.10% dan termasuk dalam predikat komposit 1 karena tidak melebihi batas maksimal yaitu 2%.</w:t>
      </w:r>
    </w:p>
    <w:p w:rsidR="00C61B99" w:rsidRPr="00BA3DFB" w:rsidRDefault="00C61B99" w:rsidP="00C61B99">
      <w:pPr>
        <w:spacing w:before="240" w:line="480" w:lineRule="auto"/>
        <w:ind w:firstLine="720"/>
        <w:jc w:val="both"/>
        <w:rPr>
          <w:rFonts w:ascii="Times New Roman" w:hAnsi="Times New Roman" w:cs="Times New Roman"/>
          <w:sz w:val="24"/>
          <w:szCs w:val="24"/>
        </w:rPr>
      </w:pPr>
      <w:r w:rsidRPr="00BA3DFB">
        <w:rPr>
          <w:rFonts w:ascii="Times New Roman" w:hAnsi="Times New Roman" w:cs="Times New Roman"/>
          <w:i/>
          <w:sz w:val="24"/>
          <w:szCs w:val="24"/>
        </w:rPr>
        <w:t xml:space="preserve">Loan to Deposit Ratio </w:t>
      </w:r>
      <w:r w:rsidRPr="00BA3DFB">
        <w:rPr>
          <w:rFonts w:ascii="Times New Roman" w:hAnsi="Times New Roman" w:cs="Times New Roman"/>
          <w:sz w:val="24"/>
          <w:szCs w:val="24"/>
        </w:rPr>
        <w:t xml:space="preserve">(LDR) di tahun 2017 sebesar 85.42%, berarti setiap dana yang dihimpun bank dapat mendukung pinjaman yang diberikan sebesar 85.42% dari total kredit yang diberikan. Hal ini membuktikan bahwa pada tahun 2017 PT Bank BRI (Persero) Tbk, dapat mengelola simpanan dalam bentuk kredit hingga mencapai 85.42%. Sehingga kemampuan menghasilkan laba suatu bank akan meningkat seiring peningkatan pemberian kredit. Pada tahun 2017 bank mengalami kenaikan dalam hal pemberian kredit dari 85.28% ditahun 2016 meningkat menjadi 85.42% ditahun 2017. Memiliki nilai LDR sebesar 85.42% dan termasuk dalam predikat cukup sehat atau predikat komposit 3 karena tidak melebihi batas maksimal yaitu 100%. </w:t>
      </w:r>
    </w:p>
    <w:p w:rsidR="00C61B99" w:rsidRPr="00BA3DFB" w:rsidRDefault="00C61B99" w:rsidP="00C61B99">
      <w:pPr>
        <w:spacing w:before="240" w:line="480" w:lineRule="auto"/>
        <w:ind w:firstLine="720"/>
        <w:jc w:val="both"/>
        <w:rPr>
          <w:rFonts w:ascii="Times New Roman" w:hAnsi="Times New Roman" w:cs="Times New Roman"/>
          <w:sz w:val="24"/>
          <w:szCs w:val="24"/>
        </w:rPr>
      </w:pPr>
      <w:r w:rsidRPr="00BA3DFB">
        <w:rPr>
          <w:rFonts w:ascii="Times New Roman" w:hAnsi="Times New Roman" w:cs="Times New Roman"/>
          <w:sz w:val="24"/>
          <w:szCs w:val="24"/>
        </w:rPr>
        <w:t xml:space="preserve">Tahun 2017 </w:t>
      </w:r>
      <w:r w:rsidRPr="00BA3DFB">
        <w:rPr>
          <w:rFonts w:ascii="Times New Roman" w:hAnsi="Times New Roman" w:cs="Times New Roman"/>
          <w:i/>
          <w:sz w:val="24"/>
          <w:szCs w:val="24"/>
        </w:rPr>
        <w:t xml:space="preserve">Good Corporate Governance </w:t>
      </w:r>
      <w:r w:rsidRPr="00BA3DFB">
        <w:rPr>
          <w:rFonts w:ascii="Times New Roman" w:hAnsi="Times New Roman" w:cs="Times New Roman"/>
          <w:sz w:val="24"/>
          <w:szCs w:val="24"/>
        </w:rPr>
        <w:t xml:space="preserve">(GCG) sebesar 88.48% dan memperoleh predikat sangat terpecaya berdasarkan hasil pemeringkatan CGPI yang dilakukan oleh lembaga IICG pada laporan tahunan tata kelola perusahaan PT Bank BRI (Persero) Tbk. Pada tahun 2017 GCG mengalami kenaikan dari 87.74% ditahun 2016 meningkat menjadi 88.48% ditahun 2017. Hal ini membuktikan bahwa PT Bank BRI (Persero) Tbk melakukan manajemen yang baik dan mengikuti prinsip-prinsip GCG sesuai dengan ketentuan yang sudah ditetapkan oleh Peraturan Bank Indonesia. hasil </w:t>
      </w:r>
      <w:r w:rsidRPr="00BA3DFB">
        <w:rPr>
          <w:rFonts w:ascii="Times New Roman" w:hAnsi="Times New Roman" w:cs="Times New Roman"/>
          <w:i/>
          <w:sz w:val="24"/>
          <w:szCs w:val="24"/>
        </w:rPr>
        <w:t xml:space="preserve">Self Assesment on Implementation of GCG </w:t>
      </w:r>
      <w:r w:rsidRPr="00BA3DFB">
        <w:rPr>
          <w:rFonts w:ascii="Times New Roman" w:hAnsi="Times New Roman" w:cs="Times New Roman"/>
          <w:sz w:val="24"/>
          <w:szCs w:val="24"/>
        </w:rPr>
        <w:t xml:space="preserve">pada tahun 2017 PT Bank BRI </w:t>
      </w:r>
      <w:r w:rsidRPr="00BA3DFB">
        <w:rPr>
          <w:rFonts w:ascii="Times New Roman" w:hAnsi="Times New Roman" w:cs="Times New Roman"/>
          <w:sz w:val="24"/>
          <w:szCs w:val="24"/>
        </w:rPr>
        <w:lastRenderedPageBreak/>
        <w:t>(Persero) Tbk termasuk bank yang memiliki predikat “Baik” karena memiliki nilai komposit 2.00 karena tidak melebihi angka komposit 1.5 .</w:t>
      </w:r>
    </w:p>
    <w:p w:rsidR="00C61B99" w:rsidRPr="00BA3DFB" w:rsidRDefault="00C61B99" w:rsidP="00C61B99">
      <w:pPr>
        <w:spacing w:before="240" w:line="480" w:lineRule="auto"/>
        <w:ind w:firstLine="720"/>
        <w:jc w:val="both"/>
        <w:rPr>
          <w:rFonts w:ascii="Times New Roman" w:hAnsi="Times New Roman" w:cs="Times New Roman"/>
          <w:sz w:val="24"/>
          <w:szCs w:val="24"/>
        </w:rPr>
      </w:pPr>
      <w:r w:rsidRPr="00BA3DFB">
        <w:rPr>
          <w:rFonts w:ascii="Times New Roman" w:hAnsi="Times New Roman" w:cs="Times New Roman"/>
          <w:i/>
          <w:sz w:val="24"/>
          <w:szCs w:val="24"/>
        </w:rPr>
        <w:t xml:space="preserve">Return On Asset </w:t>
      </w:r>
      <w:r w:rsidRPr="00BA3DFB">
        <w:rPr>
          <w:rFonts w:ascii="Times New Roman" w:hAnsi="Times New Roman" w:cs="Times New Roman"/>
          <w:sz w:val="24"/>
          <w:szCs w:val="24"/>
        </w:rPr>
        <w:t>(ROA) tahun 2017 sebesar 3.48%, berarti tingkat produktivitas aset dari rata-rata total aset yang digunakan mampu menghasilkan laba sekitar 3.48%. Semakin tinggi prosentase maka tingkat produktivitasnya akan semakin meningkat. Ditahun 2017 terdapat penurunan tingkat produktivitas aset dari 3.61% ditahun 2016 menjadi 3.48% ditahun 2017. Hal ini membuktikan bahwa PT Bank BRI (Persero) Tbk mampu mengelola aset-asetnya dengan baik sehingga dapat menghasilkan laba bersih. Memiliki ROA sebesar 3.48% dan predikat sangat sehat atau tingkat komposit 1 karena melebihi batas maksimal 1.5%.</w:t>
      </w:r>
    </w:p>
    <w:p w:rsidR="00C61B99" w:rsidRPr="00BA3DFB" w:rsidRDefault="00C61B99" w:rsidP="00C61B99">
      <w:pPr>
        <w:spacing w:before="240" w:line="480" w:lineRule="auto"/>
        <w:ind w:firstLine="720"/>
        <w:jc w:val="both"/>
        <w:rPr>
          <w:rFonts w:ascii="Times New Roman" w:hAnsi="Times New Roman" w:cs="Times New Roman"/>
          <w:sz w:val="24"/>
          <w:szCs w:val="24"/>
        </w:rPr>
      </w:pPr>
      <w:r w:rsidRPr="00BA3DFB">
        <w:rPr>
          <w:rFonts w:ascii="Times New Roman" w:hAnsi="Times New Roman" w:cs="Times New Roman"/>
          <w:i/>
          <w:sz w:val="24"/>
          <w:szCs w:val="24"/>
        </w:rPr>
        <w:t>Net Interest Margin</w:t>
      </w:r>
      <w:r w:rsidRPr="00BA3DFB">
        <w:rPr>
          <w:rFonts w:ascii="Times New Roman" w:hAnsi="Times New Roman" w:cs="Times New Roman"/>
          <w:sz w:val="24"/>
          <w:szCs w:val="24"/>
        </w:rPr>
        <w:t xml:space="preserve"> (NIM) tahun 2017 sebesar 6.9% berarti terdapat 6.9% pendapatan bunga bersih terhadap total aset produktif pada tahun 2017. Semakin tinggi prosentase NIM maka tingkat pendapatan bunga bersih akan semakin meningkat. Ditahun 2017 terjadi penurunan  NIM dari 7.4% ditahun 2016 menjadi 6.9% ditahun 2017. Hal ini membuktikan bahwa pada tahun 2017 PT Bank BRI (Persero) Tbk mampu melakukan manajemen untuk mengelola aset produktif dengan sangat baik sehingga bisa menghasilkan bunga bersih. Memiliki NIM sebesar 6.9% dan predikat sangat sehat atau tingkat komposit 1 karena melebihi batas maksimal 3%.</w:t>
      </w:r>
    </w:p>
    <w:p w:rsidR="00C61B99" w:rsidRPr="00BA3DFB" w:rsidRDefault="00C61B99" w:rsidP="00C61B99">
      <w:pPr>
        <w:spacing w:before="240" w:line="480" w:lineRule="auto"/>
        <w:ind w:firstLine="720"/>
        <w:jc w:val="both"/>
        <w:rPr>
          <w:rFonts w:ascii="Times New Roman" w:hAnsi="Times New Roman" w:cs="Times New Roman"/>
          <w:sz w:val="24"/>
          <w:szCs w:val="24"/>
        </w:rPr>
      </w:pPr>
      <w:r w:rsidRPr="00BA3DFB">
        <w:rPr>
          <w:rFonts w:ascii="Times New Roman" w:hAnsi="Times New Roman" w:cs="Times New Roman"/>
          <w:sz w:val="24"/>
          <w:szCs w:val="24"/>
        </w:rPr>
        <w:t xml:space="preserve">Tahun 2017 diperoleh </w:t>
      </w:r>
      <w:r w:rsidRPr="00BA3DFB">
        <w:rPr>
          <w:rFonts w:ascii="Times New Roman" w:hAnsi="Times New Roman" w:cs="Times New Roman"/>
          <w:i/>
          <w:sz w:val="24"/>
          <w:szCs w:val="24"/>
        </w:rPr>
        <w:t xml:space="preserve">Capital Adequacy Ratio </w:t>
      </w:r>
      <w:r w:rsidRPr="00BA3DFB">
        <w:rPr>
          <w:rFonts w:ascii="Times New Roman" w:hAnsi="Times New Roman" w:cs="Times New Roman"/>
          <w:sz w:val="24"/>
          <w:szCs w:val="24"/>
        </w:rPr>
        <w:t xml:space="preserve">(CAR) sebesar 22.96%, berarti permodalan yang dimiliki bank tersebut dapat mengantisipasi risiko kredit sebesar 22.96%. Semakin besar presentase maka semakin baik, karena presentase CAR menunjukkan kemampuan permodalan untuk menutupi kemungkinan kegagalan kredit. Sehingga dengan semakin besarnya presentase CAR maka kemampuan modal menutupi kredit semakin baik. Ditahun 2017 terjadi kenaikan CAR dari 22.91% ditahun 2016 menjadi 22.96%  ditahun 2017 PT Bank BRI (Persero) </w:t>
      </w:r>
      <w:r w:rsidRPr="00BA3DFB">
        <w:rPr>
          <w:rFonts w:ascii="Times New Roman" w:hAnsi="Times New Roman" w:cs="Times New Roman"/>
          <w:sz w:val="24"/>
          <w:szCs w:val="24"/>
        </w:rPr>
        <w:lastRenderedPageBreak/>
        <w:t>Tbk mampu membiayai berbagai kegiatan operasional dengan sangat baik serta memberikan kontribusi kepada perusahaannya secara maksimal. Memiliki CAR sebesar 22.96% dan predikat sangat sehat atau tingkat komposit 1 karena melebihi batas minimal yaitu 12%.</w:t>
      </w:r>
    </w:p>
    <w:p w:rsidR="00C61B99" w:rsidRPr="00BA3DFB" w:rsidRDefault="00C61B99" w:rsidP="00C61B99">
      <w:pPr>
        <w:spacing w:before="240" w:line="480" w:lineRule="auto"/>
        <w:ind w:firstLine="720"/>
        <w:jc w:val="both"/>
        <w:rPr>
          <w:rFonts w:ascii="Times New Roman" w:hAnsi="Times New Roman" w:cs="Times New Roman"/>
          <w:sz w:val="24"/>
          <w:szCs w:val="24"/>
        </w:rPr>
      </w:pPr>
      <w:r w:rsidRPr="00BA3DFB">
        <w:rPr>
          <w:rFonts w:ascii="Times New Roman" w:hAnsi="Times New Roman" w:cs="Times New Roman"/>
          <w:sz w:val="24"/>
          <w:szCs w:val="24"/>
        </w:rPr>
        <w:t>Jadi tingkat kesehatan PT Bank BRI (Persero) Tbk pada tahun 2017 dilihat secara keseluruhan termasuk dalam kategori “Sangat Sehat” atau peringkat komposit 1 (PK-1). Sehingga PT Bank BRI (Persero) Tbk dinilai sangat mampu menghadapi pengaruh negatif yang signifikan dari perubahan kondisi bisnis dan faktor eksternal lainnya.</w:t>
      </w:r>
    </w:p>
    <w:p w:rsidR="00C61B99" w:rsidRPr="00BA3DFB" w:rsidRDefault="00C61B99" w:rsidP="00C61B99">
      <w:pPr>
        <w:spacing w:before="240" w:line="480" w:lineRule="auto"/>
        <w:jc w:val="both"/>
        <w:rPr>
          <w:rFonts w:ascii="Times New Roman" w:hAnsi="Times New Roman" w:cs="Times New Roman"/>
          <w:sz w:val="24"/>
          <w:szCs w:val="24"/>
        </w:rPr>
      </w:pPr>
      <w:r w:rsidRPr="00BA3DFB">
        <w:rPr>
          <w:rFonts w:ascii="Times New Roman" w:hAnsi="Times New Roman" w:cs="Times New Roman"/>
          <w:sz w:val="24"/>
          <w:szCs w:val="24"/>
        </w:rPr>
        <w:t xml:space="preserve">Berdasarakan lampiran SE. BI No 13/24/DPNP/2011 Bank BRI yang memperoleh peringkat komposit 1 mencerminkan bahwa kondisi bank yang secara umum sangat sehat. Sehingga Bank BRI dinilai sangat mampu menghadapi pengaruh negative yang signifikan dari perubahan kondisi bisnis dan faktor eksternal lainnya, tercermin dari kriteria faktor-faktor penilaian, antara lain </w:t>
      </w:r>
      <w:r w:rsidRPr="00BA3DFB">
        <w:rPr>
          <w:rFonts w:ascii="Times New Roman" w:hAnsi="Times New Roman" w:cs="Times New Roman"/>
          <w:i/>
          <w:sz w:val="24"/>
          <w:szCs w:val="24"/>
        </w:rPr>
        <w:t xml:space="preserve">risk profile, good corporate governance, earnings, </w:t>
      </w:r>
      <w:r w:rsidRPr="00BA3DFB">
        <w:rPr>
          <w:rFonts w:ascii="Times New Roman" w:hAnsi="Times New Roman" w:cs="Times New Roman"/>
          <w:sz w:val="24"/>
          <w:szCs w:val="24"/>
        </w:rPr>
        <w:t xml:space="preserve">dan </w:t>
      </w:r>
      <w:r w:rsidRPr="00BA3DFB">
        <w:rPr>
          <w:rFonts w:ascii="Times New Roman" w:hAnsi="Times New Roman" w:cs="Times New Roman"/>
          <w:i/>
          <w:sz w:val="24"/>
          <w:szCs w:val="24"/>
        </w:rPr>
        <w:t>capital</w:t>
      </w:r>
      <w:r w:rsidRPr="00BA3DFB">
        <w:rPr>
          <w:rFonts w:ascii="Times New Roman" w:hAnsi="Times New Roman" w:cs="Times New Roman"/>
          <w:sz w:val="24"/>
          <w:szCs w:val="24"/>
        </w:rPr>
        <w:t xml:space="preserve"> yang secara umum sangat baik. Apabila terdapat kelemahan, maka secara umum kelemahan tersebut tidak signifikan.</w:t>
      </w:r>
    </w:p>
    <w:p w:rsidR="007448CE" w:rsidRPr="00BA3DFB" w:rsidRDefault="00C61B99" w:rsidP="007448CE">
      <w:pPr>
        <w:spacing w:before="240" w:line="480" w:lineRule="auto"/>
        <w:jc w:val="both"/>
        <w:rPr>
          <w:rFonts w:ascii="Times New Roman" w:hAnsi="Times New Roman" w:cs="Times New Roman"/>
          <w:b/>
          <w:sz w:val="24"/>
          <w:szCs w:val="24"/>
        </w:rPr>
      </w:pPr>
      <w:r w:rsidRPr="00BA3DFB">
        <w:rPr>
          <w:rFonts w:ascii="Times New Roman" w:hAnsi="Times New Roman" w:cs="Times New Roman"/>
          <w:b/>
          <w:sz w:val="24"/>
          <w:szCs w:val="24"/>
        </w:rPr>
        <w:t>KESIMPULAN</w:t>
      </w:r>
    </w:p>
    <w:p w:rsidR="00C61B99" w:rsidRPr="00BA3DFB" w:rsidRDefault="00C61B99" w:rsidP="007448CE">
      <w:pPr>
        <w:spacing w:before="240" w:line="480" w:lineRule="auto"/>
        <w:ind w:firstLine="720"/>
        <w:jc w:val="both"/>
        <w:rPr>
          <w:rFonts w:ascii="Times New Roman" w:hAnsi="Times New Roman" w:cs="Times New Roman"/>
          <w:b/>
          <w:sz w:val="24"/>
          <w:szCs w:val="24"/>
        </w:rPr>
      </w:pPr>
      <w:r w:rsidRPr="00BA3DFB">
        <w:rPr>
          <w:rFonts w:ascii="Times New Roman" w:hAnsi="Times New Roman" w:cs="Times New Roman"/>
          <w:sz w:val="24"/>
          <w:szCs w:val="24"/>
        </w:rPr>
        <w:t xml:space="preserve">Berdasarkan rumusan masalah, hasil penelitian, dan pembahasan yang telah dilakukan, dapat disimpulkan bahwa tingkat kesehatan PT Bank Rakyat Indonesia (Persero) Tbk dengan menggunakan metode RGEC </w:t>
      </w:r>
      <w:r w:rsidRPr="00BA3DFB">
        <w:rPr>
          <w:rFonts w:ascii="Times New Roman" w:hAnsi="Times New Roman" w:cs="Times New Roman"/>
          <w:i/>
          <w:sz w:val="24"/>
          <w:szCs w:val="24"/>
        </w:rPr>
        <w:t xml:space="preserve">(Risk Profile, Good Corporate Governance, Earnings, </w:t>
      </w:r>
      <w:r w:rsidRPr="00BA3DFB">
        <w:rPr>
          <w:rFonts w:ascii="Times New Roman" w:hAnsi="Times New Roman" w:cs="Times New Roman"/>
          <w:sz w:val="24"/>
          <w:szCs w:val="24"/>
        </w:rPr>
        <w:t xml:space="preserve">dan </w:t>
      </w:r>
      <w:r w:rsidRPr="00BA3DFB">
        <w:rPr>
          <w:rFonts w:ascii="Times New Roman" w:hAnsi="Times New Roman" w:cs="Times New Roman"/>
          <w:i/>
          <w:sz w:val="24"/>
          <w:szCs w:val="24"/>
        </w:rPr>
        <w:t>Capital)</w:t>
      </w:r>
      <w:r w:rsidRPr="00BA3DFB">
        <w:rPr>
          <w:rFonts w:ascii="Times New Roman" w:hAnsi="Times New Roman" w:cs="Times New Roman"/>
          <w:sz w:val="24"/>
          <w:szCs w:val="24"/>
        </w:rPr>
        <w:t xml:space="preserve"> pada tahun 2015-2017 adalah  menempati Peringkat Komposit 1 (PK-1). Sehingga PT Bank Rakyat Indonesia (Persero) Tbk selama periode tersebut dinilai sangat mampu menghadapi pengaruh negatif yang signifikan dari perubahan kondisi bisnis dan faktor eksternal lainnya tercermin dari kriteria faktor-faktor penilaian, antara lain </w:t>
      </w:r>
      <w:r w:rsidRPr="00BA3DFB">
        <w:rPr>
          <w:rFonts w:ascii="Times New Roman" w:hAnsi="Times New Roman" w:cs="Times New Roman"/>
          <w:i/>
          <w:sz w:val="24"/>
          <w:szCs w:val="24"/>
        </w:rPr>
        <w:t>risk profile,</w:t>
      </w:r>
      <w:r w:rsidRPr="00BA3DFB">
        <w:rPr>
          <w:rFonts w:ascii="Times New Roman" w:hAnsi="Times New Roman" w:cs="Times New Roman"/>
          <w:sz w:val="24"/>
          <w:szCs w:val="24"/>
        </w:rPr>
        <w:t xml:space="preserve"> penerapan </w:t>
      </w:r>
      <w:r w:rsidRPr="00BA3DFB">
        <w:rPr>
          <w:rFonts w:ascii="Times New Roman" w:hAnsi="Times New Roman" w:cs="Times New Roman"/>
          <w:i/>
          <w:sz w:val="24"/>
          <w:szCs w:val="24"/>
        </w:rPr>
        <w:t xml:space="preserve">GCG, earnings, </w:t>
      </w:r>
      <w:r w:rsidRPr="00BA3DFB">
        <w:rPr>
          <w:rFonts w:ascii="Times New Roman" w:hAnsi="Times New Roman" w:cs="Times New Roman"/>
          <w:sz w:val="24"/>
          <w:szCs w:val="24"/>
        </w:rPr>
        <w:lastRenderedPageBreak/>
        <w:t xml:space="preserve">dan </w:t>
      </w:r>
      <w:r w:rsidRPr="00BA3DFB">
        <w:rPr>
          <w:rFonts w:ascii="Times New Roman" w:hAnsi="Times New Roman" w:cs="Times New Roman"/>
          <w:i/>
          <w:sz w:val="24"/>
          <w:szCs w:val="24"/>
        </w:rPr>
        <w:t>capital</w:t>
      </w:r>
      <w:r w:rsidRPr="00BA3DFB">
        <w:rPr>
          <w:rFonts w:ascii="Times New Roman" w:hAnsi="Times New Roman" w:cs="Times New Roman"/>
          <w:sz w:val="24"/>
          <w:szCs w:val="24"/>
        </w:rPr>
        <w:t xml:space="preserve"> yang secara umum sangat baik. Apabila terdapat kelemahan maka secara umum kelemahan tersebut tidak signifikan.</w:t>
      </w:r>
    </w:p>
    <w:p w:rsidR="00C61B99" w:rsidRPr="00BA3DFB" w:rsidRDefault="00C61B99" w:rsidP="007448CE">
      <w:pPr>
        <w:spacing w:before="240" w:line="480" w:lineRule="auto"/>
        <w:jc w:val="both"/>
        <w:rPr>
          <w:rFonts w:ascii="Times New Roman" w:hAnsi="Times New Roman" w:cs="Times New Roman"/>
          <w:b/>
          <w:sz w:val="24"/>
          <w:szCs w:val="24"/>
        </w:rPr>
      </w:pPr>
      <w:r w:rsidRPr="00BA3DFB">
        <w:rPr>
          <w:rFonts w:ascii="Times New Roman" w:hAnsi="Times New Roman" w:cs="Times New Roman"/>
          <w:b/>
          <w:sz w:val="24"/>
          <w:szCs w:val="24"/>
        </w:rPr>
        <w:t>DAFTAR PUSTAKA</w:t>
      </w:r>
    </w:p>
    <w:p w:rsidR="00C61B99" w:rsidRPr="00BA3DFB" w:rsidRDefault="00C61B99" w:rsidP="00C61B99">
      <w:pPr>
        <w:spacing w:before="240" w:line="240" w:lineRule="auto"/>
        <w:ind w:left="720" w:hanging="720"/>
        <w:jc w:val="both"/>
        <w:rPr>
          <w:rFonts w:ascii="Times New Roman" w:hAnsi="Times New Roman" w:cs="Times New Roman"/>
          <w:sz w:val="24"/>
          <w:szCs w:val="24"/>
        </w:rPr>
      </w:pPr>
      <w:r w:rsidRPr="00BA3DFB">
        <w:rPr>
          <w:rFonts w:ascii="Times New Roman" w:hAnsi="Times New Roman" w:cs="Times New Roman"/>
          <w:sz w:val="24"/>
          <w:szCs w:val="24"/>
        </w:rPr>
        <w:t xml:space="preserve">Arikunto, Suharsimi. (2007). </w:t>
      </w:r>
      <w:r w:rsidRPr="00BA3DFB">
        <w:rPr>
          <w:rFonts w:ascii="Times New Roman" w:hAnsi="Times New Roman" w:cs="Times New Roman"/>
          <w:i/>
          <w:sz w:val="24"/>
          <w:szCs w:val="24"/>
        </w:rPr>
        <w:t xml:space="preserve">Manajemen Penelitian. </w:t>
      </w:r>
      <w:r w:rsidRPr="00BA3DFB">
        <w:rPr>
          <w:rFonts w:ascii="Times New Roman" w:hAnsi="Times New Roman" w:cs="Times New Roman"/>
          <w:sz w:val="24"/>
          <w:szCs w:val="24"/>
        </w:rPr>
        <w:t>Jakarta : PT. Rineka Cipta.</w:t>
      </w:r>
    </w:p>
    <w:p w:rsidR="00C61B99" w:rsidRPr="00BA3DFB" w:rsidRDefault="00C61B99" w:rsidP="00C61B99">
      <w:pPr>
        <w:spacing w:before="240" w:line="240" w:lineRule="auto"/>
        <w:ind w:left="720" w:hanging="720"/>
        <w:jc w:val="both"/>
        <w:rPr>
          <w:rFonts w:ascii="Times New Roman" w:hAnsi="Times New Roman" w:cs="Times New Roman"/>
          <w:sz w:val="24"/>
          <w:szCs w:val="24"/>
        </w:rPr>
      </w:pPr>
      <w:r w:rsidRPr="00BA3DFB">
        <w:rPr>
          <w:rFonts w:ascii="Times New Roman" w:hAnsi="Times New Roman" w:cs="Times New Roman"/>
          <w:sz w:val="24"/>
          <w:szCs w:val="24"/>
        </w:rPr>
        <w:t xml:space="preserve">Ali, Masyhud. (2006). </w:t>
      </w:r>
      <w:r w:rsidRPr="00BA3DFB">
        <w:rPr>
          <w:rFonts w:ascii="Times New Roman" w:hAnsi="Times New Roman" w:cs="Times New Roman"/>
          <w:i/>
          <w:sz w:val="24"/>
          <w:szCs w:val="24"/>
        </w:rPr>
        <w:t xml:space="preserve">Manajemen Risiko : Strategi Perbankan dan Dunia Usaha Menghadapi Tantangan Globalisasi Bisnis. </w:t>
      </w:r>
      <w:r w:rsidRPr="00BA3DFB">
        <w:rPr>
          <w:rFonts w:ascii="Times New Roman" w:hAnsi="Times New Roman" w:cs="Times New Roman"/>
          <w:sz w:val="24"/>
          <w:szCs w:val="24"/>
        </w:rPr>
        <w:t>Jakarta :</w:t>
      </w:r>
      <w:r w:rsidRPr="00BA3DFB">
        <w:rPr>
          <w:rFonts w:ascii="Times New Roman" w:hAnsi="Times New Roman" w:cs="Times New Roman"/>
          <w:i/>
          <w:sz w:val="24"/>
          <w:szCs w:val="24"/>
        </w:rPr>
        <w:t xml:space="preserve"> </w:t>
      </w:r>
      <w:r w:rsidRPr="00BA3DFB">
        <w:rPr>
          <w:rFonts w:ascii="Times New Roman" w:hAnsi="Times New Roman" w:cs="Times New Roman"/>
          <w:sz w:val="24"/>
          <w:szCs w:val="24"/>
        </w:rPr>
        <w:t>PT. Raja Grafindo Persada.</w:t>
      </w:r>
    </w:p>
    <w:p w:rsidR="00C61B99" w:rsidRPr="00BA3DFB" w:rsidRDefault="00C61B99" w:rsidP="00C61B99">
      <w:pPr>
        <w:spacing w:before="240" w:line="240" w:lineRule="auto"/>
        <w:ind w:left="720" w:hanging="720"/>
        <w:jc w:val="both"/>
        <w:rPr>
          <w:rFonts w:ascii="Times New Roman" w:hAnsi="Times New Roman" w:cs="Times New Roman"/>
          <w:sz w:val="24"/>
          <w:szCs w:val="24"/>
        </w:rPr>
      </w:pPr>
      <w:r w:rsidRPr="00BA3DFB">
        <w:rPr>
          <w:rFonts w:ascii="Times New Roman" w:hAnsi="Times New Roman" w:cs="Times New Roman"/>
          <w:sz w:val="24"/>
          <w:szCs w:val="24"/>
        </w:rPr>
        <w:t xml:space="preserve">Bankir News pada tanggal 30 Mei 2011 pukul 12.51. </w:t>
      </w:r>
      <w:r w:rsidRPr="00BA3DFB">
        <w:rPr>
          <w:rFonts w:ascii="Times New Roman" w:hAnsi="Times New Roman" w:cs="Times New Roman"/>
          <w:i/>
          <w:sz w:val="24"/>
          <w:szCs w:val="24"/>
        </w:rPr>
        <w:t xml:space="preserve">Penilaian Profil Risiko Bank. </w:t>
      </w:r>
      <w:hyperlink r:id="rId8" w:history="1">
        <w:r w:rsidRPr="00BA3DFB">
          <w:rPr>
            <w:rStyle w:val="Hyperlink"/>
            <w:rFonts w:ascii="Times New Roman" w:hAnsi="Times New Roman" w:cs="Times New Roman"/>
            <w:color w:val="auto"/>
            <w:sz w:val="24"/>
            <w:szCs w:val="24"/>
          </w:rPr>
          <w:t>https://www.slideshare.net/mobile/tweety2in/penilaian-profil-risiko-bank diakses 23 April 2019</w:t>
        </w:r>
      </w:hyperlink>
      <w:r w:rsidRPr="00BA3DFB">
        <w:rPr>
          <w:rFonts w:ascii="Times New Roman" w:hAnsi="Times New Roman" w:cs="Times New Roman"/>
          <w:sz w:val="24"/>
          <w:szCs w:val="24"/>
        </w:rPr>
        <w:t>, pukul 19.20 WIB.</w:t>
      </w:r>
    </w:p>
    <w:p w:rsidR="00C61B99" w:rsidRPr="00BA3DFB" w:rsidRDefault="00C61B99" w:rsidP="00C61B99">
      <w:pPr>
        <w:spacing w:before="240" w:line="240" w:lineRule="auto"/>
        <w:ind w:left="720" w:hanging="720"/>
        <w:jc w:val="both"/>
        <w:rPr>
          <w:rFonts w:ascii="Times New Roman" w:hAnsi="Times New Roman" w:cs="Times New Roman"/>
          <w:sz w:val="24"/>
          <w:szCs w:val="24"/>
        </w:rPr>
      </w:pPr>
      <w:r w:rsidRPr="00BA3DFB">
        <w:rPr>
          <w:rFonts w:ascii="Times New Roman" w:hAnsi="Times New Roman" w:cs="Times New Roman"/>
          <w:sz w:val="24"/>
          <w:szCs w:val="24"/>
        </w:rPr>
        <w:t xml:space="preserve">Erich A Helfert. (1997). </w:t>
      </w:r>
      <w:r w:rsidRPr="00BA3DFB">
        <w:rPr>
          <w:rFonts w:ascii="Times New Roman" w:hAnsi="Times New Roman" w:cs="Times New Roman"/>
          <w:i/>
          <w:sz w:val="24"/>
          <w:szCs w:val="24"/>
        </w:rPr>
        <w:t>Teknik Analisis Keuangan (Petunjuk Praktis untuk mengelola dan mengukur kinerja perusahaan)</w:t>
      </w:r>
      <w:r w:rsidRPr="00BA3DFB">
        <w:rPr>
          <w:rFonts w:ascii="Times New Roman" w:hAnsi="Times New Roman" w:cs="Times New Roman"/>
          <w:sz w:val="24"/>
          <w:szCs w:val="24"/>
        </w:rPr>
        <w:t>. Jakarta : Penerbit Erlangga.</w:t>
      </w:r>
    </w:p>
    <w:p w:rsidR="00C61B99" w:rsidRPr="00BA3DFB" w:rsidRDefault="00C61B99" w:rsidP="00C61B99">
      <w:pPr>
        <w:spacing w:before="240" w:line="240" w:lineRule="auto"/>
        <w:ind w:left="720" w:hanging="720"/>
        <w:jc w:val="both"/>
        <w:rPr>
          <w:rFonts w:ascii="Times New Roman" w:hAnsi="Times New Roman" w:cs="Times New Roman"/>
          <w:sz w:val="24"/>
          <w:szCs w:val="24"/>
        </w:rPr>
      </w:pPr>
      <w:r w:rsidRPr="00BA3DFB">
        <w:rPr>
          <w:rFonts w:ascii="Times New Roman" w:hAnsi="Times New Roman" w:cs="Times New Roman"/>
          <w:sz w:val="24"/>
          <w:szCs w:val="24"/>
        </w:rPr>
        <w:t xml:space="preserve">Heidy Arrvida Lasta, Zainul Arifin, dan Nila Firdausi Nuzula. (2014). Analisis Tingkat Keseahatan Bank Dengan Menggunakan Pendekatan RGEC </w:t>
      </w:r>
      <w:r w:rsidRPr="00BA3DFB">
        <w:rPr>
          <w:rFonts w:ascii="Times New Roman" w:hAnsi="Times New Roman" w:cs="Times New Roman"/>
          <w:i/>
          <w:sz w:val="24"/>
          <w:szCs w:val="24"/>
        </w:rPr>
        <w:t xml:space="preserve">(Risk Profile, Good Corporate Governance, Earnings, </w:t>
      </w:r>
      <w:r w:rsidRPr="00BA3DFB">
        <w:rPr>
          <w:rFonts w:ascii="Times New Roman" w:hAnsi="Times New Roman" w:cs="Times New Roman"/>
          <w:sz w:val="24"/>
          <w:szCs w:val="24"/>
        </w:rPr>
        <w:t xml:space="preserve">dan </w:t>
      </w:r>
      <w:r w:rsidRPr="00BA3DFB">
        <w:rPr>
          <w:rFonts w:ascii="Times New Roman" w:hAnsi="Times New Roman" w:cs="Times New Roman"/>
          <w:i/>
          <w:sz w:val="24"/>
          <w:szCs w:val="24"/>
        </w:rPr>
        <w:t>Capital)</w:t>
      </w:r>
      <w:r w:rsidRPr="00BA3DFB">
        <w:rPr>
          <w:rFonts w:ascii="Times New Roman" w:hAnsi="Times New Roman" w:cs="Times New Roman"/>
          <w:sz w:val="24"/>
          <w:szCs w:val="24"/>
        </w:rPr>
        <w:t xml:space="preserve"> (Studi pada PT Bank Rakyat Indonesia Tbk Periode 2011-2013). </w:t>
      </w:r>
      <w:r w:rsidRPr="00BA3DFB">
        <w:rPr>
          <w:rFonts w:ascii="Times New Roman" w:hAnsi="Times New Roman" w:cs="Times New Roman"/>
          <w:i/>
          <w:sz w:val="24"/>
          <w:szCs w:val="24"/>
        </w:rPr>
        <w:t xml:space="preserve">Jurnal Administrasi Bisnis </w:t>
      </w:r>
      <w:r w:rsidRPr="00BA3DFB">
        <w:rPr>
          <w:rFonts w:ascii="Times New Roman" w:hAnsi="Times New Roman" w:cs="Times New Roman"/>
          <w:sz w:val="24"/>
          <w:szCs w:val="24"/>
        </w:rPr>
        <w:t>Vol.13, No.2 Agustus 2014. Universitas Brawijaya.</w:t>
      </w:r>
    </w:p>
    <w:p w:rsidR="00C61B99" w:rsidRPr="00BA3DFB" w:rsidRDefault="00C61B99" w:rsidP="00C61B99">
      <w:pPr>
        <w:spacing w:before="240" w:line="240" w:lineRule="auto"/>
        <w:ind w:left="720" w:hanging="720"/>
        <w:jc w:val="both"/>
        <w:rPr>
          <w:rFonts w:ascii="Times New Roman" w:hAnsi="Times New Roman" w:cs="Times New Roman"/>
          <w:sz w:val="24"/>
          <w:szCs w:val="24"/>
        </w:rPr>
      </w:pPr>
      <w:r w:rsidRPr="00BA3DFB">
        <w:rPr>
          <w:rFonts w:ascii="Times New Roman" w:hAnsi="Times New Roman" w:cs="Times New Roman"/>
          <w:sz w:val="24"/>
          <w:szCs w:val="24"/>
        </w:rPr>
        <w:t>Idx.co.id diakses 16 Maret 2019 pukul 19.20</w:t>
      </w:r>
    </w:p>
    <w:p w:rsidR="00C61B99" w:rsidRPr="00BA3DFB" w:rsidRDefault="00C61B99" w:rsidP="00C61B99">
      <w:pPr>
        <w:spacing w:before="240" w:line="240" w:lineRule="auto"/>
        <w:ind w:left="720" w:hanging="720"/>
        <w:jc w:val="both"/>
        <w:rPr>
          <w:rFonts w:ascii="Times New Roman" w:hAnsi="Times New Roman" w:cs="Times New Roman"/>
          <w:sz w:val="24"/>
          <w:szCs w:val="24"/>
        </w:rPr>
      </w:pPr>
      <w:r w:rsidRPr="00BA3DFB">
        <w:rPr>
          <w:rFonts w:ascii="Times New Roman" w:hAnsi="Times New Roman" w:cs="Times New Roman"/>
          <w:sz w:val="24"/>
          <w:szCs w:val="24"/>
        </w:rPr>
        <w:t xml:space="preserve">Ikatan Akuntan Indonesia. (2007). </w:t>
      </w:r>
      <w:r w:rsidRPr="00BA3DFB">
        <w:rPr>
          <w:rFonts w:ascii="Times New Roman" w:hAnsi="Times New Roman" w:cs="Times New Roman"/>
          <w:i/>
          <w:sz w:val="24"/>
          <w:szCs w:val="24"/>
        </w:rPr>
        <w:t xml:space="preserve">Standar Akuntansi Keuangan per 1 September 2007. </w:t>
      </w:r>
      <w:r w:rsidRPr="00BA3DFB">
        <w:rPr>
          <w:rFonts w:ascii="Times New Roman" w:hAnsi="Times New Roman" w:cs="Times New Roman"/>
          <w:sz w:val="24"/>
          <w:szCs w:val="24"/>
        </w:rPr>
        <w:t>Jakarta : Salemba empat.</w:t>
      </w:r>
    </w:p>
    <w:p w:rsidR="00C61B99" w:rsidRPr="00BA3DFB" w:rsidRDefault="00C61B99" w:rsidP="00C61B99">
      <w:pPr>
        <w:spacing w:before="240" w:line="240" w:lineRule="auto"/>
        <w:ind w:left="720" w:hanging="720"/>
        <w:jc w:val="both"/>
        <w:rPr>
          <w:rFonts w:ascii="Times New Roman" w:hAnsi="Times New Roman" w:cs="Times New Roman"/>
          <w:sz w:val="24"/>
          <w:szCs w:val="24"/>
        </w:rPr>
      </w:pPr>
      <w:r w:rsidRPr="00BA3DFB">
        <w:rPr>
          <w:rFonts w:ascii="Times New Roman" w:hAnsi="Times New Roman" w:cs="Times New Roman"/>
          <w:sz w:val="24"/>
          <w:szCs w:val="24"/>
        </w:rPr>
        <w:t xml:space="preserve">Kasmir (2012). </w:t>
      </w:r>
      <w:r w:rsidRPr="00BA3DFB">
        <w:rPr>
          <w:rFonts w:ascii="Times New Roman" w:hAnsi="Times New Roman" w:cs="Times New Roman"/>
          <w:i/>
          <w:sz w:val="24"/>
          <w:szCs w:val="24"/>
        </w:rPr>
        <w:t>Analisis Laporan Keuangan</w:t>
      </w:r>
      <w:r w:rsidRPr="00BA3DFB">
        <w:rPr>
          <w:rFonts w:ascii="Times New Roman" w:hAnsi="Times New Roman" w:cs="Times New Roman"/>
          <w:sz w:val="24"/>
          <w:szCs w:val="24"/>
        </w:rPr>
        <w:t>. Jakarta : PT. Raja Grafindo Persada.</w:t>
      </w:r>
    </w:p>
    <w:p w:rsidR="00C61B99" w:rsidRPr="00BA3DFB" w:rsidRDefault="00C61B99" w:rsidP="00C61B99">
      <w:pPr>
        <w:spacing w:before="240" w:line="240" w:lineRule="auto"/>
        <w:ind w:left="720" w:hanging="720"/>
        <w:jc w:val="both"/>
        <w:rPr>
          <w:rFonts w:ascii="Times New Roman" w:hAnsi="Times New Roman" w:cs="Times New Roman"/>
          <w:sz w:val="24"/>
          <w:szCs w:val="24"/>
        </w:rPr>
      </w:pPr>
      <w:r w:rsidRPr="00BA3DFB">
        <w:rPr>
          <w:rFonts w:ascii="Times New Roman" w:hAnsi="Times New Roman" w:cs="Times New Roman"/>
          <w:sz w:val="24"/>
          <w:szCs w:val="24"/>
        </w:rPr>
        <w:t xml:space="preserve">Khisti Minarrohmah, Fransisca Yaningwati, dan Nila Firdausi Nuzula. (2014). Analisis Tingkat Kesehatan Bank Dengan Menggunakan Pendekataan RGEC </w:t>
      </w:r>
      <w:r w:rsidRPr="00BA3DFB">
        <w:rPr>
          <w:rFonts w:ascii="Times New Roman" w:hAnsi="Times New Roman" w:cs="Times New Roman"/>
          <w:i/>
          <w:sz w:val="24"/>
          <w:szCs w:val="24"/>
        </w:rPr>
        <w:t xml:space="preserve">(Risk Profile, Good Corporate Governance, Earnings, </w:t>
      </w:r>
      <w:r w:rsidRPr="00BA3DFB">
        <w:rPr>
          <w:rFonts w:ascii="Times New Roman" w:hAnsi="Times New Roman" w:cs="Times New Roman"/>
          <w:sz w:val="24"/>
          <w:szCs w:val="24"/>
        </w:rPr>
        <w:t xml:space="preserve">dan </w:t>
      </w:r>
      <w:r w:rsidRPr="00BA3DFB">
        <w:rPr>
          <w:rFonts w:ascii="Times New Roman" w:hAnsi="Times New Roman" w:cs="Times New Roman"/>
          <w:i/>
          <w:sz w:val="24"/>
          <w:szCs w:val="24"/>
        </w:rPr>
        <w:t xml:space="preserve">Capital) </w:t>
      </w:r>
      <w:r w:rsidRPr="00BA3DFB">
        <w:rPr>
          <w:rFonts w:ascii="Times New Roman" w:hAnsi="Times New Roman" w:cs="Times New Roman"/>
          <w:sz w:val="24"/>
          <w:szCs w:val="24"/>
        </w:rPr>
        <w:t xml:space="preserve">(Studi pada PT. Bank Central Asia, Tbk Periode 2010-2012). </w:t>
      </w:r>
      <w:r w:rsidRPr="00BA3DFB">
        <w:rPr>
          <w:rFonts w:ascii="Times New Roman" w:hAnsi="Times New Roman" w:cs="Times New Roman"/>
          <w:i/>
          <w:sz w:val="24"/>
          <w:szCs w:val="24"/>
        </w:rPr>
        <w:t xml:space="preserve">Jurnal Administrasi Bisnis. </w:t>
      </w:r>
      <w:r w:rsidRPr="00BA3DFB">
        <w:rPr>
          <w:rFonts w:ascii="Times New Roman" w:hAnsi="Times New Roman" w:cs="Times New Roman"/>
          <w:sz w:val="24"/>
          <w:szCs w:val="24"/>
        </w:rPr>
        <w:t>Vol.17 No. 1 Desember 2014. Universitas Brawijaya</w:t>
      </w:r>
    </w:p>
    <w:p w:rsidR="00C61B99" w:rsidRPr="00BA3DFB" w:rsidRDefault="00C61B99" w:rsidP="00C61B99">
      <w:pPr>
        <w:spacing w:before="240" w:line="240" w:lineRule="auto"/>
        <w:ind w:left="720" w:hanging="720"/>
        <w:jc w:val="both"/>
        <w:rPr>
          <w:rFonts w:ascii="Times New Roman" w:hAnsi="Times New Roman" w:cs="Times New Roman"/>
          <w:sz w:val="24"/>
          <w:szCs w:val="24"/>
        </w:rPr>
      </w:pPr>
      <w:r w:rsidRPr="00BA3DFB">
        <w:rPr>
          <w:rFonts w:ascii="Times New Roman" w:hAnsi="Times New Roman" w:cs="Times New Roman"/>
          <w:sz w:val="24"/>
          <w:szCs w:val="24"/>
        </w:rPr>
        <w:t xml:space="preserve">Ktut Silvanita. (2009). </w:t>
      </w:r>
      <w:r w:rsidRPr="00BA3DFB">
        <w:rPr>
          <w:rFonts w:ascii="Times New Roman" w:hAnsi="Times New Roman" w:cs="Times New Roman"/>
          <w:i/>
          <w:sz w:val="24"/>
          <w:szCs w:val="24"/>
        </w:rPr>
        <w:t xml:space="preserve">Manajemen Perbankan. </w:t>
      </w:r>
      <w:r w:rsidRPr="00BA3DFB">
        <w:rPr>
          <w:rFonts w:ascii="Times New Roman" w:hAnsi="Times New Roman" w:cs="Times New Roman"/>
          <w:sz w:val="24"/>
          <w:szCs w:val="24"/>
        </w:rPr>
        <w:t>Jakarta : Ghalia Indonesia.</w:t>
      </w:r>
    </w:p>
    <w:p w:rsidR="00C61B99" w:rsidRPr="00BA3DFB" w:rsidRDefault="00C61B99" w:rsidP="00C61B99">
      <w:pPr>
        <w:spacing w:before="240" w:line="240" w:lineRule="auto"/>
        <w:ind w:left="720" w:hanging="720"/>
        <w:jc w:val="both"/>
        <w:rPr>
          <w:rFonts w:ascii="Times New Roman" w:hAnsi="Times New Roman" w:cs="Times New Roman"/>
          <w:sz w:val="24"/>
          <w:szCs w:val="24"/>
        </w:rPr>
      </w:pPr>
      <w:r w:rsidRPr="00BA3DFB">
        <w:rPr>
          <w:rFonts w:ascii="Times New Roman" w:hAnsi="Times New Roman" w:cs="Times New Roman"/>
          <w:sz w:val="24"/>
          <w:szCs w:val="24"/>
        </w:rPr>
        <w:t xml:space="preserve">Dendawijaya, Lukman. (2009). </w:t>
      </w:r>
      <w:r w:rsidRPr="00BA3DFB">
        <w:rPr>
          <w:rFonts w:ascii="Times New Roman" w:hAnsi="Times New Roman" w:cs="Times New Roman"/>
          <w:i/>
          <w:sz w:val="24"/>
          <w:szCs w:val="24"/>
        </w:rPr>
        <w:t>Manajemen Perbankan</w:t>
      </w:r>
      <w:r w:rsidRPr="00BA3DFB">
        <w:rPr>
          <w:rFonts w:ascii="Times New Roman" w:hAnsi="Times New Roman" w:cs="Times New Roman"/>
          <w:sz w:val="24"/>
          <w:szCs w:val="24"/>
        </w:rPr>
        <w:t>. Jakarta : Ghalia Indonesia.</w:t>
      </w:r>
    </w:p>
    <w:p w:rsidR="00C61B99" w:rsidRPr="00BA3DFB" w:rsidRDefault="00C61B99" w:rsidP="00C61B99">
      <w:pPr>
        <w:spacing w:before="240" w:line="240" w:lineRule="auto"/>
        <w:ind w:left="720" w:hanging="720"/>
        <w:jc w:val="both"/>
        <w:rPr>
          <w:rFonts w:ascii="Times New Roman" w:hAnsi="Times New Roman" w:cs="Times New Roman"/>
          <w:i/>
          <w:sz w:val="24"/>
          <w:szCs w:val="24"/>
        </w:rPr>
      </w:pPr>
      <w:r w:rsidRPr="00BA3DFB">
        <w:rPr>
          <w:rFonts w:ascii="Times New Roman" w:hAnsi="Times New Roman" w:cs="Times New Roman"/>
          <w:sz w:val="24"/>
          <w:szCs w:val="24"/>
        </w:rPr>
        <w:t xml:space="preserve">Artyka, Nur. (2015). Penilaian Tingkat Kesehatan Bank dengan RGEC (Studi pada PT Bank Rakyat Indonesia, Tbk Periode 2011-2013). </w:t>
      </w:r>
      <w:r w:rsidRPr="00BA3DFB">
        <w:rPr>
          <w:rFonts w:ascii="Times New Roman" w:hAnsi="Times New Roman" w:cs="Times New Roman"/>
          <w:i/>
          <w:sz w:val="24"/>
          <w:szCs w:val="24"/>
        </w:rPr>
        <w:t>Jurnal Analisis Tingkat Kesehatan Bank</w:t>
      </w:r>
    </w:p>
    <w:p w:rsidR="00C61B99" w:rsidRPr="00BA3DFB" w:rsidRDefault="00C61B99" w:rsidP="00C61B99">
      <w:pPr>
        <w:spacing w:before="240" w:line="240" w:lineRule="auto"/>
        <w:ind w:left="720" w:hanging="720"/>
        <w:jc w:val="both"/>
        <w:rPr>
          <w:rFonts w:ascii="Times New Roman" w:hAnsi="Times New Roman" w:cs="Times New Roman"/>
          <w:sz w:val="24"/>
          <w:szCs w:val="24"/>
        </w:rPr>
      </w:pPr>
      <w:r w:rsidRPr="00BA3DFB">
        <w:rPr>
          <w:rFonts w:ascii="Times New Roman" w:hAnsi="Times New Roman" w:cs="Times New Roman"/>
          <w:sz w:val="24"/>
          <w:szCs w:val="24"/>
        </w:rPr>
        <w:t xml:space="preserve">Nur Indriantoro dan Bambang Supomo. (2013). </w:t>
      </w:r>
      <w:r w:rsidRPr="00BA3DFB">
        <w:rPr>
          <w:rFonts w:ascii="Times New Roman" w:hAnsi="Times New Roman" w:cs="Times New Roman"/>
          <w:i/>
          <w:sz w:val="24"/>
          <w:szCs w:val="24"/>
        </w:rPr>
        <w:t>Metodologi Penelitian Bisnis</w:t>
      </w:r>
      <w:r w:rsidRPr="00BA3DFB">
        <w:rPr>
          <w:rFonts w:ascii="Times New Roman" w:hAnsi="Times New Roman" w:cs="Times New Roman"/>
          <w:sz w:val="24"/>
          <w:szCs w:val="24"/>
        </w:rPr>
        <w:t>. Yogyakarta : BPFE</w:t>
      </w:r>
    </w:p>
    <w:p w:rsidR="00C61B99" w:rsidRPr="00BA3DFB" w:rsidRDefault="00C61B99" w:rsidP="00C61B99">
      <w:pPr>
        <w:spacing w:before="240" w:line="240" w:lineRule="auto"/>
        <w:ind w:left="720" w:hanging="720"/>
        <w:jc w:val="both"/>
        <w:rPr>
          <w:rFonts w:ascii="Times New Roman" w:hAnsi="Times New Roman" w:cs="Times New Roman"/>
          <w:sz w:val="24"/>
          <w:szCs w:val="24"/>
        </w:rPr>
      </w:pPr>
      <w:r w:rsidRPr="00BA3DFB">
        <w:rPr>
          <w:rFonts w:ascii="Times New Roman" w:hAnsi="Times New Roman" w:cs="Times New Roman"/>
          <w:sz w:val="24"/>
          <w:szCs w:val="24"/>
        </w:rPr>
        <w:lastRenderedPageBreak/>
        <w:t xml:space="preserve">Mudrajad, Kuncoro dan Suhardjono. (2011). </w:t>
      </w:r>
      <w:r w:rsidRPr="00BA3DFB">
        <w:rPr>
          <w:rFonts w:ascii="Times New Roman" w:hAnsi="Times New Roman" w:cs="Times New Roman"/>
          <w:i/>
          <w:sz w:val="24"/>
          <w:szCs w:val="24"/>
        </w:rPr>
        <w:t xml:space="preserve">Manajemen Perbankan Teori dan Aplikasi. </w:t>
      </w:r>
      <w:r w:rsidRPr="00BA3DFB">
        <w:rPr>
          <w:rFonts w:ascii="Times New Roman" w:hAnsi="Times New Roman" w:cs="Times New Roman"/>
          <w:sz w:val="24"/>
          <w:szCs w:val="24"/>
        </w:rPr>
        <w:t>Yogyakarta : BPFE Yogyakarta</w:t>
      </w:r>
    </w:p>
    <w:p w:rsidR="00C61B99" w:rsidRPr="00BA3DFB" w:rsidRDefault="00C61B99" w:rsidP="00C61B99">
      <w:pPr>
        <w:spacing w:before="240" w:line="240" w:lineRule="auto"/>
        <w:ind w:left="720" w:hanging="720"/>
        <w:jc w:val="both"/>
        <w:rPr>
          <w:rFonts w:ascii="Times New Roman" w:hAnsi="Times New Roman" w:cs="Times New Roman"/>
          <w:sz w:val="24"/>
          <w:szCs w:val="24"/>
        </w:rPr>
      </w:pPr>
      <w:r w:rsidRPr="00BA3DFB">
        <w:rPr>
          <w:rFonts w:ascii="Times New Roman" w:hAnsi="Times New Roman" w:cs="Times New Roman"/>
          <w:sz w:val="24"/>
          <w:szCs w:val="24"/>
        </w:rPr>
        <w:t xml:space="preserve">Nugraeni. (2019). </w:t>
      </w:r>
      <w:r w:rsidRPr="00BA3DFB">
        <w:rPr>
          <w:rFonts w:ascii="Times New Roman" w:hAnsi="Times New Roman" w:cs="Times New Roman"/>
          <w:i/>
          <w:sz w:val="24"/>
          <w:szCs w:val="24"/>
        </w:rPr>
        <w:t>Analisis Laporan Keuangan : Penilaian Kesehatan Bank (Bahan Perkuliahan)</w:t>
      </w:r>
      <w:r w:rsidRPr="00BA3DFB">
        <w:rPr>
          <w:rFonts w:ascii="Times New Roman" w:hAnsi="Times New Roman" w:cs="Times New Roman"/>
          <w:sz w:val="24"/>
          <w:szCs w:val="24"/>
        </w:rPr>
        <w:t>. Yogyakarta : UMBY</w:t>
      </w:r>
    </w:p>
    <w:p w:rsidR="00C61B99" w:rsidRPr="00BA3DFB" w:rsidRDefault="00C61B99" w:rsidP="00C61B99">
      <w:pPr>
        <w:spacing w:before="240" w:line="240" w:lineRule="auto"/>
        <w:ind w:left="720" w:hanging="720"/>
        <w:jc w:val="both"/>
        <w:rPr>
          <w:rFonts w:ascii="Times New Roman" w:hAnsi="Times New Roman" w:cs="Times New Roman"/>
          <w:sz w:val="24"/>
          <w:szCs w:val="24"/>
        </w:rPr>
      </w:pPr>
      <w:r w:rsidRPr="00BA3DFB">
        <w:rPr>
          <w:rFonts w:ascii="Times New Roman" w:hAnsi="Times New Roman" w:cs="Times New Roman"/>
          <w:sz w:val="24"/>
          <w:szCs w:val="24"/>
        </w:rPr>
        <w:t xml:space="preserve">Peraturan Bank Indonesia. (2004). Peraturan Bank Indonesia No. 6/10/PBI/2004. </w:t>
      </w:r>
      <w:r w:rsidRPr="00BA3DFB">
        <w:rPr>
          <w:rFonts w:ascii="Times New Roman" w:hAnsi="Times New Roman" w:cs="Times New Roman"/>
          <w:i/>
          <w:sz w:val="24"/>
          <w:szCs w:val="24"/>
        </w:rPr>
        <w:t>Tentang Sistem Penilaian Tingkat Kesehatan Bank Umum</w:t>
      </w:r>
    </w:p>
    <w:p w:rsidR="00C61B99" w:rsidRPr="00BA3DFB" w:rsidRDefault="00C61B99" w:rsidP="00C61B99">
      <w:pPr>
        <w:spacing w:before="240" w:line="240" w:lineRule="auto"/>
        <w:ind w:left="720" w:hanging="720"/>
        <w:jc w:val="both"/>
        <w:rPr>
          <w:rFonts w:ascii="Times New Roman" w:hAnsi="Times New Roman" w:cs="Times New Roman"/>
          <w:i/>
          <w:sz w:val="24"/>
          <w:szCs w:val="24"/>
        </w:rPr>
      </w:pPr>
      <w:r w:rsidRPr="00BA3DFB">
        <w:rPr>
          <w:rFonts w:ascii="Times New Roman" w:hAnsi="Times New Roman" w:cs="Times New Roman"/>
          <w:sz w:val="24"/>
          <w:szCs w:val="24"/>
        </w:rPr>
        <w:t xml:space="preserve">Peraturan Bank Indonesia. (2011). Peraturan Bank Indonesia No. 13/PBI/2011. </w:t>
      </w:r>
      <w:r w:rsidRPr="00BA3DFB">
        <w:rPr>
          <w:rFonts w:ascii="Times New Roman" w:hAnsi="Times New Roman" w:cs="Times New Roman"/>
          <w:i/>
          <w:sz w:val="24"/>
          <w:szCs w:val="24"/>
        </w:rPr>
        <w:t>Tentang tata cara penilaian kesehatan bank</w:t>
      </w:r>
    </w:p>
    <w:p w:rsidR="00C61B99" w:rsidRPr="00BA3DFB" w:rsidRDefault="00C61B99" w:rsidP="00C61B99">
      <w:pPr>
        <w:spacing w:before="240" w:line="240" w:lineRule="auto"/>
        <w:ind w:left="720" w:hanging="720"/>
        <w:jc w:val="both"/>
        <w:rPr>
          <w:rFonts w:ascii="Times New Roman" w:hAnsi="Times New Roman" w:cs="Times New Roman"/>
          <w:sz w:val="24"/>
          <w:szCs w:val="24"/>
        </w:rPr>
      </w:pPr>
      <w:r w:rsidRPr="00BA3DFB">
        <w:rPr>
          <w:rFonts w:ascii="Times New Roman" w:hAnsi="Times New Roman" w:cs="Times New Roman"/>
          <w:sz w:val="24"/>
          <w:szCs w:val="24"/>
        </w:rPr>
        <w:t>Pernyataan Standar Akuntansi Keuangan (2009). Akuntansi Perbankan No. 31</w:t>
      </w:r>
    </w:p>
    <w:p w:rsidR="00C61B99" w:rsidRPr="00BA3DFB" w:rsidRDefault="00C61B99" w:rsidP="00C61B99">
      <w:pPr>
        <w:spacing w:before="240" w:line="240" w:lineRule="auto"/>
        <w:ind w:left="720" w:hanging="720"/>
        <w:jc w:val="both"/>
        <w:rPr>
          <w:rFonts w:ascii="Times New Roman" w:hAnsi="Times New Roman" w:cs="Times New Roman"/>
          <w:sz w:val="24"/>
          <w:szCs w:val="24"/>
        </w:rPr>
      </w:pPr>
      <w:r w:rsidRPr="00BA3DFB">
        <w:rPr>
          <w:rFonts w:ascii="Times New Roman" w:hAnsi="Times New Roman" w:cs="Times New Roman"/>
          <w:sz w:val="24"/>
          <w:szCs w:val="24"/>
        </w:rPr>
        <w:t xml:space="preserve">Rini Rachmaningsih. (2009). Penilaian Kesehatan Bank Pada PT. Bank Rakyat Indonesia (Persero) Tbk, Periode 2007-2008. </w:t>
      </w:r>
      <w:r w:rsidRPr="00BA3DFB">
        <w:rPr>
          <w:rFonts w:ascii="Times New Roman" w:hAnsi="Times New Roman" w:cs="Times New Roman"/>
          <w:i/>
          <w:sz w:val="24"/>
          <w:szCs w:val="24"/>
        </w:rPr>
        <w:t xml:space="preserve">Skripsi. </w:t>
      </w:r>
      <w:r w:rsidRPr="00BA3DFB">
        <w:rPr>
          <w:rFonts w:ascii="Times New Roman" w:hAnsi="Times New Roman" w:cs="Times New Roman"/>
          <w:sz w:val="24"/>
          <w:szCs w:val="24"/>
        </w:rPr>
        <w:t>FISE. UNY.</w:t>
      </w:r>
    </w:p>
    <w:p w:rsidR="00C61B99" w:rsidRPr="00BA3DFB" w:rsidRDefault="00C61B99" w:rsidP="00C61B99">
      <w:pPr>
        <w:spacing w:before="240" w:line="240" w:lineRule="auto"/>
        <w:ind w:left="720" w:hanging="720"/>
        <w:jc w:val="both"/>
        <w:rPr>
          <w:rFonts w:ascii="Times New Roman" w:hAnsi="Times New Roman" w:cs="Times New Roman"/>
          <w:i/>
          <w:sz w:val="24"/>
          <w:szCs w:val="24"/>
        </w:rPr>
      </w:pPr>
      <w:r w:rsidRPr="00BA3DFB">
        <w:rPr>
          <w:rFonts w:ascii="Times New Roman" w:hAnsi="Times New Roman" w:cs="Times New Roman"/>
          <w:sz w:val="24"/>
          <w:szCs w:val="24"/>
        </w:rPr>
        <w:t xml:space="preserve">Santi Budi Utami. (2015) Perbandingan Analisis CAMELS dan RGEC Dalam Menilai Tingkat Kesehatan Bank Pada Unit Syariah Milik Pemerintah (Studi Kasus : PT Bank Negara Indonesia, Tbk tahun 2012-2013). </w:t>
      </w:r>
      <w:r w:rsidRPr="00BA3DFB">
        <w:rPr>
          <w:rFonts w:ascii="Times New Roman" w:hAnsi="Times New Roman" w:cs="Times New Roman"/>
          <w:i/>
          <w:sz w:val="24"/>
          <w:szCs w:val="24"/>
        </w:rPr>
        <w:t>Skripsi</w:t>
      </w:r>
    </w:p>
    <w:p w:rsidR="00C61B99" w:rsidRPr="00BA3DFB" w:rsidRDefault="00C61B99" w:rsidP="00C61B99">
      <w:pPr>
        <w:spacing w:before="240" w:line="240" w:lineRule="auto"/>
        <w:ind w:left="720" w:hanging="720"/>
        <w:jc w:val="both"/>
        <w:rPr>
          <w:rFonts w:ascii="Times New Roman" w:hAnsi="Times New Roman" w:cs="Times New Roman"/>
          <w:sz w:val="24"/>
          <w:szCs w:val="24"/>
        </w:rPr>
      </w:pPr>
      <w:r w:rsidRPr="00BA3DFB">
        <w:rPr>
          <w:rFonts w:ascii="Times New Roman" w:hAnsi="Times New Roman" w:cs="Times New Roman"/>
          <w:sz w:val="24"/>
          <w:szCs w:val="24"/>
        </w:rPr>
        <w:t xml:space="preserve">Sigit Truandaru dan Totok Budisantoso. (2006). </w:t>
      </w:r>
      <w:r w:rsidRPr="00BA3DFB">
        <w:rPr>
          <w:rFonts w:ascii="Times New Roman" w:hAnsi="Times New Roman" w:cs="Times New Roman"/>
          <w:i/>
          <w:sz w:val="24"/>
          <w:szCs w:val="24"/>
        </w:rPr>
        <w:t xml:space="preserve">Bank dan Lembaga Keuangan Lainnya. </w:t>
      </w:r>
      <w:r w:rsidRPr="00BA3DFB">
        <w:rPr>
          <w:rFonts w:ascii="Times New Roman" w:hAnsi="Times New Roman" w:cs="Times New Roman"/>
          <w:sz w:val="24"/>
          <w:szCs w:val="24"/>
        </w:rPr>
        <w:t>Yogyakarta : Salemba Empat.</w:t>
      </w:r>
    </w:p>
    <w:p w:rsidR="00C61B99" w:rsidRPr="00BA3DFB" w:rsidRDefault="00C61B99" w:rsidP="00C61B99">
      <w:pPr>
        <w:spacing w:before="240" w:line="240" w:lineRule="auto"/>
        <w:ind w:left="720" w:hanging="720"/>
        <w:jc w:val="both"/>
        <w:rPr>
          <w:rFonts w:ascii="Times New Roman" w:hAnsi="Times New Roman" w:cs="Times New Roman"/>
          <w:sz w:val="24"/>
          <w:szCs w:val="24"/>
        </w:rPr>
      </w:pPr>
      <w:r w:rsidRPr="00BA3DFB">
        <w:rPr>
          <w:rFonts w:ascii="Times New Roman" w:hAnsi="Times New Roman" w:cs="Times New Roman"/>
          <w:sz w:val="24"/>
          <w:szCs w:val="24"/>
        </w:rPr>
        <w:t xml:space="preserve">Surat Edaran Bank Indonesia (2004). Surat Edaran Bank Indonesia No. 6/23/DPNP tahun 2004. Perihal: </w:t>
      </w:r>
      <w:r w:rsidRPr="00BA3DFB">
        <w:rPr>
          <w:rFonts w:ascii="Times New Roman" w:hAnsi="Times New Roman" w:cs="Times New Roman"/>
          <w:i/>
          <w:sz w:val="24"/>
          <w:szCs w:val="24"/>
        </w:rPr>
        <w:t>Sistem Penilaian Tingkat Kesehatan Bank Umum</w:t>
      </w:r>
      <w:r w:rsidRPr="00BA3DFB">
        <w:rPr>
          <w:rFonts w:ascii="Times New Roman" w:hAnsi="Times New Roman" w:cs="Times New Roman"/>
          <w:sz w:val="24"/>
          <w:szCs w:val="24"/>
        </w:rPr>
        <w:t>. Jakarta : Bank Indonesia</w:t>
      </w:r>
    </w:p>
    <w:p w:rsidR="00C61B99" w:rsidRPr="00BA3DFB" w:rsidRDefault="00C61B99" w:rsidP="00C61B99">
      <w:pPr>
        <w:spacing w:before="240" w:line="240" w:lineRule="auto"/>
        <w:ind w:left="720" w:hanging="720"/>
        <w:jc w:val="both"/>
        <w:rPr>
          <w:rFonts w:ascii="Times New Roman" w:hAnsi="Times New Roman" w:cs="Times New Roman"/>
          <w:i/>
          <w:sz w:val="24"/>
          <w:szCs w:val="24"/>
        </w:rPr>
      </w:pPr>
      <w:r w:rsidRPr="00BA3DFB">
        <w:rPr>
          <w:rFonts w:ascii="Times New Roman" w:hAnsi="Times New Roman" w:cs="Times New Roman"/>
          <w:sz w:val="24"/>
          <w:szCs w:val="24"/>
        </w:rPr>
        <w:t xml:space="preserve">Surat Edaran Bank Indonesia. (2011). Surat Edaran Bank Indonesia No.13/24/DPNP tanggal 25 Oktober 2011, tentang </w:t>
      </w:r>
      <w:r w:rsidRPr="00BA3DFB">
        <w:rPr>
          <w:rFonts w:ascii="Times New Roman" w:hAnsi="Times New Roman" w:cs="Times New Roman"/>
          <w:i/>
          <w:sz w:val="24"/>
          <w:szCs w:val="24"/>
        </w:rPr>
        <w:t>Matriks Perhitungan Analisis Komponen Faktor Analisis RGEC untuk Bank Umum.</w:t>
      </w:r>
    </w:p>
    <w:p w:rsidR="00C61B99" w:rsidRPr="00BA3DFB" w:rsidRDefault="00C61B99" w:rsidP="00C61B99">
      <w:pPr>
        <w:spacing w:before="240" w:line="240" w:lineRule="auto"/>
        <w:ind w:left="720" w:hanging="720"/>
        <w:jc w:val="both"/>
        <w:rPr>
          <w:rFonts w:ascii="Times New Roman" w:hAnsi="Times New Roman" w:cs="Times New Roman"/>
          <w:i/>
          <w:sz w:val="24"/>
          <w:szCs w:val="24"/>
        </w:rPr>
      </w:pPr>
      <w:r w:rsidRPr="00BA3DFB">
        <w:rPr>
          <w:rFonts w:ascii="Times New Roman" w:hAnsi="Times New Roman" w:cs="Times New Roman"/>
          <w:sz w:val="24"/>
          <w:szCs w:val="24"/>
        </w:rPr>
        <w:t xml:space="preserve">Surat Edaran Bank Indonesia. (2013). Surat Edaran Bank Indonesia No. 15/15/DPNP tahun 2015. Perihal : </w:t>
      </w:r>
      <w:r w:rsidRPr="00BA3DFB">
        <w:rPr>
          <w:rFonts w:ascii="Times New Roman" w:hAnsi="Times New Roman" w:cs="Times New Roman"/>
          <w:i/>
          <w:sz w:val="24"/>
          <w:szCs w:val="24"/>
        </w:rPr>
        <w:t>Penilaian Self Assesment.</w:t>
      </w:r>
    </w:p>
    <w:p w:rsidR="00C61B99" w:rsidRPr="00BA3DFB" w:rsidRDefault="00C61B99" w:rsidP="00C61B99">
      <w:pPr>
        <w:spacing w:before="240" w:line="240" w:lineRule="auto"/>
        <w:ind w:left="720" w:hanging="720"/>
        <w:jc w:val="both"/>
        <w:rPr>
          <w:rFonts w:ascii="Times New Roman" w:hAnsi="Times New Roman" w:cs="Times New Roman"/>
          <w:sz w:val="24"/>
          <w:szCs w:val="24"/>
        </w:rPr>
      </w:pPr>
      <w:r w:rsidRPr="00BA3DFB">
        <w:rPr>
          <w:rFonts w:ascii="Times New Roman" w:hAnsi="Times New Roman" w:cs="Times New Roman"/>
          <w:sz w:val="24"/>
          <w:szCs w:val="24"/>
        </w:rPr>
        <w:t>Taswan. (2008). Akuntansi Perbankan : Transaksi dalam Valuta Rupiah. Yogyakarta. UPP STIN YKPN.</w:t>
      </w:r>
    </w:p>
    <w:p w:rsidR="00C61B99" w:rsidRPr="00BA3DFB" w:rsidRDefault="00C61B99" w:rsidP="00C61B99">
      <w:pPr>
        <w:spacing w:before="240" w:line="240" w:lineRule="auto"/>
        <w:ind w:left="720" w:hanging="720"/>
        <w:jc w:val="both"/>
        <w:rPr>
          <w:rFonts w:ascii="Times New Roman" w:hAnsi="Times New Roman" w:cs="Times New Roman"/>
          <w:sz w:val="24"/>
          <w:szCs w:val="24"/>
        </w:rPr>
      </w:pPr>
      <w:r w:rsidRPr="00BA3DFB">
        <w:rPr>
          <w:rFonts w:ascii="Times New Roman" w:hAnsi="Times New Roman" w:cs="Times New Roman"/>
          <w:sz w:val="24"/>
          <w:szCs w:val="24"/>
        </w:rPr>
        <w:t xml:space="preserve">Totok Budisantoso dan Nuritomo. (2014). </w:t>
      </w:r>
      <w:r w:rsidRPr="00BA3DFB">
        <w:rPr>
          <w:rFonts w:ascii="Times New Roman" w:hAnsi="Times New Roman" w:cs="Times New Roman"/>
          <w:i/>
          <w:sz w:val="24"/>
          <w:szCs w:val="24"/>
        </w:rPr>
        <w:t xml:space="preserve">Bank dan Lembaga Keuangan Lain. </w:t>
      </w:r>
      <w:r w:rsidRPr="00BA3DFB">
        <w:rPr>
          <w:rFonts w:ascii="Times New Roman" w:hAnsi="Times New Roman" w:cs="Times New Roman"/>
          <w:sz w:val="24"/>
          <w:szCs w:val="24"/>
        </w:rPr>
        <w:t>Jakarta : Salemba Empat.</w:t>
      </w:r>
    </w:p>
    <w:p w:rsidR="00C61B99" w:rsidRPr="00711080" w:rsidRDefault="00C61B99" w:rsidP="00711080">
      <w:pPr>
        <w:spacing w:before="240" w:line="240" w:lineRule="auto"/>
        <w:ind w:left="720" w:hanging="720"/>
        <w:jc w:val="both"/>
        <w:rPr>
          <w:rFonts w:ascii="Times New Roman" w:hAnsi="Times New Roman" w:cs="Times New Roman"/>
          <w:i/>
          <w:sz w:val="24"/>
          <w:szCs w:val="24"/>
          <w:lang w:val="en-US"/>
        </w:rPr>
      </w:pPr>
      <w:r w:rsidRPr="00BA3DFB">
        <w:rPr>
          <w:rFonts w:ascii="Times New Roman" w:hAnsi="Times New Roman" w:cs="Times New Roman"/>
          <w:sz w:val="24"/>
          <w:szCs w:val="24"/>
        </w:rPr>
        <w:t xml:space="preserve">Undang-undang. (1998). Undang-undang No. 10 Tahun 1998, tentang </w:t>
      </w:r>
      <w:r w:rsidRPr="00BA3DFB">
        <w:rPr>
          <w:rFonts w:ascii="Times New Roman" w:hAnsi="Times New Roman" w:cs="Times New Roman"/>
          <w:i/>
          <w:sz w:val="24"/>
          <w:szCs w:val="24"/>
        </w:rPr>
        <w:t>Perbankan.</w:t>
      </w:r>
    </w:p>
    <w:p w:rsidR="00711080" w:rsidRDefault="00C61B99" w:rsidP="00711080">
      <w:pPr>
        <w:spacing w:before="240" w:line="240" w:lineRule="auto"/>
        <w:ind w:left="720" w:hanging="720"/>
        <w:jc w:val="both"/>
        <w:rPr>
          <w:rFonts w:ascii="Times New Roman" w:hAnsi="Times New Roman" w:cs="Times New Roman"/>
          <w:sz w:val="24"/>
          <w:szCs w:val="24"/>
          <w:lang w:val="en-US"/>
        </w:rPr>
      </w:pPr>
      <w:r w:rsidRPr="00BA3DFB">
        <w:rPr>
          <w:rFonts w:ascii="Times New Roman" w:hAnsi="Times New Roman" w:cs="Times New Roman"/>
          <w:sz w:val="24"/>
          <w:szCs w:val="24"/>
        </w:rPr>
        <w:t xml:space="preserve">Veranda Aga Refmasari dan Ngadirin Setiawan. (2013). Penilaian Tingkay Kesehatan Bank Umum menggunakan Metode RGEC Dengan Cakupan </w:t>
      </w:r>
      <w:r w:rsidRPr="00BA3DFB">
        <w:rPr>
          <w:rFonts w:ascii="Times New Roman" w:hAnsi="Times New Roman" w:cs="Times New Roman"/>
          <w:i/>
          <w:sz w:val="24"/>
          <w:szCs w:val="24"/>
        </w:rPr>
        <w:t xml:space="preserve">Risk Profile, Good Corporate Governance, Earnings, </w:t>
      </w:r>
      <w:r w:rsidRPr="00BA3DFB">
        <w:rPr>
          <w:rFonts w:ascii="Times New Roman" w:hAnsi="Times New Roman" w:cs="Times New Roman"/>
          <w:sz w:val="24"/>
          <w:szCs w:val="24"/>
        </w:rPr>
        <w:t xml:space="preserve">dan </w:t>
      </w:r>
      <w:r w:rsidRPr="00BA3DFB">
        <w:rPr>
          <w:rFonts w:ascii="Times New Roman" w:hAnsi="Times New Roman" w:cs="Times New Roman"/>
          <w:i/>
          <w:sz w:val="24"/>
          <w:szCs w:val="24"/>
        </w:rPr>
        <w:t xml:space="preserve">Capital </w:t>
      </w:r>
      <w:r w:rsidRPr="00BA3DFB">
        <w:rPr>
          <w:rFonts w:ascii="Times New Roman" w:hAnsi="Times New Roman" w:cs="Times New Roman"/>
          <w:sz w:val="24"/>
          <w:szCs w:val="24"/>
        </w:rPr>
        <w:t>pada Bank Pembangunan Daerah Provinsi Yogyakarta tahun 2012.</w:t>
      </w:r>
    </w:p>
    <w:p w:rsidR="00C61B99" w:rsidRPr="00BA3DFB" w:rsidRDefault="00C61B99" w:rsidP="00711080">
      <w:pPr>
        <w:spacing w:before="240" w:line="240" w:lineRule="auto"/>
        <w:ind w:left="720" w:hanging="720"/>
        <w:jc w:val="both"/>
        <w:rPr>
          <w:rFonts w:ascii="Times New Roman" w:hAnsi="Times New Roman" w:cs="Times New Roman"/>
          <w:sz w:val="24"/>
          <w:szCs w:val="24"/>
        </w:rPr>
      </w:pPr>
      <w:r w:rsidRPr="00BA3DFB">
        <w:rPr>
          <w:rFonts w:ascii="Times New Roman" w:hAnsi="Times New Roman" w:cs="Times New Roman"/>
          <w:sz w:val="24"/>
          <w:szCs w:val="24"/>
        </w:rPr>
        <w:lastRenderedPageBreak/>
        <w:t xml:space="preserve">Veithzal Rivai. (2007). Bank dan </w:t>
      </w:r>
      <w:r w:rsidRPr="00BA3DFB">
        <w:rPr>
          <w:rFonts w:ascii="Times New Roman" w:hAnsi="Times New Roman" w:cs="Times New Roman"/>
          <w:i/>
          <w:sz w:val="24"/>
          <w:szCs w:val="24"/>
        </w:rPr>
        <w:t xml:space="preserve">Financial </w:t>
      </w:r>
      <w:r w:rsidRPr="00BA3DFB">
        <w:rPr>
          <w:rFonts w:ascii="Times New Roman" w:hAnsi="Times New Roman" w:cs="Times New Roman"/>
          <w:sz w:val="24"/>
          <w:szCs w:val="24"/>
        </w:rPr>
        <w:t>Institute Management. Jakarta : PT. Raja Grafindo Persada</w:t>
      </w:r>
    </w:p>
    <w:sectPr w:rsidR="00C61B99" w:rsidRPr="00BA3DFB" w:rsidSect="008414C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65EE4"/>
    <w:multiLevelType w:val="hybridMultilevel"/>
    <w:tmpl w:val="9CDACBA0"/>
    <w:lvl w:ilvl="0" w:tplc="2E70FDAE">
      <w:start w:val="1"/>
      <w:numFmt w:val="decimal"/>
      <w:lvlText w:val="%1."/>
      <w:lvlJc w:val="left"/>
      <w:pPr>
        <w:ind w:left="786" w:hanging="360"/>
      </w:pPr>
      <w:rPr>
        <w:rFonts w:ascii="Times New Roman" w:eastAsiaTheme="minorHAnsi"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786" w:hanging="360"/>
      </w:pPr>
    </w:lvl>
    <w:lvl w:ilvl="4" w:tplc="04090019">
      <w:start w:val="1"/>
      <w:numFmt w:val="lowerLetter"/>
      <w:lvlText w:val="%5."/>
      <w:lvlJc w:val="left"/>
      <w:pPr>
        <w:ind w:left="3600" w:hanging="360"/>
      </w:pPr>
    </w:lvl>
    <w:lvl w:ilvl="5" w:tplc="0409001B">
      <w:start w:val="1"/>
      <w:numFmt w:val="lowerRoman"/>
      <w:lvlText w:val="%6."/>
      <w:lvlJc w:val="right"/>
      <w:pPr>
        <w:ind w:left="18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016F59"/>
    <w:multiLevelType w:val="hybridMultilevel"/>
    <w:tmpl w:val="8EDAB82A"/>
    <w:lvl w:ilvl="0" w:tplc="B6D0F836">
      <w:start w:val="1"/>
      <w:numFmt w:val="decimal"/>
      <w:lvlText w:val="%1)"/>
      <w:lvlJc w:val="left"/>
      <w:pPr>
        <w:ind w:left="1800" w:hanging="360"/>
      </w:pPr>
      <w:rPr>
        <w:rFonts w:ascii="Times New Roman" w:eastAsiaTheme="minorHAnsi" w:hAnsi="Times New Roman" w:cs="Times New Roman" w:hint="default"/>
        <w:sz w:val="24"/>
        <w:szCs w:val="24"/>
      </w:rPr>
    </w:lvl>
    <w:lvl w:ilvl="1" w:tplc="04090017">
      <w:start w:val="1"/>
      <w:numFmt w:val="lowerLetter"/>
      <w:lvlText w:val="%2)"/>
      <w:lvlJc w:val="left"/>
      <w:pPr>
        <w:ind w:left="2160" w:hanging="360"/>
      </w:pPr>
      <w:rPr>
        <w:rFonts w:hint="default"/>
      </w:rPr>
    </w:lvl>
    <w:lvl w:ilvl="2" w:tplc="C45A6A24">
      <w:start w:val="1"/>
      <w:numFmt w:val="decimal"/>
      <w:lvlText w:val="%3)"/>
      <w:lvlJc w:val="left"/>
      <w:pPr>
        <w:ind w:left="3060" w:hanging="360"/>
      </w:pPr>
      <w:rPr>
        <w:rFonts w:hint="default"/>
        <w:b w:val="0"/>
      </w:rPr>
    </w:lvl>
    <w:lvl w:ilvl="3" w:tplc="04090011">
      <w:start w:val="1"/>
      <w:numFmt w:val="decimal"/>
      <w:lvlText w:val="%4)"/>
      <w:lvlJc w:val="left"/>
      <w:pPr>
        <w:ind w:left="644" w:hanging="360"/>
      </w:pPr>
    </w:lvl>
    <w:lvl w:ilvl="4" w:tplc="EB84AAEC">
      <w:start w:val="1"/>
      <w:numFmt w:val="decimal"/>
      <w:lvlText w:val="%5."/>
      <w:lvlJc w:val="left"/>
      <w:pPr>
        <w:ind w:left="2345" w:hanging="360"/>
      </w:pPr>
      <w:rPr>
        <w:rFonts w:hint="default"/>
        <w:b w:val="0"/>
      </w:r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2C143467"/>
    <w:multiLevelType w:val="hybridMultilevel"/>
    <w:tmpl w:val="3B42A19A"/>
    <w:lvl w:ilvl="0" w:tplc="22EAEF80">
      <w:start w:val="1"/>
      <w:numFmt w:val="lowerLetter"/>
      <w:lvlText w:val="%1."/>
      <w:lvlJc w:val="left"/>
      <w:pPr>
        <w:ind w:left="928"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D845A4D"/>
    <w:multiLevelType w:val="hybridMultilevel"/>
    <w:tmpl w:val="F2A0981A"/>
    <w:lvl w:ilvl="0" w:tplc="BE848806">
      <w:start w:val="1"/>
      <w:numFmt w:val="decimal"/>
      <w:lvlText w:val="%1)"/>
      <w:lvlJc w:val="left"/>
      <w:pPr>
        <w:ind w:left="1212" w:hanging="360"/>
      </w:pPr>
      <w:rPr>
        <w:rFonts w:hint="default"/>
        <w:i w:val="0"/>
      </w:r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start w:val="1"/>
      <w:numFmt w:val="lowerLetter"/>
      <w:lvlText w:val="%5."/>
      <w:lvlJc w:val="left"/>
      <w:pPr>
        <w:ind w:left="4092" w:hanging="360"/>
      </w:pPr>
    </w:lvl>
    <w:lvl w:ilvl="5" w:tplc="0409001B">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4">
    <w:nsid w:val="372D0596"/>
    <w:multiLevelType w:val="hybridMultilevel"/>
    <w:tmpl w:val="233E83C0"/>
    <w:lvl w:ilvl="0" w:tplc="64E61FE8">
      <w:start w:val="1"/>
      <w:numFmt w:val="lowerLetter"/>
      <w:lvlText w:val="%1)"/>
      <w:lvlJc w:val="left"/>
      <w:pPr>
        <w:ind w:left="2421" w:hanging="360"/>
      </w:pPr>
      <w:rPr>
        <w:rFonts w:ascii="Times New Roman" w:eastAsiaTheme="minorHAnsi" w:hAnsi="Times New Roman" w:cs="Times New Roman"/>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5">
    <w:nsid w:val="3E806583"/>
    <w:multiLevelType w:val="hybridMultilevel"/>
    <w:tmpl w:val="FFB44108"/>
    <w:lvl w:ilvl="0" w:tplc="BCAA5C12">
      <w:start w:val="6"/>
      <w:numFmt w:val="decimal"/>
      <w:lvlText w:val="%1)"/>
      <w:lvlJc w:val="left"/>
      <w:pPr>
        <w:ind w:left="1800" w:hanging="360"/>
      </w:pPr>
      <w:rPr>
        <w:rFonts w:ascii="Times New Roman" w:eastAsiaTheme="minorHAnsi" w:hAnsi="Times New Roman" w:cs="Times New Roman" w:hint="default"/>
        <w:sz w:val="24"/>
        <w:szCs w:val="24"/>
      </w:rPr>
    </w:lvl>
    <w:lvl w:ilvl="1" w:tplc="04090019" w:tentative="1">
      <w:start w:val="1"/>
      <w:numFmt w:val="lowerLetter"/>
      <w:lvlText w:val="%2."/>
      <w:lvlJc w:val="left"/>
      <w:pPr>
        <w:ind w:left="1440" w:hanging="360"/>
      </w:pPr>
    </w:lvl>
    <w:lvl w:ilvl="2" w:tplc="B3F200EE">
      <w:start w:val="6"/>
      <w:numFmt w:val="lowerRoman"/>
      <w:lvlText w:val="%3."/>
      <w:lvlJc w:val="right"/>
      <w:pPr>
        <w:ind w:left="2160" w:hanging="180"/>
      </w:pPr>
      <w:rPr>
        <w:rFonts w:hint="default"/>
      </w:r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FEC6E50"/>
    <w:multiLevelType w:val="hybridMultilevel"/>
    <w:tmpl w:val="17429966"/>
    <w:lvl w:ilvl="0" w:tplc="6644DC4E">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2"/>
  </w:num>
  <w:num w:numId="5">
    <w:abstractNumId w:val="5"/>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2"/>
  </w:compat>
  <w:rsids>
    <w:rsidRoot w:val="00320171"/>
    <w:rsid w:val="0022374A"/>
    <w:rsid w:val="00320171"/>
    <w:rsid w:val="0056057B"/>
    <w:rsid w:val="006C4E33"/>
    <w:rsid w:val="00711080"/>
    <w:rsid w:val="007448CE"/>
    <w:rsid w:val="008414C4"/>
    <w:rsid w:val="008C103F"/>
    <w:rsid w:val="00B21F5A"/>
    <w:rsid w:val="00BA3DFB"/>
    <w:rsid w:val="00C61B99"/>
    <w:rsid w:val="00DD241B"/>
    <w:rsid w:val="00E31C67"/>
    <w:rsid w:val="00F813BA"/>
    <w:rsid w:val="00FA47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171"/>
    <w:rPr>
      <w:rFonts w:eastAsiaTheme="minorEastAsia"/>
      <w:lang w:val="id-ID" w:eastAsia="id-ID"/>
    </w:rPr>
  </w:style>
  <w:style w:type="paragraph" w:styleId="Heading1">
    <w:name w:val="heading 1"/>
    <w:basedOn w:val="Normal"/>
    <w:next w:val="Normal"/>
    <w:link w:val="Heading1Char"/>
    <w:uiPriority w:val="9"/>
    <w:qFormat/>
    <w:rsid w:val="00320171"/>
    <w:pPr>
      <w:keepNext/>
      <w:keepLines/>
      <w:spacing w:before="480" w:after="0"/>
      <w:outlineLvl w:val="0"/>
    </w:pPr>
    <w:rPr>
      <w:rFonts w:asciiTheme="majorHAnsi" w:eastAsiaTheme="majorEastAsia" w:hAnsiTheme="majorHAnsi" w:cstheme="majorBidi"/>
      <w:b/>
      <w:bCs/>
      <w:color w:val="365F91" w:themeColor="accent1" w:themeShade="BF"/>
      <w:sz w:val="28"/>
      <w:szCs w:val="28"/>
      <w:lang w:bidi="en-US"/>
    </w:rPr>
  </w:style>
  <w:style w:type="paragraph" w:styleId="Heading2">
    <w:name w:val="heading 2"/>
    <w:basedOn w:val="Normal"/>
    <w:next w:val="Normal"/>
    <w:link w:val="Heading2Char"/>
    <w:uiPriority w:val="9"/>
    <w:unhideWhenUsed/>
    <w:qFormat/>
    <w:rsid w:val="00C61B9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unhideWhenUsed/>
    <w:qFormat/>
    <w:rsid w:val="00DD241B"/>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DD241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0171"/>
    <w:rPr>
      <w:rFonts w:asciiTheme="majorHAnsi" w:eastAsiaTheme="majorEastAsia" w:hAnsiTheme="majorHAnsi" w:cstheme="majorBidi"/>
      <w:b/>
      <w:bCs/>
      <w:color w:val="365F91" w:themeColor="accent1" w:themeShade="BF"/>
      <w:sz w:val="28"/>
      <w:szCs w:val="28"/>
      <w:lang w:val="id-ID" w:eastAsia="id-ID" w:bidi="en-US"/>
    </w:rPr>
  </w:style>
  <w:style w:type="paragraph" w:styleId="BalloonText">
    <w:name w:val="Balloon Text"/>
    <w:basedOn w:val="Normal"/>
    <w:link w:val="BalloonTextChar"/>
    <w:uiPriority w:val="99"/>
    <w:semiHidden/>
    <w:unhideWhenUsed/>
    <w:rsid w:val="003201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0171"/>
    <w:rPr>
      <w:rFonts w:ascii="Tahoma" w:eastAsiaTheme="minorEastAsia" w:hAnsi="Tahoma" w:cs="Tahoma"/>
      <w:sz w:val="16"/>
      <w:szCs w:val="16"/>
      <w:lang w:val="id-ID" w:eastAsia="id-ID"/>
    </w:rPr>
  </w:style>
  <w:style w:type="character" w:customStyle="1" w:styleId="Heading4Char">
    <w:name w:val="Heading 4 Char"/>
    <w:basedOn w:val="DefaultParagraphFont"/>
    <w:link w:val="Heading4"/>
    <w:uiPriority w:val="9"/>
    <w:rsid w:val="00DD241B"/>
    <w:rPr>
      <w:rFonts w:asciiTheme="majorHAnsi" w:eastAsiaTheme="majorEastAsia" w:hAnsiTheme="majorHAnsi" w:cstheme="majorBidi"/>
      <w:b/>
      <w:bCs/>
      <w:i/>
      <w:iCs/>
      <w:color w:val="4F81BD" w:themeColor="accent1"/>
      <w:lang w:val="id-ID" w:eastAsia="id-ID"/>
    </w:rPr>
  </w:style>
  <w:style w:type="character" w:customStyle="1" w:styleId="Heading5Char">
    <w:name w:val="Heading 5 Char"/>
    <w:basedOn w:val="DefaultParagraphFont"/>
    <w:link w:val="Heading5"/>
    <w:uiPriority w:val="9"/>
    <w:rsid w:val="00DD241B"/>
    <w:rPr>
      <w:rFonts w:asciiTheme="majorHAnsi" w:eastAsiaTheme="majorEastAsia" w:hAnsiTheme="majorHAnsi" w:cstheme="majorBidi"/>
      <w:color w:val="243F60" w:themeColor="accent1" w:themeShade="7F"/>
      <w:lang w:val="id-ID" w:eastAsia="id-ID"/>
    </w:rPr>
  </w:style>
  <w:style w:type="paragraph" w:styleId="ListParagraph">
    <w:name w:val="List Paragraph"/>
    <w:aliases w:val="Body of text"/>
    <w:basedOn w:val="Normal"/>
    <w:link w:val="ListParagraphChar"/>
    <w:uiPriority w:val="34"/>
    <w:qFormat/>
    <w:rsid w:val="00DD241B"/>
    <w:pPr>
      <w:ind w:left="720"/>
      <w:contextualSpacing/>
    </w:pPr>
  </w:style>
  <w:style w:type="character" w:customStyle="1" w:styleId="ListParagraphChar">
    <w:name w:val="List Paragraph Char"/>
    <w:aliases w:val="Body of text Char"/>
    <w:link w:val="ListParagraph"/>
    <w:uiPriority w:val="34"/>
    <w:rsid w:val="00DD241B"/>
    <w:rPr>
      <w:rFonts w:eastAsiaTheme="minorEastAsia"/>
      <w:lang w:val="id-ID" w:eastAsia="id-ID"/>
    </w:rPr>
  </w:style>
  <w:style w:type="table" w:styleId="TableGrid">
    <w:name w:val="Table Grid"/>
    <w:basedOn w:val="TableNormal"/>
    <w:uiPriority w:val="59"/>
    <w:rsid w:val="00DD241B"/>
    <w:pPr>
      <w:spacing w:after="0" w:line="240" w:lineRule="auto"/>
    </w:pPr>
    <w:rPr>
      <w:rFonts w:eastAsiaTheme="minorEastAsia"/>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DD241B"/>
    <w:pPr>
      <w:spacing w:line="240" w:lineRule="auto"/>
    </w:pPr>
    <w:rPr>
      <w:b/>
      <w:bCs/>
      <w:color w:val="4F81BD" w:themeColor="accent1"/>
      <w:sz w:val="18"/>
      <w:szCs w:val="18"/>
    </w:rPr>
  </w:style>
  <w:style w:type="character" w:customStyle="1" w:styleId="Heading2Char">
    <w:name w:val="Heading 2 Char"/>
    <w:basedOn w:val="DefaultParagraphFont"/>
    <w:link w:val="Heading2"/>
    <w:uiPriority w:val="9"/>
    <w:rsid w:val="00C61B99"/>
    <w:rPr>
      <w:rFonts w:asciiTheme="majorHAnsi" w:eastAsiaTheme="majorEastAsia" w:hAnsiTheme="majorHAnsi" w:cstheme="majorBidi"/>
      <w:b/>
      <w:bCs/>
      <w:color w:val="4F81BD" w:themeColor="accent1"/>
      <w:sz w:val="26"/>
      <w:szCs w:val="26"/>
      <w:lang w:val="id-ID" w:eastAsia="id-ID"/>
    </w:rPr>
  </w:style>
  <w:style w:type="character" w:styleId="Hyperlink">
    <w:name w:val="Hyperlink"/>
    <w:basedOn w:val="DefaultParagraphFont"/>
    <w:uiPriority w:val="99"/>
    <w:unhideWhenUsed/>
    <w:rsid w:val="00C61B9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lideshare.net/mobile/tweety2in/penilaian-profil-risiko-bank%20diakses%2023%20April%202019" TargetMode="External"/><Relationship Id="rId3" Type="http://schemas.openxmlformats.org/officeDocument/2006/relationships/styles" Target="styles.xml"/><Relationship Id="rId7" Type="http://schemas.openxmlformats.org/officeDocument/2006/relationships/hyperlink" Target="mailto:estikwahyukartikasari@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Vei07</b:Tag>
    <b:SourceType>JournalArticle</b:SourceType>
    <b:Guid>{84756725-65DE-4331-95CD-044DF4960E2E}</b:Guid>
    <b:Author>
      <b:Author>
        <b:NameList>
          <b:Person>
            <b:Last>Veithzel</b:Last>
            <b:First>dkk</b:First>
          </b:Person>
        </b:NameList>
      </b:Author>
    </b:Author>
    <b:Year>2007:109</b:Year>
    <b:Publisher>109</b:Publisher>
    <b:RefOrder>1</b:RefOrder>
  </b:Source>
  <b:Source>
    <b:Tag>Ban111</b:Tag>
    <b:SourceType>JournalArticle</b:SourceType>
    <b:Guid>{C1B7E8FD-70CB-4629-A94D-214E93B1162C}</b:Guid>
    <b:Author>
      <b:Author>
        <b:NameList>
          <b:Person>
            <b:Last>Bankirnews</b:Last>
          </b:Person>
        </b:NameList>
      </b:Author>
    </b:Author>
    <b:Year>Mei 2011</b:Year>
    <b:RefOrder>3</b:RefOrder>
  </b:Source>
  <b:Source>
    <b:Tag>Suh17</b:Tag>
    <b:SourceType>JournalArticle</b:SourceType>
    <b:Guid>{5617FF6A-BC62-4E04-A309-B000DE32BABD}</b:Guid>
    <b:Author>
      <b:Author>
        <b:Corporate>Suhartono dan Azizah</b:Corporate>
      </b:Author>
    </b:Author>
    <b:Year>2017</b:Year>
    <b:RefOrder>12</b:RefOrder>
  </b:Source>
  <b:Source>
    <b:Tag>Ali99</b:Tag>
    <b:SourceType>JournalArticle</b:SourceType>
    <b:Guid>{AD11BC27-8C37-4798-A82E-01A0BEAA051D}</b:Guid>
    <b:Author>
      <b:Author>
        <b:NameList>
          <b:Person>
            <b:Last>Ali</b:Last>
          </b:Person>
        </b:NameList>
      </b:Author>
    </b:Author>
    <b:Year>2006: 199</b:Year>
    <b:RefOrder>13</b:RefOrder>
  </b:Source>
  <b:Source>
    <b:Tag>Dar59</b:Tag>
    <b:SourceType>JournalArticle</b:SourceType>
    <b:Guid>{A89259A6-00D8-49BB-9F89-267F1CAD7425}</b:Guid>
    <b:Author>
      <b:Author>
        <b:NameList>
          <b:Person>
            <b:Last>Darnawi</b:Last>
          </b:Person>
        </b:NameList>
      </b:Author>
    </b:Author>
    <b:Year>2012: 59</b:Year>
    <b:RefOrder>14</b:RefOrder>
  </b:Source>
</b:Sources>
</file>

<file path=customXml/itemProps1.xml><?xml version="1.0" encoding="utf-8"?>
<ds:datastoreItem xmlns:ds="http://schemas.openxmlformats.org/officeDocument/2006/customXml" ds:itemID="{93AE598C-3A95-4D4F-AAA0-39AF726D5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24</Pages>
  <Words>5138</Words>
  <Characters>29289</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W7</cp:lastModifiedBy>
  <cp:revision>6</cp:revision>
  <dcterms:created xsi:type="dcterms:W3CDTF">2019-08-11T13:55:00Z</dcterms:created>
  <dcterms:modified xsi:type="dcterms:W3CDTF">2019-08-12T11:15:00Z</dcterms:modified>
</cp:coreProperties>
</file>