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PEMANFAATAN LIMBAH CAIR TAHU </w:t>
      </w:r>
      <w:r>
        <w:rPr>
          <w:rFonts w:ascii="Times New Roman" w:hAnsi="Times New Roman"/>
          <w:b/>
          <w:sz w:val="24"/>
          <w:szCs w:val="24"/>
        </w:rPr>
        <w:t xml:space="preserve">TERHADAP </w:t>
      </w:r>
      <w:r>
        <w:rPr>
          <w:rFonts w:ascii="Times New Roman" w:hAnsi="Times New Roman"/>
          <w:b/>
          <w:sz w:val="24"/>
          <w:szCs w:val="24"/>
          <w:lang w:val="en-US"/>
        </w:rPr>
        <w:t xml:space="preserve"> PERTUMBUHAN </w:t>
      </w:r>
      <w:r>
        <w:rPr>
          <w:rFonts w:ascii="Times New Roman" w:hAnsi="Times New Roman"/>
          <w:b/>
          <w:sz w:val="24"/>
          <w:szCs w:val="24"/>
        </w:rPr>
        <w:t xml:space="preserve">DAN </w:t>
      </w:r>
      <w:r>
        <w:rPr>
          <w:rFonts w:ascii="Times New Roman" w:hAnsi="Times New Roman"/>
          <w:b/>
          <w:sz w:val="24"/>
          <w:szCs w:val="24"/>
          <w:lang w:val="en-US"/>
        </w:rPr>
        <w:t xml:space="preserve">HASIL </w:t>
      </w:r>
      <w:r>
        <w:rPr>
          <w:rFonts w:ascii="Times New Roman" w:hAnsi="Times New Roman"/>
          <w:b/>
          <w:sz w:val="24"/>
          <w:szCs w:val="24"/>
        </w:rPr>
        <w:t>BAWANG MERAH</w:t>
      </w:r>
    </w:p>
    <w:p>
      <w:pPr>
        <w:autoSpaceDE w:val="0"/>
        <w:autoSpaceDN w:val="0"/>
        <w:adjustRightInd w:val="0"/>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UTILIZATION OF  TOFU LIQUID WASTE ON GROWTH AND YIELD OF SHALLOT</w:t>
      </w:r>
    </w:p>
    <w:p>
      <w:pPr>
        <w:autoSpaceDE w:val="0"/>
        <w:autoSpaceDN w:val="0"/>
        <w:adjustRightInd w:val="0"/>
        <w:spacing w:after="0" w:line="240" w:lineRule="auto"/>
        <w:jc w:val="center"/>
        <w:rPr>
          <w:rFonts w:ascii="Times New Roman" w:hAnsi="Times New Roman"/>
          <w:b/>
          <w:i/>
          <w:sz w:val="24"/>
          <w:szCs w:val="24"/>
          <w:lang w:val="en-US"/>
        </w:rPr>
      </w:pPr>
    </w:p>
    <w:p>
      <w:pPr>
        <w:spacing w:after="0" w:line="240" w:lineRule="auto"/>
        <w:jc w:val="center"/>
        <w:rPr>
          <w:rFonts w:ascii="Times New Roman" w:hAnsi="Times New Roman"/>
          <w:b/>
          <w:sz w:val="24"/>
          <w:szCs w:val="24"/>
          <w:lang w:val="en-US"/>
        </w:rPr>
      </w:pPr>
      <w:r>
        <w:rPr>
          <w:rFonts w:ascii="Times New Roman" w:hAnsi="Times New Roman"/>
          <w:b/>
          <w:sz w:val="24"/>
          <w:szCs w:val="24"/>
        </w:rPr>
        <w:t>Septi Purwaningsih</w:t>
      </w:r>
      <w:r>
        <w:rPr>
          <w:rFonts w:ascii="Times New Roman" w:hAnsi="Times New Roman"/>
          <w:b/>
          <w:sz w:val="24"/>
          <w:szCs w:val="24"/>
          <w:lang w:val="en-US"/>
        </w:rPr>
        <w:t xml:space="preserve"> *</w:t>
      </w:r>
      <w:r>
        <w:rPr>
          <w:rFonts w:ascii="Times New Roman" w:hAnsi="Times New Roman"/>
          <w:b/>
          <w:sz w:val="24"/>
          <w:szCs w:val="24"/>
          <w:vertAlign w:val="superscript"/>
          <w:lang w:val="en-US"/>
        </w:rPr>
        <w:t>1),</w:t>
      </w:r>
      <w:r>
        <w:rPr>
          <w:rFonts w:ascii="Times New Roman" w:hAnsi="Times New Roman"/>
          <w:b/>
          <w:sz w:val="24"/>
          <w:szCs w:val="24"/>
          <w:lang w:val="en-US"/>
        </w:rPr>
        <w:t xml:space="preserve"> </w:t>
      </w:r>
      <w:r>
        <w:rPr>
          <w:rFonts w:ascii="Times New Roman" w:hAnsi="Times New Roman"/>
          <w:b/>
          <w:sz w:val="24"/>
          <w:szCs w:val="24"/>
        </w:rPr>
        <w:t>Bambang Nugroho</w:t>
      </w:r>
      <w:r>
        <w:rPr>
          <w:rFonts w:ascii="Times New Roman" w:hAnsi="Times New Roman"/>
          <w:b/>
          <w:sz w:val="24"/>
          <w:szCs w:val="24"/>
          <w:vertAlign w:val="superscript"/>
          <w:lang w:val="en-US"/>
        </w:rPr>
        <w:t xml:space="preserve"> </w:t>
      </w:r>
      <w:r>
        <w:rPr>
          <w:rFonts w:ascii="Times New Roman" w:hAnsi="Times New Roman"/>
          <w:sz w:val="24"/>
          <w:szCs w:val="24"/>
          <w:vertAlign w:val="superscript"/>
          <w:lang w:val="en-US"/>
        </w:rPr>
        <w:t>2)</w:t>
      </w:r>
      <w:r>
        <w:rPr>
          <w:rFonts w:ascii="Times New Roman" w:hAnsi="Times New Roman"/>
          <w:sz w:val="24"/>
          <w:szCs w:val="24"/>
          <w:lang w:val="en-US"/>
        </w:rPr>
        <w:t xml:space="preserve"> </w:t>
      </w:r>
      <w:r>
        <w:rPr>
          <w:rFonts w:ascii="Times New Roman" w:hAnsi="Times New Roman"/>
          <w:b/>
          <w:sz w:val="24"/>
          <w:szCs w:val="24"/>
        </w:rPr>
        <w:t>Bambang Sriwijaya</w:t>
      </w:r>
      <w:r>
        <w:rPr>
          <w:rFonts w:ascii="Times New Roman" w:hAnsi="Times New Roman"/>
          <w:b/>
          <w:sz w:val="24"/>
          <w:szCs w:val="24"/>
          <w:lang w:val="en-US"/>
        </w:rPr>
        <w:t xml:space="preserve"> </w:t>
      </w:r>
      <w:r>
        <w:rPr>
          <w:rFonts w:ascii="Times New Roman" w:hAnsi="Times New Roman"/>
          <w:b/>
          <w:sz w:val="24"/>
          <w:szCs w:val="24"/>
          <w:vertAlign w:val="superscript"/>
          <w:lang w:val="en-US"/>
        </w:rPr>
        <w:t>3)</w:t>
      </w:r>
    </w:p>
    <w:p>
      <w:pPr>
        <w:spacing w:after="0" w:line="240" w:lineRule="auto"/>
        <w:jc w:val="center"/>
        <w:rPr>
          <w:rFonts w:ascii="Times New Roman" w:hAnsi="Times New Roman"/>
          <w:sz w:val="24"/>
          <w:szCs w:val="24"/>
          <w:lang w:val="en-US"/>
        </w:rPr>
      </w:pPr>
      <w:r>
        <w:rPr>
          <w:rFonts w:ascii="Times New Roman" w:hAnsi="Times New Roman"/>
          <w:sz w:val="24"/>
          <w:szCs w:val="24"/>
          <w:vertAlign w:val="superscript"/>
          <w:lang w:val="en-US"/>
        </w:rPr>
        <w:t>1</w:t>
      </w:r>
      <w:r>
        <w:rPr>
          <w:rFonts w:ascii="Times New Roman" w:hAnsi="Times New Roman"/>
          <w:sz w:val="24"/>
          <w:szCs w:val="24"/>
          <w:lang w:val="en-US"/>
        </w:rPr>
        <w:t xml:space="preserve">Mahasiswa Program Studi Agroteknologi, Universitas Mercu Buana </w:t>
      </w:r>
    </w:p>
    <w:p>
      <w:pPr>
        <w:spacing w:after="0" w:line="240" w:lineRule="auto"/>
        <w:jc w:val="center"/>
        <w:rPr>
          <w:rFonts w:ascii="Times New Roman" w:hAnsi="Times New Roman"/>
          <w:sz w:val="24"/>
          <w:szCs w:val="24"/>
          <w:lang w:val="en-US"/>
        </w:rPr>
      </w:pPr>
      <w:r>
        <w:rPr>
          <w:rFonts w:ascii="Times New Roman" w:hAnsi="Times New Roman"/>
          <w:sz w:val="24"/>
          <w:szCs w:val="24"/>
          <w:lang w:val="en-US"/>
        </w:rPr>
        <w:t>Yogyakarta</w:t>
      </w:r>
    </w:p>
    <w:p>
      <w:pPr>
        <w:spacing w:line="240" w:lineRule="auto"/>
        <w:jc w:val="center"/>
        <w:rPr>
          <w:rFonts w:ascii="Times New Roman" w:hAnsi="Times New Roman"/>
          <w:sz w:val="24"/>
          <w:szCs w:val="24"/>
        </w:rPr>
      </w:pPr>
      <w:r>
        <w:rPr>
          <w:rFonts w:ascii="Times New Roman" w:hAnsi="Times New Roman"/>
          <w:sz w:val="24"/>
          <w:szCs w:val="24"/>
          <w:vertAlign w:val="superscript"/>
          <w:lang w:val="en-US"/>
        </w:rPr>
        <w:t>2</w:t>
      </w:r>
      <w:r>
        <w:rPr>
          <w:rFonts w:ascii="Times New Roman" w:hAnsi="Times New Roman"/>
          <w:sz w:val="24"/>
          <w:szCs w:val="24"/>
          <w:lang w:val="en-US"/>
        </w:rPr>
        <w:t xml:space="preserve">Dosen </w:t>
      </w:r>
      <w:r>
        <w:rPr>
          <w:rFonts w:ascii="Times New Roman" w:hAnsi="Times New Roman"/>
          <w:sz w:val="24"/>
          <w:szCs w:val="24"/>
        </w:rPr>
        <w:t xml:space="preserve">Dr. </w:t>
      </w:r>
      <w:r>
        <w:rPr>
          <w:rFonts w:ascii="Times New Roman" w:hAnsi="Times New Roman"/>
          <w:sz w:val="24"/>
          <w:szCs w:val="24"/>
          <w:lang w:val="en-US"/>
        </w:rPr>
        <w:t>Ir.</w:t>
      </w:r>
      <w:r>
        <w:rPr>
          <w:rFonts w:ascii="Times New Roman" w:hAnsi="Times New Roman"/>
          <w:sz w:val="24"/>
          <w:szCs w:val="24"/>
        </w:rPr>
        <w:t xml:space="preserve"> Bambang Nugroho, M.P</w:t>
      </w:r>
      <w:r>
        <w:rPr>
          <w:rFonts w:ascii="Times New Roman" w:hAnsi="Times New Roman"/>
          <w:sz w:val="24"/>
          <w:szCs w:val="24"/>
          <w:lang w:val="en-US"/>
        </w:rPr>
        <w:t xml:space="preserve">, </w:t>
      </w:r>
      <w:r>
        <w:rPr>
          <w:rFonts w:ascii="Times New Roman" w:hAnsi="Times New Roman"/>
          <w:sz w:val="24"/>
          <w:szCs w:val="24"/>
          <w:vertAlign w:val="superscript"/>
          <w:lang w:val="en-US"/>
        </w:rPr>
        <w:t>3</w:t>
      </w:r>
      <w:r>
        <w:rPr>
          <w:rFonts w:ascii="Times New Roman" w:hAnsi="Times New Roman"/>
          <w:sz w:val="24"/>
          <w:szCs w:val="24"/>
          <w:lang w:val="en-US"/>
        </w:rPr>
        <w:t xml:space="preserve"> Ir. </w:t>
      </w:r>
      <w:r>
        <w:rPr>
          <w:rFonts w:ascii="Times New Roman" w:hAnsi="Times New Roman"/>
          <w:sz w:val="24"/>
          <w:szCs w:val="24"/>
        </w:rPr>
        <w:t>Bambang Sr</w:t>
      </w:r>
      <w:r>
        <w:rPr>
          <w:rFonts w:ascii="Times New Roman" w:hAnsi="Times New Roman"/>
          <w:sz w:val="24"/>
          <w:szCs w:val="24"/>
          <w:lang w:val="en-US"/>
        </w:rPr>
        <w:t>i</w:t>
      </w:r>
      <w:r>
        <w:rPr>
          <w:rFonts w:ascii="Times New Roman" w:hAnsi="Times New Roman"/>
          <w:sz w:val="24"/>
          <w:szCs w:val="24"/>
        </w:rPr>
        <w:t>wijaya, M.P</w:t>
      </w:r>
      <w:r>
        <w:rPr>
          <w:rFonts w:ascii="Times New Roman" w:hAnsi="Times New Roman"/>
          <w:sz w:val="24"/>
          <w:szCs w:val="24"/>
          <w:lang w:val="en-US"/>
        </w:rPr>
        <w:t>, Fakultas Agroindustri, Universitas Mercu Buana, Yogyakarta</w:t>
      </w:r>
    </w:p>
    <w:p>
      <w:pPr>
        <w:spacing w:after="0" w:line="240" w:lineRule="auto"/>
        <w:jc w:val="center"/>
        <w:rPr>
          <w:rFonts w:ascii="Times New Roman" w:hAnsi="Times New Roman"/>
          <w:sz w:val="24"/>
        </w:rPr>
      </w:pPr>
      <w:r>
        <w:rPr>
          <w:rFonts w:ascii="Times New Roman" w:hAnsi="Times New Roman"/>
          <w:sz w:val="24"/>
        </w:rPr>
        <w:t>Jln. Wates Km. 10, Argomulyo, Sedayu, Bantul, Yogyakarta 2018</w:t>
      </w:r>
    </w:p>
    <w:p>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E-mail: </w:t>
      </w:r>
      <w:r>
        <w:fldChar w:fldCharType="begin"/>
      </w:r>
      <w:r>
        <w:instrText xml:space="preserve"> HYPERLINK "mailto:septipurwaningsih0@gmail.com" </w:instrText>
      </w:r>
      <w:r>
        <w:fldChar w:fldCharType="separate"/>
      </w:r>
      <w:r>
        <w:rPr>
          <w:rStyle w:val="3"/>
          <w:rFonts w:ascii="Times New Roman" w:hAnsi="Times New Roman"/>
          <w:sz w:val="24"/>
          <w:szCs w:val="24"/>
        </w:rPr>
        <w:t>septipurwaningsih0</w:t>
      </w:r>
      <w:r>
        <w:rPr>
          <w:rStyle w:val="3"/>
          <w:rFonts w:ascii="Times New Roman" w:hAnsi="Times New Roman"/>
          <w:sz w:val="24"/>
          <w:szCs w:val="24"/>
          <w:lang w:val="en-US"/>
        </w:rPr>
        <w:t>@gmail.com</w:t>
      </w:r>
      <w:r>
        <w:rPr>
          <w:rStyle w:val="3"/>
          <w:rFonts w:ascii="Times New Roman" w:hAnsi="Times New Roman"/>
          <w:sz w:val="24"/>
          <w:szCs w:val="24"/>
          <w:lang w:val="en-US"/>
        </w:rPr>
        <w:fldChar w:fldCharType="end"/>
      </w:r>
    </w:p>
    <w:p>
      <w:pPr>
        <w:spacing w:line="360" w:lineRule="auto"/>
        <w:jc w:val="center"/>
        <w:rPr>
          <w:rFonts w:ascii="Times New Roman" w:hAnsi="Times New Roman"/>
          <w:b/>
          <w:i/>
          <w:sz w:val="24"/>
          <w:szCs w:val="24"/>
          <w:lang w:val="en-US"/>
        </w:rPr>
      </w:pPr>
      <w:r>
        <w:rPr>
          <w:rFonts w:ascii="Times New Roman" w:hAnsi="Times New Roman"/>
          <w:b/>
          <w:i/>
          <w:sz w:val="24"/>
          <w:szCs w:val="24"/>
        </w:rPr>
        <w:t>A</w:t>
      </w:r>
      <w:r>
        <w:rPr>
          <w:rFonts w:ascii="Times New Roman" w:hAnsi="Times New Roman"/>
          <w:b/>
          <w:i/>
          <w:sz w:val="24"/>
          <w:szCs w:val="24"/>
          <w:lang w:val="en-US"/>
        </w:rPr>
        <w:t>bstract</w:t>
      </w:r>
    </w:p>
    <w:p>
      <w:pPr>
        <w:autoSpaceDE w:val="0"/>
        <w:autoSpaceDN w:val="0"/>
        <w:adjustRightInd w:val="0"/>
        <w:spacing w:after="0" w:line="240" w:lineRule="auto"/>
        <w:ind w:firstLine="720"/>
        <w:jc w:val="both"/>
        <w:rPr>
          <w:rFonts w:ascii="Times New Roman" w:hAnsi="Times New Roman"/>
          <w:i/>
          <w:sz w:val="24"/>
          <w:szCs w:val="24"/>
          <w:lang w:val="en-US"/>
        </w:rPr>
      </w:pPr>
      <w:r>
        <w:rPr>
          <w:rFonts w:ascii="Times New Roman" w:hAnsi="Times New Roman"/>
          <w:i/>
          <w:sz w:val="24"/>
          <w:szCs w:val="24"/>
          <w:lang w:val="en-US"/>
        </w:rPr>
        <w:t xml:space="preserve">Shallot is one of the main vegetable commodities in Indonesia. The prospect of developing shallot is very good, which is marked by the increasing consumption of shallot as the population grows. One way to increase the production of shallot is to use tofu liquid waste as organic fertilizer. The purpose of this study was to determine the effect of fertilizer application from tofu liquid waste on the growth and yield of shallot and to find out the best concentration of fertilizer from tofu liquid waste that can increase the growth and yield of shallot. This research was conducted in April 2019 until June 2019 in Sumberrahayu Village, Moyudan District, Sleman Regency, Special Region of Yogyakarta, with the elevation of 87.5 m above sea level and regosol soil type. Completely Randomized Design with single factor and three replications was used. The factor was the concentration of tofu industry liquid waste: 15%, 25%, 35%, and 45%. Inorganic fertilizer (SP-36, Urea, KCl, and ZA) was used as the control. Each data obtained was analyzed using the ANOVA, if there was significant difference among treatments then it was continued with Duncan's Multiple Range Test (DMRT) at a significance level of 5%. The results showed that the use of liquid organic fertilizer did not have an effect on plant growth and was not significantly different from the use of inorganic fertilizers. The use of various doses of liquid organic fertilizer from tofu waste gave no effect to yield of shallot at all concentrations given, but differed from the use of inorganic fertilizers. The highest result obtained in the use of inorganic fertilizers were 81.87 g in fresh tuber weights, and 67.80 g in dry sun tuber weights. </w:t>
      </w:r>
    </w:p>
    <w:p>
      <w:pPr>
        <w:autoSpaceDE w:val="0"/>
        <w:autoSpaceDN w:val="0"/>
        <w:adjustRightInd w:val="0"/>
        <w:spacing w:after="0" w:line="240" w:lineRule="auto"/>
        <w:jc w:val="both"/>
        <w:rPr>
          <w:rFonts w:ascii="Times New Roman" w:hAnsi="Times New Roman"/>
          <w:i/>
          <w:sz w:val="24"/>
          <w:szCs w:val="24"/>
          <w:lang w:val="en-US"/>
        </w:rPr>
      </w:pPr>
    </w:p>
    <w:p>
      <w:pPr>
        <w:autoSpaceDE w:val="0"/>
        <w:autoSpaceDN w:val="0"/>
        <w:adjustRightInd w:val="0"/>
        <w:spacing w:after="0" w:line="240" w:lineRule="auto"/>
        <w:jc w:val="both"/>
        <w:rPr>
          <w:rFonts w:ascii="Times New Roman" w:hAnsi="Times New Roman"/>
          <w:i/>
          <w:sz w:val="24"/>
          <w:szCs w:val="24"/>
          <w:lang w:val="en-US"/>
        </w:rPr>
      </w:pPr>
      <w:r>
        <w:rPr>
          <w:rFonts w:ascii="Times New Roman" w:hAnsi="Times New Roman"/>
          <w:b/>
          <w:i/>
          <w:sz w:val="24"/>
          <w:szCs w:val="24"/>
          <w:lang w:val="en-US"/>
        </w:rPr>
        <w:t>Keywords</w:t>
      </w:r>
      <w:r>
        <w:rPr>
          <w:rFonts w:ascii="Times New Roman" w:hAnsi="Times New Roman"/>
          <w:i/>
          <w:sz w:val="24"/>
          <w:szCs w:val="24"/>
          <w:lang w:val="en-US"/>
        </w:rPr>
        <w:t>: tofu liquid waste, concentration, liquid organic fertilizer, onion</w:t>
      </w:r>
    </w:p>
    <w:p/>
    <w:p/>
    <w:p>
      <w:pPr>
        <w:pStyle w:val="6"/>
        <w:spacing w:after="0" w:line="360" w:lineRule="auto"/>
        <w:ind w:left="0" w:leftChars="0" w:firstLine="0" w:firstLineChars="0"/>
        <w:jc w:val="both"/>
        <w:rPr>
          <w:rFonts w:ascii="Calibri" w:hAnsi="Calibri" w:eastAsia="Calibri" w:cs="Times New Roman"/>
          <w:lang w:val="id-ID"/>
        </w:rPr>
      </w:pPr>
    </w:p>
    <w:p>
      <w:pPr>
        <w:pStyle w:val="6"/>
        <w:spacing w:after="0" w:line="360" w:lineRule="auto"/>
        <w:ind w:left="0" w:leftChars="0" w:firstLine="0" w:firstLineChars="0"/>
        <w:jc w:val="both"/>
        <w:rPr>
          <w:rFonts w:ascii="Calibri" w:hAnsi="Calibri" w:eastAsia="Calibri" w:cs="Times New Roman"/>
          <w:lang w:val="id-ID"/>
        </w:rPr>
      </w:pPr>
    </w:p>
    <w:p>
      <w:pPr>
        <w:pStyle w:val="6"/>
        <w:spacing w:after="0" w:line="360" w:lineRule="auto"/>
        <w:ind w:left="1080"/>
        <w:jc w:val="center"/>
        <w:rPr>
          <w:rFonts w:ascii="Times New Roman" w:hAnsi="Times New Roman" w:cs="Times New Roman"/>
          <w:b/>
          <w:sz w:val="24"/>
          <w:szCs w:val="24"/>
        </w:rPr>
        <w:sectPr>
          <w:pgSz w:w="11906" w:h="16838"/>
          <w:pgMar w:top="2268" w:right="1701" w:bottom="1701" w:left="2268" w:header="708" w:footer="708" w:gutter="0"/>
          <w:cols w:space="708" w:num="1"/>
          <w:docGrid w:linePitch="360" w:charSpace="0"/>
        </w:sectPr>
      </w:pPr>
    </w:p>
    <w:p>
      <w:pPr>
        <w:pStyle w:val="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pPr>
        <w:spacing w:after="0" w:line="360" w:lineRule="auto"/>
        <w:ind w:firstLine="720"/>
        <w:jc w:val="both"/>
        <w:rPr>
          <w:rFonts w:ascii="Times New Roman" w:hAnsi="Times New Roman"/>
          <w:sz w:val="24"/>
          <w:szCs w:val="24"/>
          <w:lang w:val="en-US"/>
        </w:rPr>
      </w:pPr>
      <w:r>
        <w:rPr>
          <w:rFonts w:ascii="Times New Roman" w:hAnsi="Times New Roman"/>
          <w:sz w:val="24"/>
          <w:szCs w:val="24"/>
        </w:rPr>
        <w:t>Bawang merah (</w:t>
      </w:r>
      <w:r>
        <w:rPr>
          <w:rFonts w:ascii="Times New Roman" w:hAnsi="Times New Roman"/>
          <w:i/>
          <w:iCs/>
          <w:sz w:val="24"/>
          <w:szCs w:val="24"/>
        </w:rPr>
        <w:t xml:space="preserve">Allium ascalonicum </w:t>
      </w:r>
      <w:r>
        <w:rPr>
          <w:rFonts w:ascii="Times New Roman" w:hAnsi="Times New Roman"/>
          <w:sz w:val="24"/>
          <w:szCs w:val="24"/>
        </w:rPr>
        <w:t xml:space="preserve">L.) merupakan salah satu komoditas utama sayuran di Indonesia. Selain dipakai sebagai bahan untuk bumbu masakan, bawang merah juga sering digunakan sebagai bahan obat-obatan. Prospek pengembangan bawang merah sangat baik, yang ditandai dengan meningkatnya konsumsi bawang merah seiring dengan bertambahnya jumlah penduduk. Rataan konsumsi bawang merah dari tahun 2008 hingga 2012 adalah 2,54 per kapita per tahun </w:t>
      </w:r>
      <w:r>
        <w:rPr>
          <w:rFonts w:ascii="Times New Roman" w:hAnsi="Times New Roman"/>
          <w:sz w:val="24"/>
          <w:szCs w:val="24"/>
        </w:rPr>
        <w:fldChar w:fldCharType="begin" w:fldLock="1"/>
      </w:r>
      <w:r>
        <w:rPr>
          <w:rFonts w:ascii="Times New Roman" w:hAnsi="Times New Roman"/>
          <w:sz w:val="24"/>
          <w:szCs w:val="24"/>
        </w:rPr>
        <w:instrText xml:space="preserve">ADDIN CSL_CITATION { "citationItems" : [ { "id" : "ITEM-1", "itemData" : { "author" : [ { "dropping-particle" : "", "family" : "Bappenas", "given" : "", "non-dropping-particle" : "", "parse-names" : false, "suffix" : "" } ], "id" : "ITEM-1", "issued" : { "date-parts" : [ [ "2013" ] ] }, "title" : "Studi Pembangunan Jangka Menengah Nasional (RPJMN) Bidang Pangan dan Pertanian 2015-2019", "type" : "article" }, "uris" : [ "http://www.mendeley.com/documents/?uuid=369211d6-f15d-40a9-b547-dcb49c62aca4" ] } ], "mendeley" : { "formattedCitation" : "(Bappenas, 2013)", "plainTextFormattedCitation" : "(Bappenas, 2013)", "previouslyFormattedCitation" : "(Bappenas, 2013)"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rPr>
        <w:t>(Bappenas, 2013)</w:t>
      </w:r>
      <w:r>
        <w:rPr>
          <w:rFonts w:ascii="Times New Roman" w:hAnsi="Times New Roman"/>
          <w:sz w:val="24"/>
          <w:szCs w:val="24"/>
        </w:rPr>
        <w:fldChar w:fldCharType="end"/>
      </w:r>
      <w:r>
        <w:rPr>
          <w:rFonts w:ascii="Times New Roman" w:hAnsi="Times New Roman"/>
          <w:sz w:val="24"/>
          <w:szCs w:val="24"/>
        </w:rPr>
        <w:t>.</w:t>
      </w:r>
    </w:p>
    <w:p>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Salah satu cara untuk meningkatkan produksi bawang merah adalah dengan melakukan perbaikan teknik budidaya serta pemberian pupuk organik. Pemberian pupuk organik memiliki kelebihan diantaranya memperbaiki sifat fisik, kimia dan biologi tanah serta menekan efek residu sehingga tidak menimbulkan dampak negatif terhadap lingkungan (Laude dan Hadid, 2007).</w:t>
      </w:r>
    </w:p>
    <w:p>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 xml:space="preserve">Pupuk organik membantu memperbaiki sifat fisik tanah, mikrobiologi tanah, dan kecukupan unsur hara tanah sehingga pertumbuhan tanaman menjadi lebih baik (Reijntjes, 1999). </w:t>
      </w:r>
    </w:p>
    <w:p>
      <w:pPr>
        <w:spacing w:after="0" w:line="360" w:lineRule="auto"/>
        <w:ind w:firstLine="720"/>
        <w:jc w:val="both"/>
        <w:rPr>
          <w:rFonts w:ascii="Times New Roman" w:hAnsi="Times New Roman"/>
          <w:sz w:val="24"/>
          <w:szCs w:val="24"/>
        </w:rPr>
      </w:pPr>
      <w:r>
        <w:rPr>
          <w:rFonts w:ascii="Times New Roman" w:hAnsi="Times New Roman"/>
          <w:sz w:val="24"/>
          <w:szCs w:val="24"/>
        </w:rPr>
        <w:t>Jumlah industri tahu di Indonesia mencapai kurang lebih 84.000 unit usaha, dengan kapasitas produksi lebih dari 2,56 juta ton per tahun. Industri tahu ini memproduksi limbah cair sebanyak 20 juta m</w:t>
      </w:r>
      <w:r>
        <w:rPr>
          <w:rFonts w:ascii="Times New Roman" w:hAnsi="Times New Roman"/>
          <w:sz w:val="24"/>
          <w:szCs w:val="24"/>
          <w:vertAlign w:val="superscript"/>
        </w:rPr>
        <w:t>3</w:t>
      </w:r>
      <w:r>
        <w:rPr>
          <w:rFonts w:ascii="Times New Roman" w:hAnsi="Times New Roman"/>
          <w:sz w:val="24"/>
          <w:szCs w:val="24"/>
        </w:rPr>
        <w:t xml:space="preserve"> per tahun dan menghasilkan emisi sekitar 1 juta ton CO</w:t>
      </w:r>
      <w:r>
        <w:rPr>
          <w:rFonts w:ascii="Times New Roman" w:hAnsi="Times New Roman"/>
          <w:sz w:val="24"/>
          <w:szCs w:val="24"/>
          <w:vertAlign w:val="superscript"/>
        </w:rPr>
        <w:t>2</w:t>
      </w:r>
      <w:r>
        <w:rPr>
          <w:rFonts w:ascii="Times New Roman" w:hAnsi="Times New Roman"/>
          <w:sz w:val="24"/>
          <w:szCs w:val="24"/>
        </w:rPr>
        <w:t xml:space="preserve"> ekivalen </w:t>
      </w:r>
      <w:r>
        <w:rPr>
          <w:rFonts w:ascii="Times New Roman" w:hAnsi="Times New Roman"/>
          <w:sz w:val="24"/>
          <w:szCs w:val="24"/>
        </w:rPr>
        <w:fldChar w:fldCharType="begin" w:fldLock="1"/>
      </w:r>
      <w:r>
        <w:rPr>
          <w:rFonts w:ascii="Times New Roman" w:hAnsi="Times New Roman"/>
          <w:sz w:val="24"/>
          <w:szCs w:val="24"/>
        </w:rPr>
        <w:instrText xml:space="preserve">ADDIN CSL_CITATION { "citationItems" : [ { "id" : "ITEM-1", "itemData" : { "ISBN" : "9786021180044", "author" : [ { "dropping-particle" : "", "family" : "Agus Setiawan", "given" : "Retno Rusdjijati", "non-dropping-particle" : "", "parse-names" : false, "suffix" : "" } ], "id" : "ITEM-1", "issued" : { "date-parts" : [ [ "2014" ] ] }, "page" : "35-40", "title" : "Peningkatan Kualitas Biogas Limbah Cair Tahu dengan Metode Taguchi", "type" : "article-journal" }, "uris" : [ "http://www.mendeley.com/documents/?uuid=5de495f9-643b-4498-ac7d-c985682a7e60" ] } ], "mendeley" : { "formattedCitation" : "(Agus Setiawan, 2014)", "manualFormatting" : "(Agus Setiawan, 2014)", "plainTextFormattedCitation" : "(Agus Setiawan, 2014)", "previouslyFormattedCitation" : "(Agus Setiawan, 2014)"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rPr>
        <w:t>(Setiawan A, 2014)</w:t>
      </w:r>
      <w:r>
        <w:rPr>
          <w:rFonts w:ascii="Times New Roman" w:hAnsi="Times New Roman"/>
          <w:sz w:val="24"/>
          <w:szCs w:val="24"/>
        </w:rPr>
        <w:fldChar w:fldCharType="end"/>
      </w:r>
      <w:r>
        <w:rPr>
          <w:rFonts w:ascii="Times New Roman" w:hAnsi="Times New Roman"/>
          <w:sz w:val="24"/>
          <w:szCs w:val="24"/>
        </w:rPr>
        <w:t>.</w:t>
      </w:r>
    </w:p>
    <w:p>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Industri pengolahan tahu tahun ke tahun semakin berkembang. Dengan semakin berkembangnya industri tahu maka limbah cair tahu yang dihasilkan semakin banyak. Hal ini akan berakibat buruk bagi lingkungan sekitar apabila limbah tersebut tidak diolah dengan benar. Solusi yang dapat dilakukan untuk mengurangi dampak buruk dari limbah cair tahu yaitu dengan memanfaatkan dalam pembuatan pupuk cair organik. Oleh karena itu, penelitian ini bertujuan untuk mengetahui pemanfaatan limbah cair tahu terhadap pertumbuhan dan hasil bawang merah.</w:t>
      </w:r>
    </w:p>
    <w:p>
      <w:pPr>
        <w:spacing w:after="0" w:line="360" w:lineRule="auto"/>
        <w:jc w:val="center"/>
        <w:rPr>
          <w:rFonts w:ascii="Times New Roman" w:hAnsi="Times New Roman"/>
          <w:b/>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b/>
          <w:sz w:val="24"/>
          <w:szCs w:val="24"/>
        </w:rPr>
      </w:pPr>
    </w:p>
    <w:p>
      <w:pPr>
        <w:spacing w:after="0" w:line="360" w:lineRule="auto"/>
        <w:jc w:val="center"/>
        <w:rPr>
          <w:rFonts w:ascii="Times New Roman" w:hAnsi="Times New Roman"/>
          <w:b/>
          <w:sz w:val="24"/>
          <w:szCs w:val="24"/>
        </w:rPr>
        <w:sectPr>
          <w:type w:val="continuous"/>
          <w:pgSz w:w="11906" w:h="16838"/>
          <w:pgMar w:top="2268" w:right="1701" w:bottom="1701" w:left="2268" w:header="708" w:footer="708" w:gutter="0"/>
          <w:cols w:space="708" w:num="1"/>
          <w:docGrid w:linePitch="360" w:charSpace="0"/>
        </w:sectPr>
      </w:pPr>
    </w:p>
    <w:p>
      <w:pPr>
        <w:spacing w:after="0" w:line="360" w:lineRule="auto"/>
        <w:jc w:val="center"/>
        <w:rPr>
          <w:rFonts w:ascii="Times New Roman" w:hAnsi="Times New Roman"/>
          <w:sz w:val="24"/>
          <w:szCs w:val="24"/>
        </w:rPr>
      </w:pPr>
      <w:r>
        <w:rPr>
          <w:rFonts w:ascii="Times New Roman" w:hAnsi="Times New Roman"/>
          <w:b/>
          <w:sz w:val="24"/>
          <w:szCs w:val="24"/>
        </w:rPr>
        <w:t>METODE PENELITIAN</w:t>
      </w:r>
    </w:p>
    <w:p>
      <w:pPr>
        <w:spacing w:after="0" w:line="360" w:lineRule="auto"/>
        <w:ind w:firstLine="426"/>
        <w:jc w:val="both"/>
        <w:rPr>
          <w:rFonts w:ascii="Times New Roman" w:hAnsi="Times New Roman"/>
          <w:b/>
          <w:sz w:val="24"/>
          <w:szCs w:val="24"/>
        </w:rPr>
      </w:pPr>
      <w:r>
        <w:rPr>
          <w:rFonts w:ascii="Times New Roman" w:hAnsi="Times New Roman"/>
          <w:sz w:val="24"/>
        </w:rPr>
        <w:t>Kegiatan penelitian telah dilaksanakan pada bulan April 2019 sampai bulan Juni 2019 di Desa Sumberrahayu, Kecamatan Moyud</w:t>
      </w:r>
      <w:r>
        <w:rPr>
          <w:rFonts w:ascii="Times New Roman" w:hAnsi="Times New Roman"/>
          <w:sz w:val="24"/>
          <w:szCs w:val="24"/>
        </w:rPr>
        <w:t>an, Kabupaten Sleman, Daerah Istimewa Yogyakarta.Ketinggian tempat penelitian 87,5 meter di atas permukaan laut dengan jenis tanah regosol. Selain itu penelitian ini  dilaksanakan di laboratorium Agronomi, Universitas Mercu Buana Yogyakarta.</w:t>
      </w:r>
    </w:p>
    <w:p>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Alat yang digunakan dalam penelitian ini antara lain polybag, cangkul, ember, penggaris, gembor, sprayer, timbangan,  kamera, gelas ukur, dan alat tulis.</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Bahan yang digunakan dalam penelitian ini adalah umbi bawang merah varietas Thailand,limbah cair tahu yang diperoleh dari industri rumahan yang berada di Desa Tuksono, Sentolo, Kulon Progo, tetes tebu yang diperoleh dari toko pertanian, </w:t>
      </w:r>
      <w:r>
        <w:rPr>
          <w:rFonts w:ascii="Times New Roman" w:hAnsi="Times New Roman"/>
          <w:i/>
          <w:sz w:val="24"/>
          <w:szCs w:val="24"/>
        </w:rPr>
        <w:t>EM</w:t>
      </w:r>
      <w:r>
        <w:rPr>
          <w:rFonts w:ascii="Times New Roman" w:hAnsi="Times New Roman"/>
          <w:i/>
          <w:sz w:val="24"/>
          <w:szCs w:val="24"/>
          <w:vertAlign w:val="subscript"/>
        </w:rPr>
        <w:t>4</w:t>
      </w:r>
      <w:r>
        <w:rPr>
          <w:rFonts w:ascii="Times New Roman" w:hAnsi="Times New Roman"/>
          <w:sz w:val="24"/>
          <w:szCs w:val="24"/>
        </w:rPr>
        <w:t xml:space="preserve"> sebagai mikroorganisme pengurai yang diperoleh dari toko pertanian.</w:t>
      </w:r>
    </w:p>
    <w:p>
      <w:pPr>
        <w:spacing w:after="0" w:line="360" w:lineRule="auto"/>
        <w:ind w:firstLine="720"/>
        <w:jc w:val="both"/>
        <w:rPr>
          <w:rFonts w:ascii="Times New Roman" w:hAnsi="Times New Roman"/>
          <w:sz w:val="24"/>
          <w:szCs w:val="24"/>
        </w:rPr>
      </w:pPr>
      <w:r>
        <w:rPr>
          <w:rFonts w:ascii="Times New Roman" w:hAnsi="Times New Roman"/>
          <w:sz w:val="24"/>
          <w:szCs w:val="24"/>
        </w:rPr>
        <w:t>Penelitian ini menggunakanrancangan faktor tunggal dengan 5 perlakuan yang disusun dalamRancangan Acak Lengkap (RAL) dengan 3 ulangan yaitu perlakuan pemupukan dengan berbagai konsentrasi, yaitu:</w:t>
      </w:r>
    </w:p>
    <w:p>
      <w:pPr>
        <w:pStyle w:val="6"/>
        <w:numPr>
          <w:ilvl w:val="1"/>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(K0)</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Pupuk Kontrol ( Urea 200 kg/ha, SP36 200 kg/ha, KCl 200 kg/ha, ZA 500 kg/ ha). </w:t>
      </w:r>
    </w:p>
    <w:p>
      <w:pPr>
        <w:pStyle w:val="6"/>
        <w:numPr>
          <w:ilvl w:val="1"/>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sz w:val="24"/>
          <w:szCs w:val="24"/>
        </w:rPr>
        <w:t>K1)</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Pupuk </w:t>
      </w:r>
      <w:r>
        <w:rPr>
          <w:rFonts w:ascii="Times New Roman" w:hAnsi="Times New Roman" w:cs="Times New Roman"/>
          <w:sz w:val="24"/>
          <w:szCs w:val="24"/>
          <w:lang w:val="id-ID"/>
        </w:rPr>
        <w:t xml:space="preserve">limbah cair tahu </w:t>
      </w:r>
      <w:r>
        <w:rPr>
          <w:rFonts w:ascii="Times New Roman" w:hAnsi="Times New Roman" w:cs="Times New Roman"/>
          <w:sz w:val="24"/>
          <w:szCs w:val="24"/>
        </w:rPr>
        <w:t xml:space="preserve">konsentrasi </w:t>
      </w:r>
      <w:r>
        <w:rPr>
          <w:rFonts w:ascii="Times New Roman" w:hAnsi="Times New Roman" w:cs="Times New Roman"/>
          <w:sz w:val="24"/>
          <w:szCs w:val="24"/>
          <w:lang w:val="id-ID"/>
        </w:rPr>
        <w:t>1</w:t>
      </w:r>
      <w:r>
        <w:rPr>
          <w:rFonts w:ascii="Times New Roman" w:hAnsi="Times New Roman" w:cs="Times New Roman"/>
          <w:sz w:val="24"/>
          <w:szCs w:val="24"/>
        </w:rPr>
        <w:t xml:space="preserve">5% (limbah cair tahu </w:t>
      </w:r>
      <w:r>
        <w:rPr>
          <w:rFonts w:ascii="Times New Roman" w:hAnsi="Times New Roman" w:cs="Times New Roman"/>
          <w:sz w:val="24"/>
          <w:szCs w:val="24"/>
          <w:lang w:val="id-ID"/>
        </w:rPr>
        <w:t>1</w:t>
      </w:r>
      <w:r>
        <w:rPr>
          <w:rFonts w:ascii="Times New Roman" w:hAnsi="Times New Roman" w:cs="Times New Roman"/>
          <w:sz w:val="24"/>
          <w:szCs w:val="24"/>
        </w:rPr>
        <w:t xml:space="preserve">50 ml </w:t>
      </w:r>
      <w:r>
        <w:rPr>
          <w:rFonts w:ascii="Times New Roman" w:hAnsi="Times New Roman" w:cs="Times New Roman"/>
          <w:sz w:val="24"/>
          <w:szCs w:val="24"/>
          <w:lang w:val="id-ID"/>
        </w:rPr>
        <w:t>+ 8</w:t>
      </w:r>
      <w:r>
        <w:rPr>
          <w:rFonts w:ascii="Times New Roman" w:hAnsi="Times New Roman" w:cs="Times New Roman"/>
          <w:sz w:val="24"/>
          <w:szCs w:val="24"/>
        </w:rPr>
        <w:t>50 ml air)</w:t>
      </w:r>
    </w:p>
    <w:p>
      <w:pPr>
        <w:pStyle w:val="6"/>
        <w:numPr>
          <w:ilvl w:val="1"/>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Pupuk </w:t>
      </w:r>
      <w:r>
        <w:rPr>
          <w:rFonts w:ascii="Times New Roman" w:hAnsi="Times New Roman" w:cs="Times New Roman"/>
          <w:sz w:val="24"/>
          <w:szCs w:val="24"/>
          <w:lang w:val="id-ID"/>
        </w:rPr>
        <w:t xml:space="preserve">limbah cair tahu </w:t>
      </w:r>
      <w:r>
        <w:rPr>
          <w:rFonts w:ascii="Times New Roman" w:hAnsi="Times New Roman" w:cs="Times New Roman"/>
          <w:sz w:val="24"/>
          <w:szCs w:val="24"/>
        </w:rPr>
        <w:t xml:space="preserve">konsentrasi </w:t>
      </w:r>
      <w:r>
        <w:rPr>
          <w:rFonts w:ascii="Times New Roman" w:hAnsi="Times New Roman" w:cs="Times New Roman"/>
          <w:sz w:val="24"/>
          <w:szCs w:val="24"/>
          <w:lang w:val="id-ID"/>
        </w:rPr>
        <w:t>25</w:t>
      </w:r>
      <w:r>
        <w:rPr>
          <w:rFonts w:ascii="Times New Roman" w:hAnsi="Times New Roman" w:cs="Times New Roman"/>
          <w:sz w:val="24"/>
          <w:szCs w:val="24"/>
        </w:rPr>
        <w:t xml:space="preserve">% (limbah cair tahu </w:t>
      </w:r>
      <w:r>
        <w:rPr>
          <w:rFonts w:ascii="Times New Roman" w:hAnsi="Times New Roman" w:cs="Times New Roman"/>
          <w:sz w:val="24"/>
          <w:szCs w:val="24"/>
          <w:lang w:val="id-ID"/>
        </w:rPr>
        <w:t>25</w:t>
      </w:r>
      <w:r>
        <w:rPr>
          <w:rFonts w:ascii="Times New Roman" w:hAnsi="Times New Roman" w:cs="Times New Roman"/>
          <w:sz w:val="24"/>
          <w:szCs w:val="24"/>
        </w:rPr>
        <w:t xml:space="preserve">0 ml </w:t>
      </w:r>
      <w:r>
        <w:rPr>
          <w:rFonts w:ascii="Times New Roman" w:hAnsi="Times New Roman" w:cs="Times New Roman"/>
          <w:sz w:val="24"/>
          <w:szCs w:val="24"/>
          <w:lang w:val="id-ID"/>
        </w:rPr>
        <w:t>+75</w:t>
      </w:r>
      <w:r>
        <w:rPr>
          <w:rFonts w:ascii="Times New Roman" w:hAnsi="Times New Roman" w:cs="Times New Roman"/>
          <w:sz w:val="24"/>
          <w:szCs w:val="24"/>
        </w:rPr>
        <w:t>0 ml air)</w:t>
      </w:r>
    </w:p>
    <w:p>
      <w:pPr>
        <w:pStyle w:val="6"/>
        <w:numPr>
          <w:ilvl w:val="1"/>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(K3)</w:t>
      </w:r>
      <w:r>
        <w:rPr>
          <w:rFonts w:ascii="Times New Roman" w:hAnsi="Times New Roman" w:cs="Times New Roman"/>
          <w:sz w:val="24"/>
          <w:szCs w:val="24"/>
          <w:lang w:val="id-ID"/>
        </w:rPr>
        <w:t>=</w:t>
      </w:r>
      <w:r>
        <w:rPr>
          <w:rFonts w:ascii="Times New Roman" w:hAnsi="Times New Roman" w:cs="Times New Roman"/>
          <w:sz w:val="24"/>
          <w:szCs w:val="24"/>
        </w:rPr>
        <w:t xml:space="preserve"> Pupuk</w:t>
      </w:r>
      <w:r>
        <w:rPr>
          <w:rFonts w:ascii="Times New Roman" w:hAnsi="Times New Roman" w:cs="Times New Roman"/>
          <w:sz w:val="24"/>
          <w:szCs w:val="24"/>
          <w:lang w:val="id-ID"/>
        </w:rPr>
        <w:t xml:space="preserve">limbah cair tahu </w:t>
      </w:r>
      <w:r>
        <w:rPr>
          <w:rFonts w:ascii="Times New Roman" w:hAnsi="Times New Roman" w:cs="Times New Roman"/>
          <w:sz w:val="24"/>
          <w:szCs w:val="24"/>
        </w:rPr>
        <w:t xml:space="preserve">konsentrasi </w:t>
      </w:r>
      <w:r>
        <w:rPr>
          <w:rFonts w:ascii="Times New Roman" w:hAnsi="Times New Roman" w:cs="Times New Roman"/>
          <w:sz w:val="24"/>
          <w:szCs w:val="24"/>
          <w:lang w:val="id-ID"/>
        </w:rPr>
        <w:t>3</w:t>
      </w:r>
      <w:r>
        <w:rPr>
          <w:rFonts w:ascii="Times New Roman" w:hAnsi="Times New Roman" w:cs="Times New Roman"/>
          <w:sz w:val="24"/>
          <w:szCs w:val="24"/>
        </w:rPr>
        <w:t xml:space="preserve">5% (limbah cair tahu </w:t>
      </w:r>
      <w:r>
        <w:rPr>
          <w:rFonts w:ascii="Times New Roman" w:hAnsi="Times New Roman" w:cs="Times New Roman"/>
          <w:sz w:val="24"/>
          <w:szCs w:val="24"/>
          <w:lang w:val="id-ID"/>
        </w:rPr>
        <w:t>3</w:t>
      </w:r>
      <w:r>
        <w:rPr>
          <w:rFonts w:ascii="Times New Roman" w:hAnsi="Times New Roman" w:cs="Times New Roman"/>
          <w:sz w:val="24"/>
          <w:szCs w:val="24"/>
        </w:rPr>
        <w:t xml:space="preserve">50 ml </w:t>
      </w:r>
      <w:r>
        <w:rPr>
          <w:rFonts w:ascii="Times New Roman" w:hAnsi="Times New Roman" w:cs="Times New Roman"/>
          <w:sz w:val="24"/>
          <w:szCs w:val="24"/>
          <w:lang w:val="id-ID"/>
        </w:rPr>
        <w:t>+6</w:t>
      </w:r>
      <w:r>
        <w:rPr>
          <w:rFonts w:ascii="Times New Roman" w:hAnsi="Times New Roman" w:cs="Times New Roman"/>
          <w:sz w:val="24"/>
          <w:szCs w:val="24"/>
        </w:rPr>
        <w:t>50 ml air)</w:t>
      </w:r>
    </w:p>
    <w:p>
      <w:pPr>
        <w:pStyle w:val="6"/>
        <w:numPr>
          <w:ilvl w:val="1"/>
          <w:numId w:val="1"/>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(K4)</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Pupuk </w:t>
      </w:r>
      <w:r>
        <w:rPr>
          <w:rFonts w:ascii="Times New Roman" w:hAnsi="Times New Roman" w:cs="Times New Roman"/>
          <w:sz w:val="24"/>
          <w:szCs w:val="24"/>
          <w:lang w:val="id-ID"/>
        </w:rPr>
        <w:t xml:space="preserve">limbah cair tahu </w:t>
      </w:r>
      <w:r>
        <w:rPr>
          <w:rFonts w:ascii="Times New Roman" w:hAnsi="Times New Roman" w:cs="Times New Roman"/>
          <w:sz w:val="24"/>
          <w:szCs w:val="24"/>
        </w:rPr>
        <w:t xml:space="preserve">konsentrasi </w:t>
      </w:r>
      <w:r>
        <w:rPr>
          <w:rFonts w:ascii="Times New Roman" w:hAnsi="Times New Roman" w:cs="Times New Roman"/>
          <w:sz w:val="24"/>
          <w:szCs w:val="24"/>
          <w:lang w:val="id-ID"/>
        </w:rPr>
        <w:t>45</w:t>
      </w:r>
      <w:r>
        <w:rPr>
          <w:rFonts w:ascii="Times New Roman" w:hAnsi="Times New Roman" w:cs="Times New Roman"/>
          <w:sz w:val="24"/>
          <w:szCs w:val="24"/>
        </w:rPr>
        <w:t xml:space="preserve">%  (limbah cair tahu </w:t>
      </w:r>
      <w:r>
        <w:rPr>
          <w:rFonts w:ascii="Times New Roman" w:hAnsi="Times New Roman" w:cs="Times New Roman"/>
          <w:sz w:val="24"/>
          <w:szCs w:val="24"/>
          <w:lang w:val="id-ID"/>
        </w:rPr>
        <w:t>450</w:t>
      </w:r>
      <w:r>
        <w:rPr>
          <w:rFonts w:ascii="Times New Roman" w:hAnsi="Times New Roman" w:cs="Times New Roman"/>
          <w:sz w:val="24"/>
          <w:szCs w:val="24"/>
        </w:rPr>
        <w:t xml:space="preserve"> ml</w:t>
      </w:r>
      <w:r>
        <w:rPr>
          <w:rFonts w:ascii="Times New Roman" w:hAnsi="Times New Roman" w:cs="Times New Roman"/>
          <w:sz w:val="24"/>
          <w:szCs w:val="24"/>
          <w:lang w:val="id-ID"/>
        </w:rPr>
        <w:t xml:space="preserve"> + 550 ml air</w:t>
      </w:r>
      <w:r>
        <w:rPr>
          <w:rFonts w:ascii="Times New Roman" w:hAnsi="Times New Roman" w:cs="Times New Roman"/>
          <w:sz w:val="24"/>
          <w:szCs w:val="24"/>
        </w:rPr>
        <w:t>)</w:t>
      </w:r>
    </w:p>
    <w:p>
      <w:pPr>
        <w:pStyle w:val="6"/>
        <w:spacing w:before="240" w:after="0" w:line="360" w:lineRule="auto"/>
        <w:ind w:left="0"/>
        <w:jc w:val="both"/>
        <w:rPr>
          <w:rFonts w:ascii="Times New Roman" w:hAnsi="Times New Roman" w:eastAsia="SimSun"/>
          <w:sz w:val="24"/>
          <w:szCs w:val="24"/>
          <w:lang w:val="id-ID" w:eastAsia="zh-CN"/>
        </w:rPr>
      </w:pPr>
      <w:r>
        <w:rPr>
          <w:rFonts w:ascii="Times New Roman" w:hAnsi="Times New Roman" w:eastAsia="SimSun"/>
          <w:sz w:val="24"/>
          <w:szCs w:val="24"/>
          <w:lang w:eastAsia="zh-CN"/>
        </w:rPr>
        <w:tab/>
      </w:r>
      <w:r>
        <w:rPr>
          <w:rFonts w:ascii="Times New Roman" w:hAnsi="Times New Roman" w:eastAsia="SimSun"/>
          <w:sz w:val="24"/>
          <w:szCs w:val="24"/>
          <w:lang w:eastAsia="zh-CN"/>
        </w:rPr>
        <w:t>Penelitian disusun dengan Rancangan Acak Lengkap (RAL)  dengan 3 ulangan, tiap perlakuan terdiri atas 10 tanaman. Sehingga jumlah tanaman dari seluruh perlakuan dan ulangan adalah 10 x 5 x 3 = 150 tanaman.</w:t>
      </w:r>
    </w:p>
    <w:p>
      <w:pPr>
        <w:pStyle w:val="6"/>
        <w:spacing w:before="240" w:after="0" w:line="360" w:lineRule="auto"/>
        <w:ind w:left="0"/>
        <w:jc w:val="center"/>
        <w:rPr>
          <w:rFonts w:ascii="Times New Roman" w:hAnsi="Times New Roman" w:eastAsia="Times New Roman"/>
          <w:b/>
          <w:sz w:val="24"/>
          <w:szCs w:val="24"/>
        </w:rPr>
        <w:sectPr>
          <w:type w:val="continuous"/>
          <w:pgSz w:w="11906" w:h="16838"/>
          <w:pgMar w:top="2268" w:right="1701" w:bottom="1701" w:left="2268" w:header="708" w:footer="708" w:gutter="0"/>
          <w:cols w:space="708" w:num="2"/>
          <w:docGrid w:linePitch="360" w:charSpace="0"/>
        </w:sectPr>
      </w:pPr>
    </w:p>
    <w:p>
      <w:pPr>
        <w:pStyle w:val="6"/>
        <w:spacing w:before="240" w:after="0" w:line="360" w:lineRule="auto"/>
        <w:ind w:left="0"/>
        <w:jc w:val="center"/>
        <w:rPr>
          <w:rFonts w:ascii="Times New Roman" w:hAnsi="Times New Roman" w:eastAsia="SimSun"/>
          <w:sz w:val="24"/>
          <w:szCs w:val="24"/>
          <w:lang w:eastAsia="zh-CN"/>
        </w:rPr>
      </w:pPr>
      <w:r>
        <w:rPr>
          <w:rFonts w:ascii="Times New Roman" w:hAnsi="Times New Roman" w:eastAsia="Times New Roman"/>
          <w:b/>
          <w:sz w:val="24"/>
          <w:szCs w:val="24"/>
        </w:rPr>
        <w:t>HASIL DAN PEMBAHASA</w:t>
      </w:r>
      <w:r>
        <w:rPr>
          <w:rFonts w:ascii="Times New Roman" w:hAnsi="Times New Roman" w:eastAsia="Times New Roman"/>
          <w:b/>
          <w:sz w:val="24"/>
          <w:szCs w:val="24"/>
          <w:lang w:val="id-ID"/>
        </w:rPr>
        <w:t>N</w:t>
      </w:r>
    </w:p>
    <w:p>
      <w:pPr>
        <w:spacing w:line="36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Parameter yang digunakan dalam penel</w:t>
      </w:r>
      <w:r>
        <w:rPr>
          <w:rFonts w:ascii="Times New Roman" w:hAnsi="Times New Roman"/>
          <w:sz w:val="24"/>
          <w:szCs w:val="24"/>
          <w:lang w:val="en-US"/>
        </w:rPr>
        <w:t>i</w:t>
      </w:r>
      <w:r>
        <w:rPr>
          <w:rFonts w:ascii="Times New Roman" w:hAnsi="Times New Roman"/>
          <w:sz w:val="24"/>
          <w:szCs w:val="24"/>
        </w:rPr>
        <w:t>tian ini adalah pada variabel pertumbuhan yaitu tinggi tanaman, jumlah daun, b</w:t>
      </w:r>
      <w:r>
        <w:rPr>
          <w:rFonts w:ascii="Times New Roman" w:hAnsi="Times New Roman"/>
          <w:sz w:val="24"/>
          <w:szCs w:val="24"/>
          <w:lang w:val="en-US"/>
        </w:rPr>
        <w:t>obot</w:t>
      </w:r>
      <w:r>
        <w:rPr>
          <w:rFonts w:ascii="Times New Roman" w:hAnsi="Times New Roman"/>
          <w:sz w:val="24"/>
          <w:szCs w:val="24"/>
        </w:rPr>
        <w:t xml:space="preserve"> segar tanaman, dan b</w:t>
      </w:r>
      <w:r>
        <w:rPr>
          <w:rFonts w:ascii="Times New Roman" w:hAnsi="Times New Roman"/>
          <w:sz w:val="24"/>
          <w:szCs w:val="24"/>
          <w:lang w:val="en-US"/>
        </w:rPr>
        <w:t>obot</w:t>
      </w:r>
      <w:r>
        <w:rPr>
          <w:rFonts w:ascii="Times New Roman" w:hAnsi="Times New Roman"/>
          <w:sz w:val="24"/>
          <w:szCs w:val="24"/>
        </w:rPr>
        <w:t xml:space="preserve"> kering tanaman, sedangkan pada variabel hasil(panen) yaitu jumlah umbi, diameter umbi, b</w:t>
      </w:r>
      <w:r>
        <w:rPr>
          <w:rFonts w:ascii="Times New Roman" w:hAnsi="Times New Roman"/>
          <w:sz w:val="24"/>
          <w:szCs w:val="24"/>
          <w:lang w:val="en-US"/>
        </w:rPr>
        <w:t>obot</w:t>
      </w:r>
      <w:r>
        <w:rPr>
          <w:rFonts w:ascii="Times New Roman" w:hAnsi="Times New Roman"/>
          <w:sz w:val="24"/>
          <w:szCs w:val="24"/>
        </w:rPr>
        <w:t xml:space="preserve"> segar umbi, dan b</w:t>
      </w:r>
      <w:r>
        <w:rPr>
          <w:rFonts w:ascii="Times New Roman" w:hAnsi="Times New Roman"/>
          <w:sz w:val="24"/>
          <w:szCs w:val="24"/>
          <w:lang w:val="en-US"/>
        </w:rPr>
        <w:t>obot</w:t>
      </w:r>
      <w:r>
        <w:rPr>
          <w:rFonts w:ascii="Times New Roman" w:hAnsi="Times New Roman"/>
          <w:sz w:val="24"/>
          <w:szCs w:val="24"/>
        </w:rPr>
        <w:t xml:space="preserve"> kering umbi. Pemberian </w:t>
      </w:r>
      <w:r>
        <w:rPr>
          <w:rFonts w:ascii="Times New Roman" w:hAnsi="Times New Roman"/>
          <w:sz w:val="24"/>
          <w:szCs w:val="24"/>
          <w:lang w:val="en-US"/>
        </w:rPr>
        <w:t xml:space="preserve">POC </w:t>
      </w:r>
      <w:r>
        <w:rPr>
          <w:rFonts w:ascii="Times New Roman" w:hAnsi="Times New Roman"/>
          <w:sz w:val="24"/>
          <w:szCs w:val="24"/>
        </w:rPr>
        <w:t>limbah tahu dilakukanseminggu sekali, sedangkan penyiraman dilakukan pada pagi dan sore hari.</w:t>
      </w:r>
    </w:p>
    <w:p>
      <w:pPr>
        <w:pStyle w:val="6"/>
        <w:numPr>
          <w:ilvl w:val="0"/>
          <w:numId w:val="2"/>
        </w:numPr>
        <w:spacing w:after="0" w:line="240" w:lineRule="auto"/>
        <w:ind w:left="284" w:hanging="284"/>
        <w:jc w:val="both"/>
        <w:rPr>
          <w:rFonts w:ascii="Times New Roman" w:hAnsi="Times New Roman" w:cs="Times New Roman"/>
          <w:b/>
          <w:sz w:val="24"/>
          <w:szCs w:val="24"/>
        </w:rPr>
        <w:sectPr>
          <w:type w:val="continuous"/>
          <w:pgSz w:w="11906" w:h="16838"/>
          <w:pgMar w:top="2268" w:right="1701" w:bottom="1701" w:left="2268" w:header="708" w:footer="708" w:gutter="0"/>
          <w:cols w:space="708" w:num="2"/>
          <w:docGrid w:linePitch="360" w:charSpace="0"/>
        </w:sectPr>
      </w:pPr>
    </w:p>
    <w:p>
      <w:pPr>
        <w:pStyle w:val="6"/>
        <w:numPr>
          <w:ilvl w:val="0"/>
          <w:numId w:val="2"/>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Kandungan Unsur N, P, K, dan C-Organik, C/N Rasio pada Fermentasi Limbah Cair Tahu</w:t>
      </w:r>
    </w:p>
    <w:p>
      <w:pPr>
        <w:pStyle w:val="6"/>
        <w:spacing w:after="0" w:line="240" w:lineRule="auto"/>
        <w:ind w:left="284"/>
        <w:jc w:val="both"/>
        <w:rPr>
          <w:rFonts w:ascii="Times New Roman" w:hAnsi="Times New Roman" w:cs="Times New Roman"/>
          <w:b/>
          <w:sz w:val="24"/>
          <w:szCs w:val="24"/>
        </w:rPr>
      </w:pPr>
    </w:p>
    <w:p>
      <w:pPr>
        <w:spacing w:line="240" w:lineRule="auto"/>
        <w:jc w:val="center"/>
        <w:rPr>
          <w:rFonts w:ascii="Times New Roman" w:hAnsi="Times New Roman"/>
          <w:sz w:val="24"/>
          <w:szCs w:val="24"/>
        </w:rPr>
      </w:pPr>
      <w:r>
        <w:rPr>
          <w:rFonts w:ascii="Times New Roman" w:hAnsi="Times New Roman"/>
          <w:sz w:val="24"/>
          <w:szCs w:val="24"/>
        </w:rPr>
        <w:t>Kandungan POC LimbahTahu</w:t>
      </w:r>
    </w:p>
    <w:tbl>
      <w:tblPr>
        <w:tblStyle w:val="8"/>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123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single" w:color="auto" w:sz="4" w:space="0"/>
              <w:bottom w:val="single" w:color="auto" w:sz="4" w:space="0"/>
            </w:tcBorders>
          </w:tcPr>
          <w:p>
            <w:pPr>
              <w:spacing w:after="0" w:line="360" w:lineRule="auto"/>
              <w:contextualSpacing/>
              <w:jc w:val="center"/>
              <w:rPr>
                <w:rFonts w:ascii="Times New Roman" w:hAnsi="Times New Roman"/>
                <w:sz w:val="24"/>
                <w:szCs w:val="24"/>
                <w:lang w:val="en-US"/>
              </w:rPr>
            </w:pPr>
            <w:r>
              <w:rPr>
                <w:rFonts w:ascii="Times New Roman" w:hAnsi="Times New Roman"/>
                <w:sz w:val="24"/>
                <w:szCs w:val="24"/>
                <w:lang w:val="en-US"/>
              </w:rPr>
              <w:t>Unsur</w:t>
            </w:r>
          </w:p>
        </w:tc>
        <w:tc>
          <w:tcPr>
            <w:tcW w:w="1231" w:type="dxa"/>
            <w:tcBorders>
              <w:top w:val="single" w:color="auto" w:sz="4" w:space="0"/>
              <w:bottom w:val="single" w:color="auto" w:sz="4" w:space="0"/>
            </w:tcBorders>
          </w:tcPr>
          <w:p>
            <w:pPr>
              <w:spacing w:after="0" w:line="360" w:lineRule="auto"/>
              <w:contextualSpacing/>
              <w:jc w:val="center"/>
              <w:rPr>
                <w:rFonts w:ascii="Times New Roman" w:hAnsi="Times New Roman"/>
                <w:sz w:val="24"/>
                <w:szCs w:val="24"/>
                <w:lang w:val="en-US"/>
              </w:rPr>
            </w:pPr>
            <w:r>
              <w:rPr>
                <w:rFonts w:ascii="Times New Roman" w:hAnsi="Times New Roman"/>
                <w:sz w:val="24"/>
                <w:szCs w:val="24"/>
                <w:lang w:val="en-US"/>
              </w:rPr>
              <w:t>Kadar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single" w:color="auto" w:sz="4" w:space="0"/>
              <w:bottom w:val="nil"/>
            </w:tcBorders>
          </w:tcPr>
          <w:p>
            <w:pPr>
              <w:spacing w:after="0" w:line="360" w:lineRule="auto"/>
              <w:contextualSpacing/>
              <w:rPr>
                <w:rFonts w:ascii="Times New Roman" w:hAnsi="Times New Roman"/>
                <w:sz w:val="24"/>
                <w:szCs w:val="24"/>
                <w:lang w:val="en-US"/>
              </w:rPr>
            </w:pPr>
            <w:r>
              <w:rPr>
                <w:rFonts w:ascii="Times New Roman" w:hAnsi="Times New Roman"/>
                <w:sz w:val="24"/>
                <w:szCs w:val="24"/>
                <w:lang w:val="en-US"/>
              </w:rPr>
              <w:t>Nitrogen (N)</w:t>
            </w:r>
          </w:p>
        </w:tc>
        <w:tc>
          <w:tcPr>
            <w:tcW w:w="1231" w:type="dxa"/>
            <w:tcBorders>
              <w:top w:val="single" w:color="auto" w:sz="4" w:space="0"/>
              <w:bottom w:val="nil"/>
            </w:tcBorders>
          </w:tcPr>
          <w:p>
            <w:pPr>
              <w:spacing w:after="0" w:line="360" w:lineRule="auto"/>
              <w:contextualSpacing/>
              <w:jc w:val="center"/>
              <w:rPr>
                <w:rFonts w:ascii="Times New Roman" w:hAnsi="Times New Roman"/>
                <w:sz w:val="24"/>
                <w:szCs w:val="24"/>
              </w:rPr>
            </w:pPr>
            <w:r>
              <w:rPr>
                <w:rFonts w:ascii="Times New Roman" w:hAnsi="Times New Roman"/>
                <w:sz w:val="24"/>
                <w:szCs w:val="24"/>
              </w:rPr>
              <w:t>0,18 %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tcBorders>
          </w:tcPr>
          <w:p>
            <w:pPr>
              <w:spacing w:after="0" w:line="360" w:lineRule="auto"/>
              <w:contextualSpacing/>
              <w:rPr>
                <w:rFonts w:ascii="Times New Roman" w:hAnsi="Times New Roman"/>
                <w:sz w:val="24"/>
                <w:szCs w:val="24"/>
                <w:lang w:val="en-US"/>
              </w:rPr>
            </w:pPr>
            <w:r>
              <w:rPr>
                <w:rFonts w:ascii="Times New Roman" w:hAnsi="Times New Roman"/>
                <w:sz w:val="24"/>
                <w:szCs w:val="24"/>
                <w:lang w:val="en-US"/>
              </w:rPr>
              <w:t>Fosfor (P)</w:t>
            </w:r>
          </w:p>
        </w:tc>
        <w:tc>
          <w:tcPr>
            <w:tcW w:w="1231" w:type="dxa"/>
            <w:tcBorders>
              <w:top w:val="nil"/>
            </w:tcBorders>
          </w:tcPr>
          <w:p>
            <w:pPr>
              <w:spacing w:after="0" w:line="360" w:lineRule="auto"/>
              <w:contextualSpacing/>
              <w:jc w:val="center"/>
              <w:rPr>
                <w:rFonts w:ascii="Times New Roman" w:hAnsi="Times New Roman"/>
                <w:sz w:val="24"/>
                <w:szCs w:val="24"/>
              </w:rPr>
            </w:pPr>
            <w:r>
              <w:rPr>
                <w:rFonts w:ascii="Times New Roman" w:hAnsi="Times New Roman"/>
                <w:sz w:val="24"/>
                <w:szCs w:val="24"/>
              </w:rPr>
              <w:t>0,14 %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Pr>
          <w:p>
            <w:pPr>
              <w:spacing w:after="0" w:line="360" w:lineRule="auto"/>
              <w:contextualSpacing/>
              <w:rPr>
                <w:rFonts w:ascii="Times New Roman" w:hAnsi="Times New Roman"/>
                <w:sz w:val="24"/>
                <w:szCs w:val="24"/>
                <w:lang w:val="en-US"/>
              </w:rPr>
            </w:pPr>
            <w:r>
              <w:rPr>
                <w:rFonts w:ascii="Times New Roman" w:hAnsi="Times New Roman"/>
                <w:sz w:val="24"/>
                <w:szCs w:val="24"/>
                <w:lang w:val="en-US"/>
              </w:rPr>
              <w:t>Kalium (K)</w:t>
            </w:r>
          </w:p>
        </w:tc>
        <w:tc>
          <w:tcPr>
            <w:tcW w:w="1231" w:type="dxa"/>
          </w:tcPr>
          <w:p>
            <w:pPr>
              <w:spacing w:after="0" w:line="360" w:lineRule="auto"/>
              <w:contextualSpacing/>
              <w:jc w:val="center"/>
              <w:rPr>
                <w:rFonts w:ascii="Times New Roman" w:hAnsi="Times New Roman"/>
                <w:sz w:val="24"/>
                <w:szCs w:val="24"/>
              </w:rPr>
            </w:pPr>
            <w:r>
              <w:rPr>
                <w:rFonts w:ascii="Times New Roman" w:hAnsi="Times New Roman"/>
                <w:sz w:val="24"/>
                <w:szCs w:val="24"/>
              </w:rPr>
              <w:t>0,08 %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Pr>
          <w:p>
            <w:pPr>
              <w:spacing w:after="0" w:line="360" w:lineRule="auto"/>
              <w:contextualSpacing/>
              <w:rPr>
                <w:rFonts w:ascii="Times New Roman" w:hAnsi="Times New Roman"/>
                <w:sz w:val="24"/>
                <w:szCs w:val="24"/>
                <w:lang w:val="en-US"/>
              </w:rPr>
            </w:pPr>
            <w:r>
              <w:rPr>
                <w:rFonts w:ascii="Times New Roman" w:hAnsi="Times New Roman"/>
                <w:sz w:val="24"/>
                <w:szCs w:val="24"/>
                <w:lang w:val="en-US"/>
              </w:rPr>
              <w:t>C-Organik</w:t>
            </w:r>
          </w:p>
        </w:tc>
        <w:tc>
          <w:tcPr>
            <w:tcW w:w="1231" w:type="dxa"/>
          </w:tcPr>
          <w:p>
            <w:pPr>
              <w:spacing w:after="0" w:line="360" w:lineRule="auto"/>
              <w:contextualSpacing/>
              <w:jc w:val="center"/>
              <w:rPr>
                <w:rFonts w:ascii="Times New Roman" w:hAnsi="Times New Roman"/>
                <w:sz w:val="24"/>
                <w:szCs w:val="24"/>
              </w:rPr>
            </w:pPr>
            <w:r>
              <w:rPr>
                <w:rFonts w:ascii="Times New Roman" w:hAnsi="Times New Roman"/>
                <w:sz w:val="24"/>
                <w:szCs w:val="24"/>
              </w:rPr>
              <w:t>2,69 %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Pr>
          <w:p>
            <w:pPr>
              <w:spacing w:after="0" w:line="360" w:lineRule="auto"/>
              <w:contextualSpacing/>
              <w:rPr>
                <w:rFonts w:ascii="Times New Roman" w:hAnsi="Times New Roman"/>
                <w:sz w:val="24"/>
                <w:szCs w:val="24"/>
                <w:lang w:val="en-US"/>
              </w:rPr>
            </w:pPr>
            <w:r>
              <w:rPr>
                <w:rFonts w:ascii="Times New Roman" w:hAnsi="Times New Roman"/>
                <w:sz w:val="24"/>
                <w:szCs w:val="24"/>
                <w:lang w:val="en-US"/>
              </w:rPr>
              <w:t>C/N Rasio</w:t>
            </w:r>
          </w:p>
        </w:tc>
        <w:tc>
          <w:tcPr>
            <w:tcW w:w="1231" w:type="dxa"/>
          </w:tcPr>
          <w:p>
            <w:pPr>
              <w:spacing w:after="0" w:line="360" w:lineRule="auto"/>
              <w:contextualSpacing/>
              <w:jc w:val="center"/>
              <w:rPr>
                <w:rFonts w:ascii="Times New Roman" w:hAnsi="Times New Roman"/>
                <w:sz w:val="24"/>
                <w:szCs w:val="24"/>
              </w:rPr>
            </w:pPr>
            <w:r>
              <w:rPr>
                <w:rFonts w:ascii="Times New Roman" w:hAnsi="Times New Roman"/>
                <w:sz w:val="24"/>
                <w:szCs w:val="24"/>
              </w:rPr>
              <w:t>14,87</w:t>
            </w:r>
          </w:p>
        </w:tc>
      </w:tr>
    </w:tbl>
    <w:p>
      <w:pPr>
        <w:pStyle w:val="6"/>
        <w:numPr>
          <w:ilvl w:val="0"/>
          <w:numId w:val="2"/>
        </w:numPr>
        <w:spacing w:after="0" w:line="360" w:lineRule="auto"/>
        <w:ind w:left="284" w:hanging="284"/>
        <w:jc w:val="both"/>
        <w:rPr>
          <w:rFonts w:ascii="Times New Roman" w:hAnsi="Times New Roman" w:cs="Times New Roman"/>
          <w:b/>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2"/>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Variabel Pertumbuhan</w:t>
      </w:r>
    </w:p>
    <w:p>
      <w:pPr>
        <w:pStyle w:val="6"/>
        <w:numPr>
          <w:ilvl w:val="0"/>
          <w:numId w:val="3"/>
        </w:numPr>
        <w:spacing w:after="0" w:line="360" w:lineRule="auto"/>
        <w:jc w:val="both"/>
        <w:rPr>
          <w:rFonts w:ascii="Times New Roman" w:hAnsi="Times New Roman"/>
          <w:sz w:val="24"/>
          <w:szCs w:val="24"/>
        </w:rPr>
      </w:pPr>
      <w:r>
        <w:rPr>
          <w:rFonts w:ascii="Times New Roman" w:hAnsi="Times New Roman"/>
          <w:sz w:val="24"/>
          <w:szCs w:val="24"/>
        </w:rPr>
        <w:t>Tinggi Tanaman</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Tabel 2 menunjukkan bahwa pemberian limbah cair tahu berpengaruh terhadap tinggi tanaman pada pengamatan minggu ke 2-4, sedangkan pada pengamatan berikutnya perlakuan limbah cair tahu tidak beda nyata. Penggunaan pupuk anorganik maupun penggunaan POC limbah cair tahu memberikan kenaikan tinggi tanaman setiap harinya. Pada minggu ke 7 perlakun kontrol (pupuk anorganik) memberikan hasil tinggi tanaman yang tertinggi yaitu sebesar 37,40 cm.</w:t>
      </w:r>
    </w:p>
    <w:p>
      <w:pPr>
        <w:spacing w:after="0" w:line="360" w:lineRule="auto"/>
        <w:jc w:val="center"/>
        <w:rPr>
          <w:rFonts w:ascii="Times New Roman" w:hAnsi="Times New Roman"/>
          <w:sz w:val="24"/>
          <w:szCs w:val="24"/>
          <w:lang w:val="en-US"/>
        </w:rPr>
        <w:sectPr>
          <w:type w:val="continuous"/>
          <w:pgSz w:w="11906" w:h="16838"/>
          <w:pgMar w:top="2268" w:right="1701" w:bottom="1701" w:left="2268" w:header="708" w:footer="708" w:gutter="0"/>
          <w:cols w:space="708" w:num="2"/>
          <w:docGrid w:linePitch="360" w:charSpace="0"/>
        </w:sectPr>
      </w:pP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p>
    <w:p>
      <w:pPr>
        <w:spacing w:after="0" w:line="360" w:lineRule="auto"/>
        <w:jc w:val="center"/>
        <w:rPr>
          <w:rFonts w:ascii="Times New Roman" w:hAnsi="Times New Roman"/>
          <w:sz w:val="24"/>
          <w:szCs w:val="24"/>
        </w:rPr>
      </w:pPr>
      <w:r>
        <w:rPr>
          <w:rFonts w:ascii="Times New Roman" w:hAnsi="Times New Roman"/>
          <w:sz w:val="24"/>
          <w:szCs w:val="24"/>
          <w:lang w:val="en-US"/>
        </w:rPr>
        <w:t xml:space="preserve">Tabel 2. </w:t>
      </w:r>
      <w:r>
        <w:rPr>
          <w:rFonts w:ascii="Times New Roman" w:hAnsi="Times New Roman"/>
          <w:sz w:val="24"/>
          <w:szCs w:val="24"/>
        </w:rPr>
        <w:t>Purata tinggi tanaman bawang merah (cm)</w:t>
      </w:r>
    </w:p>
    <w:tbl>
      <w:tblPr>
        <w:tblStyle w:val="4"/>
        <w:tblW w:w="7861" w:type="dxa"/>
        <w:jc w:val="center"/>
        <w:tblLayout w:type="autofit"/>
        <w:tblCellMar>
          <w:top w:w="0" w:type="dxa"/>
          <w:left w:w="108" w:type="dxa"/>
          <w:bottom w:w="0" w:type="dxa"/>
          <w:right w:w="108" w:type="dxa"/>
        </w:tblCellMar>
      </w:tblPr>
      <w:tblGrid>
        <w:gridCol w:w="1140"/>
        <w:gridCol w:w="1058"/>
        <w:gridCol w:w="919"/>
        <w:gridCol w:w="1042"/>
        <w:gridCol w:w="971"/>
        <w:gridCol w:w="906"/>
        <w:gridCol w:w="919"/>
        <w:gridCol w:w="906"/>
      </w:tblGrid>
      <w:tr>
        <w:tblPrEx>
          <w:tblCellMar>
            <w:top w:w="0" w:type="dxa"/>
            <w:left w:w="108" w:type="dxa"/>
            <w:bottom w:w="0" w:type="dxa"/>
            <w:right w:w="108" w:type="dxa"/>
          </w:tblCellMar>
        </w:tblPrEx>
        <w:trPr>
          <w:trHeight w:val="300" w:hRule="atLeast"/>
          <w:jc w:val="center"/>
        </w:trPr>
        <w:tc>
          <w:tcPr>
            <w:tcW w:w="1140" w:type="dxa"/>
            <w:vMerge w:val="restart"/>
            <w:tcBorders>
              <w:top w:val="single" w:color="auto" w:sz="4" w:space="0"/>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Perlakuan</w:t>
            </w:r>
          </w:p>
        </w:tc>
        <w:tc>
          <w:tcPr>
            <w:tcW w:w="6721" w:type="dxa"/>
            <w:gridSpan w:val="7"/>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Pengamatan Minggu ke-</w:t>
            </w:r>
          </w:p>
        </w:tc>
      </w:tr>
      <w:tr>
        <w:tblPrEx>
          <w:tblCellMar>
            <w:top w:w="0" w:type="dxa"/>
            <w:left w:w="108" w:type="dxa"/>
            <w:bottom w:w="0" w:type="dxa"/>
            <w:right w:w="108" w:type="dxa"/>
          </w:tblCellMar>
        </w:tblPrEx>
        <w:trPr>
          <w:trHeight w:val="300" w:hRule="atLeast"/>
          <w:jc w:val="center"/>
        </w:trPr>
        <w:tc>
          <w:tcPr>
            <w:tcW w:w="1140" w:type="dxa"/>
            <w:vMerge w:val="continue"/>
            <w:tcBorders>
              <w:top w:val="nil"/>
              <w:left w:val="nil"/>
              <w:bottom w:val="single" w:color="auto" w:sz="4" w:space="0"/>
              <w:right w:val="nil"/>
            </w:tcBorders>
            <w:vAlign w:val="center"/>
          </w:tcPr>
          <w:p>
            <w:pPr>
              <w:spacing w:after="0" w:line="240" w:lineRule="auto"/>
              <w:rPr>
                <w:rFonts w:ascii="Times New Roman" w:hAnsi="Times New Roman" w:eastAsia="Times New Roman"/>
                <w:color w:val="000000"/>
                <w:lang w:eastAsia="id-ID"/>
              </w:rPr>
            </w:pPr>
          </w:p>
        </w:tc>
        <w:tc>
          <w:tcPr>
            <w:tcW w:w="1058"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w:t>
            </w:r>
          </w:p>
        </w:tc>
        <w:tc>
          <w:tcPr>
            <w:tcW w:w="919"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w:t>
            </w:r>
          </w:p>
        </w:tc>
        <w:tc>
          <w:tcPr>
            <w:tcW w:w="1042"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4</w:t>
            </w:r>
          </w:p>
        </w:tc>
        <w:tc>
          <w:tcPr>
            <w:tcW w:w="971"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5</w:t>
            </w:r>
          </w:p>
        </w:tc>
        <w:tc>
          <w:tcPr>
            <w:tcW w:w="906"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6</w:t>
            </w:r>
          </w:p>
        </w:tc>
        <w:tc>
          <w:tcPr>
            <w:tcW w:w="919"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7</w:t>
            </w:r>
          </w:p>
        </w:tc>
        <w:tc>
          <w:tcPr>
            <w:tcW w:w="906"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8</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K0</w:t>
            </w:r>
          </w:p>
        </w:tc>
        <w:tc>
          <w:tcPr>
            <w:tcW w:w="1058"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21,40 a</w:t>
            </w:r>
          </w:p>
        </w:tc>
        <w:tc>
          <w:tcPr>
            <w:tcW w:w="919"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26,30 a</w:t>
            </w:r>
          </w:p>
        </w:tc>
        <w:tc>
          <w:tcPr>
            <w:tcW w:w="1042"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32,20 a</w:t>
            </w:r>
          </w:p>
        </w:tc>
        <w:tc>
          <w:tcPr>
            <w:tcW w:w="971"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35,10 a</w:t>
            </w:r>
          </w:p>
        </w:tc>
        <w:tc>
          <w:tcPr>
            <w:tcW w:w="906"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36,73 a</w:t>
            </w:r>
          </w:p>
        </w:tc>
        <w:tc>
          <w:tcPr>
            <w:tcW w:w="919"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37,40 a</w:t>
            </w:r>
          </w:p>
        </w:tc>
        <w:tc>
          <w:tcPr>
            <w:tcW w:w="906"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36,40 a</w:t>
            </w:r>
          </w:p>
        </w:tc>
      </w:tr>
      <w:tr>
        <w:tblPrEx>
          <w:tblCellMar>
            <w:top w:w="0" w:type="dxa"/>
            <w:left w:w="108" w:type="dxa"/>
            <w:bottom w:w="0" w:type="dxa"/>
            <w:right w:w="108" w:type="dxa"/>
          </w:tblCellMar>
        </w:tblPrEx>
        <w:trPr>
          <w:trHeight w:val="300" w:hRule="atLeast"/>
          <w:jc w:val="center"/>
        </w:trPr>
        <w:tc>
          <w:tcPr>
            <w:tcW w:w="11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K1</w:t>
            </w:r>
          </w:p>
        </w:tc>
        <w:tc>
          <w:tcPr>
            <w:tcW w:w="1058"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19,50 bc</w:t>
            </w:r>
          </w:p>
        </w:tc>
        <w:tc>
          <w:tcPr>
            <w:tcW w:w="919"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23,47 b</w:t>
            </w:r>
          </w:p>
        </w:tc>
        <w:tc>
          <w:tcPr>
            <w:tcW w:w="1042"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28,53 b</w:t>
            </w:r>
          </w:p>
        </w:tc>
        <w:tc>
          <w:tcPr>
            <w:tcW w:w="971"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34,23 a</w:t>
            </w:r>
          </w:p>
        </w:tc>
        <w:tc>
          <w:tcPr>
            <w:tcW w:w="906"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33,87 a</w:t>
            </w:r>
          </w:p>
        </w:tc>
        <w:tc>
          <w:tcPr>
            <w:tcW w:w="919"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31,73 b</w:t>
            </w:r>
          </w:p>
        </w:tc>
        <w:tc>
          <w:tcPr>
            <w:tcW w:w="906"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29,30 a</w:t>
            </w:r>
          </w:p>
        </w:tc>
      </w:tr>
      <w:tr>
        <w:tblPrEx>
          <w:tblCellMar>
            <w:top w:w="0" w:type="dxa"/>
            <w:left w:w="108" w:type="dxa"/>
            <w:bottom w:w="0" w:type="dxa"/>
            <w:right w:w="108" w:type="dxa"/>
          </w:tblCellMar>
        </w:tblPrEx>
        <w:trPr>
          <w:trHeight w:val="300" w:hRule="atLeast"/>
          <w:jc w:val="center"/>
        </w:trPr>
        <w:tc>
          <w:tcPr>
            <w:tcW w:w="11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K2</w:t>
            </w:r>
          </w:p>
        </w:tc>
        <w:tc>
          <w:tcPr>
            <w:tcW w:w="1058"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18,97 bc</w:t>
            </w:r>
          </w:p>
        </w:tc>
        <w:tc>
          <w:tcPr>
            <w:tcW w:w="919"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23,50 b</w:t>
            </w:r>
          </w:p>
        </w:tc>
        <w:tc>
          <w:tcPr>
            <w:tcW w:w="1042"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27,63 bc</w:t>
            </w:r>
          </w:p>
        </w:tc>
        <w:tc>
          <w:tcPr>
            <w:tcW w:w="971"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 50 a</w:t>
            </w:r>
          </w:p>
        </w:tc>
        <w:tc>
          <w:tcPr>
            <w:tcW w:w="906"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31,93 a</w:t>
            </w:r>
          </w:p>
        </w:tc>
        <w:tc>
          <w:tcPr>
            <w:tcW w:w="919"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31,83 b</w:t>
            </w:r>
          </w:p>
        </w:tc>
        <w:tc>
          <w:tcPr>
            <w:tcW w:w="906"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31,20 a</w:t>
            </w:r>
          </w:p>
        </w:tc>
      </w:tr>
      <w:tr>
        <w:tblPrEx>
          <w:tblCellMar>
            <w:top w:w="0" w:type="dxa"/>
            <w:left w:w="108" w:type="dxa"/>
            <w:bottom w:w="0" w:type="dxa"/>
            <w:right w:w="108" w:type="dxa"/>
          </w:tblCellMar>
        </w:tblPrEx>
        <w:trPr>
          <w:trHeight w:val="300" w:hRule="atLeast"/>
          <w:jc w:val="center"/>
        </w:trPr>
        <w:tc>
          <w:tcPr>
            <w:tcW w:w="1140" w:type="dxa"/>
            <w:tcBorders>
              <w:top w:val="nil"/>
              <w:left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K3</w:t>
            </w:r>
          </w:p>
        </w:tc>
        <w:tc>
          <w:tcPr>
            <w:tcW w:w="1058"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18,60 c</w:t>
            </w:r>
          </w:p>
        </w:tc>
        <w:tc>
          <w:tcPr>
            <w:tcW w:w="919"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21,70 c</w:t>
            </w:r>
          </w:p>
        </w:tc>
        <w:tc>
          <w:tcPr>
            <w:tcW w:w="1042"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26,30 c</w:t>
            </w:r>
          </w:p>
        </w:tc>
        <w:tc>
          <w:tcPr>
            <w:tcW w:w="971"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30,90 a</w:t>
            </w:r>
          </w:p>
        </w:tc>
        <w:tc>
          <w:tcPr>
            <w:tcW w:w="906"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32,03 a</w:t>
            </w:r>
          </w:p>
        </w:tc>
        <w:tc>
          <w:tcPr>
            <w:tcW w:w="919"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32,60 b</w:t>
            </w:r>
          </w:p>
        </w:tc>
        <w:tc>
          <w:tcPr>
            <w:tcW w:w="906"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31,87 a</w:t>
            </w:r>
          </w:p>
        </w:tc>
      </w:tr>
      <w:tr>
        <w:tblPrEx>
          <w:tblCellMar>
            <w:top w:w="0" w:type="dxa"/>
            <w:left w:w="108" w:type="dxa"/>
            <w:bottom w:w="0" w:type="dxa"/>
            <w:right w:w="108" w:type="dxa"/>
          </w:tblCellMar>
        </w:tblPrEx>
        <w:trPr>
          <w:trHeight w:val="300" w:hRule="atLeast"/>
          <w:jc w:val="center"/>
        </w:trPr>
        <w:tc>
          <w:tcPr>
            <w:tcW w:w="1140" w:type="dxa"/>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K4</w:t>
            </w:r>
          </w:p>
        </w:tc>
        <w:tc>
          <w:tcPr>
            <w:tcW w:w="1058"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20,17 ab</w:t>
            </w:r>
          </w:p>
        </w:tc>
        <w:tc>
          <w:tcPr>
            <w:tcW w:w="919"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23,57 b</w:t>
            </w:r>
          </w:p>
        </w:tc>
        <w:tc>
          <w:tcPr>
            <w:tcW w:w="1042"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26,97 bc</w:t>
            </w:r>
          </w:p>
        </w:tc>
        <w:tc>
          <w:tcPr>
            <w:tcW w:w="971"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31,27 a</w:t>
            </w:r>
          </w:p>
        </w:tc>
        <w:tc>
          <w:tcPr>
            <w:tcW w:w="906"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31,43 a</w:t>
            </w:r>
          </w:p>
        </w:tc>
        <w:tc>
          <w:tcPr>
            <w:tcW w:w="919"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30,37 b</w:t>
            </w:r>
          </w:p>
        </w:tc>
        <w:tc>
          <w:tcPr>
            <w:tcW w:w="906"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29,97 a</w:t>
            </w:r>
          </w:p>
        </w:tc>
      </w:tr>
    </w:tbl>
    <w:p>
      <w:pPr>
        <w:spacing w:after="0" w:line="240" w:lineRule="auto"/>
        <w:ind w:left="709" w:firstLine="11"/>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gan : Nilai purata yang diikuti notasi huruf yang sama menunjukkan tidak berbeda nyata menurut uji F taraf 5%</w:t>
      </w:r>
    </w:p>
    <w:p>
      <w:pPr>
        <w:pStyle w:val="6"/>
        <w:numPr>
          <w:ilvl w:val="0"/>
          <w:numId w:val="3"/>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3"/>
        </w:numPr>
        <w:spacing w:line="360" w:lineRule="auto"/>
        <w:jc w:val="both"/>
        <w:rPr>
          <w:rFonts w:ascii="Times New Roman" w:hAnsi="Times New Roman"/>
          <w:sz w:val="24"/>
          <w:szCs w:val="24"/>
        </w:rPr>
      </w:pPr>
      <w:r>
        <w:rPr>
          <w:rFonts w:ascii="Times New Roman" w:hAnsi="Times New Roman"/>
          <w:sz w:val="24"/>
          <w:szCs w:val="24"/>
        </w:rPr>
        <w:t>Jumlah Daun</w:t>
      </w:r>
    </w:p>
    <w:p>
      <w:pPr>
        <w:pStyle w:val="6"/>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cs="Times New Roman"/>
          <w:sz w:val="24"/>
          <w:szCs w:val="24"/>
        </w:rPr>
        <w:t>Hasil analisis sidik ragam taraf 5% pada variabel pertumbuhan jumlah daun menunjukkan hasil yang tidak berbeda nyata antar perlakuan dari minggu ke 2 sampai minggu ke 8 setelah tanam. Data purata jumlah daun bawang merah disajikan pada Tabel 3.</w:t>
      </w:r>
    </w:p>
    <w:p>
      <w:pPr>
        <w:spacing w:after="0" w:line="360" w:lineRule="auto"/>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sz w:val="24"/>
          <w:szCs w:val="24"/>
        </w:rPr>
      </w:pPr>
      <w:r>
        <w:rPr>
          <w:rFonts w:ascii="Times New Roman" w:hAnsi="Times New Roman"/>
          <w:sz w:val="24"/>
          <w:szCs w:val="24"/>
        </w:rPr>
        <w:t>Tabel 3. Purata jumlah daun bawang merah (helai)</w:t>
      </w:r>
    </w:p>
    <w:tbl>
      <w:tblPr>
        <w:tblStyle w:val="4"/>
        <w:tblW w:w="7680" w:type="dxa"/>
        <w:jc w:val="center"/>
        <w:tblLayout w:type="autofit"/>
        <w:tblCellMar>
          <w:top w:w="0" w:type="dxa"/>
          <w:left w:w="108" w:type="dxa"/>
          <w:bottom w:w="0" w:type="dxa"/>
          <w:right w:w="108" w:type="dxa"/>
        </w:tblCellMar>
      </w:tblPr>
      <w:tblGrid>
        <w:gridCol w:w="1096"/>
        <w:gridCol w:w="960"/>
        <w:gridCol w:w="960"/>
        <w:gridCol w:w="960"/>
        <w:gridCol w:w="960"/>
        <w:gridCol w:w="960"/>
        <w:gridCol w:w="960"/>
        <w:gridCol w:w="960"/>
      </w:tblGrid>
      <w:tr>
        <w:tblPrEx>
          <w:tblCellMar>
            <w:top w:w="0" w:type="dxa"/>
            <w:left w:w="108" w:type="dxa"/>
            <w:bottom w:w="0" w:type="dxa"/>
            <w:right w:w="108" w:type="dxa"/>
          </w:tblCellMar>
        </w:tblPrEx>
        <w:trPr>
          <w:trHeight w:val="300" w:hRule="atLeast"/>
          <w:jc w:val="center"/>
        </w:trPr>
        <w:tc>
          <w:tcPr>
            <w:tcW w:w="960" w:type="dxa"/>
            <w:vMerge w:val="restart"/>
            <w:tcBorders>
              <w:top w:val="single" w:color="auto" w:sz="4" w:space="0"/>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Perlakuan</w:t>
            </w:r>
          </w:p>
        </w:tc>
        <w:tc>
          <w:tcPr>
            <w:tcW w:w="6720" w:type="dxa"/>
            <w:gridSpan w:val="7"/>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Pengamatan Minggu ke-</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nil"/>
              <w:bottom w:val="single" w:color="auto" w:sz="4" w:space="0"/>
              <w:right w:val="nil"/>
            </w:tcBorders>
            <w:vAlign w:val="center"/>
          </w:tcPr>
          <w:p>
            <w:pPr>
              <w:spacing w:after="0" w:line="240" w:lineRule="auto"/>
              <w:rPr>
                <w:rFonts w:ascii="Times New Roman" w:hAnsi="Times New Roman" w:eastAsia="Times New Roman"/>
                <w:color w:val="000000"/>
                <w:lang w:eastAsia="id-ID"/>
              </w:rPr>
            </w:pP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4</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5</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6</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7</w:t>
            </w:r>
          </w:p>
        </w:tc>
        <w:tc>
          <w:tcPr>
            <w:tcW w:w="960" w:type="dxa"/>
            <w:tcBorders>
              <w:top w:val="single" w:color="auto" w:sz="4" w:space="0"/>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8</w:t>
            </w:r>
          </w:p>
        </w:tc>
      </w:tr>
      <w:tr>
        <w:tblPrEx>
          <w:tblCellMar>
            <w:top w:w="0" w:type="dxa"/>
            <w:left w:w="108" w:type="dxa"/>
            <w:bottom w:w="0" w:type="dxa"/>
            <w:right w:w="108" w:type="dxa"/>
          </w:tblCellMar>
        </w:tblPrEx>
        <w:trPr>
          <w:trHeight w:val="300" w:hRule="atLeast"/>
          <w:jc w:val="center"/>
        </w:trPr>
        <w:tc>
          <w:tcPr>
            <w:tcW w:w="960" w:type="dxa"/>
            <w:tcBorders>
              <w:top w:val="single" w:color="auto" w:sz="4" w:space="0"/>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K0</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19,80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25,20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32,13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36,47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33,20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25,73 a</w:t>
            </w:r>
          </w:p>
        </w:tc>
        <w:tc>
          <w:tcPr>
            <w:tcW w:w="960" w:type="dxa"/>
            <w:tcBorders>
              <w:top w:val="single" w:color="auto" w:sz="4" w:space="0"/>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23,47 a</w:t>
            </w:r>
          </w:p>
        </w:tc>
      </w:tr>
      <w:tr>
        <w:tblPrEx>
          <w:tblCellMar>
            <w:top w:w="0" w:type="dxa"/>
            <w:left w:w="108" w:type="dxa"/>
            <w:bottom w:w="0" w:type="dxa"/>
            <w:right w:w="108" w:type="dxa"/>
          </w:tblCellMar>
        </w:tblPrEx>
        <w:trPr>
          <w:trHeight w:val="300" w:hRule="atLeast"/>
          <w:jc w:val="center"/>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K1</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17,20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23,47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31,33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35,47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29,33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20,93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18,87 a</w:t>
            </w:r>
          </w:p>
        </w:tc>
      </w:tr>
      <w:tr>
        <w:tblPrEx>
          <w:tblCellMar>
            <w:top w:w="0" w:type="dxa"/>
            <w:left w:w="108" w:type="dxa"/>
            <w:bottom w:w="0" w:type="dxa"/>
            <w:right w:w="108" w:type="dxa"/>
          </w:tblCellMar>
        </w:tblPrEx>
        <w:trPr>
          <w:trHeight w:val="300" w:hRule="atLeast"/>
          <w:jc w:val="center"/>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K2</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16,60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22,47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28,80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28,73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26,40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20,67 a</w:t>
            </w:r>
          </w:p>
        </w:tc>
        <w:tc>
          <w:tcPr>
            <w:tcW w:w="96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17,53 a</w:t>
            </w:r>
          </w:p>
        </w:tc>
      </w:tr>
      <w:tr>
        <w:tblPrEx>
          <w:tblCellMar>
            <w:top w:w="0" w:type="dxa"/>
            <w:left w:w="108" w:type="dxa"/>
            <w:bottom w:w="0" w:type="dxa"/>
            <w:right w:w="108" w:type="dxa"/>
          </w:tblCellMar>
        </w:tblPrEx>
        <w:trPr>
          <w:trHeight w:val="300" w:hRule="atLeast"/>
          <w:jc w:val="center"/>
        </w:trPr>
        <w:tc>
          <w:tcPr>
            <w:tcW w:w="960" w:type="dxa"/>
            <w:tcBorders>
              <w:top w:val="nil"/>
              <w:left w:val="nil"/>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K3</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17,93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23,00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29,53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33,87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32,00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23,67 a</w:t>
            </w:r>
          </w:p>
        </w:tc>
        <w:tc>
          <w:tcPr>
            <w:tcW w:w="960" w:type="dxa"/>
            <w:tcBorders>
              <w:top w:val="nil"/>
              <w:left w:val="nil"/>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20,07 a</w:t>
            </w:r>
          </w:p>
        </w:tc>
      </w:tr>
      <w:tr>
        <w:tblPrEx>
          <w:tblCellMar>
            <w:top w:w="0" w:type="dxa"/>
            <w:left w:w="108" w:type="dxa"/>
            <w:bottom w:w="0" w:type="dxa"/>
            <w:right w:w="108" w:type="dxa"/>
          </w:tblCellMar>
        </w:tblPrEx>
        <w:trPr>
          <w:trHeight w:val="300" w:hRule="atLeast"/>
          <w:jc w:val="center"/>
        </w:trPr>
        <w:tc>
          <w:tcPr>
            <w:tcW w:w="960" w:type="dxa"/>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K4</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17,60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24,80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28,80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31,20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26,47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20,00 a</w:t>
            </w:r>
          </w:p>
        </w:tc>
        <w:tc>
          <w:tcPr>
            <w:tcW w:w="960" w:type="dxa"/>
            <w:tcBorders>
              <w:top w:val="nil"/>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olor w:val="000000"/>
                <w:lang w:eastAsia="id-ID"/>
              </w:rPr>
            </w:pPr>
            <w:r>
              <w:rPr>
                <w:rFonts w:ascii="Times New Roman" w:hAnsi="Times New Roman" w:eastAsia="Times New Roman"/>
                <w:color w:val="000000"/>
                <w:lang w:eastAsia="id-ID"/>
              </w:rPr>
              <w:t>15,40 a</w:t>
            </w:r>
          </w:p>
        </w:tc>
      </w:tr>
    </w:tbl>
    <w:p>
      <w:pPr>
        <w:spacing w:after="0" w:line="240" w:lineRule="auto"/>
        <w:ind w:left="709"/>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numPr>
          <w:ilvl w:val="0"/>
          <w:numId w:val="3"/>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3"/>
        </w:numPr>
        <w:spacing w:line="360" w:lineRule="auto"/>
        <w:jc w:val="both"/>
        <w:rPr>
          <w:rFonts w:ascii="Times New Roman" w:hAnsi="Times New Roman"/>
          <w:sz w:val="24"/>
          <w:szCs w:val="24"/>
        </w:rPr>
      </w:pPr>
      <w:r>
        <w:rPr>
          <w:rFonts w:ascii="Times New Roman" w:hAnsi="Times New Roman"/>
          <w:sz w:val="24"/>
          <w:szCs w:val="24"/>
        </w:rPr>
        <w:t>Bobot Segar Tanaman</w:t>
      </w:r>
    </w:p>
    <w:p>
      <w:pPr>
        <w:pStyle w:val="6"/>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Bobot segar tanaman bawang merah diambil pada saat tanaman berumur 50 HST dengan cara mengambil 2 tanaman korban pada setiap ulangan, kemudian dilakukan penimbangan untuk mengetahui bobot segar tanaman bawang merah pada variabel pertumbuhan. </w:t>
      </w:r>
    </w:p>
    <w:p>
      <w:pPr>
        <w:pStyle w:val="6"/>
        <w:spacing w:after="0" w:line="360" w:lineRule="auto"/>
        <w:jc w:val="both"/>
        <w:rPr>
          <w:rFonts w:ascii="Times New Roman" w:hAnsi="Times New Roman" w:cs="Times New Roman"/>
          <w:sz w:val="24"/>
          <w:szCs w:val="24"/>
          <w:lang w:val="id-ID"/>
        </w:rPr>
        <w:sectPr>
          <w:type w:val="continuous"/>
          <w:pgSz w:w="11906" w:h="16838"/>
          <w:pgMar w:top="2268" w:right="1701" w:bottom="1701" w:left="2268" w:header="708" w:footer="708" w:gutter="0"/>
          <w:cols w:space="708" w:num="2"/>
          <w:docGrid w:linePitch="360" w:charSpace="0"/>
        </w:sectPr>
      </w:pPr>
      <w:r>
        <w:rPr>
          <w:rFonts w:ascii="Times New Roman" w:hAnsi="Times New Roman" w:cs="Times New Roman"/>
          <w:sz w:val="24"/>
          <w:szCs w:val="24"/>
        </w:rPr>
        <w:tab/>
      </w:r>
      <w:r>
        <w:rPr>
          <w:rFonts w:ascii="Times New Roman" w:hAnsi="Times New Roman" w:cs="Times New Roman"/>
          <w:sz w:val="24"/>
          <w:szCs w:val="24"/>
        </w:rPr>
        <w:t xml:space="preserve">Hasil analisis sidik ragam taraf 5% pada variabel pertumbuhan </w:t>
      </w:r>
      <w:r>
        <w:rPr>
          <w:rFonts w:ascii="Times New Roman" w:hAnsi="Times New Roman" w:eastAsia="Times New Roman" w:cs="Times New Roman"/>
          <w:sz w:val="24"/>
          <w:szCs w:val="24"/>
        </w:rPr>
        <w:t xml:space="preserve">bobot segar tanaman </w:t>
      </w:r>
      <w:r>
        <w:rPr>
          <w:rFonts w:ascii="Times New Roman" w:hAnsi="Times New Roman" w:cs="Times New Roman"/>
          <w:sz w:val="24"/>
          <w:szCs w:val="24"/>
        </w:rPr>
        <w:t>menunjukkan hasil yang tidak berbeda nyata antar perlakuan.Data purata bobot segar tanamanbawang merahdisajikan pada Tabel 4</w:t>
      </w:r>
    </w:p>
    <w:p>
      <w:pPr>
        <w:spacing w:after="0" w:line="360" w:lineRule="auto"/>
        <w:jc w:val="center"/>
        <w:rPr>
          <w:rFonts w:ascii="Times New Roman" w:hAnsi="Times New Roman"/>
          <w:sz w:val="24"/>
          <w:szCs w:val="24"/>
        </w:rPr>
      </w:pPr>
    </w:p>
    <w:p>
      <w:pPr>
        <w:spacing w:after="0" w:line="360" w:lineRule="auto"/>
        <w:jc w:val="center"/>
        <w:rPr>
          <w:rFonts w:ascii="Times New Roman" w:hAnsi="Times New Roman" w:eastAsia="Times New Roman"/>
          <w:sz w:val="24"/>
          <w:szCs w:val="24"/>
        </w:rPr>
      </w:pPr>
      <w:r>
        <w:rPr>
          <w:rFonts w:ascii="Times New Roman" w:hAnsi="Times New Roman"/>
          <w:sz w:val="24"/>
          <w:szCs w:val="24"/>
        </w:rPr>
        <w:t xml:space="preserve">Tabel 4. Purata </w:t>
      </w:r>
      <w:r>
        <w:rPr>
          <w:rFonts w:ascii="Times New Roman" w:hAnsi="Times New Roman" w:eastAsia="Times New Roman"/>
          <w:sz w:val="24"/>
          <w:szCs w:val="24"/>
        </w:rPr>
        <w:t xml:space="preserve">bobot segar tanaman </w:t>
      </w:r>
      <w:r>
        <w:rPr>
          <w:rFonts w:ascii="Times New Roman" w:hAnsi="Times New Roman"/>
          <w:sz w:val="24"/>
          <w:szCs w:val="24"/>
        </w:rPr>
        <w:t>bawang merah</w:t>
      </w:r>
      <w:r>
        <w:rPr>
          <w:rFonts w:ascii="Times New Roman" w:hAnsi="Times New Roman" w:eastAsia="Times New Roman"/>
          <w:sz w:val="24"/>
          <w:szCs w:val="24"/>
        </w:rPr>
        <w:t xml:space="preserve"> (g / tanaman)</w:t>
      </w:r>
    </w:p>
    <w:tbl>
      <w:tblPr>
        <w:tblStyle w:val="5"/>
        <w:tblpPr w:leftFromText="180" w:rightFromText="180" w:vertAnchor="text" w:tblpXSpec="center"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2127"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Bobot Segar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2127"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105,00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2127"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105,83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2127"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100,83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2127" w:type="dxa"/>
            <w:noWrap/>
            <w:vAlign w:val="center"/>
          </w:tcPr>
          <w:p>
            <w:pPr>
              <w:spacing w:after="0" w:line="240" w:lineRule="auto"/>
              <w:jc w:val="center"/>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73,83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3"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2127" w:type="dxa"/>
            <w:tcBorders>
              <w:bottom w:val="single" w:color="auto" w:sz="4" w:space="0"/>
            </w:tcBorders>
            <w:noWrap/>
            <w:vAlign w:val="center"/>
          </w:tcPr>
          <w:p>
            <w:pPr>
              <w:spacing w:after="0" w:line="240" w:lineRule="auto"/>
              <w:jc w:val="center"/>
              <w:rPr>
                <w:rFonts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lang w:val="en-US"/>
                <w14:textFill>
                  <w14:solidFill>
                    <w14:schemeClr w14:val="tx1"/>
                  </w14:solidFill>
                </w14:textFill>
              </w:rPr>
              <w:t>92,50 a</w:t>
            </w:r>
          </w:p>
        </w:tc>
      </w:tr>
    </w:tbl>
    <w:p>
      <w:pPr>
        <w:spacing w:after="0" w:line="240" w:lineRule="auto"/>
        <w:ind w:left="720"/>
        <w:jc w:val="both"/>
        <w:rPr>
          <w:rFonts w:ascii="Times New Roman" w:hAnsi="Times New Roman"/>
          <w:sz w:val="24"/>
          <w:szCs w:val="24"/>
          <w:lang w:val="en-US"/>
        </w:rPr>
      </w:pPr>
      <w:r>
        <w:rPr>
          <w:rFonts w:ascii="Times New Roman" w:hAnsi="Times New Roman"/>
          <w:sz w:val="24"/>
          <w:szCs w:val="24"/>
        </w:rPr>
        <w:br w:type="textWrapping" w:clear="all"/>
      </w: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w:t>
      </w:r>
      <w:bookmarkStart w:id="0" w:name="_GoBack"/>
      <w:bookmarkEnd w:id="0"/>
      <w:r>
        <w:rPr>
          <w:rFonts w:ascii="Times New Roman" w:hAnsi="Times New Roman"/>
          <w:sz w:val="24"/>
          <w:szCs w:val="24"/>
        </w:rPr>
        <w:t xml:space="preserve">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numPr>
          <w:ilvl w:val="0"/>
          <w:numId w:val="3"/>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3"/>
        </w:numPr>
        <w:spacing w:line="360" w:lineRule="auto"/>
        <w:jc w:val="both"/>
        <w:rPr>
          <w:rFonts w:ascii="Times New Roman" w:hAnsi="Times New Roman"/>
          <w:sz w:val="24"/>
          <w:szCs w:val="24"/>
        </w:rPr>
      </w:pPr>
      <w:r>
        <w:rPr>
          <w:rFonts w:ascii="Times New Roman" w:hAnsi="Times New Roman"/>
          <w:sz w:val="24"/>
          <w:szCs w:val="24"/>
        </w:rPr>
        <w:t>Bobot Kering Tanaman</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Hasil analisis sidik ragam taraf 5% pada variabel pertumbuhan </w:t>
      </w:r>
      <w:r>
        <w:rPr>
          <w:rFonts w:ascii="Times New Roman" w:hAnsi="Times New Roman" w:eastAsia="Times New Roman" w:cs="Times New Roman"/>
          <w:sz w:val="24"/>
          <w:szCs w:val="24"/>
        </w:rPr>
        <w:t xml:space="preserve">bobot kering tanaman </w:t>
      </w:r>
      <w:r>
        <w:rPr>
          <w:rFonts w:ascii="Times New Roman" w:hAnsi="Times New Roman" w:cs="Times New Roman"/>
          <w:sz w:val="24"/>
          <w:szCs w:val="24"/>
        </w:rPr>
        <w:t>menunjukkan hasil yang tidak berbeda nyata antar perlakuan. Data purata jumlah daun bawang merah disajikan pada Tabel 5.</w:t>
      </w:r>
    </w:p>
    <w:p>
      <w:pPr>
        <w:spacing w:after="0"/>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jc w:val="center"/>
        <w:rPr>
          <w:rFonts w:ascii="Times New Roman" w:hAnsi="Times New Roman" w:eastAsia="Times New Roman"/>
          <w:sz w:val="24"/>
          <w:szCs w:val="24"/>
        </w:rPr>
      </w:pPr>
      <w:r>
        <w:rPr>
          <w:rFonts w:ascii="Times New Roman" w:hAnsi="Times New Roman"/>
          <w:sz w:val="24"/>
          <w:szCs w:val="24"/>
        </w:rPr>
        <w:t xml:space="preserve">Tabel 5. Purata </w:t>
      </w:r>
      <w:r>
        <w:rPr>
          <w:rFonts w:ascii="Times New Roman" w:hAnsi="Times New Roman" w:eastAsia="Times New Roman"/>
          <w:sz w:val="24"/>
          <w:szCs w:val="24"/>
        </w:rPr>
        <w:t xml:space="preserve">bobot kering tanaman </w:t>
      </w:r>
      <w:r>
        <w:rPr>
          <w:rFonts w:ascii="Times New Roman" w:hAnsi="Times New Roman"/>
          <w:sz w:val="24"/>
          <w:szCs w:val="24"/>
        </w:rPr>
        <w:t>bawang merah</w:t>
      </w:r>
      <w:r>
        <w:rPr>
          <w:rFonts w:ascii="Times New Roman" w:hAnsi="Times New Roman" w:eastAsia="Times New Roman"/>
          <w:sz w:val="24"/>
          <w:szCs w:val="24"/>
        </w:rPr>
        <w:t xml:space="preserve"> (g / tanaman)</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2268"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Bobot Kering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2268"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15,83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2268"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18,48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2268"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15,08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2268"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12,62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2268"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14,80 a</w:t>
            </w:r>
          </w:p>
        </w:tc>
      </w:tr>
    </w:tbl>
    <w:p>
      <w:pPr>
        <w:spacing w:after="0" w:line="240" w:lineRule="auto"/>
        <w:ind w:left="720"/>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gan : Nilai purata yang diikuti notasi huruf yang sama menunjukkan tidak berbeda nyata menurut uji F taraf 5%</w:t>
      </w:r>
    </w:p>
    <w:p>
      <w:pPr>
        <w:pStyle w:val="6"/>
        <w:numPr>
          <w:ilvl w:val="0"/>
          <w:numId w:val="2"/>
        </w:numPr>
        <w:spacing w:line="360" w:lineRule="auto"/>
        <w:ind w:left="360"/>
        <w:jc w:val="both"/>
        <w:rPr>
          <w:rFonts w:ascii="Times New Roman" w:hAnsi="Times New Roman"/>
          <w:b/>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2"/>
        </w:numPr>
        <w:spacing w:line="360" w:lineRule="auto"/>
        <w:ind w:left="360"/>
        <w:jc w:val="both"/>
        <w:rPr>
          <w:rFonts w:ascii="Times New Roman" w:hAnsi="Times New Roman"/>
          <w:b/>
          <w:sz w:val="24"/>
          <w:szCs w:val="24"/>
        </w:rPr>
      </w:pPr>
      <w:r>
        <w:rPr>
          <w:rFonts w:ascii="Times New Roman" w:hAnsi="Times New Roman"/>
          <w:b/>
          <w:sz w:val="24"/>
          <w:szCs w:val="24"/>
        </w:rPr>
        <w:t>Variabel Hasil</w:t>
      </w:r>
    </w:p>
    <w:p>
      <w:pPr>
        <w:pStyle w:val="6"/>
        <w:numPr>
          <w:ilvl w:val="0"/>
          <w:numId w:val="4"/>
        </w:numPr>
        <w:spacing w:line="360" w:lineRule="auto"/>
        <w:jc w:val="both"/>
        <w:rPr>
          <w:rFonts w:ascii="Times New Roman" w:hAnsi="Times New Roman"/>
          <w:sz w:val="24"/>
          <w:szCs w:val="24"/>
        </w:rPr>
      </w:pPr>
      <w:r>
        <w:rPr>
          <w:rFonts w:ascii="Times New Roman" w:hAnsi="Times New Roman"/>
          <w:sz w:val="24"/>
          <w:szCs w:val="24"/>
        </w:rPr>
        <w:t>Jumlah Umbi</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Hasil analisis sidik ragam taraf 5% pada variabel pertumbuhan </w:t>
      </w:r>
      <w:r>
        <w:rPr>
          <w:rFonts w:ascii="Times New Roman" w:hAnsi="Times New Roman" w:eastAsia="Times New Roman" w:cs="Times New Roman"/>
          <w:sz w:val="24"/>
          <w:szCs w:val="24"/>
        </w:rPr>
        <w:t xml:space="preserve">jumlah umbi </w:t>
      </w:r>
      <w:r>
        <w:rPr>
          <w:rFonts w:ascii="Times New Roman" w:hAnsi="Times New Roman" w:cs="Times New Roman"/>
          <w:sz w:val="24"/>
          <w:szCs w:val="24"/>
        </w:rPr>
        <w:t>menunjukkan hasil yang tidak berbeda nyata antar perlakuan. Data purata jumlah daun bawang merah disajikan pada Tabel 6.</w:t>
      </w:r>
    </w:p>
    <w:p>
      <w:pPr>
        <w:spacing w:after="0" w:line="360" w:lineRule="auto"/>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eastAsia="Times New Roman"/>
          <w:sz w:val="24"/>
          <w:szCs w:val="24"/>
        </w:rPr>
      </w:pPr>
      <w:r>
        <w:rPr>
          <w:rFonts w:ascii="Times New Roman" w:hAnsi="Times New Roman"/>
          <w:sz w:val="24"/>
          <w:szCs w:val="24"/>
        </w:rPr>
        <w:t xml:space="preserve">Tabel 6. Purata </w:t>
      </w:r>
      <w:r>
        <w:rPr>
          <w:rFonts w:ascii="Times New Roman" w:hAnsi="Times New Roman" w:eastAsia="Times New Roman"/>
          <w:sz w:val="24"/>
          <w:szCs w:val="24"/>
        </w:rPr>
        <w:t>jumlah umbi</w:t>
      </w:r>
      <w:r>
        <w:rPr>
          <w:rFonts w:ascii="Times New Roman" w:hAnsi="Times New Roman" w:eastAsia="Times New Roman"/>
          <w:sz w:val="24"/>
          <w:szCs w:val="24"/>
          <w:lang w:val="en-US"/>
        </w:rPr>
        <w:t xml:space="preserve"> </w:t>
      </w:r>
      <w:r>
        <w:rPr>
          <w:rFonts w:ascii="Times New Roman" w:hAnsi="Times New Roman"/>
          <w:sz w:val="24"/>
          <w:szCs w:val="24"/>
        </w:rPr>
        <w:t>bawang merah</w:t>
      </w:r>
      <w:r>
        <w:rPr>
          <w:rFonts w:ascii="Times New Roman" w:hAnsi="Times New Roman" w:eastAsia="Times New Roman"/>
          <w:sz w:val="24"/>
          <w:szCs w:val="24"/>
        </w:rPr>
        <w:t xml:space="preserve"> (g / tanaman)</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1701"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Jumlah Umbi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1701"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9,20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170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8,93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170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8,20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170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8,87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43"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1701"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7,77 a</w:t>
            </w:r>
          </w:p>
        </w:tc>
      </w:tr>
    </w:tbl>
    <w:p>
      <w:pPr>
        <w:spacing w:after="0" w:line="240" w:lineRule="auto"/>
        <w:ind w:left="720"/>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numPr>
          <w:ilvl w:val="0"/>
          <w:numId w:val="4"/>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4"/>
        </w:numPr>
        <w:spacing w:line="360" w:lineRule="auto"/>
        <w:jc w:val="both"/>
        <w:rPr>
          <w:rFonts w:ascii="Times New Roman" w:hAnsi="Times New Roman"/>
          <w:sz w:val="24"/>
          <w:szCs w:val="24"/>
        </w:rPr>
      </w:pPr>
      <w:r>
        <w:rPr>
          <w:rFonts w:ascii="Times New Roman" w:hAnsi="Times New Roman"/>
          <w:sz w:val="24"/>
          <w:szCs w:val="24"/>
        </w:rPr>
        <w:t>Diameter Umbi</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Hasil analisis sidik ragam taraf 5% pada variabel pertumbuhan </w:t>
      </w:r>
      <w:r>
        <w:rPr>
          <w:rFonts w:ascii="Times New Roman" w:hAnsi="Times New Roman" w:eastAsia="Times New Roman" w:cs="Times New Roman"/>
          <w:sz w:val="24"/>
          <w:szCs w:val="24"/>
        </w:rPr>
        <w:t>diameter umbi</w:t>
      </w:r>
      <w:r>
        <w:rPr>
          <w:rFonts w:ascii="Times New Roman" w:hAnsi="Times New Roman" w:cs="Times New Roman"/>
          <w:sz w:val="24"/>
          <w:szCs w:val="24"/>
        </w:rPr>
        <w:t>menunjukkan hasil yang tidak berbeda nyata antar perlakuan. Data purata jumlah daun bawang merah disajikan pada Tabel 7.</w:t>
      </w:r>
    </w:p>
    <w:p>
      <w:pPr>
        <w:spacing w:after="0" w:line="360" w:lineRule="auto"/>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eastAsia="Times New Roman"/>
          <w:sz w:val="24"/>
          <w:szCs w:val="24"/>
        </w:rPr>
      </w:pPr>
      <w:r>
        <w:rPr>
          <w:rFonts w:ascii="Times New Roman" w:hAnsi="Times New Roman"/>
          <w:sz w:val="24"/>
          <w:szCs w:val="24"/>
        </w:rPr>
        <w:t xml:space="preserve">Tabel 7. Purata </w:t>
      </w:r>
      <w:r>
        <w:rPr>
          <w:rFonts w:ascii="Times New Roman" w:hAnsi="Times New Roman" w:eastAsia="Times New Roman"/>
          <w:sz w:val="24"/>
          <w:szCs w:val="24"/>
        </w:rPr>
        <w:t>diameter umbi</w:t>
      </w:r>
      <w:r>
        <w:rPr>
          <w:rFonts w:ascii="Times New Roman" w:hAnsi="Times New Roman"/>
          <w:sz w:val="24"/>
          <w:szCs w:val="24"/>
        </w:rPr>
        <w:t>bawang merah</w:t>
      </w:r>
      <w:r>
        <w:rPr>
          <w:rFonts w:ascii="Times New Roman" w:hAnsi="Times New Roman" w:eastAsia="Times New Roman"/>
          <w:sz w:val="24"/>
          <w:szCs w:val="24"/>
        </w:rPr>
        <w:t xml:space="preserve"> (mm / tanaman)</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1842"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Diameter Umbi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1842"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25,13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184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22,17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184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23,33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184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21,10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1842"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21,77 a</w:t>
            </w:r>
          </w:p>
        </w:tc>
      </w:tr>
    </w:tbl>
    <w:p>
      <w:pPr>
        <w:spacing w:after="0" w:line="240" w:lineRule="auto"/>
        <w:ind w:left="709"/>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numPr>
          <w:ilvl w:val="0"/>
          <w:numId w:val="4"/>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4"/>
        </w:numPr>
        <w:spacing w:line="360" w:lineRule="auto"/>
        <w:jc w:val="both"/>
        <w:rPr>
          <w:rFonts w:ascii="Times New Roman" w:hAnsi="Times New Roman"/>
          <w:sz w:val="24"/>
          <w:szCs w:val="24"/>
        </w:rPr>
      </w:pPr>
      <w:r>
        <w:rPr>
          <w:rFonts w:ascii="Times New Roman" w:hAnsi="Times New Roman"/>
          <w:sz w:val="24"/>
          <w:szCs w:val="24"/>
        </w:rPr>
        <w:t>Bobot Segar</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Hasil analisis sidik ragam taraf 5% pada variabel hasil bobot segar umbi menunjukkan hasil yang berbeda nyata. Penggunaan limbah cair tahu pada berbagai konsentrasi tidak berpengaruh nyata terhadap bobot segar umbi, tetapi berbeda nyata dengan kontrol (pupuk anorganik).Tabel 8 menunjukkan bahwa bobot segar tertinggi diperoleh pada kontrol dengan nilai 81,87 g. Data purata bobot segar umbi disajikan pada Tabel 8.</w:t>
      </w:r>
    </w:p>
    <w:p>
      <w:pPr>
        <w:spacing w:after="0" w:line="360" w:lineRule="auto"/>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eastAsia="Times New Roman"/>
          <w:sz w:val="24"/>
          <w:szCs w:val="24"/>
        </w:rPr>
      </w:pPr>
      <w:r>
        <w:rPr>
          <w:rFonts w:ascii="Times New Roman" w:hAnsi="Times New Roman"/>
          <w:sz w:val="24"/>
          <w:szCs w:val="24"/>
        </w:rPr>
        <w:t xml:space="preserve">Tabel 8. Purata </w:t>
      </w:r>
      <w:r>
        <w:rPr>
          <w:rFonts w:ascii="Times New Roman" w:hAnsi="Times New Roman" w:eastAsia="Times New Roman"/>
          <w:sz w:val="24"/>
          <w:szCs w:val="24"/>
        </w:rPr>
        <w:t>bobot segar umbi</w:t>
      </w:r>
      <w:r>
        <w:rPr>
          <w:rFonts w:ascii="Times New Roman" w:hAnsi="Times New Roman" w:eastAsia="Times New Roman"/>
          <w:sz w:val="24"/>
          <w:szCs w:val="24"/>
          <w:lang w:val="en-US"/>
        </w:rPr>
        <w:t xml:space="preserve"> </w:t>
      </w:r>
      <w:r>
        <w:rPr>
          <w:rFonts w:ascii="Times New Roman" w:hAnsi="Times New Roman"/>
          <w:sz w:val="24"/>
          <w:szCs w:val="24"/>
        </w:rPr>
        <w:t>bawang merah</w:t>
      </w:r>
      <w:r>
        <w:rPr>
          <w:rFonts w:ascii="Times New Roman" w:hAnsi="Times New Roman" w:eastAsia="Times New Roman"/>
          <w:sz w:val="24"/>
          <w:szCs w:val="24"/>
        </w:rPr>
        <w:t xml:space="preserve"> (g / tanaman)</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2551"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Bobot Segar Umbi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2551"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81,87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57,40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54,53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59,00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2551"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59,07 b</w:t>
            </w:r>
          </w:p>
        </w:tc>
      </w:tr>
    </w:tbl>
    <w:p>
      <w:pPr>
        <w:spacing w:after="0" w:line="240" w:lineRule="auto"/>
        <w:ind w:left="709"/>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numPr>
          <w:ilvl w:val="0"/>
          <w:numId w:val="4"/>
        </w:numPr>
        <w:spacing w:line="360" w:lineRule="auto"/>
        <w:jc w:val="both"/>
        <w:rPr>
          <w:rFonts w:ascii="Times New Roman" w:hAnsi="Times New Roman"/>
          <w:sz w:val="24"/>
          <w:szCs w:val="24"/>
        </w:rPr>
        <w:sectPr>
          <w:type w:val="continuous"/>
          <w:pgSz w:w="11906" w:h="16838"/>
          <w:pgMar w:top="2268" w:right="1701" w:bottom="1701" w:left="2268" w:header="708" w:footer="708" w:gutter="0"/>
          <w:cols w:space="708" w:num="1"/>
          <w:docGrid w:linePitch="360" w:charSpace="0"/>
        </w:sectPr>
      </w:pPr>
    </w:p>
    <w:p>
      <w:pPr>
        <w:pStyle w:val="6"/>
        <w:numPr>
          <w:ilvl w:val="0"/>
          <w:numId w:val="4"/>
        </w:numPr>
        <w:spacing w:line="360" w:lineRule="auto"/>
        <w:jc w:val="both"/>
        <w:rPr>
          <w:rFonts w:ascii="Times New Roman" w:hAnsi="Times New Roman"/>
          <w:sz w:val="24"/>
          <w:szCs w:val="24"/>
        </w:rPr>
      </w:pPr>
      <w:r>
        <w:rPr>
          <w:rFonts w:ascii="Times New Roman" w:hAnsi="Times New Roman"/>
          <w:sz w:val="24"/>
          <w:szCs w:val="24"/>
        </w:rPr>
        <w:t>Bobot Kering Matahari</w:t>
      </w:r>
    </w:p>
    <w:p>
      <w:pPr>
        <w:pStyle w:val="6"/>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Hasil analisis sidik ragam taraf 5% pada variabel hasil bobot kering umbi menunjukkan hasil yang berbeda nyata. Penggunaan limbah cair tahu pada berbagai konsentrasi tidak berpengaruh nyata terhadap bobot umbi kering matahari, tetapi berbeda</w:t>
      </w:r>
      <w:r>
        <w:rPr>
          <w:rFonts w:ascii="Times New Roman" w:hAnsi="Times New Roman"/>
          <w:sz w:val="24"/>
          <w:szCs w:val="24"/>
        </w:rPr>
        <w:t xml:space="preserve"> </w:t>
      </w:r>
      <w:r>
        <w:rPr>
          <w:rFonts w:ascii="Times New Roman" w:hAnsi="Times New Roman" w:cs="Times New Roman"/>
          <w:sz w:val="24"/>
          <w:szCs w:val="24"/>
        </w:rPr>
        <w:t>nyata dengan kontrol (pupuk anorganik).</w:t>
      </w:r>
      <w:r>
        <w:rPr>
          <w:rFonts w:ascii="Times New Roman" w:hAnsi="Times New Roman" w:cs="Times New Roman"/>
          <w:sz w:val="24"/>
          <w:szCs w:val="24"/>
          <w:lang w:val="id-ID"/>
        </w:rPr>
        <w:t xml:space="preserve"> </w:t>
      </w:r>
      <w:r>
        <w:rPr>
          <w:rFonts w:ascii="Times New Roman" w:hAnsi="Times New Roman" w:cs="Times New Roman"/>
          <w:sz w:val="24"/>
          <w:szCs w:val="24"/>
        </w:rPr>
        <w:t>Tabel 9 menunjukkan bahwa bobotumbikering matahari tertinggi diperoleh pada kontrol dengan nilai 67,80 g. Data purata bobot segar umbi disajikan pada Tabel 9.</w:t>
      </w:r>
    </w:p>
    <w:p>
      <w:pPr>
        <w:spacing w:after="0" w:line="360" w:lineRule="auto"/>
        <w:jc w:val="center"/>
        <w:rPr>
          <w:rFonts w:ascii="Times New Roman" w:hAnsi="Times New Roman"/>
          <w:sz w:val="24"/>
          <w:szCs w:val="24"/>
        </w:rPr>
        <w:sectPr>
          <w:type w:val="continuous"/>
          <w:pgSz w:w="11906" w:h="16838"/>
          <w:pgMar w:top="2268" w:right="1701" w:bottom="1701" w:left="2268" w:header="708" w:footer="708" w:gutter="0"/>
          <w:cols w:space="708" w:num="2"/>
          <w:docGrid w:linePitch="360" w:charSpace="0"/>
        </w:sectPr>
      </w:pPr>
    </w:p>
    <w:p>
      <w:pPr>
        <w:spacing w:after="0" w:line="360" w:lineRule="auto"/>
        <w:jc w:val="center"/>
        <w:rPr>
          <w:rFonts w:ascii="Times New Roman" w:hAnsi="Times New Roman" w:eastAsia="Times New Roman"/>
          <w:sz w:val="24"/>
          <w:szCs w:val="24"/>
        </w:rPr>
      </w:pPr>
      <w:r>
        <w:rPr>
          <w:rFonts w:ascii="Times New Roman" w:hAnsi="Times New Roman"/>
          <w:sz w:val="24"/>
          <w:szCs w:val="24"/>
        </w:rPr>
        <w:t xml:space="preserve">Tabel 9. Purata </w:t>
      </w:r>
      <w:r>
        <w:rPr>
          <w:rFonts w:ascii="Times New Roman" w:hAnsi="Times New Roman" w:eastAsia="Times New Roman"/>
          <w:sz w:val="24"/>
          <w:szCs w:val="24"/>
        </w:rPr>
        <w:t>bobot umbi</w:t>
      </w:r>
      <w:r>
        <w:rPr>
          <w:rFonts w:ascii="Times New Roman" w:hAnsi="Times New Roman" w:eastAsia="Times New Roman"/>
          <w:sz w:val="24"/>
          <w:szCs w:val="24"/>
          <w:lang w:val="en-US"/>
        </w:rPr>
        <w:t xml:space="preserve"> </w:t>
      </w:r>
      <w:r>
        <w:rPr>
          <w:rFonts w:ascii="Times New Roman" w:hAnsi="Times New Roman" w:eastAsia="Times New Roman"/>
          <w:sz w:val="24"/>
          <w:szCs w:val="24"/>
        </w:rPr>
        <w:t>kering</w:t>
      </w:r>
      <w:r>
        <w:rPr>
          <w:rFonts w:ascii="Times New Roman" w:hAnsi="Times New Roman"/>
          <w:sz w:val="24"/>
          <w:szCs w:val="24"/>
        </w:rPr>
        <w:t xml:space="preserve"> matahari bawang merah</w:t>
      </w:r>
      <w:r>
        <w:rPr>
          <w:rFonts w:ascii="Times New Roman" w:hAnsi="Times New Roman" w:eastAsia="Times New Roman"/>
          <w:sz w:val="24"/>
          <w:szCs w:val="24"/>
        </w:rPr>
        <w:t xml:space="preserve"> (g / tanaman)</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Perlakuan</w:t>
            </w:r>
          </w:p>
        </w:tc>
        <w:tc>
          <w:tcPr>
            <w:tcW w:w="2551" w:type="dxa"/>
            <w:tcBorders>
              <w:top w:val="single" w:color="auto" w:sz="4" w:space="0"/>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Bobot Kering Umbi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K0 (Pupuk Anorganik)</w:t>
            </w:r>
          </w:p>
        </w:tc>
        <w:tc>
          <w:tcPr>
            <w:tcW w:w="2551" w:type="dxa"/>
            <w:tcBorders>
              <w:top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67,80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K1 (Konsentrasi 15 %)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45,33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K2 (Konsentrasi 25 %)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43,33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K3 (Konsentrasi 35 %)</w:t>
            </w:r>
          </w:p>
        </w:tc>
        <w:tc>
          <w:tcPr>
            <w:tcW w:w="2551" w:type="dxa"/>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45,47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02"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K4 (Konsentrasi 45 %)</w:t>
            </w:r>
          </w:p>
        </w:tc>
        <w:tc>
          <w:tcPr>
            <w:tcW w:w="2551" w:type="dxa"/>
            <w:tcBorders>
              <w:bottom w:val="single" w:color="auto" w:sz="4" w:space="0"/>
            </w:tcBorders>
            <w:noWrap/>
            <w:vAlign w:val="center"/>
          </w:tcPr>
          <w:p>
            <w:pPr>
              <w:spacing w:after="0" w:line="240" w:lineRule="auto"/>
              <w:jc w:val="center"/>
              <w:rPr>
                <w:rFonts w:ascii="Times New Roman" w:hAnsi="Times New Roman"/>
                <w:sz w:val="24"/>
                <w:szCs w:val="24"/>
                <w:lang w:val="en-US"/>
              </w:rPr>
            </w:pPr>
            <w:r>
              <w:rPr>
                <w:rFonts w:ascii="Times New Roman" w:hAnsi="Times New Roman"/>
                <w:sz w:val="24"/>
                <w:szCs w:val="24"/>
                <w:lang w:val="en-US"/>
              </w:rPr>
              <w:t>47,47 b</w:t>
            </w:r>
          </w:p>
        </w:tc>
      </w:tr>
    </w:tbl>
    <w:p>
      <w:pPr>
        <w:spacing w:after="0" w:line="240" w:lineRule="auto"/>
        <w:ind w:left="720"/>
        <w:jc w:val="both"/>
        <w:rPr>
          <w:rFonts w:ascii="Times New Roman" w:hAnsi="Times New Roman"/>
          <w:sz w:val="24"/>
          <w:szCs w:val="24"/>
          <w:lang w:val="en-US"/>
        </w:rPr>
      </w:pPr>
      <w:r>
        <w:rPr>
          <w:rFonts w:ascii="Times New Roman" w:hAnsi="Times New Roman"/>
          <w:sz w:val="24"/>
          <w:szCs w:val="24"/>
        </w:rPr>
        <w:t>Ketera</w:t>
      </w:r>
      <w:r>
        <w:rPr>
          <w:rFonts w:ascii="Times New Roman" w:hAnsi="Times New Roman"/>
          <w:sz w:val="24"/>
          <w:szCs w:val="24"/>
          <w:lang w:val="en-US"/>
        </w:rPr>
        <w:t>n</w:t>
      </w:r>
      <w:r>
        <w:rPr>
          <w:rFonts w:ascii="Times New Roman" w:hAnsi="Times New Roman"/>
          <w:sz w:val="24"/>
          <w:szCs w:val="24"/>
        </w:rPr>
        <w:t xml:space="preserve">gan : Nilai purata yang diikuti notasi huruf yang sama menunjukkan tidak </w:t>
      </w:r>
      <w:r>
        <w:rPr>
          <w:rFonts w:ascii="Times New Roman" w:hAnsi="Times New Roman"/>
          <w:sz w:val="24"/>
          <w:szCs w:val="24"/>
          <w:lang w:val="en-US"/>
        </w:rPr>
        <w:t>berbe</w:t>
      </w:r>
      <w:r>
        <w:rPr>
          <w:rFonts w:ascii="Times New Roman" w:hAnsi="Times New Roman"/>
          <w:sz w:val="24"/>
          <w:szCs w:val="24"/>
        </w:rPr>
        <w:t>da nyata menurut uji F taraf 5</w:t>
      </w:r>
      <w:r>
        <w:rPr>
          <w:rFonts w:ascii="Times New Roman" w:hAnsi="Times New Roman"/>
          <w:sz w:val="24"/>
          <w:szCs w:val="24"/>
          <w:lang w:val="en-US"/>
        </w:rPr>
        <w:t>%</w:t>
      </w:r>
    </w:p>
    <w:p>
      <w:pPr>
        <w:pStyle w:val="6"/>
        <w:spacing w:before="240" w:after="0" w:line="360" w:lineRule="auto"/>
        <w:ind w:left="284" w:firstLine="709"/>
        <w:jc w:val="both"/>
        <w:rPr>
          <w:rFonts w:ascii="Times New Roman" w:hAnsi="Times New Roman" w:cs="Times New Roman"/>
          <w:sz w:val="24"/>
          <w:szCs w:val="24"/>
        </w:rPr>
        <w:sectPr>
          <w:type w:val="continuous"/>
          <w:pgSz w:w="11906" w:h="16838"/>
          <w:pgMar w:top="2268" w:right="1701" w:bottom="1701" w:left="2268" w:header="708" w:footer="708" w:gutter="0"/>
          <w:cols w:space="708" w:num="1"/>
          <w:docGrid w:linePitch="360" w:charSpace="0"/>
        </w:sectPr>
      </w:pPr>
    </w:p>
    <w:p>
      <w:pPr>
        <w:pStyle w:val="6"/>
        <w:spacing w:before="240"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hasil analisis kandungan N, P, K dan C-Organik pada pupuk organik cair limbah tahu ini ternyata belum memenuhi standar pupuk organik cair yang telah ditetapkan oleh Permentan No. 70, karena kandungan unsur hara tersebut masih di bawah standar yaitu kandungan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w:t>
      </w:r>
      <w:r>
        <w:rPr>
          <w:rFonts w:ascii="Times New Roman" w:hAnsi="Times New Roman" w:cs="Times New Roman"/>
          <w:sz w:val="24"/>
          <w:szCs w:val="24"/>
          <w:vertAlign w:val="subscript"/>
        </w:rPr>
        <w:t>2</w:t>
      </w:r>
      <w:r>
        <w:rPr>
          <w:rFonts w:ascii="Times New Roman" w:hAnsi="Times New Roman" w:cs="Times New Roman"/>
          <w:sz w:val="24"/>
          <w:szCs w:val="24"/>
        </w:rPr>
        <w:t>O pada pupuk organik cair minimal 3-6%, sementara untuk C-Organik minimal 6%.</w:t>
      </w:r>
    </w:p>
    <w:p>
      <w:pPr>
        <w:pStyle w:val="6"/>
        <w:spacing w:after="0" w:line="360" w:lineRule="auto"/>
        <w:ind w:left="284"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Tinggi tanaman adalah salah satu parameter pertumbuhan tanaman. Tanaman dari hari ke hari terus mengalami pertumbuhan dan perkembangan akibat terjadi pembelahan dan pembesaran sel pada suatu tanaman.  </w:t>
      </w:r>
      <w:r>
        <w:rPr>
          <w:rFonts w:ascii="Times New Roman" w:hAnsi="Times New Roman" w:cs="Times New Roman"/>
          <w:sz w:val="24"/>
          <w:szCs w:val="24"/>
        </w:rPr>
        <w:t>Tinggi tanaman merupakan perubah yang sering diamati baik sebagai indikator pertumbuhan maupun untuk mengukur pengaruh lingkungan atau perlakuan yang diterapkan.</w:t>
      </w:r>
    </w:p>
    <w:p>
      <w:pPr>
        <w:pStyle w:val="6"/>
        <w:spacing w:line="360" w:lineRule="auto"/>
        <w:ind w:left="0" w:firstLine="851"/>
        <w:jc w:val="both"/>
        <w:rPr>
          <w:rFonts w:ascii="Times New Roman" w:hAnsi="Times New Roman" w:cs="Times New Roman"/>
          <w:sz w:val="24"/>
        </w:rPr>
      </w:pPr>
      <w:r>
        <w:rPr>
          <w:rFonts w:ascii="Times New Roman" w:hAnsi="Times New Roman" w:cs="Times New Roman"/>
          <w:sz w:val="24"/>
        </w:rPr>
        <w:t xml:space="preserve">Pada hasil </w:t>
      </w:r>
      <w:r>
        <w:rPr>
          <w:rFonts w:ascii="Times New Roman" w:hAnsi="Times New Roman" w:cs="Times New Roman"/>
          <w:sz w:val="24"/>
          <w:szCs w:val="24"/>
        </w:rPr>
        <w:t xml:space="preserve">analisis sidik ragam taraf 5% </w:t>
      </w:r>
      <w:r>
        <w:rPr>
          <w:rFonts w:ascii="Times New Roman" w:hAnsi="Times New Roman" w:cs="Times New Roman"/>
          <w:sz w:val="24"/>
        </w:rPr>
        <w:t xml:space="preserve">yang telah dilakukan menunjukkan bahwa pada pengamatan tinggi tanaman minggu ke 2, 3 dan 4 menunjukkan adanya beda nyata, sedangkan pada pengamatan tinggi tanaman minggu ke 5, 6, 7,dan 8 menunjukkan tidak berbeda nyata.  </w:t>
      </w:r>
      <w:r>
        <w:rPr>
          <w:rFonts w:ascii="Times New Roman" w:hAnsi="Times New Roman" w:cs="Times New Roman"/>
          <w:sz w:val="24"/>
          <w:szCs w:val="24"/>
        </w:rPr>
        <w:t>Dari hasil uji analisis pada Tabel 2 menunjukkan bahwa pengaruh penggunaan POC limbah tahu terhadap tinggi tanaman terlihat pada minggu ke 2, 3,dan 4.  Pada minggu ke 2, 3,dan 4 hasil terbaik terdapat pada pupuk anorganik dengan nilai rata-rata tinggi tanaman berurutan sebesar 21,40 cm, 26,30 cm, dan 32,20 cm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rPr>
        <w:t>Hal ini disebabkan karena pupuk organik cair limbah tahu belum tersedia secara optimal dalam memacu pertumbuhan bawang merah dikarenakan kandungan hara yang ada didalam pupuk organik cair limbah tahu masih kurang dibandingkan dengan pupuk anorganik.</w:t>
      </w:r>
    </w:p>
    <w:p>
      <w:pPr>
        <w:pStyle w:val="6"/>
        <w:spacing w:line="36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Salah satu tanda produktivitas tanaman adalah kemampuan memproduksi daun, karena daun merupakan tempat terjadinya proses fotosintesis.  Jumlah daun suatu tanaman berhubungan dengan intensitas fotosintesis.  Semakin banyak jumlah daun maka semakin tinggi hasil fotosintesisnya (Dwijoseputro, 2003). </w:t>
      </w:r>
      <w:r>
        <w:rPr>
          <w:rFonts w:ascii="Times New Roman" w:hAnsi="Times New Roman" w:cs="Times New Roman"/>
          <w:sz w:val="24"/>
        </w:rPr>
        <w:t xml:space="preserve">Pada hasil </w:t>
      </w:r>
      <w:r>
        <w:rPr>
          <w:rFonts w:ascii="Times New Roman" w:hAnsi="Times New Roman" w:cs="Times New Roman"/>
          <w:sz w:val="24"/>
          <w:szCs w:val="24"/>
        </w:rPr>
        <w:t xml:space="preserve">analisis sidik ragam taraf 5% </w:t>
      </w:r>
      <w:r>
        <w:rPr>
          <w:rFonts w:ascii="Times New Roman" w:hAnsi="Times New Roman" w:cs="Times New Roman"/>
          <w:sz w:val="24"/>
        </w:rPr>
        <w:t xml:space="preserve">yang telah dilakukan </w:t>
      </w:r>
      <w:r>
        <w:rPr>
          <w:rFonts w:ascii="Times New Roman" w:hAnsi="Times New Roman" w:cs="Times New Roman"/>
          <w:sz w:val="24"/>
          <w:szCs w:val="24"/>
        </w:rPr>
        <w:t>menunjukkan bahwa pada jumlah daun tidak menunjukkan adanya beda nyata antar perlakuan. Hal ini diduga karena unsur hara N, P, dan K yang terdapat pada POC limbah tahu rendah dan dalam pengaplikasiannya tanaman hanya menyerap sedikit unsur hara, sehingga memberikan hasil yang tidak berbeda nyata.</w:t>
      </w:r>
    </w:p>
    <w:p>
      <w:pPr>
        <w:pStyle w:val="6"/>
        <w:spacing w:line="360" w:lineRule="auto"/>
        <w:ind w:left="0" w:firstLine="850"/>
        <w:jc w:val="both"/>
        <w:rPr>
          <w:rFonts w:ascii="Times New Roman" w:hAnsi="Times New Roman" w:cs="Times New Roman"/>
          <w:sz w:val="24"/>
          <w:szCs w:val="24"/>
        </w:rPr>
      </w:pPr>
      <w:r>
        <w:rPr>
          <w:rFonts w:ascii="Times New Roman" w:hAnsi="Times New Roman" w:cs="Times New Roman"/>
          <w:sz w:val="24"/>
          <w:szCs w:val="24"/>
        </w:rPr>
        <w:t>Hasil analisis sidik ragam taraf 5% menunjukkan bahwa pada bobot segar tanaman tidak menunjukkan adanya beda nyata antar perlakuan.  Hal ini diduga karena unsur hara N, P, dan K yang terdapat pada POC limbah tahu rendah dan dalam pengaplikasiannya tanaman hanya menyerap sedikit unsur hara, sehingga memberikan hasil yang tidak berbeda nyata.  Kandungan N, P, dan K pada pupuk organik cair limbah tahu yaitu 0,18 %, 0,14 %, 0,08 %.  Kandungan N, P, dan K pada POC limbah tahu tersebut masih belum memenuhi standar pembuatan pupuk organik cair yang telah ditetapkan oleh Permentan No.70 yaitu minimal 3-6%.</w:t>
      </w:r>
    </w:p>
    <w:p>
      <w:pPr>
        <w:pStyle w:val="6"/>
        <w:spacing w:line="360" w:lineRule="auto"/>
        <w:ind w:left="0" w:firstLine="850"/>
        <w:jc w:val="both"/>
        <w:rPr>
          <w:rFonts w:ascii="Times New Roman" w:hAnsi="Times New Roman" w:cs="Times New Roman"/>
          <w:sz w:val="24"/>
          <w:szCs w:val="24"/>
        </w:rPr>
      </w:pPr>
      <w:r>
        <w:rPr>
          <w:rFonts w:ascii="Times New Roman" w:hAnsi="Times New Roman" w:cs="Times New Roman"/>
          <w:sz w:val="24"/>
          <w:szCs w:val="24"/>
        </w:rPr>
        <w:t>Hasil analisis sidik ragam taraf 5% menunjukkan bahwa pada bobot kering tanaman tidak menunjukkan adanya beda nyata antar perlakuan.  Pupuk organik cair sudah mampu menyamai pupuk anorganik pada variabel pertumbuhan karena terbukti tidak berbeda nyata, yang artinya mempunyai hasil yang sama antara perlakuan pupuk organik cair limbah cair tahu dengan perlakuan pupuk anorganik.</w:t>
      </w:r>
    </w:p>
    <w:p>
      <w:pPr>
        <w:pStyle w:val="6"/>
        <w:spacing w:line="360" w:lineRule="auto"/>
        <w:ind w:left="0" w:firstLine="850"/>
        <w:jc w:val="both"/>
        <w:rPr>
          <w:rFonts w:ascii="Times New Roman" w:hAnsi="Times New Roman" w:cs="Times New Roman"/>
          <w:sz w:val="24"/>
          <w:szCs w:val="24"/>
          <w:lang w:val="id-ID"/>
        </w:rPr>
      </w:pPr>
      <w:r>
        <w:rPr>
          <w:rFonts w:ascii="Times New Roman" w:hAnsi="Times New Roman" w:cs="Times New Roman"/>
          <w:sz w:val="24"/>
        </w:rPr>
        <w:t xml:space="preserve">Hasil </w:t>
      </w:r>
      <w:r>
        <w:rPr>
          <w:rFonts w:ascii="Times New Roman" w:hAnsi="Times New Roman" w:cs="Times New Roman"/>
          <w:sz w:val="24"/>
          <w:szCs w:val="24"/>
        </w:rPr>
        <w:t>analisis sidik ragam taraf 5% menunjukkan bahwa pada jumlah umbi, dan diameter umbi tidak adanya beda nyata antar perlakuan.  Sedangkan pada bobot segar umbi dan bobot kering umbi menunjukkan bahwa adanya beda nyata antar perlakuan.  P</w:t>
      </w:r>
      <w:r>
        <w:rPr>
          <w:rFonts w:ascii="Times New Roman" w:hAnsi="Times New Roman" w:cs="Times New Roman"/>
          <w:color w:val="000000" w:themeColor="text1"/>
          <w:sz w:val="24"/>
          <w:szCs w:val="24"/>
          <w14:textFill>
            <w14:solidFill>
              <w14:schemeClr w14:val="tx1"/>
            </w14:solidFill>
          </w14:textFill>
        </w:rPr>
        <w:t xml:space="preserve">upuk anorganik memiliki hasil yang lebih tinggi dari pada perlakuan pupuk organik cair limbah tahu dengan konsentrasi 15%, 25%, 35% dan 45%.  </w:t>
      </w:r>
      <w:r>
        <w:rPr>
          <w:rFonts w:ascii="Times New Roman" w:hAnsi="Times New Roman" w:cs="Times New Roman"/>
          <w:sz w:val="24"/>
          <w:szCs w:val="24"/>
        </w:rPr>
        <w:t xml:space="preserve">Hal ini karena konsentrasi yang diaplikasikan kurang tinggi, dan unsur hara N, P, dan K yang terdapat pada </w:t>
      </w:r>
      <w:r>
        <w:rPr>
          <w:rFonts w:ascii="Times New Roman" w:hAnsi="Times New Roman" w:cs="Times New Roman"/>
          <w:color w:val="000000" w:themeColor="text1"/>
          <w:sz w:val="24"/>
          <w:szCs w:val="24"/>
          <w14:textFill>
            <w14:solidFill>
              <w14:schemeClr w14:val="tx1"/>
            </w14:solidFill>
          </w14:textFill>
        </w:rPr>
        <w:t>pupuk organik cair</w:t>
      </w:r>
      <w:r>
        <w:rPr>
          <w:rFonts w:ascii="Times New Roman" w:hAnsi="Times New Roman" w:cs="Times New Roman"/>
          <w:sz w:val="24"/>
          <w:szCs w:val="24"/>
        </w:rPr>
        <w:t xml:space="preserve"> limbah tahu rendah sehingga dalam pengaplikasiannya tanaman hanya menyerap sedikit unsur hara, sehingga memberikan hasil lebih tinggi pada kontrol (pupuk anorganik).  Kandungan N, P, dan K pada </w:t>
      </w:r>
      <w:r>
        <w:rPr>
          <w:rFonts w:ascii="Times New Roman" w:hAnsi="Times New Roman" w:cs="Times New Roman"/>
          <w:color w:val="000000" w:themeColor="text1"/>
          <w:sz w:val="24"/>
          <w:szCs w:val="24"/>
          <w14:textFill>
            <w14:solidFill>
              <w14:schemeClr w14:val="tx1"/>
            </w14:solidFill>
          </w14:textFill>
        </w:rPr>
        <w:t>pupuk organik cair</w:t>
      </w:r>
      <w:r>
        <w:rPr>
          <w:rFonts w:ascii="Times New Roman" w:hAnsi="Times New Roman" w:cs="Times New Roman"/>
          <w:sz w:val="24"/>
          <w:szCs w:val="24"/>
        </w:rPr>
        <w:t xml:space="preserve"> limbah tahu yaitu 0,18 %, 0,14 %, 0,08 %.  Dalam penelitian Aliyenah, dkk. (2015), kandungan N total pada pupuk cair limbah industri tahu yaitu sebesar 0,492%.  Sementara menurut Permentan No.70 tentang standar pembuatan pupuk organik cair kandungan N minimal 3-6%.  Dari hasil analisis yang telah dilakukan menunjukkan bahwa kandungan N yang terdapat dalam POC limbah tahu masih sangat rendah dan belum memenuhi kandungan standar pembuatan pupuk organik cair.</w:t>
      </w:r>
    </w:p>
    <w:p>
      <w:pPr>
        <w:pStyle w:val="6"/>
        <w:spacing w:line="360" w:lineRule="auto"/>
        <w:ind w:left="0"/>
        <w:jc w:val="center"/>
        <w:rPr>
          <w:rFonts w:ascii="Times New Roman" w:hAnsi="Times New Roman" w:cs="Times New Roman"/>
          <w:b/>
          <w:sz w:val="24"/>
          <w:szCs w:val="24"/>
        </w:rPr>
        <w:sectPr>
          <w:type w:val="continuous"/>
          <w:pgSz w:w="11906" w:h="16838"/>
          <w:pgMar w:top="2268" w:right="1701" w:bottom="1701" w:left="2268" w:header="708" w:footer="708" w:gutter="0"/>
          <w:cols w:space="708" w:num="2"/>
          <w:docGrid w:linePitch="360" w:charSpace="0"/>
        </w:sectPr>
      </w:pPr>
    </w:p>
    <w:p>
      <w:pPr>
        <w:pStyle w:val="6"/>
        <w:spacing w:line="360" w:lineRule="auto"/>
        <w:ind w:left="0"/>
        <w:jc w:val="center"/>
        <w:rPr>
          <w:rFonts w:ascii="Times New Roman" w:hAnsi="Times New Roman" w:cs="Times New Roman"/>
          <w:sz w:val="24"/>
          <w:szCs w:val="24"/>
          <w:lang w:val="id-ID"/>
        </w:rPr>
      </w:pPr>
      <w:r>
        <w:rPr>
          <w:rFonts w:ascii="Times New Roman" w:hAnsi="Times New Roman" w:cs="Times New Roman"/>
          <w:b/>
          <w:sz w:val="24"/>
          <w:szCs w:val="24"/>
        </w:rPr>
        <w:t>KESIMPULAN</w:t>
      </w:r>
    </w:p>
    <w:p>
      <w:pPr>
        <w:pStyle w:val="9"/>
        <w:numPr>
          <w:ilvl w:val="2"/>
          <w:numId w:val="5"/>
        </w:numPr>
        <w:spacing w:line="360" w:lineRule="auto"/>
        <w:ind w:left="426" w:hanging="426"/>
        <w:jc w:val="both"/>
      </w:pPr>
      <w:r>
        <w:t xml:space="preserve">Penggunaan </w:t>
      </w:r>
      <w:r>
        <w:rPr>
          <w:lang w:val="id-ID"/>
        </w:rPr>
        <w:t>pupuk organik cair</w:t>
      </w:r>
      <w:r>
        <w:t xml:space="preserve"> limbah tahu dengan berbagai konsentrasi </w:t>
      </w:r>
      <w:r>
        <w:rPr>
          <w:lang w:val="id-ID"/>
        </w:rPr>
        <w:t xml:space="preserve">tidak </w:t>
      </w:r>
      <w:r>
        <w:t xml:space="preserve">memberikan pengaruh terhadap </w:t>
      </w:r>
      <w:r>
        <w:rPr>
          <w:lang w:val="id-ID"/>
        </w:rPr>
        <w:t>pertumbuhan tanaman dan tidak berbeda nyata dengan penggunaan pupuk anorganik.</w:t>
      </w:r>
    </w:p>
    <w:p>
      <w:pPr>
        <w:pStyle w:val="9"/>
        <w:numPr>
          <w:ilvl w:val="2"/>
          <w:numId w:val="5"/>
        </w:numPr>
        <w:spacing w:line="360" w:lineRule="auto"/>
        <w:ind w:left="426" w:hanging="426"/>
        <w:jc w:val="both"/>
      </w:pPr>
      <w:r>
        <w:rPr>
          <w:lang w:val="id-ID"/>
        </w:rPr>
        <w:t xml:space="preserve">Penggunaan berbagai </w:t>
      </w:r>
      <w:r>
        <w:t>konsentrasi</w:t>
      </w:r>
      <w:r>
        <w:rPr>
          <w:lang w:val="id-ID"/>
        </w:rPr>
        <w:t xml:space="preserve"> pupuk organik cair limbah tahu tidak berpengaruh terhadap hasil tanaman bawang merah pada semua konsentrasi yang diberikan, </w:t>
      </w:r>
      <w:r>
        <w:t>dan memberikan hasil yang lebih rendah dibandingkan dengan</w:t>
      </w:r>
      <w:r>
        <w:rPr>
          <w:lang w:val="id-ID"/>
        </w:rPr>
        <w:t xml:space="preserve"> penggunaan pupuk anorganik. Hasil tertinggi diperoleh pada pemberian pupuk anorganik yaitu sebesar 81,87 g pada bobot segar umbi, dan 67,80 g pada bobot umbi kering matahari.</w:t>
      </w:r>
    </w:p>
    <w:p>
      <w:pPr>
        <w:pStyle w:val="9"/>
        <w:spacing w:line="360" w:lineRule="auto"/>
        <w:ind w:left="426"/>
        <w:jc w:val="center"/>
      </w:pPr>
      <w:r>
        <w:rPr>
          <w:b/>
        </w:rPr>
        <w:t>Saran</w:t>
      </w:r>
    </w:p>
    <w:p>
      <w:pPr>
        <w:pStyle w:val="6"/>
        <w:spacing w:line="360" w:lineRule="auto"/>
        <w:ind w:left="284" w:firstLine="850"/>
        <w:jc w:val="both"/>
        <w:rPr>
          <w:rFonts w:ascii="Times New Roman" w:hAnsi="Times New Roman" w:eastAsia="Times New Roman" w:cs="Times New Roman"/>
          <w:color w:val="000000" w:themeColor="text1"/>
          <w:sz w:val="24"/>
          <w:szCs w:val="24"/>
          <w:lang w:eastAsia="id-ID"/>
          <w14:textFill>
            <w14:solidFill>
              <w14:schemeClr w14:val="tx1"/>
            </w14:solidFill>
          </w14:textFill>
        </w:rPr>
      </w:pPr>
      <w:r>
        <w:rPr>
          <w:rFonts w:ascii="Times New Roman" w:hAnsi="Times New Roman" w:eastAsia="Times New Roman" w:cs="Times New Roman"/>
          <w:color w:val="000000" w:themeColor="text1"/>
          <w:sz w:val="24"/>
          <w:szCs w:val="24"/>
          <w:lang w:eastAsia="id-ID"/>
          <w14:textFill>
            <w14:solidFill>
              <w14:schemeClr w14:val="tx1"/>
            </w14:solidFill>
          </w14:textFill>
        </w:rPr>
        <w:t>Perlunya penelitian lebih lanjut mengenai pemanfaatn limbah cair tahu terhadap pertumbuhan dan hasil bawang merah dengan konsentrasi lebih tinggi.</w:t>
      </w:r>
    </w:p>
    <w:p>
      <w:pPr>
        <w:spacing w:after="0" w:line="480" w:lineRule="auto"/>
        <w:jc w:val="center"/>
        <w:rPr>
          <w:rFonts w:ascii="Times New Roman" w:hAnsi="Times New Roman" w:eastAsiaTheme="minorHAnsi"/>
          <w:b/>
          <w:sz w:val="24"/>
          <w:szCs w:val="24"/>
          <w:lang w:val="en-US"/>
        </w:rPr>
      </w:pPr>
      <w:r>
        <w:rPr>
          <w:rFonts w:ascii="Times New Roman" w:hAnsi="Times New Roman" w:eastAsiaTheme="minorHAnsi"/>
          <w:b/>
          <w:sz w:val="24"/>
          <w:szCs w:val="24"/>
          <w:lang w:val="en-US"/>
        </w:rPr>
        <w:t>DAFTAR PUSTAKA</w:t>
      </w:r>
    </w:p>
    <w:p>
      <w:pPr>
        <w:widowControl w:val="0"/>
        <w:autoSpaceDE w:val="0"/>
        <w:autoSpaceDN w:val="0"/>
        <w:adjustRightInd w:val="0"/>
        <w:spacing w:line="240" w:lineRule="auto"/>
        <w:ind w:left="851" w:hanging="851"/>
        <w:jc w:val="both"/>
        <w:rPr>
          <w:rFonts w:ascii="Times New Roman" w:hAnsi="Times New Roman" w:eastAsiaTheme="minorHAnsi"/>
          <w:sz w:val="24"/>
          <w:szCs w:val="24"/>
          <w:lang w:val="en-US"/>
        </w:rPr>
      </w:pPr>
      <w:r>
        <w:rPr>
          <w:rFonts w:ascii="Times New Roman" w:hAnsi="Times New Roman" w:eastAsiaTheme="minorHAnsi"/>
          <w:sz w:val="24"/>
          <w:szCs w:val="24"/>
          <w:lang w:val="en-US"/>
        </w:rPr>
        <w:t>Agus, Setiawan</w:t>
      </w:r>
      <w:r>
        <w:rPr>
          <w:rFonts w:ascii="Times New Roman" w:hAnsi="Times New Roman" w:eastAsiaTheme="minorHAnsi"/>
          <w:sz w:val="24"/>
          <w:szCs w:val="24"/>
        </w:rPr>
        <w:t>, dan Retno Rusdjijati</w:t>
      </w:r>
      <w:r>
        <w:rPr>
          <w:rFonts w:ascii="Times New Roman" w:hAnsi="Times New Roman" w:eastAsiaTheme="minorHAnsi"/>
          <w:sz w:val="24"/>
          <w:szCs w:val="24"/>
          <w:lang w:val="en-US"/>
        </w:rPr>
        <w:t xml:space="preserve">. 2014. </w:t>
      </w:r>
      <w:r>
        <w:rPr>
          <w:rFonts w:ascii="Times New Roman" w:hAnsi="Times New Roman" w:eastAsiaTheme="minorHAnsi"/>
          <w:i/>
          <w:sz w:val="24"/>
          <w:szCs w:val="24"/>
          <w:lang w:val="en-US"/>
        </w:rPr>
        <w:t>Peningkatan Kualitas Biogas Limbah Cair Tahu dengan Metode Taguchi</w:t>
      </w:r>
      <w:r>
        <w:rPr>
          <w:rFonts w:ascii="Times New Roman" w:hAnsi="Times New Roman" w:eastAsiaTheme="minorHAnsi"/>
          <w:sz w:val="24"/>
          <w:szCs w:val="24"/>
          <w:lang w:val="en-US"/>
        </w:rPr>
        <w:t>. hal 35–40.</w:t>
      </w:r>
      <w:r>
        <w:rPr>
          <w:rFonts w:ascii="Times New Roman" w:hAnsi="Times New Roman" w:eastAsiaTheme="minorHAnsi"/>
          <w:sz w:val="24"/>
          <w:szCs w:val="24"/>
        </w:rPr>
        <w:t>Fakultas Teknik, Universitas Muhammadiyah Magelang.</w:t>
      </w:r>
    </w:p>
    <w:p>
      <w:pPr>
        <w:autoSpaceDE w:val="0"/>
        <w:autoSpaceDN w:val="0"/>
        <w:adjustRightInd w:val="0"/>
        <w:spacing w:line="240" w:lineRule="auto"/>
        <w:ind w:left="851" w:hanging="851"/>
        <w:jc w:val="both"/>
        <w:rPr>
          <w:rFonts w:ascii="Times New Roman" w:hAnsi="Times New Roman" w:eastAsiaTheme="minorHAnsi"/>
          <w:sz w:val="24"/>
          <w:szCs w:val="24"/>
          <w:lang w:val="en-US"/>
        </w:rPr>
      </w:pPr>
      <w:r>
        <w:rPr>
          <w:rFonts w:ascii="Times New Roman" w:hAnsi="Times New Roman" w:eastAsiaTheme="minorHAnsi"/>
          <w:sz w:val="24"/>
          <w:szCs w:val="24"/>
        </w:rPr>
        <w:t xml:space="preserve">Aliyenah, A Napoleon, dan Bambang Yudono. 2015. </w:t>
      </w:r>
      <w:r>
        <w:rPr>
          <w:rFonts w:ascii="Times New Roman" w:hAnsi="Times New Roman" w:eastAsiaTheme="minorHAnsi"/>
          <w:bCs/>
          <w:i/>
          <w:sz w:val="24"/>
          <w:szCs w:val="24"/>
        </w:rPr>
        <w:t>Pemanfaatan Limbah Cair Industri Tahu sebagai Pupuk Cair Organik terhadap Pertumbuhan dan Produksi Tanaman Kangkung Darat (</w:t>
      </w:r>
      <w:r>
        <w:rPr>
          <w:rFonts w:ascii="Times New Roman" w:hAnsi="Times New Roman" w:eastAsiaTheme="minorHAnsi"/>
          <w:bCs/>
          <w:i/>
          <w:iCs/>
          <w:sz w:val="24"/>
          <w:szCs w:val="24"/>
        </w:rPr>
        <w:t>Ipomoea reptans Poir</w:t>
      </w:r>
      <w:r>
        <w:rPr>
          <w:rFonts w:ascii="Times New Roman" w:hAnsi="Times New Roman" w:eastAsiaTheme="minorHAnsi"/>
          <w:bCs/>
          <w:i/>
          <w:sz w:val="24"/>
          <w:szCs w:val="24"/>
        </w:rPr>
        <w:t>)</w:t>
      </w:r>
      <w:r>
        <w:rPr>
          <w:rFonts w:ascii="Times New Roman" w:hAnsi="Times New Roman" w:eastAsiaTheme="minorHAnsi"/>
          <w:bCs/>
          <w:sz w:val="24"/>
          <w:szCs w:val="24"/>
        </w:rPr>
        <w:t xml:space="preserve">. </w:t>
      </w:r>
      <w:r>
        <w:rPr>
          <w:rFonts w:ascii="Times New Roman" w:hAnsi="Times New Roman" w:eastAsiaTheme="minorHAnsi"/>
          <w:sz w:val="24"/>
          <w:szCs w:val="24"/>
        </w:rPr>
        <w:t>Jurnal Penelitian Sains. Universitas Sriwijaya. Volume 17 Nomor 3 September 2015</w:t>
      </w:r>
      <w:r>
        <w:rPr>
          <w:rFonts w:ascii="Times New Roman" w:hAnsi="Times New Roman" w:eastAsiaTheme="minorHAnsi"/>
        </w:rPr>
        <w:t>.</w:t>
      </w:r>
    </w:p>
    <w:p>
      <w:pPr>
        <w:widowControl w:val="0"/>
        <w:autoSpaceDE w:val="0"/>
        <w:autoSpaceDN w:val="0"/>
        <w:adjustRightInd w:val="0"/>
        <w:spacing w:line="240" w:lineRule="auto"/>
        <w:ind w:left="851" w:hanging="851"/>
        <w:jc w:val="both"/>
        <w:rPr>
          <w:rFonts w:ascii="Times New Roman" w:hAnsi="Times New Roman" w:eastAsiaTheme="minorHAnsi"/>
          <w:sz w:val="24"/>
          <w:szCs w:val="24"/>
          <w:lang w:val="en-US"/>
        </w:rPr>
      </w:pPr>
      <w:r>
        <w:rPr>
          <w:rFonts w:ascii="Times New Roman" w:hAnsi="Times New Roman" w:eastAsiaTheme="minorHAnsi"/>
          <w:sz w:val="24"/>
          <w:szCs w:val="24"/>
          <w:lang w:val="en-US"/>
        </w:rPr>
        <w:t xml:space="preserve">Bappenas. 2013. </w:t>
      </w:r>
      <w:r>
        <w:rPr>
          <w:rFonts w:ascii="Times New Roman" w:hAnsi="Times New Roman" w:eastAsiaTheme="minorHAnsi"/>
          <w:i/>
          <w:sz w:val="24"/>
          <w:szCs w:val="24"/>
          <w:lang w:val="en-US"/>
        </w:rPr>
        <w:t>Studi Pembangunan Jangka Menengah Nasional (RPJMN) Bidang Pangan dan Pertanian 2015-2019</w:t>
      </w:r>
      <w:r>
        <w:rPr>
          <w:rFonts w:ascii="Times New Roman" w:hAnsi="Times New Roman" w:eastAsiaTheme="minorHAnsi"/>
          <w:sz w:val="24"/>
          <w:szCs w:val="24"/>
          <w:lang w:val="en-US"/>
        </w:rPr>
        <w:t>.</w:t>
      </w:r>
    </w:p>
    <w:p>
      <w:pPr>
        <w:autoSpaceDE w:val="0"/>
        <w:autoSpaceDN w:val="0"/>
        <w:adjustRightInd w:val="0"/>
        <w:spacing w:line="240" w:lineRule="auto"/>
        <w:ind w:left="851" w:hanging="851"/>
        <w:jc w:val="both"/>
        <w:rPr>
          <w:rFonts w:ascii="Times New Roman" w:hAnsi="Times New Roman" w:eastAsiaTheme="minorHAnsi"/>
          <w:sz w:val="24"/>
          <w:szCs w:val="24"/>
          <w:lang w:val="en-US"/>
        </w:rPr>
      </w:pPr>
      <w:r>
        <w:rPr>
          <w:rFonts w:ascii="Times New Roman" w:hAnsi="Times New Roman" w:eastAsiaTheme="minorHAnsi"/>
          <w:sz w:val="24"/>
          <w:szCs w:val="24"/>
          <w:lang w:val="en-US"/>
        </w:rPr>
        <w:t xml:space="preserve">Dwijosaputro., 2003. </w:t>
      </w:r>
      <w:r>
        <w:rPr>
          <w:rFonts w:ascii="Times New Roman" w:hAnsi="Times New Roman" w:eastAsiaTheme="minorHAnsi"/>
          <w:bCs/>
          <w:i/>
          <w:sz w:val="24"/>
          <w:szCs w:val="24"/>
          <w:lang w:val="en-US"/>
        </w:rPr>
        <w:t>Pengantar Fisiologi Tanaman</w:t>
      </w:r>
      <w:r>
        <w:rPr>
          <w:rFonts w:ascii="Times New Roman" w:hAnsi="Times New Roman" w:eastAsiaTheme="minorHAnsi"/>
          <w:sz w:val="24"/>
          <w:szCs w:val="24"/>
          <w:lang w:val="en-US"/>
        </w:rPr>
        <w:t>. Gramedia Pustaka Utama. Jakarta.</w:t>
      </w:r>
    </w:p>
    <w:p>
      <w:pPr>
        <w:spacing w:line="240" w:lineRule="auto"/>
        <w:ind w:left="851" w:hanging="851"/>
        <w:jc w:val="both"/>
        <w:rPr>
          <w:rFonts w:ascii="Times New Roman" w:hAnsi="Times New Roman"/>
          <w:sz w:val="24"/>
          <w:szCs w:val="24"/>
          <w:lang w:val="en-US"/>
        </w:rPr>
      </w:pPr>
      <w:r>
        <w:rPr>
          <w:rFonts w:ascii="Times New Roman" w:hAnsi="Times New Roman"/>
          <w:sz w:val="24"/>
          <w:szCs w:val="24"/>
        </w:rPr>
        <w:t>Laude, S. dan A. Hadid, 2007.Respon Tanaman Bawang Merah Terhadap Pemberian Pupuk Cair Organik Lengkap. Jurnal Agrisains. Hal 140- 146, Juli 2018.</w:t>
      </w:r>
    </w:p>
    <w:p>
      <w:pPr>
        <w:autoSpaceDE w:val="0"/>
        <w:autoSpaceDN w:val="0"/>
        <w:adjustRightInd w:val="0"/>
        <w:spacing w:line="240" w:lineRule="auto"/>
        <w:ind w:left="851" w:hanging="851"/>
        <w:jc w:val="both"/>
        <w:rPr>
          <w:rFonts w:ascii="Times New Roman" w:hAnsi="Times New Roman" w:eastAsiaTheme="minorHAnsi"/>
          <w:sz w:val="24"/>
          <w:szCs w:val="24"/>
        </w:rPr>
      </w:pPr>
      <w:r>
        <w:rPr>
          <w:rFonts w:ascii="Times New Roman" w:hAnsi="Times New Roman" w:eastAsiaTheme="minorHAnsi"/>
          <w:sz w:val="24"/>
          <w:szCs w:val="24"/>
          <w:lang w:val="en-US"/>
        </w:rPr>
        <w:t xml:space="preserve">Permentan. 2011. </w:t>
      </w:r>
      <w:r>
        <w:rPr>
          <w:rFonts w:ascii="Times New Roman" w:hAnsi="Times New Roman" w:eastAsiaTheme="minorHAnsi"/>
          <w:i/>
          <w:sz w:val="24"/>
          <w:szCs w:val="24"/>
          <w:lang w:val="en-US"/>
        </w:rPr>
        <w:t xml:space="preserve">Pupuk Organik, Pupuk Hayati dan Pembenah Tanah. </w:t>
      </w:r>
      <w:r>
        <w:rPr>
          <w:rFonts w:ascii="Times New Roman" w:hAnsi="Times New Roman" w:eastAsiaTheme="minorHAnsi"/>
          <w:sz w:val="24"/>
          <w:szCs w:val="24"/>
          <w:lang w:val="en-US"/>
        </w:rPr>
        <w:t>Peraturan Menteri Pertanian. No. 70/Permentan/SR.140/10/2011.</w:t>
      </w:r>
    </w:p>
    <w:p>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Reijntjes, C., B. Haverkort dan A. Waters-Bayer. 2005. Pertanian MasaDepan : Pengantar untuk Pertanian Berkelanjutan dengan Input Luar Rendah. Yayasan Kanisius, Yogyakarta. Hal. 13-14.</w:t>
      </w:r>
    </w:p>
    <w:p>
      <w:pPr>
        <w:spacing w:line="360" w:lineRule="auto"/>
        <w:jc w:val="both"/>
        <w:rPr>
          <w:rFonts w:ascii="Times New Roman" w:hAnsi="Times New Roman"/>
          <w:sz w:val="24"/>
          <w:szCs w:val="24"/>
        </w:rPr>
      </w:pPr>
    </w:p>
    <w:sectPr>
      <w:type w:val="continuous"/>
      <w:pgSz w:w="11906" w:h="16838"/>
      <w:pgMar w:top="2268" w:right="1701" w:bottom="1701" w:left="2268"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D38AD"/>
    <w:multiLevelType w:val="multilevel"/>
    <w:tmpl w:val="2B1D38A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166577"/>
    <w:multiLevelType w:val="multilevel"/>
    <w:tmpl w:val="381665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6C273B"/>
    <w:multiLevelType w:val="multilevel"/>
    <w:tmpl w:val="396C273B"/>
    <w:lvl w:ilvl="0" w:tentative="0">
      <w:start w:val="1"/>
      <w:numFmt w:val="decimal"/>
      <w:lvlText w:val="%1."/>
      <w:lvlJc w:val="left"/>
      <w:pPr>
        <w:ind w:left="360" w:hanging="360"/>
      </w:pPr>
      <w:rPr>
        <w:rFonts w:hint="default"/>
        <w:b/>
        <w:color w:val="auto"/>
      </w:rPr>
    </w:lvl>
    <w:lvl w:ilvl="1" w:tentative="0">
      <w:start w:val="1"/>
      <w:numFmt w:val="lowerLetter"/>
      <w:lvlText w:val="%2."/>
      <w:lvlJc w:val="left"/>
      <w:pPr>
        <w:ind w:left="1440" w:hanging="360"/>
      </w:pPr>
      <w:rPr>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A76912"/>
    <w:multiLevelType w:val="multilevel"/>
    <w:tmpl w:val="45A76912"/>
    <w:lvl w:ilvl="0" w:tentative="0">
      <w:start w:val="2"/>
      <w:numFmt w:val="decimal"/>
      <w:lvlText w:val="%1."/>
      <w:lvlJc w:val="left"/>
      <w:pPr>
        <w:ind w:left="720" w:hanging="360"/>
      </w:pPr>
      <w:rPr>
        <w:rFonts w:hint="default"/>
        <w:b/>
      </w:rPr>
    </w:lvl>
    <w:lvl w:ilvl="1" w:tentative="0">
      <w:start w:val="1"/>
      <w:numFmt w:val="lowerLetter"/>
      <w:lvlText w:val="%2."/>
      <w:lvlJc w:val="left"/>
      <w:pPr>
        <w:ind w:left="1440" w:hanging="360"/>
      </w:pPr>
      <w:rPr>
        <w:rFonts w:hint="default"/>
        <w:b w:val="0"/>
        <w:color w:val="auto"/>
      </w:rPr>
    </w:lvl>
    <w:lvl w:ilvl="2" w:tentative="0">
      <w:start w:val="1"/>
      <w:numFmt w:val="decimal"/>
      <w:lvlText w:val="%3."/>
      <w:lvlJc w:val="left"/>
      <w:pPr>
        <w:ind w:left="502" w:hanging="360"/>
      </w:pPr>
      <w:rPr>
        <w:rFonts w:hint="default" w:ascii="Times New Roman" w:hAnsi="Times New Roman" w:cs="Times New Roman" w:eastAsiaTheme="minorHAnsi"/>
        <w:b w:val="0"/>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b w:val="0"/>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
    <w:nsid w:val="622B63A8"/>
    <w:multiLevelType w:val="multilevel"/>
    <w:tmpl w:val="622B63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B8"/>
    <w:rsid w:val="000634ED"/>
    <w:rsid w:val="000D7511"/>
    <w:rsid w:val="00215DDE"/>
    <w:rsid w:val="002D6A25"/>
    <w:rsid w:val="00356E30"/>
    <w:rsid w:val="004134F2"/>
    <w:rsid w:val="004E212F"/>
    <w:rsid w:val="005F1589"/>
    <w:rsid w:val="006146B8"/>
    <w:rsid w:val="007A0E94"/>
    <w:rsid w:val="00A26E85"/>
    <w:rsid w:val="00AC1005"/>
    <w:rsid w:val="00C32880"/>
    <w:rsid w:val="00CA6DBE"/>
    <w:rsid w:val="00E74FEF"/>
    <w:rsid w:val="669E5B6A"/>
    <w:rsid w:val="6B632A8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unhideWhenUsed/>
    <w:qFormat/>
    <w:uiPriority w:val="99"/>
    <w:rPr>
      <w:color w:val="0000FF"/>
      <w:u w:val="single"/>
    </w:rPr>
  </w:style>
  <w:style w:type="table" w:styleId="5">
    <w:name w:val="Table Grid"/>
    <w:basedOn w:val="4"/>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rPr>
      <w:rFonts w:asciiTheme="minorHAnsi" w:hAnsiTheme="minorHAnsi" w:eastAsiaTheme="minorHAnsi" w:cstheme="minorBidi"/>
      <w:lang w:val="en-US"/>
    </w:rPr>
  </w:style>
  <w:style w:type="paragraph" w:customStyle="1" w:styleId="7">
    <w:name w:val="List Paragraph1"/>
    <w:basedOn w:val="1"/>
    <w:qFormat/>
    <w:uiPriority w:val="34"/>
    <w:pPr>
      <w:ind w:left="720"/>
      <w:contextualSpacing/>
    </w:pPr>
    <w:rPr>
      <w:rFonts w:eastAsia="SimSun"/>
      <w:lang w:val="en-US" w:eastAsia="zh-CN"/>
    </w:rPr>
  </w:style>
  <w:style w:type="table" w:customStyle="1" w:styleId="8">
    <w:name w:val="Table Grid1"/>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3040</Words>
  <Characters>17330</Characters>
  <Lines>144</Lines>
  <Paragraphs>40</Paragraphs>
  <TotalTime>36</TotalTime>
  <ScaleCrop>false</ScaleCrop>
  <LinksUpToDate>false</LinksUpToDate>
  <CharactersWithSpaces>20330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2019-12-21T06:16:00Z</dcterms:created>
  <dc:creator>Endah</dc:creator>
  <cp:lastModifiedBy>mmtpr</cp:lastModifiedBy>
  <dcterms:modified xsi:type="dcterms:W3CDTF">2019-12-22T07:26:38Z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1057-11.2.0.9107</vt:lpwstr>
  </property>
</Properties>
</file>