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PERSEPSI TERHADAP KOMPENSASI DENGAN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PADA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GO-JEK</w:t>
      </w:r>
    </w:p>
    <w:p>
      <w:pPr>
        <w:spacing w:after="0" w:line="360" w:lineRule="auto"/>
        <w:jc w:val="center"/>
        <w:rPr>
          <w:rFonts w:hint="default" w:ascii="ArialMT" w:hAnsi="ArialMT" w:cs="ArialMT"/>
          <w:b/>
          <w:color w:val="000000" w:themeColor="text1"/>
        </w:rPr>
      </w:pPr>
    </w:p>
    <w:p>
      <w:pPr>
        <w:spacing w:after="0" w:line="360" w:lineRule="auto"/>
        <w:jc w:val="center"/>
        <w:rPr>
          <w:rFonts w:hint="default" w:ascii="ArialMT" w:hAnsi="ArialMT" w:cs="ArialMT"/>
          <w:b/>
          <w:color w:val="000000" w:themeColor="text1"/>
          <w:sz w:val="20"/>
          <w:szCs w:val="20"/>
          <w:vertAlign w:val="superscript"/>
          <w:lang w:val="en-US"/>
        </w:rPr>
      </w:pPr>
      <w:r>
        <w:rPr>
          <w:rFonts w:hint="default" w:ascii="ArialMT" w:hAnsi="ArialMT" w:cs="ArialMT"/>
          <w:b/>
          <w:color w:val="000000" w:themeColor="text1"/>
          <w:sz w:val="20"/>
          <w:szCs w:val="20"/>
        </w:rPr>
        <w:t>Rika Agustina</w:t>
      </w:r>
      <w:r>
        <w:rPr>
          <w:rFonts w:hint="default" w:ascii="ArialMT" w:hAnsi="ArialMT" w:cs="ArialMT"/>
          <w:b/>
          <w:color w:val="000000" w:themeColor="text1"/>
          <w:sz w:val="20"/>
          <w:szCs w:val="20"/>
          <w:vertAlign w:val="superscript"/>
          <w:lang w:val="en-US"/>
        </w:rPr>
        <w:t>1</w:t>
      </w:r>
      <w:r>
        <w:rPr>
          <w:rFonts w:hint="default" w:ascii="ArialMT" w:hAnsi="ArialMT" w:cs="ArialMT"/>
          <w:b/>
          <w:color w:val="000000" w:themeColor="text1"/>
          <w:sz w:val="20"/>
          <w:szCs w:val="20"/>
          <w:vertAlign w:val="baseline"/>
          <w:lang w:val="en-US"/>
        </w:rPr>
        <w:t>,</w:t>
      </w:r>
      <w:r>
        <w:rPr>
          <w:rFonts w:hint="default" w:ascii="ArialMT" w:hAnsi="ArialMT" w:cs="ArialMT"/>
          <w:b/>
          <w:color w:val="000000" w:themeColor="text1"/>
          <w:sz w:val="20"/>
          <w:szCs w:val="20"/>
        </w:rPr>
        <w:t xml:space="preserve"> Sowanya Ardi Prahara</w:t>
      </w:r>
      <w:r>
        <w:rPr>
          <w:rFonts w:hint="default" w:ascii="ArialMT" w:hAnsi="ArialMT" w:cs="ArialMT"/>
          <w:b/>
          <w:color w:val="000000" w:themeColor="text1"/>
          <w:sz w:val="20"/>
          <w:szCs w:val="20"/>
          <w:vertAlign w:val="superscript"/>
          <w:lang w:val="en-US"/>
        </w:rPr>
        <w:t>2</w:t>
      </w:r>
    </w:p>
    <w:p>
      <w:pPr>
        <w:spacing w:after="0" w:line="360" w:lineRule="auto"/>
        <w:jc w:val="center"/>
        <w:rPr>
          <w:rFonts w:hint="default" w:ascii="ArialMT" w:hAnsi="ArialMT" w:cs="ArialMT"/>
          <w:color w:val="000000" w:themeColor="text1"/>
          <w:sz w:val="20"/>
          <w:szCs w:val="20"/>
        </w:rPr>
      </w:pPr>
      <w:r>
        <w:rPr>
          <w:rFonts w:hint="default" w:ascii="ArialMT" w:hAnsi="ArialMT" w:cs="ArialMT"/>
          <w:color w:val="000000" w:themeColor="text1"/>
          <w:sz w:val="20"/>
          <w:szCs w:val="20"/>
          <w:vertAlign w:val="superscript"/>
          <w:lang w:val="en-US"/>
        </w:rPr>
        <w:t>1</w:t>
      </w:r>
      <w:r>
        <w:rPr>
          <w:rFonts w:hint="default" w:ascii="ArialMT" w:hAnsi="ArialMT" w:cs="ArialMT"/>
          <w:color w:val="000000" w:themeColor="text1"/>
          <w:sz w:val="20"/>
          <w:szCs w:val="20"/>
        </w:rPr>
        <w:t>Universitas Mercu Buana Yogyakarta</w:t>
      </w:r>
    </w:p>
    <w:p>
      <w:pPr>
        <w:spacing w:after="0" w:line="360" w:lineRule="auto"/>
        <w:jc w:val="center"/>
        <w:rPr>
          <w:rFonts w:hint="default" w:ascii="ArialMT" w:hAnsi="ArialMT" w:cs="ArialMT"/>
          <w:color w:val="000000" w:themeColor="text1"/>
          <w:sz w:val="20"/>
          <w:szCs w:val="20"/>
          <w:lang w:val="en-US"/>
        </w:rPr>
      </w:pPr>
      <w:r>
        <w:rPr>
          <w:rFonts w:hint="default" w:ascii="ArialMT" w:hAnsi="ArialMT" w:cs="ArialMT"/>
          <w:color w:val="000000" w:themeColor="text1"/>
          <w:sz w:val="20"/>
          <w:szCs w:val="20"/>
          <w:lang w:val="en-US"/>
        </w:rPr>
        <w:t>email: rikaagustina1119@gmail.com</w:t>
      </w:r>
    </w:p>
    <w:p>
      <w:pPr>
        <w:spacing w:after="0" w:line="360" w:lineRule="auto"/>
        <w:jc w:val="center"/>
        <w:rPr>
          <w:rFonts w:hint="default" w:ascii="ArialMT" w:hAnsi="ArialMT" w:cs="ArialMT"/>
          <w:color w:val="000000" w:themeColor="text1"/>
          <w:lang w:val="en-US"/>
        </w:rPr>
      </w:pPr>
    </w:p>
    <w:p>
      <w:pPr>
        <w:spacing w:after="0" w:line="360" w:lineRule="auto"/>
        <w:jc w:val="center"/>
        <w:rPr>
          <w:rFonts w:hint="default" w:ascii="ArialMT" w:hAnsi="ArialMT" w:cs="ArialMT"/>
          <w:b/>
          <w:bCs/>
          <w:color w:val="000000" w:themeColor="text1"/>
          <w:sz w:val="16"/>
          <w:szCs w:val="16"/>
        </w:rPr>
      </w:pPr>
      <w:r>
        <w:rPr>
          <w:rFonts w:hint="default" w:ascii="ArialMT" w:hAnsi="ArialMT" w:cs="ArialMT"/>
          <w:b/>
          <w:bCs/>
          <w:color w:val="000000" w:themeColor="text1"/>
          <w:sz w:val="16"/>
          <w:szCs w:val="16"/>
        </w:rPr>
        <w:t>Abstrak</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390" w:firstLineChars="244"/>
        <w:jc w:val="both"/>
        <w:textAlignment w:val="auto"/>
        <w:rPr>
          <w:rFonts w:hint="default" w:ascii="ArialMT" w:hAnsi="ArialMT" w:cs="ArialMT"/>
          <w:b/>
          <w:bCs/>
          <w:color w:val="000000" w:themeColor="text1"/>
          <w:sz w:val="18"/>
          <w:szCs w:val="18"/>
        </w:rPr>
      </w:pPr>
      <w:r>
        <w:rPr>
          <w:rFonts w:hint="default" w:ascii="ArialMT" w:hAnsi="ArialMT"/>
          <w:color w:val="000000" w:themeColor="text1"/>
          <w:sz w:val="16"/>
          <w:szCs w:val="16"/>
          <w:lang w:val="en-US"/>
        </w:rPr>
        <w:t>Go-Jek merupakan salah satu contoh dari fenomena transportasi darat online yang menunjukkan sentuhan teknologi daripada ojek pangkalan. Perusahaan Go-Jek ini menuntut mitra Go-Jek dapat mengikuti kebijakan-kebijakan yang ada sehingga menyebabkan driver tidak bersemangat, berkonsentrasi, dan kurang antusias dalam bekerja. Penelitian ini bertujuan untuk mengetahui hubungan antara persepsi terhadap kompensasi dengan employee engagement pada driver Go-Jek di Yogyakarta. Subjek dalam penelitian ini adalah 60 orang driver Go-Jek di Yogyakarta. Kriteria subjek dalam penelitian ini adalah driver Go-Jek di Yogyakarta yang menggunakan sepeda motor, jam kerja dengan order-an yang berada pada waktu sekitar makan siang, waktu pulang kerja kantor, dan waktu makan malam, dengan karyawan yang bersifat freelance. Teknik sampling yang digunakan adalah purposive sampling. Pengumpulan data dilakukan dengan menggunakan Skala Persepsi terhadap Kompensasi dan Skala Employee Engagement. Metode analisis data yang digunakan adalah korelasi product moment. Berdasarkan hasil penelitian, diperoleh koefisien korelasi sebesar (rxy) 0.456 dengan p= 0.000 (p &lt; 0,050). Hal ini menunjukkan bahwa ada hubungan positif yang signifikan antara persepsi terhadap kompensasi dengan employee engagement pada driver Go-Jek di Yogyakarta</w:t>
      </w:r>
      <w:r>
        <w:rPr>
          <w:rFonts w:hint="default" w:ascii="ArialMT" w:hAnsi="ArialMT" w:cs="ArialMT"/>
          <w:color w:val="000000" w:themeColor="text1"/>
          <w:sz w:val="16"/>
          <w:szCs w:val="16"/>
        </w:rPr>
        <w:t>.</w:t>
      </w:r>
    </w:p>
    <w:p>
      <w:pPr>
        <w:spacing w:after="0" w:line="360" w:lineRule="auto"/>
        <w:rPr>
          <w:rFonts w:hint="default" w:ascii="ArialMT" w:hAnsi="ArialMT" w:cs="ArialMT"/>
          <w:color w:val="000000" w:themeColor="text1"/>
          <w:sz w:val="18"/>
          <w:szCs w:val="18"/>
        </w:rPr>
      </w:pPr>
      <w:r>
        <w:rPr>
          <w:rFonts w:hint="default" w:ascii="ArialMT" w:hAnsi="ArialMT" w:cs="ArialMT"/>
          <w:b/>
          <w:bCs/>
          <w:color w:val="000000" w:themeColor="text1"/>
          <w:sz w:val="18"/>
          <w:szCs w:val="18"/>
        </w:rPr>
        <w:t>Kata kunci</w:t>
      </w:r>
      <w:r>
        <w:rPr>
          <w:rFonts w:hint="default" w:ascii="ArialMT" w:hAnsi="ArialMT" w:cs="ArialMT"/>
          <w:color w:val="000000" w:themeColor="text1"/>
          <w:sz w:val="18"/>
          <w:szCs w:val="18"/>
        </w:rPr>
        <w:t>:</w:t>
      </w:r>
      <w:r>
        <w:rPr>
          <w:rFonts w:hint="default" w:ascii="ArialMT" w:hAnsi="ArialMT" w:cs="ArialMT"/>
          <w:color w:val="000000" w:themeColor="text1"/>
          <w:sz w:val="18"/>
          <w:szCs w:val="18"/>
          <w:lang w:val="en-US"/>
        </w:rPr>
        <w:t xml:space="preserve"> </w:t>
      </w:r>
      <w:r>
        <w:rPr>
          <w:rFonts w:hint="default" w:ascii="ArialMT" w:hAnsi="ArialMT" w:cs="ArialMT"/>
          <w:color w:val="000000" w:themeColor="text1"/>
          <w:sz w:val="18"/>
          <w:szCs w:val="18"/>
        </w:rPr>
        <w:t>persepsi</w:t>
      </w:r>
      <w:r>
        <w:rPr>
          <w:rFonts w:hint="default" w:ascii="ArialMT" w:hAnsi="ArialMT" w:cs="ArialMT"/>
          <w:color w:val="000000" w:themeColor="text1"/>
          <w:sz w:val="18"/>
          <w:szCs w:val="18"/>
          <w:lang w:val="en-US"/>
        </w:rPr>
        <w:t>,</w:t>
      </w:r>
      <w:r>
        <w:rPr>
          <w:rFonts w:hint="default" w:ascii="ArialMT" w:hAnsi="ArialMT" w:cs="ArialMT"/>
          <w:color w:val="000000" w:themeColor="text1"/>
          <w:sz w:val="18"/>
          <w:szCs w:val="18"/>
        </w:rPr>
        <w:t xml:space="preserve"> kompensasi</w:t>
      </w:r>
      <w:r>
        <w:rPr>
          <w:rFonts w:hint="default" w:ascii="ArialMT" w:hAnsi="ArialMT" w:cs="ArialMT"/>
          <w:color w:val="000000" w:themeColor="text1"/>
          <w:sz w:val="18"/>
          <w:szCs w:val="18"/>
          <w:lang w:val="en-US"/>
        </w:rPr>
        <w:t>,</w:t>
      </w:r>
      <w:r>
        <w:rPr>
          <w:rFonts w:hint="default" w:ascii="ArialMT" w:hAnsi="ArialMT" w:cs="ArialMT"/>
          <w:color w:val="000000" w:themeColor="text1"/>
          <w:sz w:val="18"/>
          <w:szCs w:val="18"/>
        </w:rPr>
        <w:t xml:space="preserve"> </w:t>
      </w:r>
      <w:r>
        <w:rPr>
          <w:rFonts w:hint="default" w:ascii="ArialMT" w:hAnsi="ArialMT" w:cs="ArialMT"/>
          <w:i/>
          <w:iCs/>
          <w:color w:val="000000" w:themeColor="text1"/>
          <w:sz w:val="18"/>
          <w:szCs w:val="18"/>
        </w:rPr>
        <w:t>employee engagement</w:t>
      </w:r>
    </w:p>
    <w:p>
      <w:pPr>
        <w:spacing w:after="0" w:line="360" w:lineRule="auto"/>
        <w:rPr>
          <w:rFonts w:hint="default" w:ascii="ArialMT" w:hAnsi="ArialMT" w:cs="ArialMT"/>
          <w:color w:val="000000" w:themeColor="text1"/>
          <w:sz w:val="18"/>
          <w:szCs w:val="18"/>
        </w:rPr>
      </w:pPr>
    </w:p>
    <w:p>
      <w:pPr>
        <w:pStyle w:val="2"/>
        <w:spacing w:before="0" w:after="0" w:line="360" w:lineRule="auto"/>
        <w:jc w:val="center"/>
        <w:rPr>
          <w:rFonts w:hint="default" w:ascii="ArialMT" w:hAnsi="ArialMT" w:cs="ArialMT"/>
          <w:color w:val="000000" w:themeColor="text1"/>
          <w:sz w:val="22"/>
          <w:szCs w:val="22"/>
        </w:rPr>
      </w:pPr>
      <w:r>
        <w:rPr>
          <w:rFonts w:hint="default" w:ascii="ArialMT" w:hAnsi="ArialMT" w:cs="ArialMT"/>
          <w:i/>
          <w:iCs/>
          <w:color w:val="000000" w:themeColor="text1"/>
          <w:sz w:val="22"/>
          <w:szCs w:val="22"/>
          <w:lang w:val="id-ID"/>
        </w:rPr>
        <w:t xml:space="preserve">RELATIONSHIP BETWEEN </w:t>
      </w:r>
      <w:r>
        <w:rPr>
          <w:rFonts w:hint="default" w:ascii="ArialMT" w:hAnsi="ArialMT" w:cs="ArialMT"/>
          <w:i/>
          <w:iCs/>
          <w:color w:val="000000" w:themeColor="text1"/>
          <w:sz w:val="22"/>
          <w:szCs w:val="22"/>
        </w:rPr>
        <w:t>PERCEPTION OF COMPENSATION</w:t>
      </w:r>
      <w:r>
        <w:rPr>
          <w:rFonts w:hint="default" w:ascii="ArialMT" w:hAnsi="ArialMT" w:cs="ArialMT"/>
          <w:i/>
          <w:iCs/>
          <w:color w:val="000000" w:themeColor="text1"/>
          <w:sz w:val="22"/>
          <w:szCs w:val="22"/>
          <w:lang w:val="id-ID"/>
        </w:rPr>
        <w:t xml:space="preserve"> WITH </w:t>
      </w:r>
      <w:r>
        <w:rPr>
          <w:rFonts w:hint="default" w:ascii="ArialMT" w:hAnsi="ArialMT" w:cs="ArialMT"/>
          <w:i/>
          <w:iCs/>
          <w:color w:val="000000" w:themeColor="text1"/>
          <w:sz w:val="22"/>
          <w:szCs w:val="22"/>
        </w:rPr>
        <w:t>EMPLOYEE ENGAGEMENTON GO-JEK DRIVERS</w:t>
      </w:r>
    </w:p>
    <w:p>
      <w:pPr>
        <w:spacing w:after="0" w:line="360" w:lineRule="auto"/>
        <w:jc w:val="center"/>
        <w:rPr>
          <w:rFonts w:hint="default" w:ascii="ArialMT" w:hAnsi="ArialMT" w:cs="ArialMT"/>
          <w:b/>
          <w:i/>
          <w:color w:val="000000" w:themeColor="text1"/>
        </w:rPr>
      </w:pPr>
    </w:p>
    <w:p>
      <w:pPr>
        <w:spacing w:after="0" w:line="360" w:lineRule="auto"/>
        <w:jc w:val="center"/>
        <w:rPr>
          <w:rFonts w:hint="default" w:ascii="ArialMT" w:hAnsi="ArialMT" w:cs="ArialMT"/>
          <w:b/>
          <w:i/>
          <w:color w:val="000000" w:themeColor="text1"/>
          <w:sz w:val="16"/>
          <w:szCs w:val="16"/>
        </w:rPr>
      </w:pPr>
      <w:r>
        <w:rPr>
          <w:rFonts w:hint="default" w:ascii="ArialMT" w:hAnsi="ArialMT" w:cs="ArialMT"/>
          <w:b/>
          <w:i/>
          <w:color w:val="000000" w:themeColor="text1"/>
          <w:sz w:val="16"/>
          <w:szCs w:val="16"/>
        </w:rPr>
        <w:t>Abstract</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ArialMT" w:hAnsi="ArialMT" w:cs="ArialMT"/>
          <w:b/>
          <w:i/>
          <w:color w:val="000000" w:themeColor="text1"/>
          <w:sz w:val="16"/>
          <w:szCs w:val="16"/>
        </w:rPr>
      </w:pPr>
      <w:r>
        <w:rPr>
          <w:rFonts w:hint="default" w:ascii="ArialMT" w:hAnsi="ArialMT"/>
          <w:i/>
          <w:iCs/>
          <w:color w:val="000000" w:themeColor="text1"/>
          <w:sz w:val="16"/>
          <w:szCs w:val="16"/>
          <w:lang w:val="en-US"/>
        </w:rPr>
        <w:t>Go-Jek is one example of the phenomenon of land transportation that shows the technological expansion of a base motorcycle taxi. This Go-Jek company demands that Go-Jek partners be able to take existing policies because it causes drivers to be unenthusiastic, manageable, and less enthusiastic about working. This study aims to determine the relationship between perception of compensation and employee engagement on Go-Jek drivers in Yogyakarta. The sampling technique used was purposive sampling. The subjects in this study were 60 Go-Jek drivers in Yogyakarta. Criteria for subjects in this studied Go-Jek drivers in Yogyakarta who use motorbikes, work hours with orders that are around lunch , return time office work, and dinner, with freelance employees. Data collection is done using the Perception of Compensation Scale and the Employee Engagement Scale. Data analysis method used is product moment correlation. Based on the results of the study, obtained a correlation coefficient of (rxy) 0.456 with p = 0.000 (p &lt;0.050). This shows that there is a significant positive relationship between perception of compensation with employee engagement on Go-jek drivers in Yogyakarta</w:t>
      </w:r>
      <w:r>
        <w:rPr>
          <w:rFonts w:hint="default" w:ascii="ArialMT" w:hAnsi="ArialMT" w:cs="ArialMT"/>
          <w:i/>
          <w:iCs/>
          <w:color w:val="000000" w:themeColor="text1"/>
          <w:sz w:val="16"/>
          <w:szCs w:val="16"/>
        </w:rPr>
        <w:t>.</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MT" w:hAnsi="ArialMT" w:cs="ArialMT"/>
          <w:i/>
          <w:color w:val="000000" w:themeColor="text1"/>
          <w:sz w:val="16"/>
          <w:szCs w:val="16"/>
        </w:rPr>
      </w:pPr>
      <w:r>
        <w:rPr>
          <w:rFonts w:hint="default" w:ascii="ArialMT" w:hAnsi="ArialMT" w:cs="ArialMT"/>
          <w:b/>
          <w:i/>
          <w:color w:val="000000" w:themeColor="text1"/>
          <w:sz w:val="16"/>
          <w:szCs w:val="16"/>
        </w:rPr>
        <w:t>Keywords:</w:t>
      </w:r>
      <w:r>
        <w:rPr>
          <w:rFonts w:hint="default" w:ascii="ArialMT" w:hAnsi="ArialMT" w:cs="ArialMT"/>
          <w:b/>
          <w:i/>
          <w:color w:val="000000" w:themeColor="text1"/>
          <w:sz w:val="16"/>
          <w:szCs w:val="16"/>
          <w:lang w:val="en-US"/>
        </w:rPr>
        <w:t xml:space="preserve"> </w:t>
      </w:r>
      <w:r>
        <w:rPr>
          <w:rFonts w:hint="default" w:ascii="ArialMT" w:hAnsi="ArialMT" w:cs="ArialMT"/>
          <w:i/>
          <w:color w:val="000000" w:themeColor="text1"/>
          <w:sz w:val="16"/>
          <w:szCs w:val="16"/>
        </w:rPr>
        <w:t>p</w:t>
      </w:r>
      <w:r>
        <w:rPr>
          <w:rFonts w:hint="default" w:ascii="ArialMT" w:hAnsi="ArialMT" w:cs="ArialMT"/>
          <w:i/>
          <w:iCs/>
          <w:color w:val="000000" w:themeColor="text1"/>
          <w:sz w:val="16"/>
          <w:szCs w:val="16"/>
        </w:rPr>
        <w:t>erception</w:t>
      </w:r>
      <w:r>
        <w:rPr>
          <w:rFonts w:hint="default" w:ascii="ArialMT" w:hAnsi="ArialMT" w:cs="ArialMT"/>
          <w:i/>
          <w:iCs/>
          <w:color w:val="000000" w:themeColor="text1"/>
          <w:sz w:val="16"/>
          <w:szCs w:val="16"/>
          <w:lang w:val="en-US"/>
        </w:rPr>
        <w:t>,</w:t>
      </w:r>
      <w:r>
        <w:rPr>
          <w:rFonts w:hint="default" w:ascii="ArialMT" w:hAnsi="ArialMT" w:cs="ArialMT"/>
          <w:color w:val="000000" w:themeColor="text1"/>
          <w:sz w:val="16"/>
          <w:szCs w:val="16"/>
        </w:rPr>
        <w:t xml:space="preserve"> c</w:t>
      </w:r>
      <w:r>
        <w:rPr>
          <w:rFonts w:hint="default" w:ascii="ArialMT" w:hAnsi="ArialMT" w:cs="ArialMT"/>
          <w:i/>
          <w:iCs/>
          <w:color w:val="000000" w:themeColor="text1"/>
          <w:sz w:val="16"/>
          <w:szCs w:val="16"/>
        </w:rPr>
        <w:t>ompensation</w:t>
      </w:r>
      <w:r>
        <w:rPr>
          <w:rFonts w:hint="default" w:ascii="ArialMT" w:hAnsi="ArialMT" w:cs="ArialMT"/>
          <w:i/>
          <w:iCs/>
          <w:color w:val="000000" w:themeColor="text1"/>
          <w:sz w:val="16"/>
          <w:szCs w:val="16"/>
          <w:lang w:val="en-US"/>
        </w:rPr>
        <w:t>,</w:t>
      </w:r>
      <w:r>
        <w:rPr>
          <w:rFonts w:hint="default" w:ascii="ArialMT" w:hAnsi="ArialMT" w:cs="ArialMT"/>
          <w:color w:val="000000" w:themeColor="text1"/>
          <w:sz w:val="16"/>
          <w:szCs w:val="16"/>
        </w:rPr>
        <w:t xml:space="preserve"> e</w:t>
      </w:r>
      <w:r>
        <w:rPr>
          <w:rFonts w:hint="default" w:ascii="ArialMT" w:hAnsi="ArialMT" w:cs="ArialMT"/>
          <w:i/>
          <w:iCs/>
          <w:color w:val="000000" w:themeColor="text1"/>
          <w:sz w:val="16"/>
          <w:szCs w:val="16"/>
        </w:rPr>
        <w:t>mployee engagement</w:t>
      </w:r>
      <w:r>
        <w:rPr>
          <w:rFonts w:hint="default" w:ascii="ArialMT" w:hAnsi="ArialMT" w:cs="ArialMT"/>
          <w:i/>
          <w:color w:val="000000" w:themeColor="text1"/>
          <w:sz w:val="16"/>
          <w:szCs w:val="16"/>
        </w:rPr>
        <w:t>.</w:t>
      </w:r>
    </w:p>
    <w:p>
      <w:pPr>
        <w:spacing w:after="0" w:line="360" w:lineRule="auto"/>
        <w:jc w:val="both"/>
        <w:rPr>
          <w:rFonts w:hint="default" w:ascii="ArialMT" w:hAnsi="ArialMT" w:cs="ArialMT"/>
          <w:color w:val="000000" w:themeColor="text1"/>
          <w:sz w:val="16"/>
          <w:szCs w:val="16"/>
        </w:rPr>
        <w:sectPr>
          <w:footerReference r:id="rId6" w:type="first"/>
          <w:footerReference r:id="rId4" w:type="default"/>
          <w:headerReference r:id="rId3" w:type="even"/>
          <w:footerReference r:id="rId5" w:type="even"/>
          <w:pgSz w:w="11850" w:h="16783"/>
          <w:pgMar w:top="2268" w:right="1701" w:bottom="1701" w:left="2268" w:header="720" w:footer="490" w:gutter="0"/>
          <w:pgNumType w:start="1"/>
          <w:cols w:space="720" w:num="1"/>
          <w:docGrid w:linePitch="360" w:charSpace="0"/>
        </w:sectPr>
      </w:pPr>
    </w:p>
    <w:p>
      <w:pPr>
        <w:pStyle w:val="2"/>
        <w:spacing w:before="0" w:after="0" w:line="360" w:lineRule="auto"/>
        <w:rPr>
          <w:rFonts w:hint="default" w:ascii="ArialMT" w:hAnsi="ArialMT" w:cs="ArialMT"/>
          <w:color w:val="000000" w:themeColor="text1"/>
          <w:sz w:val="22"/>
          <w:szCs w:val="22"/>
        </w:rPr>
      </w:pPr>
      <w:r>
        <w:rPr>
          <w:rFonts w:hint="default" w:ascii="ArialMT" w:hAnsi="ArialMT" w:cs="ArialMT"/>
          <w:color w:val="000000" w:themeColor="text1"/>
          <w:sz w:val="22"/>
          <w:szCs w:val="22"/>
        </w:rPr>
        <w:t>PENDAHULUAN</w:t>
      </w:r>
    </w:p>
    <w:p>
      <w:pPr>
        <w:spacing w:after="0" w:line="360" w:lineRule="auto"/>
        <w:ind w:left="0" w:leftChars="0" w:firstLine="440" w:firstLineChars="20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Pada zaman modern ini, perkembangan transportasi dan komunikasi beriringan dengan perkembangan ilmu pengetahuan dan teknologi. Semakin maju dan berkembang ilmu pengetahuan dan teknologi berdasarkan perkembangan inovasi maka semakin memajukan dan mencanggihkan transportasi dan komunikasi di masyarakat. Perkembangan transportasi dan komunikasi tersebut menjadi penyebab kemunculan fenomena transportasi darat </w:t>
      </w:r>
      <w:r>
        <w:rPr>
          <w:rFonts w:hint="default" w:ascii="ArialMT" w:hAnsi="ArialMT" w:cs="ArialMT"/>
          <w:i/>
          <w:iCs/>
          <w:color w:val="000000" w:themeColor="text1"/>
          <w:sz w:val="22"/>
          <w:szCs w:val="22"/>
        </w:rPr>
        <w:t>online</w:t>
      </w:r>
      <w:r>
        <w:rPr>
          <w:rFonts w:hint="default" w:ascii="ArialMT" w:hAnsi="ArialMT" w:cs="ArialMT"/>
          <w:color w:val="000000" w:themeColor="text1"/>
          <w:sz w:val="22"/>
          <w:szCs w:val="22"/>
        </w:rPr>
        <w:t xml:space="preserve"> di seluruh dunia, bahkan di Indonesia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{"citationItems":[{"id":"ITEM-1","itemData":{"ISBN":"978-979-007-686-0","author":[{"dropping-particle":"","family":"Wijaya","given":"Andika","non-dropping-particle":"","parse-names":false,"suffix":""}],"id":"ITEM-1","issued":{"date-parts":[["2016"]]},"publisher":"Sinar Grafika","publisher-place":"Jakarta Timur","title":"Aspek hukum bisnis transportasi jalan online","type":"book"},"uris":["http://www.mendeley.com/documents/?uuid=93ab3268-5c78-45c1-9a1a-08400a990ce5"]}],"mendeley":{"formattedCitation":"(Wijaya, 2016)","plainTextFormattedCitation":"(Wijaya, 2016)","previouslyFormattedCitation":"(Wijaya, 2016)"},"properties":{"noteIndex":0},"schema":"https://github.com/citation-style-language/schema/raw/master/csl-citation.json"}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(Wijaya, 2016)</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w:t>
      </w:r>
    </w:p>
    <w:p>
      <w:pPr>
        <w:spacing w:after="0" w:line="360" w:lineRule="auto"/>
        <w:ind w:left="0" w:leftChars="0" w:firstLine="440" w:firstLineChars="20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Banyak contoh-contoh inovasi dalam bidang transportasi darat </w:t>
      </w:r>
      <w:r>
        <w:rPr>
          <w:rFonts w:hint="default" w:ascii="ArialMT" w:hAnsi="ArialMT" w:cs="ArialMT"/>
          <w:i/>
          <w:iCs/>
          <w:color w:val="000000" w:themeColor="text1"/>
          <w:sz w:val="22"/>
          <w:szCs w:val="22"/>
        </w:rPr>
        <w:t>online</w:t>
      </w:r>
      <w:r>
        <w:rPr>
          <w:rFonts w:hint="default" w:ascii="ArialMT" w:hAnsi="ArialMT" w:cs="ArialMT"/>
          <w:color w:val="000000" w:themeColor="text1"/>
          <w:sz w:val="22"/>
          <w:szCs w:val="22"/>
        </w:rPr>
        <w:t xml:space="preserve"> di Indonesia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{"citationItems":[{"id":"ITEM-1","itemData":{"ISBN":"978-979-007-686-0","author":[{"dropping-particle":"","family":"Wijaya","given":"Andika","non-dropping-particle":"","parse-names":false,"suffix":""}],"id":"ITEM-1","issued":{"date-parts":[["2016"]]},"publisher":"Sinar Grafika","publisher-place":"Jakarta Timur","title":"Aspek hukum bisnis transportasi jalan online","type":"book"},"uris":["http://www.mendeley.com/documents/?uuid=93ab3268-5c78-45c1-9a1a-08400a990ce5"]}],"mendeley":{"formattedCitation":"(Wijaya, 2016)","plainTextFormattedCitation":"(Wijaya, 2016)","previouslyFormattedCitation":"(Wijaya, 2016)"},"properties":{"noteIndex":0},"schema":"https://github.com/citation-style-language/schema/raw/master/csl-citation.json"}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(Wijaya, 2016)</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yaitu Go-Jek, GrabBike, UberJek, BluJek, GetJek, Ojek Syari`i, Taxi Bike, O`Jack Taxi Motor, Mas Ojek, dan sebagainya. Inovasi transportasi tersebut merupakan terobosan terbaru yang bersifat multikreatif. Selain itu, inovasi transportasi ini memberikan sumbangan pada perkembangan Transportasi Nasional dan menciptakan lapangan pekerjaan yang sangat signifikan bagi masyarakat Indonesia. Salah satu contoh inovasi yang merupakan pemimpin revolusi industri transportasi di Indonesia adalah Go-Jek.</w:t>
      </w:r>
    </w:p>
    <w:p>
      <w:pPr>
        <w:spacing w:after="0" w:line="360" w:lineRule="auto"/>
        <w:ind w:left="0" w:leftChars="0" w:firstLine="440" w:firstLineChars="20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{"citationItems":[{"id":"ITEM-1","itemData":{"ISBN":"978-979-007-686-0","author":[{"dropping-particle":"","family":"Wijaya","given":"Andika","non-dropping-particle":"","parse-names":false,"suffix":""}],"id":"ITEM-1","issued":{"date-parts":[["2016"]]},"publisher":"Sinar Grafika","publisher-place":"Jakarta Timur","title":"Aspek hukum bisnis transportasi jalan online","type":"book"},"uris":["http://www.mendeley.com/documents/?uuid=93ab3268-5c78-45c1-9a1a-08400a990ce5"]}],"mendeley":{"formattedCitation":"(Wijaya, 2016)","manualFormatting":"Wijaya (2016)","plainTextFormattedCitation":"(Wijaya, 2016)","previouslyFormattedCitation":"(Wijaya, 2016)"},"properties":{"noteIndex":0},"schema":"https://github.com/citation-style-language/schema/raw/master/csl-citation.json"}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Wijaya (2016)</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Go-Jek merupakan perusahaan berjiwa sosial yang memimpin revolusi industri transportasi </w:t>
      </w:r>
      <w:r>
        <w:rPr>
          <w:rFonts w:hint="default" w:ascii="ArialMT" w:hAnsi="ArialMT" w:cs="ArialMT"/>
          <w:i/>
          <w:iCs/>
          <w:color w:val="000000" w:themeColor="text1"/>
          <w:sz w:val="22"/>
          <w:szCs w:val="22"/>
        </w:rPr>
        <w:t>online</w:t>
      </w:r>
      <w:r>
        <w:rPr>
          <w:rFonts w:hint="default" w:ascii="ArialMT" w:hAnsi="ArialMT" w:cs="ArialMT"/>
          <w:color w:val="000000" w:themeColor="text1"/>
          <w:sz w:val="22"/>
          <w:szCs w:val="22"/>
        </w:rPr>
        <w:t xml:space="preserve">. Selain sebagai revolusi sarana transportasi rakyat,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-602-6328-73-1","author":[{"dropping-particle":"","family":"Wijayanto","given":"Doni","non-dropping-particle":"","parse-names":false,"suffix":""}],"id":"ITEM-1","issued":{"date-parts":[["2018"]]},"publisher":"Metagraf","publisher-place":"Solo","title":"Go-Jek: For every need","type":"book"},"uris":["http://www.mendeley.com/documents/?uuid=7c49f456-b3b1-4c85-b3d3-7456a35bd347"]}],"mendeley":{"formattedCitation":"(Wijayanto, 2018)","manualFormatting":"Wijayanto (2018)","plainTextFormattedCitation":"(Wijayanto, 2018)","previouslyFormattedCitation":"(Wijayanto, 2018)"},"properties":{"noteIndex":0},"schema":"https://github.com/citation-style-language/schema/raw/master/csl-citation.json"}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Wijayanto (2018)</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juga menyatakan bahwa Go-Jek merupakan fenomena terkini bisnis teknologi di Indonesia. Tokoh yang melatar</w:t>
      </w:r>
      <w:r>
        <w:rPr>
          <w:rFonts w:hint="default" w:ascii="ArialMT" w:hAnsi="ArialMT" w:cs="ArialMT"/>
          <w:color w:val="000000" w:themeColor="text1"/>
          <w:sz w:val="22"/>
          <w:szCs w:val="22"/>
          <w:lang w:val="en-US"/>
        </w:rPr>
        <w:t xml:space="preserve"> </w:t>
      </w:r>
      <w:r>
        <w:rPr>
          <w:rFonts w:hint="default" w:ascii="ArialMT" w:hAnsi="ArialMT" w:cs="ArialMT"/>
          <w:color w:val="000000" w:themeColor="text1"/>
          <w:sz w:val="22"/>
          <w:szCs w:val="22"/>
        </w:rPr>
        <w:t xml:space="preserve">belakangi munculnya Go-Jek, yaitu Nadiem Makarim. Nadiem adalah putra Indonesia yang lahir pada tanggal 4 Juli 1984. Menurutnya selama ini para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ojek pangkalan mempunyai waktu yang sangat tidak produktif. Hal tersebut dikarenakan banyak waktu yang terbuang sia-sia selama menunggu pelanggan dan mencapai giliran untuk mendapatkan pelanggan. Bahkan tidak dipungkiri ketika gilira</w:t>
      </w:r>
      <w:r>
        <w:rPr>
          <w:rFonts w:hint="default" w:ascii="ArialMT" w:hAnsi="ArialMT" w:cs="ArialMT"/>
          <w:color w:val="000000" w:themeColor="text1"/>
          <w:sz w:val="22"/>
          <w:szCs w:val="22"/>
          <w:lang w:val="en-US"/>
        </w:rPr>
        <w:t>n</w:t>
      </w:r>
      <w:r>
        <w:rPr>
          <w:rFonts w:hint="default" w:ascii="ArialMT" w:hAnsi="ArialMT" w:cs="ArialMT"/>
          <w:i w:val="0"/>
          <w:iCs w:val="0"/>
          <w:color w:val="000000" w:themeColor="text1"/>
          <w:sz w:val="22"/>
          <w:szCs w:val="22"/>
          <w:lang w:val="en-US"/>
        </w:rPr>
        <w:t>-nya</w:t>
      </w:r>
      <w:r>
        <w:rPr>
          <w:rFonts w:hint="default" w:ascii="ArialMT" w:hAnsi="ArialMT" w:cs="ArialMT"/>
          <w:color w:val="000000" w:themeColor="text1"/>
          <w:sz w:val="22"/>
          <w:szCs w:val="22"/>
        </w:rPr>
        <w:t xml:space="preserve"> tiba, pelanggan kadang banyak dan kadang sedikit. Oleh karena itu, pada tahun 2010, perusahaan Go-Jek mulai dirintis dengan menggunakan sistem yang simpel dan slogan perusahaan “</w:t>
      </w:r>
      <w:r>
        <w:rPr>
          <w:rFonts w:hint="default" w:ascii="ArialMT" w:hAnsi="ArialMT" w:cs="ArialMT"/>
          <w:i/>
          <w:iCs/>
          <w:color w:val="000000" w:themeColor="text1"/>
          <w:sz w:val="22"/>
          <w:szCs w:val="22"/>
        </w:rPr>
        <w:t>An Ojek for Every Need</w:t>
      </w:r>
      <w:r>
        <w:rPr>
          <w:rFonts w:hint="default" w:ascii="ArialMT" w:hAnsi="ArialMT" w:cs="ArialMT"/>
          <w:color w:val="000000" w:themeColor="text1"/>
          <w:sz w:val="22"/>
          <w:szCs w:val="22"/>
        </w:rPr>
        <w:t xml:space="preserve">”. Go-Jek bermitra dengan para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ojek.</w:t>
      </w:r>
    </w:p>
    <w:p>
      <w:pPr>
        <w:spacing w:after="0" w:line="360" w:lineRule="auto"/>
        <w:ind w:left="0" w:leftChars="0" w:firstLine="440" w:firstLineChars="20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Awal mula peluncuran aplikasi, Go-Jek memiliki 3 layanan, yaitu transportasi, kurir, dan layanan belanja. Layanan tersebut dilakukan dengan menggunakan kendaraan sepeda motor sebagai perusahaan transportasi roda dua. Kemudian, muncul berbagai jenis kendaraan selain kendaraan sepeda motor, yaitu kendaraan mobil dan bus. Layanan-layanan yang disediakan Go-Jek juga semakin beragam, yaitu </w:t>
      </w:r>
      <w:r>
        <w:rPr>
          <w:rFonts w:hint="default" w:ascii="ArialMT" w:hAnsi="ArialMT" w:cs="ArialMT"/>
          <w:i/>
          <w:iCs/>
          <w:color w:val="000000" w:themeColor="text1"/>
          <w:sz w:val="22"/>
          <w:szCs w:val="22"/>
        </w:rPr>
        <w:t>Go-Ride</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Go-Car</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Go-Food</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Go-Send</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Go-Mart</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Go-Box</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Go-Message</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Go-Clean</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Go-Glam</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Go-Tix</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Go-Busway</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Go-Pay</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Go-Med</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Go-Auto</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Go-Pulsa</w:t>
      </w:r>
      <w:r>
        <w:rPr>
          <w:rFonts w:hint="default" w:ascii="ArialMT" w:hAnsi="ArialMT" w:cs="ArialMT"/>
          <w:color w:val="000000" w:themeColor="text1"/>
          <w:sz w:val="22"/>
          <w:szCs w:val="22"/>
        </w:rPr>
        <w:t xml:space="preserve">. Walau banyak jenis kendaraan yang disediakan, kendaraan sepeda motor menjadi pilihan utama bagi yang mengejar waktu di kondisi kemacetan lalu lintas, harga yang jauh lebih murah daripada taksi, dan tingkat kecelakaan lebih rendah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-602-6328-73-1","author":[{"dropping-particle":"","family":"Wijayanto","given":"Doni","non-dropping-particle":"","parse-names":false,"suffix":""}],"id":"ITEM-1","issued":{"date-parts":[["2018"]]},"publisher":"Metagraf","publisher-place":"Solo","title":"Go-Jek: For every need","type":"book"},"uris":["http://www.mendeley.com/documents/?uuid=7c49f456-b3b1-4c85-b3d3-7456a35bd347"]}],"mendeley":{"formattedCitation":"(Wijayanto, 2018)","plainTextFormattedCitation":"(Wijayanto, 2018)","previouslyFormattedCitation":"(Wijayanto, 2018)"},"properties":{"noteIndex":0},"schema":"https://github.com/citation-style-language/schema/raw/master/csl-citation.json"}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(Wijayanto, 2018)</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w:t>
      </w:r>
    </w:p>
    <w:p>
      <w:pPr>
        <w:spacing w:after="0" w:line="360" w:lineRule="auto"/>
        <w:ind w:left="0" w:leftChars="0" w:firstLine="440" w:firstLineChars="20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Kecanggihan aplikasi Go-Jek memudahkan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dan pelanggan. Kecanggihan ini didukung dengan konsep yang dimunculkan Go-Jek. Konsep tersebut menunjukkan sentuhan teknologi daripada ojek pangkalan. Salah satunya, fasilitas dan pelayanan yang diberikan Go-</w:t>
      </w:r>
      <w:r>
        <w:rPr>
          <w:rFonts w:hint="default" w:ascii="ArialMT" w:hAnsi="ArialMT" w:cs="ArialMT"/>
          <w:color w:val="000000" w:themeColor="text1"/>
          <w:sz w:val="22"/>
          <w:szCs w:val="22"/>
          <w:lang w:val="en-US"/>
        </w:rPr>
        <w:t>J</w:t>
      </w:r>
      <w:r>
        <w:rPr>
          <w:rFonts w:hint="default" w:ascii="ArialMT" w:hAnsi="ArialMT" w:cs="ArialMT"/>
          <w:color w:val="000000" w:themeColor="text1"/>
          <w:sz w:val="22"/>
          <w:szCs w:val="22"/>
        </w:rPr>
        <w:t xml:space="preserve">ek sesuai dengan target pelanggan. Bagi pelanggan, hal utama dalam berpergian adalah keamanan dan kenyamanan. Oleh karena itu, mitra Go-Jek menunjukkan kerapihan, wangi, teratur, efesien, aman, dan nyaman. Ditambah dalam aplikasi Go-Jek, pelanggan hanya perlu terhubung dengan internet dan tidak perlu repot pergi ke pangkalan untuk memantau posisi lokasi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dibandingkan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ojek pangkalan.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ojek pangkalan menunjukkan kurang mengikuti perkembangan, kurang efesien, dan tidak semua pelanggan dekat dengan lokasi pangkalan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-602-6328-73-1","author":[{"dropping-particle":"","family":"Wijayanto","given":"Doni","non-dropping-particle":"","parse-names":false,"suffix":""}],"id":"ITEM-1","issued":{"date-parts":[["2018"]]},"publisher":"Metagraf","publisher-place":"Solo","title":"Go-Jek: For every need","type":"book"},"uris":["http://www.mendeley.com/documents/?uuid=7c49f456-b3b1-4c85-b3d3-7456a35bd347"]}],"mendeley":{"formattedCitation":"(Wijayanto, 2018)","plainTextFormattedCitation":"(Wijayanto, 2018)","previouslyFormattedCitation":"(Wijayanto, 2018)"},"properties":{"noteIndex":0},"schema":"https://github.com/citation-style-language/schema/raw/master/csl-citation.json"}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(Wijayanto, 2018)</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w:t>
      </w:r>
    </w:p>
    <w:p>
      <w:pPr>
        <w:spacing w:after="0" w:line="360" w:lineRule="auto"/>
        <w:ind w:left="0" w:leftChars="0" w:firstLine="440" w:firstLineChars="20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Daya tarik aplikasi Go-Jek terletak pada para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tidak perlu lagi mangkal sepanjang hari seperti yang dilakukan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ojek pangkalan. Ditambah pendapatan yang menjanjikan, jam kerja yang fleksibel, dan keluwesan dalam pembayaran membuat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tertarik menjadi mitra Go-Jek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{"citationItems":[{"id":"ITEM-1","itemData":{"ISBN":"978-602-6328-73-1","author":[{"dropping-particle":"","family":"Wijayanto","given":"Doni","non-dropping-particle":"","parse-names":false,"suffix":""}],"editor":[{"dropping-particle":"","family":"Candrawulandari","given":"Sinta Dewi","non-dropping-particle":"","parse-names":false,"suffix":""}],"id":"ITEM-1","issued":{"date-parts":[["2018"]]},"publisher":"Metagraf","publisher-place":"Solo","title":"Go-Jek: For Every Need","type":"book"},"uris":["http://www.mendeley.com/documents/?uuid=7c49f456-b3b1-4c85-b3d3-7456a35bd347"]}],"mendeley":{"formattedCitation":"(Wijayanto, 2018)","plainTextFormattedCitation":"(Wijayanto, 2018)","previouslyFormattedCitation":"(Wijayanto, 2018)"},"properties":{"noteIndex":0},"schema":"https://github.com/citation-style-language/schema/raw/master/csl-citation.json"}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(Wijayanto, 2018)</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Namun, sebagai mitra Go-Jek, beberapa aturan kebijakan berkaitan dengan aplikasi yang perlu diperhatikan untuk menunjang pelayanan terbaik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kepada pelanggan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{"citationItems":[{"id":"ITEM-1","itemData":{"URL":"https://driver.go-jek.com/s/article/Kebijakan-GO-JEK-1536836220960","accessed":{"date-parts":[["2019","9","10"]]},"author":[{"dropping-particle":"","family":"Tim Go-Jek","given":"","non-dropping-particle":"","parse-names":false,"suffix":""}],"id":"ITEM-1","issued":{"date-parts":[["2019"]]},"note":"b","title":"Kebijakan Gojek","type":"webpage"},"uris":["http://www.mendeley.com/documents/?uuid=9d4bf0fc-317a-47f9-be87-7cbb205752ca"]},{"id":"ITEM-2","itemData":{"URL":"https://driver.go-jek.com/s/article/Langkah-6-Tata-Tertib-dan-Kebijakan-GOJEK","accessed":{"date-parts":[["2019","9","10"]]},"author":[{"dropping-particle":"","family":"Tim Go-Jek","given":"","non-dropping-particle":"","parse-names":false,"suffix":""}],"id":"ITEM-2","issued":{"date-parts":[["2019"]]},"note":"a","title":"Langkah 6: Tata tertib dan kebijakan Gojek","type":"webpage"},"uris":["http://www.mendeley.com/documents/?uuid=3e2795aa-3aba-4287-86d7-8c540c89d75c"]}],"mendeley":{"formattedCitation":"(Tim Go-Jek, 2019a, 2019b)","plainTextFormattedCitation":"(Tim Go-Jek, 2019a, 2019b)","previouslyFormattedCitation":"(Tim Go-Jek, 2019a, 2019b)"},"properties":{"noteIndex":0},"schema":"https://github.com/citation-style-language/schema/raw/master/csl-citation.json"}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(Tim Go-Jek, 2019a, 2019b)</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yaitu: pastikan untuk tidak memilih-milih orderan, pastikan mengambil semua tawaran orderan yang masuk di aplikasi, kemudian menjalankan dan menyelesaikan semua orderan tanpa membatalkan orderan yang telah diterima, jika terpaksa membatalkan pastikan terlebih dahulu menelpon pelanggan minimal sebanyak 3</w:t>
      </w:r>
      <w:r>
        <w:rPr>
          <w:rFonts w:hint="default" w:ascii="ArialMT" w:hAnsi="ArialMT" w:cs="ArialMT"/>
          <w:color w:val="000000" w:themeColor="text1"/>
          <w:sz w:val="22"/>
          <w:szCs w:val="22"/>
          <w:lang w:val="en-US"/>
        </w:rPr>
        <w:t xml:space="preserve"> kali</w:t>
      </w:r>
      <w:r>
        <w:rPr>
          <w:rFonts w:hint="default" w:ascii="ArialMT" w:hAnsi="ArialMT" w:cs="ArialMT"/>
          <w:color w:val="000000" w:themeColor="text1"/>
          <w:sz w:val="22"/>
          <w:szCs w:val="22"/>
        </w:rPr>
        <w:t xml:space="preserve"> dalam waktu 15 menit, kurangi mengabaikan tawaran orderan karena dapat mengalami </w:t>
      </w:r>
      <w:r>
        <w:rPr>
          <w:rFonts w:hint="default" w:ascii="ArialMT" w:hAnsi="ArialMT" w:cs="ArialMT"/>
          <w:i/>
          <w:iCs/>
          <w:color w:val="000000" w:themeColor="text1"/>
          <w:sz w:val="22"/>
          <w:szCs w:val="22"/>
        </w:rPr>
        <w:t>suspend</w:t>
      </w:r>
      <w:r>
        <w:rPr>
          <w:rFonts w:hint="default" w:ascii="ArialMT" w:hAnsi="ArialMT" w:cs="ArialMT"/>
          <w:color w:val="000000" w:themeColor="text1"/>
          <w:sz w:val="22"/>
          <w:szCs w:val="22"/>
        </w:rPr>
        <w:t xml:space="preserve"> sementara selama 30 menit, pastikan atur status aplikasi menjadi ‘tidak aktif’ apabila sedang dalam tidak ingin menerima orderan, seperti saat istirahat, makan, dan lain-lain, pastikan menyelesaikan order dengan tingkat penyelesaian sesuai performa di kota masing-masing untuk mendapatkan bonus dengan batas waktu sampai tengah malam, seperti: 20 </w:t>
      </w:r>
      <w:r>
        <w:rPr>
          <w:rFonts w:hint="default" w:ascii="ArialMT" w:hAnsi="ArialMT" w:cs="ArialMT"/>
          <w:i/>
          <w:iCs/>
          <w:color w:val="000000" w:themeColor="text1"/>
          <w:sz w:val="22"/>
          <w:szCs w:val="22"/>
        </w:rPr>
        <w:t>point</w:t>
      </w:r>
      <w:r>
        <w:rPr>
          <w:rFonts w:hint="default" w:ascii="ArialMT" w:hAnsi="ArialMT" w:cs="ArialMT"/>
          <w:color w:val="000000" w:themeColor="text1"/>
          <w:sz w:val="22"/>
          <w:szCs w:val="22"/>
        </w:rPr>
        <w:t xml:space="preserve"> yang harus dicapai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di Yogyakarta.</w:t>
      </w:r>
    </w:p>
    <w:p>
      <w:pPr>
        <w:spacing w:after="0" w:line="360" w:lineRule="auto"/>
        <w:ind w:left="0" w:leftChars="0" w:firstLine="440" w:firstLineChars="20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Peraturan kebijakan lainnya dalam pelaksanaan penunjang pelayanan terbaik driver Go-Jek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{"citationItems":[{"id":"ITEM-1","itemData":{"URL":"https://www.gojek.com/app/kilat-contract/","accessed":{"date-parts":[["2019","9","10"]]},"author":[{"dropping-particle":"","family":"Tim Go-Jek","given":"","non-dropping-particle":"","parse-names":false,"suffix":""}],"id":"ITEM-1","issued":{"date-parts":[["2019"]]},"note":"c","title":"Perjanjian kerjasama kemitraan Gojek","type":"webpage"},"uris":["http://www.mendeley.com/documents/?uuid=f858af47-d0bd-4c1a-8ab5-a9fc623624b0"]}],"mendeley":{"formattedCitation":"(Tim Go-Jek, 2019c)","plainTextFormattedCitation":"(Tim Go-Jek, 2019c)","previouslyFormattedCitation":"(Tim Go-Jek, 2019c)"},"properties":{"noteIndex":0},"schema":"https://github.com/citation-style-language/schema/raw/master/csl-citation.json"}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(Tim Go-Jek, 2019c)</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yaitu memakai seragam berupa Jaket Go-Jek, perlengkapan </w:t>
      </w:r>
      <w:r>
        <w:rPr>
          <w:rFonts w:hint="default" w:ascii="ArialMT" w:hAnsi="ArialMT" w:cs="ArialMT"/>
          <w:i/>
          <w:iCs/>
          <w:color w:val="000000" w:themeColor="text1"/>
          <w:sz w:val="22"/>
          <w:szCs w:val="22"/>
        </w:rPr>
        <w:t>safety riding</w:t>
      </w:r>
      <w:r>
        <w:rPr>
          <w:rFonts w:hint="default" w:ascii="ArialMT" w:hAnsi="ArialMT" w:cs="ArialMT"/>
          <w:color w:val="000000" w:themeColor="text1"/>
          <w:sz w:val="22"/>
          <w:szCs w:val="22"/>
        </w:rPr>
        <w:t xml:space="preserve"> berupa helm dan masker, mengikuti pelatihan khusus berkendara aman. Di pelatihan berkendara aman,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Go-Jek akan diajarkan cara aman dan nyaman membawa penumpang, mengemudi, teknik melalukan pengereman dalam keadaan darurat, dan pemahaman rambu lalu lintas.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-602-6328-73-1","author":[{"dropping-particle":"","family":"Wijayanto","given":"Doni","non-dropping-particle":"","parse-names":false,"suffix":""}],"id":"ITEM-1","issued":{"date-parts":[["2018"]]},"publisher":"Metagraf","publisher-place":"Solo","title":"Go-Jek: For every need","type":"book"},"uris":["http://www.mendeley.com/documents/?uuid=7c49f456-b3b1-4c85-b3d3-7456a35bd347"]}],"mendeley":{"formattedCitation":"(Wijayanto, 2018)","manualFormatting":"Wijayanto (2018)","plainTextFormattedCitation":"(Wijayanto, 2018)","previouslyFormattedCitation":"(Wijayanto, 2018)"},"properties":{"noteIndex":0},"schema":"https://github.com/citation-style-language/schema/raw/master/csl-citation.json"}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Wijayanto (2018)</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juga menyatakan bahwa dalam pelaksanaan penunjang pelayanan, driver Go-Jek diminta memberikan pelayanan prima.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{"citationItems":[{"id":"ITEM-1","itemData":{"URL":"https://driver.go-jek.com/s/article/Program-Pelatihan-Berkendara-Aman-Safety-Training-di-16-Kota","accessed":{"date-parts":[["2019","9","10"]]},"author":[{"dropping-particle":"","family":"Tim Go-Jek","given":"","non-dropping-particle":"","parse-names":false,"suffix":""}],"id":"ITEM-1","issued":{"date-parts":[["2019"]]},"note":"d","title":"Program pelatihan berkendara aman (safety training) di 16 kota","type":"webpage"},"uris":["http://www.mendeley.com/documents/?uuid=3fa60a02-d76f-49d1-b999-b2b2127f0ecd"]}],"mendeley":{"formattedCitation":"(Tim Go-Jek, 2019d)","manualFormatting":"Tim Go-Jek (2019d)","plainTextFormattedCitation":"(Tim Go-Jek, 2019d)","previouslyFormattedCitation":"(Tim Go-Jek, 2019d)"},"properties":{"noteIndex":0},"schema":"https://github.com/citation-style-language/schema/raw/master/csl-citation.json"}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Tim Go-Jek (2019d)</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menegaskan bahwa peraturan kebijakan tersebut dituntut untuk wajib ditaati sebagai prasyarat menjadi mitra Go-Jek</w:t>
      </w:r>
    </w:p>
    <w:p>
      <w:pPr>
        <w:spacing w:after="0" w:line="360" w:lineRule="auto"/>
        <w:ind w:left="0" w:leftChars="0" w:firstLine="440" w:firstLineChars="20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Tuntutan kerja 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{"citationItems":[{"id":"ITEM-1","itemData":{"DOI":"10.1002/job.248","author":[{"dropping-particle":"","family":"Schaufeli","given":"Wilmar B.","non-dropping-particle":"","parse-names":false,"suffix":""},{"dropping-particle":"","family":"Bakker","given":"Arnold B.","non-dropping-particle":"","parse-names":false,"suffix":""}],"container-title":"Journal of Organizational Behavior","id":"ITEM-1","issued":{"date-parts":[["2004"]]},"page":"293-315","title":"Job demands, job resources, and their relationship with burnout and engagement: A multi-sample study","type":"article-journal","volume":"25"},"uris":["http://www.mendeley.com/documents/?uuid=b353f7a4-36e9-4530-ba7c-775690ab218c"]}],"mendeley":{"formattedCitation":"(Schaufeli &amp; Bakker, 2004)","manualFormatting":"Schaufeli dan Bakker (2004)","plainTextFormattedCitation":"(Schaufeli &amp; Bakker, 2004)","previouslyFormattedCitation":"(Schaufeli &amp; Bakker, 2004)"},"properties":{"noteIndex":0},"schema":"https://github.com/citation-style-language/schema/raw/master/csl-citation.json"}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Schaufeli dan Bakker (2004)</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dapat berubah menjadi </w:t>
      </w:r>
      <w:r>
        <w:rPr>
          <w:rFonts w:hint="default" w:ascii="ArialMT" w:hAnsi="ArialMT" w:cs="ArialMT"/>
          <w:i/>
          <w:iCs/>
          <w:color w:val="000000" w:themeColor="text1"/>
          <w:sz w:val="22"/>
          <w:szCs w:val="22"/>
        </w:rPr>
        <w:t>job stressor</w:t>
      </w:r>
      <w:r>
        <w:rPr>
          <w:rFonts w:hint="default" w:ascii="ArialMT" w:hAnsi="ArialMT" w:cs="ArialMT"/>
          <w:color w:val="000000" w:themeColor="text1"/>
          <w:sz w:val="22"/>
          <w:szCs w:val="22"/>
        </w:rPr>
        <w:t xml:space="preserve"> ketika bertemu dengan tantangan yang memerlukan banyak usaha dan menimbulkan depresi, kecemasan, dan </w:t>
      </w:r>
      <w:r>
        <w:rPr>
          <w:rFonts w:hint="default" w:ascii="ArialMT" w:hAnsi="ArialMT" w:cs="ArialMT"/>
          <w:i/>
          <w:iCs/>
          <w:color w:val="000000" w:themeColor="text1"/>
          <w:sz w:val="22"/>
          <w:szCs w:val="22"/>
        </w:rPr>
        <w:t>burnout</w:t>
      </w:r>
      <w:r>
        <w:rPr>
          <w:rFonts w:hint="default" w:ascii="ArialMT" w:hAnsi="ArialMT" w:cs="ArialMT"/>
          <w:color w:val="000000" w:themeColor="text1"/>
          <w:sz w:val="22"/>
          <w:szCs w:val="22"/>
        </w:rPr>
        <w:t xml:space="preserve"> ketika ditanggapi dengan negatif. Lebih lanjut dalam penelitian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{"citationItems":[{"id":"ITEM-1","itemData":{"DOI":"10.1037/a0019364","ISSN":"00219010","abstract":"We refine and extend the job demands–resources model with theory regarding appraisal of stressors to account for inconsistencies in relationships between demands and engagement, and we test the revised theory using meta-analytic structural modeling. Results indicate support for the refined and updated theory. First, demands and burnout were positively associated, whereas resources and burnout were negatively associated. Second, whereas relationships among resources and engagement were consistently positive, relationships among demands and engagement were highly dependent on the nature of the demand. Demands that employees tend to appraise as hindrances were negatively associated with engagement, and demands that employees tend to appraise as challenges were positively associated with engagement. Implications for future research are discussed.","author":[{"dropping-particle":"","family":"Crawford","given":"Eean R.","non-dropping-particle":"","parse-names":false,"suffix":""},{"dropping-particle":"","family":"LePine","given":"Jeffery A.","non-dropping-particle":"","parse-names":false,"suffix":""},{"dropping-particle":"","family":"Rich","given":"Bruce Louis","non-dropping-particle":"","parse-names":false,"suffix":""}],"container-title":"Journal of Applied Psychology","id":"ITEM-1","issue":"5","issued":{"date-parts":[["2010"]]},"page":"834-848","title":"Linking job demands and resources to employee engagement and burnout: A theoretical extension and meta-analytic test","type":"article-journal","volume":"95"},"uris":["http://www.mendeley.com/documents/?uuid=8d0bc361-c6e6-4aec-acb9-b03d674c6a29"]}],"mendeley":{"formattedCitation":"(Crawford et al., 2010)","manualFormatting":"Crawford, LePine, dan Rich (2010)","plainTextFormattedCitation":"(Crawford et al., 2010)","previouslyFormattedCitation":"(Crawford et al., 2010)"},"properties":{"noteIndex":0},"schema":"https://github.com/citation-style-language/schema/raw/master/csl-citation.json"}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Crawford, LePine, dan Rich (2010)</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mengenai hubungan tuntutan kerja dan sumber daya terhadap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dan kelelahan: lanjutan teori dan tes meta-analitik didapat bahwa tuntutan kerja yang dinilai sebagai tantangan secara konsisten berhubungan positif dengan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sedangkan tuntutan kerja yang dinilai sebagai hambatan secara konsisten berhubungan negatif dengan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w:t>
      </w:r>
    </w:p>
    <w:p>
      <w:pPr>
        <w:spacing w:after="0" w:line="360" w:lineRule="auto"/>
        <w:ind w:left="0" w:leftChars="0" w:firstLine="440" w:firstLineChars="0"/>
        <w:jc w:val="both"/>
        <w:rPr>
          <w:rFonts w:hint="default" w:ascii="ArialMT" w:hAnsi="ArialMT" w:cs="ArialMT"/>
          <w:color w:val="000000" w:themeColor="text1"/>
          <w:sz w:val="22"/>
          <w:szCs w:val="22"/>
        </w:rPr>
      </w:pP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{"citationItems":[{"id":"ITEM-1","itemData":{"DOI":"10.1002/job.248","author":[{"dropping-particle":"","family":"Schaufeli","given":"Wilmar B.","non-dropping-particle":"","parse-names":false,"suffix":""},{"dropping-particle":"","family":"Bakker","given":"Arnold B.","non-dropping-particle":"","parse-names":false,"suffix":""}],"container-title":"Journal of Organizational Behavior","id":"ITEM-1","issued":{"date-parts":[["2004"]]},"page":"293-315","title":"Job demands, job resources, and their relationship with burnout and engagement: A multi-sample study","type":"article-journal","volume":"25"},"uris":["http://www.mendeley.com/documents/?uuid=b353f7a4-36e9-4530-ba7c-775690ab218c"]}],"mendeley":{"formattedCitation":"(Schaufeli &amp; Bakker, 2004)","manualFormatting":"Schaufeli dan Bakker (2004)","plainTextFormattedCitation":"(Schaufeli &amp; Bakker, 2004)","previouslyFormattedCitation":"(Schaufeli &amp; Bakker, 2004)"},"properties":{"noteIndex":0},"schema":"https://github.com/citation-style-language/schema/raw/master/csl-citation.json"}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Schaufeli dan Bakker (2004)</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sebagai hal positif, keterikatan penuh, dan keadaan pikiran yang berhubungan dengan pekerjaan yang dikarakteristikan dengan </w:t>
      </w:r>
      <w:r>
        <w:rPr>
          <w:rFonts w:hint="default" w:ascii="ArialMT" w:hAnsi="ArialMT" w:cs="ArialMT"/>
          <w:i/>
          <w:iCs/>
          <w:color w:val="000000" w:themeColor="text1"/>
          <w:sz w:val="22"/>
          <w:szCs w:val="22"/>
        </w:rPr>
        <w:t>vigor</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dedication</w:t>
      </w:r>
      <w:r>
        <w:rPr>
          <w:rFonts w:hint="default" w:ascii="ArialMT" w:hAnsi="ArialMT" w:cs="ArialMT"/>
          <w:color w:val="000000" w:themeColor="text1"/>
          <w:sz w:val="22"/>
          <w:szCs w:val="22"/>
        </w:rPr>
        <w:t xml:space="preserve">, dan </w:t>
      </w:r>
      <w:r>
        <w:rPr>
          <w:rFonts w:hint="default" w:ascii="ArialMT" w:hAnsi="ArialMT" w:cs="ArialMT"/>
          <w:i/>
          <w:iCs/>
          <w:color w:val="000000" w:themeColor="text1"/>
          <w:sz w:val="22"/>
          <w:szCs w:val="22"/>
        </w:rPr>
        <w:t>absorption</w:t>
      </w:r>
      <w:r>
        <w:rPr>
          <w:rFonts w:hint="default" w:ascii="ArialMT" w:hAnsi="ArialMT" w:cs="ArialMT"/>
          <w:color w:val="000000" w:themeColor="text1"/>
          <w:sz w:val="22"/>
          <w:szCs w:val="22"/>
        </w:rPr>
        <w:t>.</w:t>
      </w:r>
      <w:r>
        <w:rPr>
          <w:rFonts w:hint="default" w:ascii="ArialMT" w:hAnsi="ArialMT" w:cs="ArialMT"/>
          <w:color w:val="000000" w:themeColor="text1"/>
          <w:sz w:val="22"/>
          <w:szCs w:val="22"/>
          <w:lang w:val="en-US"/>
        </w:rPr>
        <w:t xml:space="preserve"> </w:t>
      </w:r>
      <w:r>
        <w:rPr>
          <w:rFonts w:hint="default" w:ascii="ArialMT" w:hAnsi="ArialMT" w:cs="ArialMT"/>
          <w:i/>
          <w:iCs/>
          <w:color w:val="000000" w:themeColor="text1"/>
          <w:sz w:val="22"/>
          <w:szCs w:val="22"/>
        </w:rPr>
        <w:t xml:space="preserve">Employee engagement </w:t>
      </w:r>
      <w:r>
        <w:rPr>
          <w:rFonts w:hint="default" w:ascii="ArialMT" w:hAnsi="ArialMT" w:cs="ArialMT"/>
          <w:color w:val="000000" w:themeColor="text1"/>
          <w:sz w:val="22"/>
          <w:szCs w:val="22"/>
        </w:rPr>
        <w:t xml:space="preserve">mempunyai tiga karakteristik 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{"citationItems":[{"id":"ITEM-1","itemData":{"DOI":"10.1002/job.248","author":[{"dropping-particle":"","family":"Schaufeli","given":"Wilmar B.","non-dropping-particle":"","parse-names":false,"suffix":""},{"dropping-particle":"","family":"Bakker","given":"Arnold B.","non-dropping-particle":"","parse-names":false,"suffix":""}],"container-title":"Journal of Organizational Behavior","id":"ITEM-1","issued":{"date-parts":[["2004"]]},"page":"293-315","title":"Job demands, job resources, and their relationship with burnout and engagement: A multi-sample study","type":"article-journal","volume":"25"},"uris":["http://www.mendeley.com/documents/?uuid=b353f7a4-36e9-4530-ba7c-775690ab218c"]}],"mendeley":{"formattedCitation":"(Schaufeli &amp; Bakker, 2004)","manualFormatting":"Schaufeli dan Bakker (2004)","plainTextFormattedCitation":"(Schaufeli &amp; Bakker, 2004)","previouslyFormattedCitation":"(Schaufeli &amp; Bakker, 2004)"},"properties":{"noteIndex":0},"schema":"https://github.com/citation-style-language/schema/raw/master/csl-citation.json"}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Schaufeli dan Bakker (2004)</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yaitu </w:t>
      </w:r>
      <w:r>
        <w:rPr>
          <w:rFonts w:hint="default" w:ascii="ArialMT" w:hAnsi="ArialMT" w:cs="ArialMT"/>
          <w:i/>
          <w:iCs/>
          <w:color w:val="000000" w:themeColor="text1"/>
          <w:sz w:val="22"/>
          <w:szCs w:val="22"/>
        </w:rPr>
        <w:t>vigor</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dedication</w:t>
      </w:r>
      <w:r>
        <w:rPr>
          <w:rFonts w:hint="default" w:ascii="ArialMT" w:hAnsi="ArialMT" w:cs="ArialMT"/>
          <w:color w:val="000000" w:themeColor="text1"/>
          <w:sz w:val="22"/>
          <w:szCs w:val="22"/>
        </w:rPr>
        <w:t xml:space="preserve">, dan </w:t>
      </w:r>
      <w:r>
        <w:rPr>
          <w:rFonts w:hint="default" w:ascii="ArialMT" w:hAnsi="ArialMT" w:cs="ArialMT"/>
          <w:i/>
          <w:iCs/>
          <w:color w:val="000000" w:themeColor="text1"/>
          <w:sz w:val="22"/>
          <w:szCs w:val="22"/>
        </w:rPr>
        <w:t>absorption</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 xml:space="preserve">Vigor </w:t>
      </w:r>
      <w:r>
        <w:rPr>
          <w:rFonts w:hint="default" w:ascii="ArialMT" w:hAnsi="ArialMT" w:cs="ArialMT"/>
          <w:color w:val="000000" w:themeColor="text1"/>
          <w:sz w:val="22"/>
          <w:szCs w:val="22"/>
        </w:rPr>
        <w:t xml:space="preserve">(semangat) ditandai dengan curahan energi dan ketahanan mental yang tinggi saat bekerja, kesediaan atau kemauan untuk menginvestasikan segala upaya dalam suatu pekerjaan, dan tekun atau kegigihan dalam menghadapi kesulitan dalam bekerja. </w:t>
      </w:r>
      <w:r>
        <w:rPr>
          <w:rFonts w:hint="default" w:ascii="ArialMT" w:hAnsi="ArialMT" w:cs="ArialMT"/>
          <w:i/>
          <w:iCs/>
          <w:color w:val="000000" w:themeColor="text1"/>
          <w:sz w:val="22"/>
          <w:szCs w:val="22"/>
        </w:rPr>
        <w:t xml:space="preserve">Dedication </w:t>
      </w:r>
      <w:r>
        <w:rPr>
          <w:rFonts w:hint="default" w:ascii="ArialMT" w:hAnsi="ArialMT" w:cs="ArialMT"/>
          <w:color w:val="000000" w:themeColor="text1"/>
          <w:sz w:val="22"/>
          <w:szCs w:val="22"/>
        </w:rPr>
        <w:t xml:space="preserve">(dedikasi) ditandai dengan rasa inspirasi, kebanggaan, kebermaknaan, antusiasme, dan tantangan di tempat kerja. </w:t>
      </w:r>
      <w:r>
        <w:rPr>
          <w:rFonts w:hint="default" w:ascii="ArialMT" w:hAnsi="ArialMT" w:cs="ArialMT"/>
          <w:i/>
          <w:iCs/>
          <w:color w:val="000000" w:themeColor="text1"/>
          <w:sz w:val="22"/>
          <w:szCs w:val="22"/>
        </w:rPr>
        <w:t xml:space="preserve">Absoption  </w:t>
      </w:r>
      <w:r>
        <w:rPr>
          <w:rFonts w:hint="default" w:ascii="ArialMT" w:hAnsi="ArialMT" w:cs="ArialMT"/>
          <w:color w:val="000000" w:themeColor="text1"/>
          <w:sz w:val="22"/>
          <w:szCs w:val="22"/>
        </w:rPr>
        <w:t>(penghayatan) ditandai dengan memiliki konsentrasi yang penuh, bahagia dalam bekerja, dan sangat senang hati dengan pekerjaan sehingga waktu berlalu dengan cepat dan seseorang merasa kesulitan melepaskan diri dari pekerjaan.</w:t>
      </w:r>
    </w:p>
    <w:p>
      <w:pPr>
        <w:spacing w:after="0" w:line="360" w:lineRule="auto"/>
        <w:ind w:firstLine="528" w:firstLineChars="240"/>
        <w:jc w:val="both"/>
        <w:rPr>
          <w:rFonts w:hint="default" w:ascii="ArialMT" w:hAnsi="ArialMT" w:cs="ArialMT"/>
          <w:b w:val="0"/>
          <w:bCs w:val="0"/>
          <w:color w:val="000000" w:themeColor="text1"/>
          <w:sz w:val="22"/>
          <w:szCs w:val="22"/>
          <w:lang w:val="en-US"/>
        </w:rPr>
      </w:pPr>
      <w:r>
        <w:rPr>
          <w:rFonts w:hint="default" w:ascii="ArialMT" w:hAnsi="ArialMT" w:cs="ArialMT"/>
          <w:color w:val="000000" w:themeColor="text1"/>
          <w:sz w:val="22"/>
          <w:szCs w:val="22"/>
        </w:rPr>
        <w:t xml:space="preserve">Berdasarkan hasil penelitian yang dilakukan oleh Gallup </w:t>
      </w:r>
      <w:r>
        <w:rPr>
          <w:rFonts w:hint="default" w:ascii="ArialMT" w:hAnsi="ArialMT" w:cs="ArialMT"/>
          <w:b w:val="0"/>
          <w:bCs w:val="0"/>
          <w:color w:val="000000" w:themeColor="text1"/>
          <w:sz w:val="22"/>
          <w:szCs w:val="22"/>
          <w:lang w:val="en-US"/>
        </w:rPr>
        <w:fldChar w:fldCharType="begin" w:fldLock="1"/>
      </w:r>
      <w:r>
        <w:rPr>
          <w:rFonts w:hint="default" w:ascii="ArialMT" w:hAnsi="ArialMT" w:cs="ArialMT"/>
          <w:b w:val="0"/>
          <w:bCs w:val="0"/>
          <w:color w:val="000000" w:themeColor="text1"/>
          <w:sz w:val="22"/>
          <w:szCs w:val="22"/>
          <w:lang w:val="en-US"/>
        </w:rPr>
        <w:instrText xml:space="preserve">ADDIN CSL_CITATION {"citationItems":[{"id":"ITEM-1","itemData":{"URL":"https://www.forbes.com/sites/jonyounger/2019/07/01/how-gallup-data-explains-the-vitality-of-the-freelance-revolution/amp/","abstract":"The last few Gallup State of the American Workplace reports tell us quite a bit about how employees experience their work and the organizations that employ them. Their research is rigorous, comprehensive, and based on large survey populations. It turns out, the reports also have a great deal to say about the freelance revolution. Here are some of the facts and trends I found particularly interesting, with thanks in part to Lighthouse.","accessed":{"date-parts":[["2020","5","16"]]},"author":[{"dropping-particle":"","family":"Younger","given":"Jon","non-dropping-particle":"","parse-names":false,"suffix":""}],"id":"ITEM-1","issued":{"date-parts":[["2019"]]},"title":"The facts on why the freelance revolution is large and growing","type":"webpage"},"uris":["http://www.mendeley.com/documents/?uuid=0bd81480-867f-4e4e-ba8f-04ea92c899b6"]}],"mendeley":{"formattedCitation":"(Younger, 2019)","plainTextFormattedCitation":"(Younger, 2019)","previouslyFormattedCitation":"(Younger, 2019)"},"properties":{"noteIndex":0},"schema":"https://github.com/citation-style-language/schema/raw/master/csl-citation.json"}</w:instrText>
      </w:r>
      <w:r>
        <w:rPr>
          <w:rFonts w:hint="default" w:ascii="ArialMT" w:hAnsi="ArialMT" w:cs="ArialMT"/>
          <w:b w:val="0"/>
          <w:bCs w:val="0"/>
          <w:color w:val="000000" w:themeColor="text1"/>
          <w:sz w:val="22"/>
          <w:szCs w:val="22"/>
          <w:lang w:val="en-US"/>
        </w:rPr>
        <w:fldChar w:fldCharType="separate"/>
      </w:r>
      <w:r>
        <w:rPr>
          <w:rFonts w:hint="default" w:ascii="ArialMT" w:hAnsi="ArialMT" w:cs="ArialMT"/>
          <w:b w:val="0"/>
          <w:bCs w:val="0"/>
          <w:color w:val="000000" w:themeColor="text1"/>
          <w:sz w:val="22"/>
          <w:szCs w:val="22"/>
          <w:lang w:val="en-US"/>
        </w:rPr>
        <w:t>(Younger, 2019)</w:t>
      </w:r>
      <w:r>
        <w:rPr>
          <w:rFonts w:hint="default" w:ascii="ArialMT" w:hAnsi="ArialMT" w:cs="ArialMT"/>
          <w:b w:val="0"/>
          <w:bCs w:val="0"/>
          <w:color w:val="000000" w:themeColor="text1"/>
          <w:sz w:val="22"/>
          <w:szCs w:val="22"/>
          <w:lang w:val="en-US"/>
        </w:rPr>
        <w:fldChar w:fldCharType="end"/>
      </w:r>
      <w:r>
        <w:rPr>
          <w:rFonts w:hint="default" w:ascii="ArialMT" w:hAnsi="ArialMT" w:cs="ArialMT"/>
          <w:b w:val="0"/>
          <w:bCs w:val="0"/>
          <w:color w:val="000000" w:themeColor="text1"/>
          <w:sz w:val="22"/>
          <w:szCs w:val="22"/>
          <w:lang w:val="en-US"/>
        </w:rPr>
        <w:t xml:space="preserve"> mengungkapkan bahwa hanya 34% karyawan di Amerika yang terikat menunjukkan keterlibatan, antusias, dan komitmen pada pekerjaan dan tempat kerjanya, 53% karyawan yang tidak terikat mungkin umumnya menunjukkan kepuasan namun disisi lain pikiran dan perasaannya tidak terlibat pada pekerjaan dan tempat kerjanya, selain itu karyawan juga biasanya melakukan pekerjaan sesuai dengan standar minimum dalam bekerja tetapi jika mendapatkan penawaran yang lebih bagus maka karyawan tersebut akan segera meninggalkan perusahaan, dan sisanya 13% karyawan yang secara aktif tidak terikat disebabkan karena memiliki pengalaman kerja yang tidak menyenangkan. Temuan penelitian Gallup tersebut mirip dengan laporan Upwork, </w:t>
      </w:r>
      <w:r>
        <w:rPr>
          <w:rFonts w:hint="default" w:ascii="ArialMT" w:hAnsi="ArialMT" w:cs="ArialMT"/>
          <w:b w:val="0"/>
          <w:bCs w:val="0"/>
          <w:i/>
          <w:iCs/>
          <w:color w:val="000000" w:themeColor="text1"/>
          <w:sz w:val="22"/>
          <w:szCs w:val="22"/>
          <w:lang w:val="en-US"/>
        </w:rPr>
        <w:t>“Freelancing in America</w:t>
      </w:r>
      <w:r>
        <w:rPr>
          <w:rFonts w:hint="default" w:ascii="ArialMT" w:hAnsi="ArialMT" w:cs="ArialMT"/>
          <w:b w:val="0"/>
          <w:bCs w:val="0"/>
          <w:color w:val="000000" w:themeColor="text1"/>
          <w:sz w:val="22"/>
          <w:szCs w:val="22"/>
          <w:lang w:val="en-US"/>
        </w:rPr>
        <w:t xml:space="preserve">” pada tahun 2018, menunjukkan bahwa 29% karyawan di Amerika memiliki alternatif pekerjaan sebagai pekerjaan utama, meliputi 24% sebagai </w:t>
      </w:r>
      <w:r>
        <w:rPr>
          <w:rFonts w:hint="default" w:ascii="ArialMT" w:hAnsi="ArialMT" w:cs="ArialMT"/>
          <w:b w:val="0"/>
          <w:bCs w:val="0"/>
          <w:i/>
          <w:iCs/>
          <w:color w:val="000000" w:themeColor="text1"/>
          <w:sz w:val="22"/>
          <w:szCs w:val="22"/>
          <w:lang w:val="en-US"/>
        </w:rPr>
        <w:t>full-time</w:t>
      </w:r>
      <w:r>
        <w:rPr>
          <w:rFonts w:hint="default" w:ascii="ArialMT" w:hAnsi="ArialMT" w:cs="ArialMT"/>
          <w:b w:val="0"/>
          <w:bCs w:val="0"/>
          <w:color w:val="000000" w:themeColor="text1"/>
          <w:sz w:val="22"/>
          <w:szCs w:val="22"/>
          <w:lang w:val="en-US"/>
        </w:rPr>
        <w:t xml:space="preserve">, 49% sebagai </w:t>
      </w:r>
      <w:r>
        <w:rPr>
          <w:rFonts w:hint="default" w:ascii="ArialMT" w:hAnsi="ArialMT" w:cs="ArialMT"/>
          <w:b w:val="0"/>
          <w:bCs w:val="0"/>
          <w:i/>
          <w:iCs/>
          <w:color w:val="000000" w:themeColor="text1"/>
          <w:sz w:val="22"/>
          <w:szCs w:val="22"/>
          <w:lang w:val="en-US"/>
        </w:rPr>
        <w:t>part-time</w:t>
      </w:r>
      <w:r>
        <w:rPr>
          <w:rFonts w:hint="default" w:ascii="ArialMT" w:hAnsi="ArialMT" w:cs="ArialMT"/>
          <w:b w:val="0"/>
          <w:bCs w:val="0"/>
          <w:color w:val="000000" w:themeColor="text1"/>
          <w:sz w:val="22"/>
          <w:szCs w:val="22"/>
          <w:lang w:val="en-US"/>
        </w:rPr>
        <w:t xml:space="preserve">, dan sisanya 27% </w:t>
      </w:r>
      <w:r>
        <w:rPr>
          <w:rFonts w:hint="default" w:ascii="ArialMT" w:hAnsi="ArialMT" w:cs="ArialMT"/>
          <w:b w:val="0"/>
          <w:bCs w:val="0"/>
          <w:i/>
          <w:iCs/>
          <w:color w:val="000000" w:themeColor="text1"/>
          <w:sz w:val="22"/>
          <w:szCs w:val="22"/>
          <w:lang w:val="en-US"/>
        </w:rPr>
        <w:t>freelance</w:t>
      </w:r>
      <w:r>
        <w:rPr>
          <w:rFonts w:hint="default" w:ascii="ArialMT" w:hAnsi="ArialMT" w:cs="ArialMT"/>
          <w:b w:val="0"/>
          <w:bCs w:val="0"/>
          <w:color w:val="000000" w:themeColor="text1"/>
          <w:sz w:val="22"/>
          <w:szCs w:val="22"/>
          <w:lang w:val="en-US"/>
        </w:rPr>
        <w:t xml:space="preserve">. Dari 27% </w:t>
      </w:r>
      <w:r>
        <w:rPr>
          <w:rFonts w:hint="default" w:ascii="ArialMT" w:hAnsi="ArialMT" w:cs="ArialMT"/>
          <w:b w:val="0"/>
          <w:bCs w:val="0"/>
          <w:i/>
          <w:iCs/>
          <w:color w:val="000000" w:themeColor="text1"/>
          <w:sz w:val="22"/>
          <w:szCs w:val="22"/>
          <w:lang w:val="en-US"/>
        </w:rPr>
        <w:t>presentase freelance</w:t>
      </w:r>
      <w:r>
        <w:rPr>
          <w:rFonts w:hint="default" w:ascii="ArialMT" w:hAnsi="ArialMT" w:cs="ArialMT"/>
          <w:b w:val="0"/>
          <w:bCs w:val="0"/>
          <w:color w:val="000000" w:themeColor="text1"/>
          <w:sz w:val="22"/>
          <w:szCs w:val="22"/>
          <w:lang w:val="en-US"/>
        </w:rPr>
        <w:t xml:space="preserve"> yang mempunyai </w:t>
      </w:r>
      <w:r>
        <w:rPr>
          <w:rFonts w:hint="default" w:ascii="ArialMT" w:hAnsi="ArialMT" w:cs="ArialMT"/>
          <w:b w:val="0"/>
          <w:bCs w:val="0"/>
          <w:i/>
          <w:iCs/>
          <w:color w:val="000000" w:themeColor="text1"/>
          <w:sz w:val="22"/>
          <w:szCs w:val="22"/>
          <w:lang w:val="en-US"/>
        </w:rPr>
        <w:t>multiple job</w:t>
      </w:r>
      <w:r>
        <w:rPr>
          <w:rFonts w:hint="default" w:ascii="ArialMT" w:hAnsi="ArialMT" w:cs="ArialMT"/>
          <w:b w:val="0"/>
          <w:bCs w:val="0"/>
          <w:color w:val="000000" w:themeColor="text1"/>
          <w:sz w:val="22"/>
          <w:szCs w:val="22"/>
          <w:lang w:val="en-US"/>
        </w:rPr>
        <w:t xml:space="preserve">, yaitu 36% pekerjaan, seperti </w:t>
      </w:r>
      <w:r>
        <w:rPr>
          <w:rFonts w:hint="default" w:ascii="ArialMT" w:hAnsi="ArialMT" w:cs="ArialMT"/>
          <w:b w:val="0"/>
          <w:bCs w:val="0"/>
          <w:i/>
          <w:iCs/>
          <w:color w:val="000000" w:themeColor="text1"/>
          <w:sz w:val="22"/>
          <w:szCs w:val="22"/>
          <w:lang w:val="en-US"/>
        </w:rPr>
        <w:t>freelance</w:t>
      </w:r>
      <w:r>
        <w:rPr>
          <w:rFonts w:hint="default" w:ascii="ArialMT" w:hAnsi="ArialMT" w:cs="ArialMT"/>
          <w:b w:val="0"/>
          <w:bCs w:val="0"/>
          <w:color w:val="000000" w:themeColor="text1"/>
          <w:sz w:val="22"/>
          <w:szCs w:val="22"/>
          <w:lang w:val="en-US"/>
        </w:rPr>
        <w:t xml:space="preserve">, </w:t>
      </w:r>
      <w:r>
        <w:rPr>
          <w:rFonts w:hint="default" w:ascii="ArialMT" w:hAnsi="ArialMT" w:cs="ArialMT"/>
          <w:b w:val="0"/>
          <w:bCs w:val="0"/>
          <w:i/>
          <w:iCs/>
          <w:color w:val="000000" w:themeColor="text1"/>
          <w:sz w:val="22"/>
          <w:szCs w:val="22"/>
          <w:lang w:val="en-US"/>
        </w:rPr>
        <w:t>independent contractor</w:t>
      </w:r>
      <w:r>
        <w:rPr>
          <w:rFonts w:hint="default" w:ascii="ArialMT" w:hAnsi="ArialMT" w:cs="ArialMT"/>
          <w:b w:val="0"/>
          <w:bCs w:val="0"/>
          <w:color w:val="000000" w:themeColor="text1"/>
          <w:sz w:val="22"/>
          <w:szCs w:val="22"/>
          <w:lang w:val="en-US"/>
        </w:rPr>
        <w:t xml:space="preserve">, karyawan proyek sementara, atau </w:t>
      </w:r>
      <w:r>
        <w:rPr>
          <w:rFonts w:hint="default" w:ascii="ArialMT" w:hAnsi="ArialMT" w:cs="ArialMT"/>
          <w:b w:val="0"/>
          <w:bCs w:val="0"/>
          <w:i/>
          <w:iCs/>
          <w:color w:val="000000" w:themeColor="text1"/>
          <w:sz w:val="22"/>
          <w:szCs w:val="22"/>
          <w:lang w:val="en-US"/>
        </w:rPr>
        <w:t>part-time</w:t>
      </w:r>
      <w:r>
        <w:rPr>
          <w:rFonts w:hint="default" w:ascii="ArialMT" w:hAnsi="ArialMT" w:cs="ArialMT"/>
          <w:b w:val="0"/>
          <w:bCs w:val="0"/>
          <w:color w:val="000000" w:themeColor="text1"/>
          <w:sz w:val="22"/>
          <w:szCs w:val="22"/>
          <w:lang w:val="en-US"/>
        </w:rPr>
        <w:t xml:space="preserve">. Selain itu, menurut survei Dale Carnegie di Indonesia pada 1.500 </w:t>
      </w:r>
      <w:r>
        <w:rPr>
          <w:rFonts w:hint="default" w:ascii="ArialMT" w:hAnsi="ArialMT" w:cs="ArialMT"/>
          <w:b w:val="0"/>
          <w:bCs w:val="0"/>
          <w:i/>
          <w:iCs/>
          <w:color w:val="000000" w:themeColor="text1"/>
          <w:sz w:val="22"/>
          <w:szCs w:val="22"/>
          <w:lang w:val="en-US"/>
        </w:rPr>
        <w:t>responden</w:t>
      </w:r>
      <w:r>
        <w:rPr>
          <w:rFonts w:hint="default" w:ascii="ArialMT" w:hAnsi="ArialMT" w:cs="ArialMT"/>
          <w:b w:val="0"/>
          <w:bCs w:val="0"/>
          <w:color w:val="000000" w:themeColor="text1"/>
          <w:sz w:val="22"/>
          <w:szCs w:val="22"/>
          <w:lang w:val="en-US"/>
        </w:rPr>
        <w:t xml:space="preserve"> dengan populasi pekerja umum menunjukkan bahwa terdapat 29% karyawan yang </w:t>
      </w:r>
      <w:r>
        <w:rPr>
          <w:rFonts w:hint="default" w:ascii="ArialMT" w:hAnsi="ArialMT" w:cs="ArialMT"/>
          <w:b w:val="0"/>
          <w:bCs w:val="0"/>
          <w:i/>
          <w:iCs/>
          <w:color w:val="000000" w:themeColor="text1"/>
          <w:sz w:val="22"/>
          <w:szCs w:val="22"/>
          <w:lang w:val="en-US"/>
        </w:rPr>
        <w:t>engaged</w:t>
      </w:r>
      <w:r>
        <w:rPr>
          <w:rFonts w:hint="default" w:ascii="ArialMT" w:hAnsi="ArialMT" w:cs="ArialMT"/>
          <w:b w:val="0"/>
          <w:bCs w:val="0"/>
          <w:color w:val="000000" w:themeColor="text1"/>
          <w:sz w:val="22"/>
          <w:szCs w:val="22"/>
          <w:lang w:val="en-US"/>
        </w:rPr>
        <w:t xml:space="preserve">, 19% </w:t>
      </w:r>
      <w:r>
        <w:rPr>
          <w:rFonts w:hint="default" w:ascii="ArialMT" w:hAnsi="ArialMT" w:cs="ArialMT"/>
          <w:b w:val="0"/>
          <w:bCs w:val="0"/>
          <w:i/>
          <w:iCs/>
          <w:color w:val="000000" w:themeColor="text1"/>
          <w:sz w:val="22"/>
          <w:szCs w:val="22"/>
          <w:lang w:val="en-US"/>
        </w:rPr>
        <w:t>disengaged</w:t>
      </w:r>
      <w:r>
        <w:rPr>
          <w:rFonts w:hint="default" w:ascii="ArialMT" w:hAnsi="ArialMT" w:cs="ArialMT"/>
          <w:b w:val="0"/>
          <w:bCs w:val="0"/>
          <w:color w:val="000000" w:themeColor="text1"/>
          <w:sz w:val="22"/>
          <w:szCs w:val="22"/>
          <w:lang w:val="en-US"/>
        </w:rPr>
        <w:t xml:space="preserve">, dan 52% </w:t>
      </w:r>
      <w:r>
        <w:rPr>
          <w:rFonts w:hint="default" w:ascii="ArialMT" w:hAnsi="ArialMT" w:cs="ArialMT"/>
          <w:b w:val="0"/>
          <w:bCs w:val="0"/>
          <w:i/>
          <w:iCs/>
          <w:color w:val="000000" w:themeColor="text1"/>
          <w:sz w:val="22"/>
          <w:szCs w:val="22"/>
          <w:lang w:val="en-US"/>
        </w:rPr>
        <w:t>partially-engaged</w:t>
      </w:r>
      <w:r>
        <w:rPr>
          <w:rFonts w:hint="default" w:ascii="ArialMT" w:hAnsi="ArialMT" w:cs="ArialMT"/>
          <w:b w:val="0"/>
          <w:bCs w:val="0"/>
          <w:color w:val="000000" w:themeColor="text1"/>
          <w:sz w:val="22"/>
          <w:szCs w:val="22"/>
          <w:lang w:val="en-US"/>
        </w:rPr>
        <w:t xml:space="preserve"> </w:t>
      </w:r>
      <w:r>
        <w:rPr>
          <w:rFonts w:hint="default" w:ascii="ArialMT" w:hAnsi="ArialMT" w:cs="ArialMT"/>
          <w:b w:val="0"/>
          <w:bCs w:val="0"/>
          <w:color w:val="000000" w:themeColor="text1"/>
          <w:sz w:val="22"/>
          <w:szCs w:val="22"/>
          <w:lang w:val="en-US"/>
        </w:rPr>
        <w:fldChar w:fldCharType="begin" w:fldLock="1"/>
      </w:r>
      <w:r>
        <w:rPr>
          <w:rFonts w:hint="default" w:ascii="ArialMT" w:hAnsi="ArialMT" w:cs="ArialMT"/>
          <w:b w:val="0"/>
          <w:bCs w:val="0"/>
          <w:color w:val="000000" w:themeColor="text1"/>
          <w:sz w:val="22"/>
          <w:szCs w:val="22"/>
          <w:lang w:val="en-US"/>
        </w:rPr>
        <w:instrText xml:space="preserve">ADDIN CSL_CITATION {"citationItems":[{"id":"ITEM-1","itemData":{"URL":"https://www.dalecarnegie.id/sumberdaya/unduh/employee-infographic/employee-engagement-in-indonesia-with-2016-update/","accessed":{"date-parts":[["2020","5","16"]]},"author":[{"dropping-particle":"","family":"Dale Carnegie","given":"","non-dropping-particle":"","parse-names":false,"suffix":""}],"id":"ITEM-1","issued":{"date-parts":[["2017"]]},"title":"Employee engagement in Indonesia (with 2016 update)","type":"webpage"},"uris":["http://www.mendeley.com/documents/?uuid=58678dc7-8a7d-4462-ab98-a1a07d33a21b"]}],"mendeley":{"formattedCitation":"(Dale Carnegie, 2017)","plainTextFormattedCitation":"(Dale Carnegie, 2017)","previouslyFormattedCitation":"(Dale Carnegie, 2017)"},"properties":{"noteIndex":0},"schema":"https://github.com/citation-style-language/schema/raw/master/csl-citation.json"}</w:instrText>
      </w:r>
      <w:r>
        <w:rPr>
          <w:rFonts w:hint="default" w:ascii="ArialMT" w:hAnsi="ArialMT" w:cs="ArialMT"/>
          <w:b w:val="0"/>
          <w:bCs w:val="0"/>
          <w:color w:val="000000" w:themeColor="text1"/>
          <w:sz w:val="22"/>
          <w:szCs w:val="22"/>
          <w:lang w:val="en-US"/>
        </w:rPr>
        <w:fldChar w:fldCharType="separate"/>
      </w:r>
      <w:r>
        <w:rPr>
          <w:rFonts w:hint="default" w:ascii="ArialMT" w:hAnsi="ArialMT" w:cs="ArialMT"/>
          <w:b w:val="0"/>
          <w:bCs w:val="0"/>
          <w:color w:val="000000" w:themeColor="text1"/>
          <w:sz w:val="22"/>
          <w:szCs w:val="22"/>
          <w:lang w:val="en-US"/>
        </w:rPr>
        <w:t>(Dale Carnegie, 2017)</w:t>
      </w:r>
      <w:r>
        <w:rPr>
          <w:rFonts w:hint="default" w:ascii="ArialMT" w:hAnsi="ArialMT" w:cs="ArialMT"/>
          <w:b w:val="0"/>
          <w:bCs w:val="0"/>
          <w:color w:val="000000" w:themeColor="text1"/>
          <w:sz w:val="22"/>
          <w:szCs w:val="22"/>
          <w:lang w:val="en-US"/>
        </w:rPr>
        <w:fldChar w:fldCharType="end"/>
      </w:r>
      <w:r>
        <w:rPr>
          <w:rFonts w:hint="default" w:ascii="ArialMT" w:hAnsi="ArialMT" w:cs="ArialMT"/>
          <w:b w:val="0"/>
          <w:bCs w:val="0"/>
          <w:color w:val="000000" w:themeColor="text1"/>
          <w:sz w:val="22"/>
          <w:szCs w:val="22"/>
          <w:lang w:val="en-US"/>
        </w:rPr>
        <w:t>.</w:t>
      </w:r>
    </w:p>
    <w:p>
      <w:pPr>
        <w:spacing w:after="0" w:line="360" w:lineRule="auto"/>
        <w:ind w:left="0" w:leftChars="0" w:firstLine="440" w:firstLineChars="0"/>
        <w:jc w:val="both"/>
        <w:rPr>
          <w:rFonts w:hint="default" w:ascii="ArialMT" w:hAnsi="ArialMT" w:cs="ArialMT"/>
          <w:i w:val="0"/>
          <w:iCs w:val="0"/>
          <w:color w:val="000000" w:themeColor="text1"/>
          <w:sz w:val="22"/>
          <w:szCs w:val="22"/>
          <w:lang w:val="en-US"/>
        </w:rPr>
      </w:pP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pada karyawan tidak terbentuk dengan sendirinya, namun dipengaruhi oleh beberapa faktor. </w:t>
      </w:r>
      <w:r>
        <w:rPr>
          <w:rFonts w:hint="default" w:ascii="ArialMT" w:hAnsi="ArialMT" w:cs="ArialMT"/>
          <w:color w:val="000000" w:themeColor="text1"/>
          <w:sz w:val="22"/>
          <w:szCs w:val="22"/>
          <w:lang w:val="en-US"/>
        </w:rPr>
        <w:t xml:space="preserve">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{"citationItems":[{"id":"ITEM-1","itemData":{"ISBN":"9780470388150","author":[{"dropping-particle":"","family":"Federman","given":"Brad","non-dropping-particle":"","parse-names":false,"suffix":""}],"id":"ITEM-1","issued":{"date-parts":[["2009"]]},"publisher":"John Wiley &amp; Sons","publisher-place":"San Francisco","title":"Employee engagement: A roadmap for creating profits, optimizing performance, and increasing loyalty","type":"book"},"uris":["http://www.mendeley.com/documents/?uuid=a302e767-802c-4f60-89b7-f96582351510"]}],"mendeley":{"formattedCitation":"(Federman, 2009)","manualFormatting":"Federman (2009)","plainTextFormattedCitation":"(Federman, 2009)","previouslyFormattedCitation":"(Federman, 2009)"},"properties":{"noteIndex":0},"schema":"https://github.com/citation-style-language/schema/raw/master/csl-citation.json"}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Federman (2009)</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lang w:val="en-US"/>
        </w:rPr>
        <w:t xml:space="preserve"> salah satu faktor esensial </w:t>
      </w:r>
      <w:r>
        <w:rPr>
          <w:rFonts w:hint="default" w:ascii="ArialMT" w:hAnsi="ArialMT" w:cs="ArialMT"/>
          <w:i w:val="0"/>
          <w:iCs w:val="0"/>
          <w:color w:val="000000" w:themeColor="text1"/>
          <w:sz w:val="22"/>
          <w:szCs w:val="22"/>
          <w:lang w:val="en-US"/>
        </w:rPr>
        <w:t xml:space="preserve">yang mempengaruhi </w:t>
      </w:r>
      <w:r>
        <w:rPr>
          <w:rFonts w:hint="default" w:ascii="ArialMT" w:hAnsi="ArialMT" w:cs="ArialMT"/>
          <w:i/>
          <w:iCs/>
          <w:color w:val="000000" w:themeColor="text1"/>
          <w:sz w:val="22"/>
          <w:szCs w:val="22"/>
          <w:lang w:val="en-US"/>
        </w:rPr>
        <w:t>employee engagement</w:t>
      </w:r>
      <w:r>
        <w:rPr>
          <w:rFonts w:hint="default" w:ascii="ArialMT" w:hAnsi="ArialMT" w:cs="ArialMT"/>
          <w:i w:val="0"/>
          <w:iCs w:val="0"/>
          <w:color w:val="000000" w:themeColor="text1"/>
          <w:sz w:val="22"/>
          <w:szCs w:val="22"/>
          <w:lang w:val="en-US"/>
        </w:rPr>
        <w:t xml:space="preserve"> adalah kompensasi.</w:t>
      </w:r>
    </w:p>
    <w:p>
      <w:pPr>
        <w:spacing w:after="0" w:line="360" w:lineRule="auto"/>
        <w:ind w:left="0" w:leftChars="0" w:firstLine="440" w:firstLineChars="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Hal ini didukung pendapat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{"citationItems":[{"id":"ITEM-1","itemData":{"DOI":"10.12691/jbms-3-5-1","abstract":"During the past two decades, employee engagement became a very popular managerial construct. Organisations use different engagement building tools in order to stay competitive and improve performance. Though there is an increasing contribution in human resource consulting agencies on the concept of employee engagement, yet there is a shortage of academic studies on that construct, especially in emerging economies countries. This engagement gap grew more in importance amidst the waves of ongoing recession and resource scarcity battles prevailing in the Middle Eastern Region, in general, and in Egypt in particular. This is an exploratory study that aims to identify the key drivers of employee engagement within the Egyptian context. It also studies the impact of employee engagement on job performance and organisational commitment based on social exchange theory (SET). A survey questionnaire was developed and validated. Regression analysis was used to predict and explain the proposed relationships. The study was conducted on 245 bank employees from several private and public banks operating in Cairo-Egypt with a response rate of about 81.6 % ( 200 employees) Pearson correlation matrix and regression were used to predict and estimate the relationships. Regression results indicated that leadership and organisational justice were the most significant drivers of employee engagement.. The mediation effect was confirmed. Employee engagement had significant impact on job performance, but less impact on organisational commitment. This study adds to the very few academic studies that have empirically investigated a comprehensive model of employee engagement drivers and outcomes. To the best of the author's knowledge, such a study is the first of its kind undertaken in the Egyptian context.","author":[{"dropping-particle":"","family":"Dajani","given":"Maha Ahmed Zaki","non-dropping-particle":"","parse-names":false,"suffix":""}],"container-title":"Journal of Business and Management Sciences","id":"ITEM-1","issue":"5","issued":{"date-parts":[["2015"]]},"page":"138-147","title":"The impact of employee engagement on job performance and organisational commitment in the Eqyptian Banking Sector","type":"article-journal","volume":"3"},"uris":["http://www.mendeley.com/documents/?uuid=00e4bf92-4c92-41c1-92dc-bb3e87825deb"]}],"mendeley":{"formattedCitation":"(Dajani, 2015)","manualFormatting":"Dajani (2015)","plainTextFormattedCitation":"(Dajani, 2015)","previouslyFormattedCitation":"(Dajani, 2015)"},"properties":{"noteIndex":0},"schema":"https://github.com/citation-style-language/schema/raw/master/csl-citation.json"}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Dajani (2015)</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bahwa kompensasi dan tunjangan merupakan prediktor yang kuat terhadap keterikatan kerja.</w:t>
      </w:r>
    </w:p>
    <w:p>
      <w:pPr>
        <w:spacing w:after="0" w:line="360" w:lineRule="auto"/>
        <w:ind w:left="0" w:leftChars="0" w:firstLine="440" w:firstLineChars="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{"citationItems":[{"id":"ITEM-1","itemData":{"ISBN":"9780132834872","author":[{"dropping-particle":"","family":"Robbins","given":"Stephen P.","non-dropping-particle":"","parse-names":false,"suffix":""},{"dropping-particle":"","family":"Judge","given":"Timothy A.","non-dropping-particle":"","parse-names":false,"suffix":""}],"edition":"15","id":"ITEM-1","issued":{"date-parts":[["2013"]]},"publisher":"Pearson Education","publisher-place":"New Jersey","title":"Organizational behavior","type":"book"},"uris":["http://www.mendeley.com/documents/?uuid=3d88bf13-c5fc-414d-a457-ef22d73a11d5"]}],"mendeley":{"formattedCitation":"(Robbins &amp; Judge, 2013)","manualFormatting":"Robbins dan Judge (2013)","plainTextFormattedCitation":"(Robbins &amp; Judge, 2013)","previouslyFormattedCitation":"(Robbins &amp; Judge, 2013)"},"properties":{"noteIndex":0},"schema":"https://github.com/citation-style-language/schema/raw/master/csl-citation.json"}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Robbins dan Judge (2013)</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persepsi adalah proses individu mengatur dan menafsirkan tayangan sensori untuk memberikan makna pada lingkungan sekitar. 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{"citationItems":[{"id":"ITEM-1","itemData":{"ISBN":"9780133848809","author":[{"dropping-particle":"","family":"Mondy","given":"R. Wayne","non-dropping-particle":"","parse-names":false,"suffix":""},{"dropping-particle":"","family":"Martocchio","given":"Joseph J.","non-dropping-particle":"","parse-names":false,"suffix":""}],"edition":"14","id":"ITEM-1","issued":{"date-parts":[["2016"]]},"publisher":"Pearson Education","publisher-place":"USA","title":"Human resources management","type":"book"},"uris":["http://www.mendeley.com/documents/?uuid=88b1a8b1-6312-48dd-b777-ec2a30a1a5f5"]}],"mendeley":{"formattedCitation":"(Mondy &amp; Martocchio, 2016)","manualFormatting":"Mondy dan Martocchio (2016)","plainTextFormattedCitation":"(Mondy &amp; Martocchio, 2016)","previouslyFormattedCitation":"(Mondy &amp; Martocchio, 2016)"},"properties":{"noteIndex":0},"schema":"https://github.com/citation-style-language/schema/raw/master/csl-citation.json"}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Mondy dan Martocchio (2016)</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kompensasi adalah total semua penghargaan yang disediakan sebagai imbalan atau ganti atas kerja karyawan. Berdasarkan uraian di atas, dapat disimpulkan bahwa persepsi terhadap kompensasi merupakan penilaian individu terhadap makna dari upaya atau timbal balik yang diberikan kepada pekerjaannya, berupa uang, asuransi, tunjangan, dan sebagainya.</w:t>
      </w:r>
    </w:p>
    <w:p>
      <w:pPr>
        <w:spacing w:after="0" w:line="360" w:lineRule="auto"/>
        <w:ind w:left="0" w:leftChars="0" w:firstLine="440" w:firstLineChars="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Komponen-komponen dalam kompensasi 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{"citationItems":[{"id":"ITEM-1","itemData":{"ISBN":"9780133848809","author":[{"dropping-particle":"","family":"Mondy","given":"R. Wayne","non-dropping-particle":"","parse-names":false,"suffix":""},{"dropping-particle":"","family":"Martocchio","given":"Joseph J.","non-dropping-particle":"","parse-names":false,"suffix":""}],"edition":"14","id":"ITEM-1","issued":{"date-parts":[["2016"]]},"publisher":"Pearson Education","publisher-place":"USA","title":"Human resources management","type":"book"},"uris":["http://www.mendeley.com/documents/?uuid=88b1a8b1-6312-48dd-b777-ec2a30a1a5f5"]}],"mendeley":{"formattedCitation":"(Mondy &amp; Martocchio, 2016)","manualFormatting":"Mondy dan Martocchio (2016)","plainTextFormattedCitation":"(Mondy &amp; Martocchio, 2016)","previouslyFormattedCitation":"(Mondy &amp; Martocchio, 2016)"},"properties":{"noteIndex":0},"schema":"https://github.com/citation-style-language/schema/raw/master/csl-citation.json"}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Mondy dan Martocchio (2016)</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terdiri dari dua, yaitu </w:t>
      </w:r>
      <w:r>
        <w:rPr>
          <w:rFonts w:hint="default" w:ascii="ArialMT" w:hAnsi="ArialMT" w:cs="ArialMT"/>
          <w:i/>
          <w:iCs/>
          <w:color w:val="000000" w:themeColor="text1"/>
          <w:sz w:val="22"/>
          <w:szCs w:val="22"/>
        </w:rPr>
        <w:t>financial compensation</w:t>
      </w:r>
      <w:r>
        <w:rPr>
          <w:rFonts w:hint="default" w:ascii="ArialMT" w:hAnsi="ArialMT" w:cs="ArialMT"/>
          <w:color w:val="000000" w:themeColor="text1"/>
          <w:sz w:val="22"/>
          <w:szCs w:val="22"/>
        </w:rPr>
        <w:t xml:space="preserve"> dan </w:t>
      </w:r>
      <w:r>
        <w:rPr>
          <w:rFonts w:hint="default" w:ascii="ArialMT" w:hAnsi="ArialMT" w:cs="ArialMT"/>
          <w:i/>
          <w:iCs/>
          <w:color w:val="000000" w:themeColor="text1"/>
          <w:sz w:val="22"/>
          <w:szCs w:val="22"/>
        </w:rPr>
        <w:t>nonfinancial compensation</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Financial compensation</w:t>
      </w:r>
      <w:r>
        <w:rPr>
          <w:rFonts w:hint="default" w:ascii="ArialMT" w:hAnsi="ArialMT" w:cs="ArialMT"/>
          <w:color w:val="000000" w:themeColor="text1"/>
          <w:sz w:val="22"/>
          <w:szCs w:val="22"/>
        </w:rPr>
        <w:t xml:space="preserve"> terdiri dari semua penghargaan dalam bentuk finansial kepada karyawan yang bersangkutan, baik secara langsung maupun tidak langsung. terdiri dari kepuasan yang diterima karyawan dari pekerjaan, dan psikologis atau lingkungan fisik tempat karyawan tersebut bekerja. </w:t>
      </w:r>
      <w:r>
        <w:rPr>
          <w:rFonts w:hint="default" w:ascii="ArialMT" w:hAnsi="ArialMT" w:cs="ArialMT"/>
          <w:i/>
          <w:iCs/>
          <w:color w:val="000000" w:themeColor="text1"/>
          <w:sz w:val="22"/>
          <w:szCs w:val="22"/>
        </w:rPr>
        <w:t xml:space="preserve">Nonfinancial compensation </w:t>
      </w:r>
      <w:r>
        <w:rPr>
          <w:rFonts w:hint="default" w:ascii="ArialMT" w:hAnsi="ArialMT" w:cs="ArialMT"/>
          <w:color w:val="000000" w:themeColor="text1"/>
          <w:sz w:val="22"/>
          <w:szCs w:val="22"/>
        </w:rPr>
        <w:t>terdiri dari kepuasan yang diterima karyawan dari pekerjaan, psikologis, atau lingkungan fisik tempat karyawan tersebut bekerja.</w:t>
      </w:r>
    </w:p>
    <w:p>
      <w:pPr>
        <w:spacing w:after="0" w:line="360" w:lineRule="auto"/>
        <w:ind w:left="0" w:leftChars="0" w:firstLine="440" w:firstLineChars="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Berdasarkan penelitian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{"citationItems":[{"id":"ITEM-1","itemData":{"author":[{"dropping-particle":"","family":"McMullen","given":"Tom","non-dropping-particle":"","parse-names":false,"suffix":""},{"dropping-particle":"","family":"Hay Group","given":"","non-dropping-particle":"","parse-names":false,"suffix":""}],"container-title":"Jounal of Compensation and Benefits","id":"ITEM-1","issued":{"date-parts":[["2013"]]},"page":"23-29","title":"Reward strategy and practice: Eight recommendations to improve employee engagement","type":"article-journal"},"uris":["http://www.mendeley.com/documents/?uuid=0d99ba43-e74c-422d-a3bb-769a6daf63bc"]}],"mendeley":{"formattedCitation":"(McMullen &amp; Hay Group, 2013)","manualFormatting":"McMullen dan Hay Group (2013)","plainTextFormattedCitation":"(McMullen &amp; Hay Group, 2013)","previouslyFormattedCitation":"(McMullen &amp; Hay Group, 2013)"},"properties":{"noteIndex":0},"schema":"https://github.com/citation-style-language/schema/raw/master/csl-citation.json"}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McMullen dan Hay Group (2013)</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menemukan bahwa </w:t>
      </w:r>
      <w:r>
        <w:rPr>
          <w:rFonts w:hint="default" w:ascii="ArialMT" w:hAnsi="ArialMT" w:cs="ArialMT"/>
          <w:i/>
          <w:iCs/>
          <w:color w:val="000000" w:themeColor="text1"/>
          <w:sz w:val="22"/>
          <w:szCs w:val="22"/>
        </w:rPr>
        <w:t>engagement</w:t>
      </w:r>
      <w:r>
        <w:rPr>
          <w:rFonts w:hint="default" w:ascii="ArialMT" w:hAnsi="ArialMT" w:cs="ArialMT"/>
          <w:color w:val="000000" w:themeColor="text1"/>
          <w:sz w:val="22"/>
          <w:szCs w:val="22"/>
        </w:rPr>
        <w:t xml:space="preserve"> dapat ditingkat ketika karyawan dan manajer diberi program penghargaan. Misalnya, karyawan diberikan pilihan imbalan non-finansial, kenaikan gaji pokok, dan tunjangan. Hal tersebut telah terbukti menjadi cara efektif bagi banyak organisasi. Di sisi lain,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{"citationItems":[{"id":"ITEM-1","itemData":{"DOI":"10.1108/02683940610690169","ISSN":"02683946","abstract":"Purpose – Employee engagement has become a hot topic in recent years among consulting firms and in the popular business press. However, employee engagement has rarely been studied in the academic literature and relatively little is known about its antecedents and consequences. The purpose of this study was to test a model of the antecedents and consequences of job and organization engagements based on social exchange theory. Design/methodology/approach – A survey was completed by 102 employees working in a variety of jobs and organizations. The average age was 34 and 60 percent were female. Participants had been in their current job for an average of four years, in their organization an average of five years, and had on average 12 years of work experience. The survey included measures of job and organization engagement as well as the antecedents and consequences of engagement. Findings – Results indicate that there is a meaningful difference between job and organization engagements and that perceived organizational support predicts both job and organization engagement; job characteristics predicts job engagement; and procedural justice predicts organization engagement. In addition, job and organization engagement mediated the relationships between the antecedents and job satisfaction, organizational commitment, intentions to quit, and organizational citizenship behavior. Originality/value – This is the first study to make a distinction between job and organization engagement and to measure a variety of antecedents and consequences of job and organization engagement. As a result, this study addresses concerns about that lack of academic research on employee engagement and speculation that it might just be the latest management fad.","author":[{"dropping-particle":"","family":"Saks","given":"Alan M.","non-dropping-particle":"","parse-names":false,"suffix":""}],"container-title":"Journal of Managerial Psychology","id":"ITEM-1","issue":"7","issued":{"date-parts":[["2006"]]},"page":"600-619","title":"Antecedents and consequences of employee engagement","type":"article-journal","volume":"21"},"uris":["http://www.mendeley.com/documents/?uuid=ab7aca31-c18d-4ba9-b7fc-a5246a52e611"]}],"mendeley":{"formattedCitation":"(Saks, 2006)","manualFormatting":"Saks (2006)","plainTextFormattedCitation":"(Saks, 2006)","previouslyFormattedCitation":"(Saks, 2006)"},"properties":{"noteIndex":0},"schema":"https://github.com/citation-style-language/schema/raw/master/csl-citation.json"}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Saks (2006)</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dengan </w:t>
      </w:r>
      <w:r>
        <w:rPr>
          <w:rFonts w:hint="default" w:ascii="ArialMT" w:hAnsi="ArialMT" w:cs="ArialMT"/>
          <w:i/>
          <w:iCs/>
          <w:color w:val="000000" w:themeColor="text1"/>
          <w:sz w:val="22"/>
          <w:szCs w:val="22"/>
        </w:rPr>
        <w:t>social exchange theory</w:t>
      </w:r>
      <w:r>
        <w:rPr>
          <w:rFonts w:hint="default" w:ascii="ArialMT" w:hAnsi="ArialMT" w:cs="ArialMT"/>
          <w:color w:val="000000" w:themeColor="text1"/>
          <w:sz w:val="22"/>
          <w:szCs w:val="22"/>
        </w:rPr>
        <w:t xml:space="preserve"> atau disebut juga dengan SET menunjukkan bahwa hubungan timbal balik antara perusahaan dan karyawan dapat memunculkan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{"citationItems":[{"id":"ITEM-1","itemData":{"DOI":"10.1177/0149206305279602","ISBN":"0149206305","ISSN":"01492063","abstract":"Social exchange theory (SET) is one the most influential conceptual paradigms in organizational behavior. Despite its usefulness, theoretical ambiguities within SET remain. As a consequence, tests of the model, as well as its applications, tend to rely on an incompletely specified set of ideas. The authors address conceptual difficulties and highlight areas in need of additional research. In so doing, they pay special attention to four issues: (a) the roots of the conceptual ambiguities, (b) norms and rules of exchange, (c) nature of the resources being exchanged, and (d) social exchange relationships.","author":[{"dropping-particle":"","family":"Cropanzano","given":"Russell","non-dropping-particle":"","parse-names":false,"suffix":""},{"dropping-particle":"","family":"Mitchell","given":"Marie S.","non-dropping-particle":"","parse-names":false,"suffix":""}],"container-title":"Journal of Management","id":"ITEM-1","issue":"6","issued":{"date-parts":[["2005"]]},"page":"874-900","title":"Social exchange theory: An interdisciplinary review","type":"article-journal","volume":"31"},"uris":["http://www.mendeley.com/documents/?uuid=4441eb83-fa1d-44ff-89df-fe0812e78f6e"]}],"mendeley":{"formattedCitation":"(Cropanzano &amp; Mitchell, 2005)","manualFormatting":"Cropanzano dan Mitchell (2005)","plainTextFormattedCitation":"(Cropanzano &amp; Mitchell, 2005)","previouslyFormattedCitation":"(Cropanzano &amp; Mitchell, 2005)"},"properties":{"noteIndex":0},"schema":"https://github.com/citation-style-language/schema/raw/master/csl-citation.json"}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Cropanzano dan Mitchell (2005)</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memberi satu contoh SET, yaitu ketika karyawan menerima sumber daya ekonomi berupa kompensasi dari organisasi, karyawan merasa mempunyai kewajiban untuk membalasnya dengan berbagai cara. Salah satunya 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{"citationItems":[{"id":"ITEM-1","itemData":{"DOI":"10.1108/02683940610690169","ISSN":"02683946","abstract":"Purpose – Employee engagement has become a hot topic in recent years among consulting firms and in the popular business press. However, employee engagement has rarely been studied in the academic literature and relatively little is known about its antecedents and consequences. The purpose of this study was to test a model of the antecedents and consequences of job and organization engagements based on social exchange theory. Design/methodology/approach – A survey was completed by 102 employees working in a variety of jobs and organizations. The average age was 34 and 60 percent were female. Participants had been in their current job for an average of four years, in their organization an average of five years, and had on average 12 years of work experience. The survey included measures of job and organization engagement as well as the antecedents and consequences of engagement. Findings – Results indicate that there is a meaningful difference between job and organization engagements and that perceived organizational support predicts both job and organization engagement; job characteristics predicts job engagement; and procedural justice predicts organization engagement. In addition, job and organization engagement mediated the relationships between the antecedents and job satisfaction, organizational commitment, intentions to quit, and organizational citizenship behavior. Originality/value – This is the first study to make a distinction between job and organization engagement and to measure a variety of antecedents and consequences of job and organization engagement. As a result, this study addresses concerns about that lack of academic research on employee engagement and speculation that it might just be the latest management fad.","author":[{"dropping-particle":"","family":"Saks","given":"Alan M.","non-dropping-particle":"","parse-names":false,"suffix":""}],"container-title":"Journal of Managerial Psychology","id":"ITEM-1","issue":"7","issued":{"date-parts":[["2006"]]},"page":"600-619","title":"Antecedents and consequences of employee engagement","type":"article-journal","volume":"21"},"uris":["http://www.mendeley.com/documents/?uuid=ab7aca31-c18d-4ba9-b7fc-a5246a52e611"]}],"mendeley":{"formattedCitation":"(Saks, 2006)","manualFormatting":"Saks (2006)","plainTextFormattedCitation":"(Saks, 2006)","previouslyFormattedCitation":"(Saks, 2006)"},"properties":{"noteIndex":0},"schema":"https://github.com/citation-style-language/schema/raw/master/csl-citation.json"}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Saks (2006)</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dengan tingkatan tinggi atau rendah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Berarti karyawan lebih memilih untuk meningkatkan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sebagai bentuk balasan terhadap kompensasi yang diterima.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{"citationItems":[{"id":"ITEM-1","itemData":{"abstract":"Problem statement: The construct of employee engagement had gained much reputation in recent years among reputable management and human resources consulting firms. Though there is an increasing contributions of few academic research on the construct of employee engagement yet there is a shortage of academic studies on the construct. This gap had made the construct an interesting area of research. Approach: The purpose of this study is to test a model of the drivers of employee engagement on two measures of employee engagement (job engagement and organization engagement) using the social exchange theory as a theoretical foundation.104 HR officers working at the Inland Revenue Board of Malaysia completed the survey. The survey included measures of the drivers of engagement as well the measures of job and organization engagements. The t-test and the multiple regressions were employed for data analysis. Results: This study is among the pioneering work to support a distinctive difference between job engagement and organization engagement and to evaluate an array of the drivers of job engagement and organization engagement. The study addresses concerns on how to provide a framework to enable organization engage their employees to drive execution. Conclusion: The findings of this study showed a significant difference between job engagement and organization; with co-employee support as a major driver that influence both measures of engagement.","author":[{"dropping-particle":"","family":"Andrew","given":"Ologbo C.","non-dropping-particle":"","parse-names":false,"suffix":""},{"dropping-particle":"","family":"Sofian","given":"Saudah","non-dropping-particle":"","parse-names":false,"suffix":""}],"container-title":"American Journal of Economics and Business Administration","id":"ITEM-1","issue":"3","issued":{"date-parts":[["2011"]]},"page":"569-575","title":"Engaging people who driver execution and organizational performance","type":"article-journal","volume":"3"},"uris":["http://www.mendeley.com/documents/?uuid=5d10438b-da7d-40b0-9482-56ab72dd94df"]}],"mendeley":{"formattedCitation":"(Andrew &amp; Sofian, 2011)","manualFormatting":"Andrew dan Sofian (2011)","plainTextFormattedCitation":"(Andrew &amp; Sofian, 2011)","previouslyFormattedCitation":"(Andrew &amp; Sofian, 2011)"},"properties":{"noteIndex":0},"schema":"https://github.com/citation-style-language/schema/raw/master/csl-citation.json"}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Andrew dan Sofian (2011)</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menambahkan bahwa SET menjadi pondasi karyawan untuk memutuskan </w:t>
      </w:r>
      <w:r>
        <w:rPr>
          <w:rFonts w:hint="default" w:ascii="ArialMT" w:hAnsi="ArialMT" w:cs="ArialMT"/>
          <w:i/>
          <w:iCs/>
          <w:color w:val="000000" w:themeColor="text1"/>
          <w:sz w:val="22"/>
          <w:szCs w:val="22"/>
        </w:rPr>
        <w:t>engaged</w:t>
      </w:r>
      <w:r>
        <w:rPr>
          <w:rFonts w:hint="default" w:ascii="ArialMT" w:hAnsi="ArialMT" w:cs="ArialMT"/>
          <w:color w:val="000000" w:themeColor="text1"/>
          <w:sz w:val="22"/>
          <w:szCs w:val="22"/>
        </w:rPr>
        <w:t xml:space="preserve"> atau tidak </w:t>
      </w:r>
      <w:r>
        <w:rPr>
          <w:rFonts w:hint="default" w:ascii="ArialMT" w:hAnsi="ArialMT" w:cs="ArialMT"/>
          <w:i/>
          <w:iCs/>
          <w:color w:val="000000" w:themeColor="text1"/>
          <w:sz w:val="22"/>
          <w:szCs w:val="22"/>
        </w:rPr>
        <w:t>engaged</w:t>
      </w:r>
      <w:r>
        <w:rPr>
          <w:rFonts w:hint="default" w:ascii="ArialMT" w:hAnsi="ArialMT" w:cs="ArialMT"/>
          <w:color w:val="000000" w:themeColor="text1"/>
          <w:sz w:val="22"/>
          <w:szCs w:val="22"/>
        </w:rPr>
        <w:t xml:space="preserve"> pada pekerjaannya tergantung pada positif atau negatif persepsi terhadap kompensasi dan dukungan organisasi yang diterima.</w:t>
      </w:r>
    </w:p>
    <w:p>
      <w:pPr>
        <w:spacing w:after="0" w:line="360" w:lineRule="auto"/>
        <w:ind w:left="0" w:leftChars="0" w:firstLine="440" w:firstLineChars="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Karyawan yang memiliki penilaian positif atau negatif terhadap kompensasi tergantung pada keadilan dan keseimbangan kompensasi yang diterima karyawan. Kompensasi yang adil dan seimbang dengan kondisi kerja akan menciptakan motivasi karyawan dalam bekerja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{"citationItems":[{"id":"ITEM-1","itemData":{"DOI":"10.12691/jbms-3-5-1","abstract":"During the past two decades, employee engagement became a very popular managerial construct. Organisations use different engagement building tools in order to stay competitive and improve performance. Though there is an increasing contribution in human resource consulting agencies on the concept of employee engagement, yet there is a shortage of academic studies on that construct, especially in emerging economies countries. This engagement gap grew more in importance amidst the waves of ongoing recession and resource scarcity battles prevailing in the Middle Eastern Region, in general, and in Egypt in particular. This is an exploratory study that aims to identify the key drivers of employee engagement within the Egyptian context. It also studies the impact of employee engagement on job performance and organisational commitment based on social exchange theory (SET). A survey questionnaire was developed and validated. Regression analysis was used to predict and explain the proposed relationships. The study was conducted on 245 bank employees from several private and public banks operating in Cairo-Egypt with a response rate of about 81.6 % ( 200 employees) Pearson correlation matrix and regression were used to predict and estimate the relationships. Regression results indicated that leadership and organisational justice were the most significant drivers of employee engagement.. The mediation effect was confirmed. Employee engagement had significant impact on job performance, but less impact on organisational commitment. This study adds to the very few academic studies that have empirically investigated a comprehensive model of employee engagement drivers and outcomes. To the best of the author's knowledge, such a study is the first of its kind undertaken in the Egyptian context.","author":[{"dropping-particle":"","family":"Dajani","given":"Maha Ahmed Zaki","non-dropping-particle":"","parse-names":false,"suffix":""}],"container-title":"Journal of Business and Management Sciences","id":"ITEM-1","issue":"5","issued":{"date-parts":[["2015"]]},"page":"138-147","title":"The impact of employee engagement on job performance and organisational commitment in the Eqyptian Banking Sector","type":"article-journal","volume":"3"},"uris":["http://www.mendeley.com/documents/?uuid=00e4bf92-4c92-41c1-92dc-bb3e87825deb"]}],"mendeley":{"formattedCitation":"(Dajani, 2015)","plainTextFormattedCitation":"(Dajani, 2015)","previouslyFormattedCitation":"(Dajani, 2015)"},"properties":{"noteIndex":0},"schema":"https://github.com/citation-style-language/schema/raw/master/csl-citation.json"}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(Dajani, 2015)</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{"citationItems":[{"id":"ITEM-1","itemData":{"ISBN":"978-979-1533-19-5","author":[{"dropping-particle":"","family":"Riani","given":"Asri Laksmi","non-dropping-particle":"","parse-names":false,"suffix":""}],"id":"ITEM-1","issued":{"date-parts":[["2010"]]},"publisher":"Yuma Pustaka","publisher-place":"Surakarta","title":"Perspektif kompensasi Perusahaan, CEO, dan Karyawan","type":"book"},"uris":["http://www.mendeley.com/documents/?uuid=ddb6b84c-804c-4f7e-ba38-085020951835"]}],"mendeley":{"formattedCitation":"(Riani, 2010)","manualFormatting":"Riani (2010)","plainTextFormattedCitation":"(Riani, 2010)","previouslyFormattedCitation":"(Riani, 2010)"},"properties":{"noteIndex":0},"schema":"https://github.com/citation-style-language/schema/raw/master/csl-citation.json"}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Riani (2010)</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keadilan, kelayakan, dan besarnya kompensasi yang diberikan perusahaan mampu menarik, mempertahankan, dan mendorong karyawan agar bekerja dengan produktif. Lebih lanjut, jika kompensasi yang diberikan perusahaan dirasa cukup memadai untuk menghidupi diri dan keluarganya, maka karyawan akan tetap bekerja.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{"citationItems":[{"id":"ITEM-1","itemData":{"DOI":"10.1108/02683940610690169","ISSN":"02683946","abstract":"Purpose – Employee engagement has become a hot topic in recent years among consulting firms and in the popular business press. However, employee engagement has rarely been studied in the academic literature and relatively little is known about its antecedents and consequences. The purpose of this study was to test a model of the antecedents and consequences of job and organization engagements based on social exchange theory. Design/methodology/approach – A survey was completed by 102 employees working in a variety of jobs and organizations. The average age was 34 and 60 percent were female. Participants had been in their current job for an average of four years, in their organization an average of five years, and had on average 12 years of work experience. The survey included measures of job and organization engagement as well as the antecedents and consequences of engagement. Findings – Results indicate that there is a meaningful difference between job and organization engagements and that perceived organizational support predicts both job and organization engagement; job characteristics predicts job engagement; and procedural justice predicts organization engagement. In addition, job and organization engagement mediated the relationships between the antecedents and job satisfaction, organizational commitment, intentions to quit, and organizational citizenship behavior. Originality/value – This is the first study to make a distinction between job and organization engagement and to measure a variety of antecedents and consequences of job and organization engagement. As a result, this study addresses concerns about that lack of academic research on employee engagement and speculation that it might just be the latest management fad.","author":[{"dropping-particle":"","family":"Saks","given":"Alan M.","non-dropping-particle":"","parse-names":false,"suffix":""}],"container-title":"Journal of Managerial Psychology","id":"ITEM-1","issue":"7","issued":{"date-parts":[["2006"]]},"page":"600-619","title":"Antecedents and consequences of employee engagement","type":"article-journal","volume":"21"},"uris":["http://www.mendeley.com/documents/?uuid=ab7aca31-c18d-4ba9-b7fc-a5246a52e611"]}],"mendeley":{"formattedCitation":"(Saks, 2006)","manualFormatting":"Saks (2006)","plainTextFormattedCitation":"(Saks, 2006)","previouslyFormattedCitation":"(Saks, 2006)"},"properties":{"noteIndex":0},"schema":"https://github.com/citation-style-language/schema/raw/master/csl-citation.json"}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Saks (2006)</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menyatakan bahwa karyawan membalas kompensasi yang diterima dengan cenderung </w:t>
      </w:r>
      <w:r>
        <w:rPr>
          <w:rFonts w:hint="default" w:ascii="ArialMT" w:hAnsi="ArialMT" w:cs="ArialMT"/>
          <w:i/>
          <w:iCs/>
          <w:color w:val="000000" w:themeColor="text1"/>
          <w:sz w:val="22"/>
          <w:szCs w:val="22"/>
        </w:rPr>
        <w:t>engaged</w:t>
      </w:r>
      <w:r>
        <w:rPr>
          <w:rFonts w:hint="default" w:ascii="ArialMT" w:hAnsi="ArialMT" w:cs="ArialMT"/>
          <w:color w:val="000000" w:themeColor="text1"/>
          <w:sz w:val="22"/>
          <w:szCs w:val="22"/>
        </w:rPr>
        <w:t xml:space="preserve">. Hal tersebut tercermin dari karyawan lebih mendalami perannya dan mencurahkan lebih banyak pikiran, emosi, dan tindakan ke pekerjaannya.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URL":"https://news.gallup.com/poll/165269/worldwide-employees-engaged-work.aspx","accessed":{"date-parts":[["2019","9","12"]]},"author":[{"dropping-particle":"","family":"Crabtree","given":"Steve","non-dropping-particle":"","parse-names":false,"suffix":""}],"id":"ITEM-1","issued":{"date-parts":[["2013"]]},"title":"Worldwide, 13% of employees are engaged at work","type":"webpage"},"uris":["http://www.mendeley.com/documents/?uuid=32cf5fe7-4003-4b1e-bea6-c9133bde8b0a"]}],"mendeley":{"formattedCitation":"(Crabtree, 2013)","manualFormatting":"Crabtree (2013)","plainTextFormattedCitation":"(Crabtree, 2013)","previouslyFormattedCitation":"(Crabtree, 2013)"},"properties":{"noteIndex":0},"schema":"https://github.com/citation-style-language/schema/raw/master/csl-citation.json"}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Crabtree (2013)</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menambahkan karyawan yang </w:t>
      </w:r>
      <w:r>
        <w:rPr>
          <w:rFonts w:hint="default" w:ascii="ArialMT" w:hAnsi="ArialMT" w:cs="ArialMT"/>
          <w:i/>
          <w:iCs/>
          <w:color w:val="000000" w:themeColor="text1"/>
          <w:sz w:val="22"/>
          <w:szCs w:val="22"/>
        </w:rPr>
        <w:t>engaged</w:t>
      </w:r>
      <w:r>
        <w:rPr>
          <w:rFonts w:hint="default" w:ascii="ArialMT" w:hAnsi="ArialMT" w:cs="ArialMT"/>
          <w:color w:val="000000" w:themeColor="text1"/>
          <w:sz w:val="22"/>
          <w:szCs w:val="22"/>
        </w:rPr>
        <w:t xml:space="preserve"> menunjukkan komitmen dan kecenderungan memberikan kontribusi positif bagi organisasi.</w:t>
      </w:r>
    </w:p>
    <w:p>
      <w:pPr>
        <w:spacing w:after="0" w:line="360" w:lineRule="auto"/>
        <w:ind w:left="0" w:leftChars="0" w:firstLine="440" w:firstLineChars="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Sebaliknya,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{"citationItems":[{"id":"ITEM-1","itemData":{"ISBN":"978-979-1533-19-5","author":[{"dropping-particle":"","family":"Riani","given":"Asri Laksmi","non-dropping-particle":"","parse-names":false,"suffix":""}],"id":"ITEM-1","issued":{"date-parts":[["2010"]]},"publisher":"Yuma Pustaka","publisher-place":"Surakarta","title":"Perspektif kompensasi Perusahaan, CEO, dan Karyawan","type":"book"},"uris":["http://www.mendeley.com/documents/?uuid=ddb6b84c-804c-4f7e-ba38-085020951835"]}],"mendeley":{"formattedCitation":"(Riani, 2010)","manualFormatting":"Riani (2010)","plainTextFormattedCitation":"(Riani, 2010)","previouslyFormattedCitation":"(Riani, 2010)"},"properties":{"noteIndex":0},"schema":"https://github.com/citation-style-language/schema/raw/master/csl-citation.json"}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Riani (2010)</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menyatakan bahwa karyawan akan bereaksi negatif jika karyawan mengetahui karyawan satu dengan karyawan yang lain memiliki usaha, kinerja, dan perilaku kerja yang sama, namun menerima kompensasi yang berbeda. Kompensasi yang tidak memadai untuk menghidupi diri dan keluarga juga dapat membuat karyawan tidak bergairah saat bekerja, bekerja dengan seadanya, penurunan produktivitas kerja, dan berpikir untuk pindah ke perusahaan lain yang kompensasinya lebih besar. Lebih lanjut, kegagalan dalam memberikan kompensasi dapat membuat karyawan </w:t>
      </w:r>
      <w:r>
        <w:rPr>
          <w:rFonts w:hint="default" w:ascii="ArialMT" w:hAnsi="ArialMT" w:cs="ArialMT"/>
          <w:i/>
          <w:iCs/>
          <w:color w:val="000000" w:themeColor="text1"/>
          <w:sz w:val="22"/>
          <w:szCs w:val="22"/>
        </w:rPr>
        <w:t xml:space="preserve">disengaged </w:t>
      </w:r>
      <w:r>
        <w:rPr>
          <w:rFonts w:hint="default" w:ascii="ArialMT" w:hAnsi="ArialMT" w:cs="ArialMT"/>
          <w:color w:val="000000" w:themeColor="text1"/>
          <w:sz w:val="22"/>
          <w:szCs w:val="22"/>
        </w:rPr>
        <w:t xml:space="preserve">dengan menarik diri dan melepaskan diri dari perannya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{"citationItems":[{"id":"ITEM-1","itemData":{"DOI":"10.1108/02683940610690169","ISSN":"02683946","abstract":"Purpose – Employee engagement has become a hot topic in recent years among consulting firms and in the popular business press. However, employee engagement has rarely been studied in the academic literature and relatively little is known about its antecedents and consequences. The purpose of this study was to test a model of the antecedents and consequences of job and organization engagements based on social exchange theory. Design/methodology/approach – A survey was completed by 102 employees working in a variety of jobs and organizations. The average age was 34 and 60 percent were female. Participants had been in their current job for an average of four years, in their organization an average of five years, and had on average 12 years of work experience. The survey included measures of job and organization engagement as well as the antecedents and consequences of engagement. Findings – Results indicate that there is a meaningful difference between job and organization engagements and that perceived organizational support predicts both job and organization engagement; job characteristics predicts job engagement; and procedural justice predicts organization engagement. In addition, job and organization engagement mediated the relationships between the antecedents and job satisfaction, organizational commitment, intentions to quit, and organizational citizenship behavior. Originality/value – This is the first study to make a distinction between job and organization engagement and to measure a variety of antecedents and consequences of job and organization engagement. As a result, this study addresses concerns about that lack of academic research on employee engagement and speculation that it might just be the latest management fad.","author":[{"dropping-particle":"","family":"Saks","given":"Alan M.","non-dropping-particle":"","parse-names":false,"suffix":""}],"container-title":"Journal of Managerial Psychology","id":"ITEM-1","issue":"7","issued":{"date-parts":[["2006"]]},"page":"600-619","title":"Antecedents and consequences of employee engagement","type":"article-journal","volume":"21"},"uris":["http://www.mendeley.com/documents/?uuid=ab7aca31-c18d-4ba9-b7fc-a5246a52e611"]}],"mendeley":{"formattedCitation":"(Saks, 2006)","plainTextFormattedCitation":"(Saks, 2006)","previouslyFormattedCitation":"(Saks, 2006)"},"properties":{"noteIndex":0},"schema":"https://github.com/citation-style-language/schema/raw/master/csl-citation.json"}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(Saks, 2006)</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URL":"https://news.gallup.com/poll/165269/worldwide-employees-engaged-work.aspx","accessed":{"date-parts":[["2019","9","12"]]},"author":[{"dropping-particle":"","family":"Crabtree","given":"Steve","non-dropping-particle":"","parse-names":false,"suffix":""}],"id":"ITEM-1","issued":{"date-parts":[["2013"]]},"title":"Worldwide, 13% of employees are engaged at work","type":"webpage"},"uris":["http://www.mendeley.com/documents/?uuid=32cf5fe7-4003-4b1e-bea6-c9133bde8b0a"]}],"mendeley":{"formattedCitation":"(Crabtree, 2013)","manualFormatting":"Crabtree (2013)","plainTextFormattedCitation":"(Crabtree, 2013)","previouslyFormattedCitation":"(Crabtree, 2013)"},"properties":{"noteIndex":0},"schema":"https://github.com/citation-style-language/schema/raw/master/csl-citation.json"}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Crabtree (2013)</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menambahkan karyawan yang </w:t>
      </w:r>
      <w:r>
        <w:rPr>
          <w:rFonts w:hint="default" w:ascii="ArialMT" w:hAnsi="ArialMT" w:cs="ArialMT"/>
          <w:i/>
          <w:iCs/>
          <w:color w:val="000000" w:themeColor="text1"/>
          <w:sz w:val="22"/>
          <w:szCs w:val="22"/>
        </w:rPr>
        <w:t>disengaged</w:t>
      </w:r>
      <w:r>
        <w:rPr>
          <w:rFonts w:hint="default" w:ascii="ArialMT" w:hAnsi="ArialMT" w:cs="ArialMT"/>
          <w:color w:val="000000" w:themeColor="text1"/>
          <w:sz w:val="22"/>
          <w:szCs w:val="22"/>
        </w:rPr>
        <w:t xml:space="preserve"> ditunjukkan dengan kurangnya motivasi dan kurang usaha terhadap tujuan organisasi.</w:t>
      </w:r>
    </w:p>
    <w:p>
      <w:pPr>
        <w:spacing w:after="0" w:line="360" w:lineRule="auto"/>
        <w:ind w:left="0" w:leftChars="0" w:firstLine="440" w:firstLineChars="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Penelitian yang dilakukan oleh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{"citationItems":[{"id":"ITEM-1","itemData":{"ISSN":"2337-375x","abstract":"Penelitian ini bertujuan untuk mengetahui hubungan antara persepsi terhadap kompensasi dengan employee engagement karyawan PT. X. Employee engagement merupakan keadaan motivasional yang secara positif berhubungan dengan energi ketika bekerja, dan ketulusan untuk berkontribusi kepada peran pekerjaan dan kesuksesan organisasi. Populasi penelitian adalah 855 orang karyawan PT. X. Uji coba diberikan kepada 46 orang dan sampel penelitian adalah 65 orang dengan karakteristik subjek penelitian adalah karyawan tetap dan level staf. Teknik sampling menggunakan teknik insidental quota sampling. Metode pengumpulan data dalam penelitian ini adalah Skala Persepsi terhadap Kompensasi (23 aitem, α = .914) dan Skala Employee Engagement (29 aitem, α = .901). Metode analisis data yang digunakan pada penelitian ini dengan menggunakan analisis regresi sederhana. Hasil penelitian menunjukan bahwa ada hubungan positif yang signifikan antara persepsi terhadap kompensasi dengan employee engagement (rxy = .486 dengan p = .000). Persepsi terhadap kompensasi memberikan sumbangan efektif sebesar 23,6% terhadap employee engagement.","author":[{"dropping-particle":"","family":"Kurniawan","given":"Briananta Winda","non-dropping-particle":"","parse-names":false,"suffix":""},{"dropping-particle":"","family":"Nurtjahjanti","given":"Harlina","non-dropping-particle":"","parse-names":false,"suffix":""}],"container-title":"Jurnal Empati","id":"ITEM-1","issue":"4","issued":{"date-parts":[["2016"]]},"page":"732-737","title":"Hubungan antara persepsi terhadap kompensasi dengan employee engagement pada karyawan PT.X","type":"article-journal","volume":"5"},"uris":["http://www.mendeley.com/documents/?uuid=e9abcf0b-4d81-4829-a424-dde6cdc8294f"]}],"mendeley":{"formattedCitation":"(Kurniawan &amp; Nurtjahjanti, 2016)","manualFormatting":"Kurniawan dan Nurtjahjanti (2016)","plainTextFormattedCitation":"(Kurniawan &amp; Nurtjahjanti, 2016)","previouslyFormattedCitation":"(Kurniawan &amp; Nurtjahjanti, 2016)"},"properties":{"noteIndex":0},"schema":"https://github.com/citation-style-language/schema/raw/master/csl-citation.json"}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Kurniawan dan Nurtjahjanti (2016)</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menunjukkan bahwa ada hubungan positif antara persepsi kompensasi dengan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Karyawan dengan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yang tinggi 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{"citationItems":[{"id":"ITEM-1","itemData":{"ISBN":"978-0-07-173698-5","author":[{"dropping-particle":"","family":"Marciano","given":"Paul L.","non-dropping-particle":"","parse-names":false,"suffix":""}],"id":"ITEM-1","issued":{"date-parts":[["2010"]]},"publisher":"McGraw-Hill","publisher-place":"USA","title":"Carrots and sticks don't work: Build a culture of employee engagement with the principles of RESPECT TM","type":"book"},"uris":["http://www.mendeley.com/documents/?uuid=e827f207-1678-49cd-8fdf-731148f42b11"]}],"mendeley":{"formattedCitation":"(Marciano, 2010)","manualFormatting":"Marciano (2010)","plainTextFormattedCitation":"(Marciano, 2010)","previouslyFormattedCitation":"(Marciano, 2010)"},"properties":{"noteIndex":0},"schema":"https://github.com/citation-style-language/schema/raw/master/csl-citation.json"}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Marciano (2010)</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akan tetap termotivasi walau dalam kondisi yang tidak menguntungkan, seperti kerusakan peralatan, adanya tekanan waktu, dan sebagainya. Selain itu, karyawan juga berusaha keras menetapkan diri pada tujuan agar dapat berkontribusi dalam pencapaian misi organisasi. Kontribusi itu dapat menciptakan perasaan puas pada karyawan. Sebaliknya, karyawan dengan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yang rendah cenderung terlihat termotivasi hanya dalam kondisi yang menguntungkan atau demi kepentingan pribadi dalam jangka waktu singkat. Dengan kata lain, karyawan akan termotivasi untuk mencapai kepentingan pribadi secepat mungkin tanpa memerdulikan sekitarnya.</w:t>
      </w:r>
    </w:p>
    <w:p>
      <w:pPr>
        <w:spacing w:after="0" w:line="360" w:lineRule="auto"/>
        <w:ind w:left="0" w:leftChars="0" w:firstLine="440" w:firstLineChars="0"/>
        <w:jc w:val="both"/>
        <w:rPr>
          <w:rFonts w:hint="default" w:ascii="ArialMT" w:hAnsi="ArialMT" w:cs="ArialMT"/>
          <w:color w:val="000000" w:themeColor="text1"/>
          <w:sz w:val="22"/>
          <w:szCs w:val="22"/>
        </w:rPr>
      </w:pPr>
      <w:r>
        <w:rPr>
          <w:rFonts w:hint="default" w:ascii="ArialMT" w:hAnsi="ArialMT" w:cs="ArialMT"/>
          <w:bCs/>
          <w:color w:val="000000" w:themeColor="text1"/>
          <w:sz w:val="22"/>
          <w:szCs w:val="22"/>
        </w:rPr>
        <w:t xml:space="preserve">Perbedaan penelitian ini dengan penelitian sebelumnya yang dilakukan oleh </w:t>
      </w:r>
      <w:r>
        <w:rPr>
          <w:rFonts w:hint="default" w:ascii="ArialMT" w:hAnsi="ArialMT" w:cs="ArialMT"/>
          <w:bCs/>
          <w:color w:val="000000" w:themeColor="text1"/>
          <w:sz w:val="22"/>
          <w:szCs w:val="22"/>
        </w:rPr>
        <w:fldChar w:fldCharType="begin" w:fldLock="1"/>
      </w:r>
      <w:r>
        <w:rPr>
          <w:rFonts w:hint="default" w:ascii="ArialMT" w:hAnsi="ArialMT" w:cs="ArialMT"/>
          <w:bCs/>
          <w:color w:val="000000" w:themeColor="text1"/>
          <w:sz w:val="22"/>
          <w:szCs w:val="22"/>
        </w:rPr>
        <w:instrText xml:space="preserve">ADDIN CSL_CITATION {"citationItems":[{"id":"ITEM-1","itemData":{"ISSN":"2337-375x","abstract":"Penelitian ini bertujuan untuk mengetahui hubungan antara persepsi terhadap kompensasi dengan employee engagement karyawan PT. X. Employee engagement merupakan keadaan motivasional yang secara positif berhubungan dengan energi ketika bekerja, dan ketulusan untuk berkontribusi kepada peran pekerjaan dan kesuksesan organisasi. Populasi penelitian adalah 855 orang karyawan PT. X. Uji coba diberikan kepada 46 orang dan sampel penelitian adalah 65 orang dengan karakteristik subjek penelitian adalah karyawan tetap dan level staf. Teknik sampling menggunakan teknik insidental quota sampling. Metode pengumpulan data dalam penelitian ini adalah Skala Persepsi terhadap Kompensasi (23 aitem, α = .914) dan Skala Employee Engagement (29 aitem, α = .901). Metode analisis data yang digunakan pada penelitian ini dengan menggunakan analisis regresi sederhana. Hasil penelitian menunjukan bahwa ada hubungan positif yang signifikan antara persepsi terhadap kompensasi dengan employee engagement (rxy = .486 dengan p = .000). Persepsi terhadap kompensasi memberikan sumbangan efektif sebesar 23,6% terhadap employee engagement.","author":[{"dropping-particle":"","family":"Kurniawan","given":"Briananta Winda","non-dropping-particle":"","parse-names":false,"suffix":""},{"dropping-particle":"","family":"Nurtjahjanti","given":"Harlina","non-dropping-particle":"","parse-names":false,"suffix":""}],"container-title":"Jurnal Empati","id":"ITEM-1","issue":"4","issued":{"date-parts":[["2016"]]},"page":"732-737","title":"Hubungan antara persepsi terhadap kompensasi dengan employee engagement pada karyawan PT.X","type":"article-journal","volume":"5"},"uris":["http://www.mendeley.com/documents/?uuid=e9abcf0b-4d81-4829-a424-dde6cdc8294f"]}],"mendeley":{"formattedCitation":"(Kurniawan &amp; Nurtjahjanti, 2016)","manualFormatting":"Kurniawan dan Nurtjahjanti (2016)","plainTextFormattedCitation":"(Kurniawan &amp; Nurtjahjanti, 2016)","previouslyFormattedCitation":"(Kurniawan &amp; Nurtjahjanti, 2016)"},"properties":{"noteIndex":0},"schema":"https://github.com/citation-style-language/schema/raw/master/csl-citation.json"}</w:instrText>
      </w:r>
      <w:r>
        <w:rPr>
          <w:rFonts w:hint="default" w:ascii="ArialMT" w:hAnsi="ArialMT" w:cs="ArialMT"/>
          <w:bCs/>
          <w:color w:val="000000" w:themeColor="text1"/>
          <w:sz w:val="22"/>
          <w:szCs w:val="22"/>
        </w:rPr>
        <w:fldChar w:fldCharType="separate"/>
      </w:r>
      <w:r>
        <w:rPr>
          <w:rFonts w:hint="default" w:ascii="ArialMT" w:hAnsi="ArialMT" w:cs="ArialMT"/>
          <w:bCs/>
          <w:color w:val="000000" w:themeColor="text1"/>
          <w:sz w:val="22"/>
          <w:szCs w:val="22"/>
        </w:rPr>
        <w:t>Kurniawan dan Nurtjahjanti (2016)</w:t>
      </w:r>
      <w:r>
        <w:rPr>
          <w:rFonts w:hint="default" w:ascii="ArialMT" w:hAnsi="ArialMT" w:cs="ArialMT"/>
          <w:bCs/>
          <w:color w:val="000000" w:themeColor="text1"/>
          <w:sz w:val="22"/>
          <w:szCs w:val="22"/>
        </w:rPr>
        <w:fldChar w:fldCharType="end"/>
      </w:r>
      <w:r>
        <w:rPr>
          <w:rFonts w:hint="default" w:ascii="ArialMT" w:hAnsi="ArialMT" w:cs="ArialMT"/>
          <w:bCs/>
          <w:color w:val="000000" w:themeColor="text1"/>
          <w:sz w:val="22"/>
          <w:szCs w:val="22"/>
        </w:rPr>
        <w:t xml:space="preserve"> yang menggunakan variabel kompensasi dan </w:t>
      </w:r>
      <w:r>
        <w:rPr>
          <w:rFonts w:hint="default" w:ascii="ArialMT" w:hAnsi="ArialMT" w:cs="ArialMT"/>
          <w:bCs/>
          <w:i/>
          <w:iCs/>
          <w:color w:val="000000" w:themeColor="text1"/>
          <w:sz w:val="22"/>
          <w:szCs w:val="22"/>
        </w:rPr>
        <w:t>employee engagement</w:t>
      </w:r>
      <w:r>
        <w:rPr>
          <w:rFonts w:hint="default" w:ascii="ArialMT" w:hAnsi="ArialMT" w:cs="ArialMT"/>
          <w:bCs/>
          <w:color w:val="000000" w:themeColor="text1"/>
          <w:sz w:val="22"/>
          <w:szCs w:val="22"/>
        </w:rPr>
        <w:t xml:space="preserve"> pada karyawan PT</w:t>
      </w:r>
      <w:r>
        <w:rPr>
          <w:rFonts w:hint="default" w:ascii="ArialMT" w:hAnsi="ArialMT" w:cs="ArialMT"/>
          <w:bCs/>
          <w:color w:val="000000" w:themeColor="text1"/>
          <w:sz w:val="22"/>
          <w:szCs w:val="22"/>
          <w:lang w:val="en-US"/>
        </w:rPr>
        <w:t xml:space="preserve"> </w:t>
      </w:r>
      <w:r>
        <w:rPr>
          <w:rFonts w:hint="default" w:ascii="ArialMT" w:hAnsi="ArialMT" w:cs="ArialMT"/>
          <w:bCs/>
          <w:color w:val="000000" w:themeColor="text1"/>
          <w:sz w:val="22"/>
          <w:szCs w:val="22"/>
        </w:rPr>
        <w:t>X terdapat pada teori persepsi terhadap kompensasi dan karakteristik subjek. Pada penelitian Kurniawan dan Nurtjahjanti menggunakan teori persepsi menurut Coren, Ward, dan Enns (2002) yang digabung dengan komponen kompensasi dari Ivanchevich, John, Konopaske, dan Matteson (2006). Sedangkan pada penelitian ini menggunakan teori terbaru</w:t>
      </w:r>
      <w:r>
        <w:rPr>
          <w:rFonts w:hint="default" w:ascii="ArialMT" w:hAnsi="ArialMT" w:cs="ArialMT"/>
          <w:bCs/>
          <w:color w:val="000000" w:themeColor="text1"/>
          <w:sz w:val="22"/>
          <w:szCs w:val="22"/>
          <w:lang w:val="en-US"/>
        </w:rPr>
        <w:t xml:space="preserve"> menurut </w:t>
      </w:r>
      <w:r>
        <w:rPr>
          <w:rFonts w:hint="default" w:ascii="ArialMT" w:hAnsi="ArialMT" w:cs="ArialMT"/>
          <w:bCs/>
          <w:color w:val="000000" w:themeColor="text1"/>
          <w:sz w:val="22"/>
          <w:szCs w:val="22"/>
        </w:rPr>
        <w:fldChar w:fldCharType="begin" w:fldLock="1"/>
      </w:r>
      <w:r>
        <w:rPr>
          <w:rFonts w:hint="default" w:ascii="ArialMT" w:hAnsi="ArialMT" w:cs="ArialMT"/>
          <w:bCs/>
          <w:color w:val="000000" w:themeColor="text1"/>
          <w:sz w:val="22"/>
          <w:szCs w:val="22"/>
        </w:rPr>
        <w:instrText xml:space="preserve">ADDIN CSL_CITATION {"citationItems":[{"id":"ITEM-1","itemData":{"ISBN":"9780133848809","author":[{"dropping-particle":"","family":"Mondy","given":"R. Wayne","non-dropping-particle":"","parse-names":false,"suffix":""},{"dropping-particle":"","family":"Martocchio","given":"Joseph J.","non-dropping-particle":"","parse-names":false,"suffix":""}],"edition":"14","id":"ITEM-1","issued":{"date-parts":[["2016"]]},"publisher":"Pearson Education","publisher-place":"USA","title":"Human resources management","type":"book"},"uris":["http://www.mendeley.com/documents/?uuid=88b1a8b1-6312-48dd-b777-ec2a30a1a5f5"]}],"mendeley":{"formattedCitation":"(Mondy &amp; Martocchio, 2016)","manualFormatting":"Mondy dan Martocchio (2016)","plainTextFormattedCitation":"(Mondy &amp; Martocchio, 2016)","previouslyFormattedCitation":"(Mondy &amp; Martocchio, 2016)"},"properties":{"noteIndex":0},"schema":"https://github.com/citation-style-language/schema/raw/master/csl-citation.json"}</w:instrText>
      </w:r>
      <w:r>
        <w:rPr>
          <w:rFonts w:hint="default" w:ascii="ArialMT" w:hAnsi="ArialMT" w:cs="ArialMT"/>
          <w:bCs/>
          <w:color w:val="000000" w:themeColor="text1"/>
          <w:sz w:val="22"/>
          <w:szCs w:val="22"/>
        </w:rPr>
        <w:fldChar w:fldCharType="separate"/>
      </w:r>
      <w:r>
        <w:rPr>
          <w:rFonts w:hint="default" w:ascii="ArialMT" w:hAnsi="ArialMT" w:cs="ArialMT"/>
          <w:bCs/>
          <w:color w:val="000000" w:themeColor="text1"/>
          <w:sz w:val="22"/>
          <w:szCs w:val="22"/>
        </w:rPr>
        <w:t>Mondy dan Martocchio (2016)</w:t>
      </w:r>
      <w:r>
        <w:rPr>
          <w:rFonts w:hint="default" w:ascii="ArialMT" w:hAnsi="ArialMT" w:cs="ArialMT"/>
          <w:bCs/>
          <w:color w:val="000000" w:themeColor="text1"/>
          <w:sz w:val="22"/>
          <w:szCs w:val="22"/>
        </w:rPr>
        <w:fldChar w:fldCharType="end"/>
      </w:r>
      <w:r>
        <w:rPr>
          <w:rFonts w:hint="default" w:ascii="ArialMT" w:hAnsi="ArialMT" w:cs="ArialMT"/>
          <w:bCs/>
          <w:color w:val="000000" w:themeColor="text1"/>
          <w:sz w:val="22"/>
          <w:szCs w:val="22"/>
        </w:rPr>
        <w:t xml:space="preserve">. Karakteristik subjek pada penelitian </w:t>
      </w:r>
      <w:r>
        <w:rPr>
          <w:rFonts w:hint="default" w:ascii="ArialMT" w:hAnsi="ArialMT" w:cs="ArialMT"/>
          <w:bCs/>
          <w:color w:val="000000" w:themeColor="text1"/>
          <w:sz w:val="22"/>
          <w:szCs w:val="22"/>
        </w:rPr>
        <w:fldChar w:fldCharType="begin" w:fldLock="1"/>
      </w:r>
      <w:r>
        <w:rPr>
          <w:rFonts w:hint="default" w:ascii="ArialMT" w:hAnsi="ArialMT" w:cs="ArialMT"/>
          <w:bCs/>
          <w:color w:val="000000" w:themeColor="text1"/>
          <w:sz w:val="22"/>
          <w:szCs w:val="22"/>
        </w:rPr>
        <w:instrText xml:space="preserve">ADDIN CSL_CITATION {"citationItems":[{"id":"ITEM-1","itemData":{"ISSN":"2337-375x","abstract":"Penelitian ini bertujuan untuk mengetahui hubungan antara persepsi terhadap kompensasi dengan employee engagement karyawan PT. X. Employee engagement merupakan keadaan motivasional yang secara positif berhubungan dengan energi ketika bekerja, dan ketulusan untuk berkontribusi kepada peran pekerjaan dan kesuksesan organisasi. Populasi penelitian adalah 855 orang karyawan PT. X. Uji coba diberikan kepada 46 orang dan sampel penelitian adalah 65 orang dengan karakteristik subjek penelitian adalah karyawan tetap dan level staf. Teknik sampling menggunakan teknik insidental quota sampling. Metode pengumpulan data dalam penelitian ini adalah Skala Persepsi terhadap Kompensasi (23 aitem, α = .914) dan Skala Employee Engagement (29 aitem, α = .901). Metode analisis data yang digunakan pada penelitian ini dengan menggunakan analisis regresi sederhana. Hasil penelitian menunjukan bahwa ada hubungan positif yang signifikan antara persepsi terhadap kompensasi dengan employee engagement (rxy = .486 dengan p = .000). Persepsi terhadap kompensasi memberikan sumbangan efektif sebesar 23,6% terhadap employee engagement.","author":[{"dropping-particle":"","family":"Kurniawan","given":"Briananta Winda","non-dropping-particle":"","parse-names":false,"suffix":""},{"dropping-particle":"","family":"Nurtjahjanti","given":"Harlina","non-dropping-particle":"","parse-names":false,"suffix":""}],"container-title":"Jurnal Empati","id":"ITEM-1","issue":"4","issued":{"date-parts":[["2016"]]},"page":"732-737","title":"Hubungan antara persepsi terhadap kompensasi dengan employee engagement pada karyawan PT.X","type":"article-journal","volume":"5"},"uris":["http://www.mendeley.com/documents/?uuid=e9abcf0b-4d81-4829-a424-dde6cdc8294f"]}],"mendeley":{"formattedCitation":"(Kurniawan &amp; Nurtjahjanti, 2016)","manualFormatting":"Kurniawan dan Nurtjahjanti (2016)","plainTextFormattedCitation":"(Kurniawan &amp; Nurtjahjanti, 2016)","previouslyFormattedCitation":"(Kurniawan &amp; Nurtjahjanti, 2016)"},"properties":{"noteIndex":0},"schema":"https://github.com/citation-style-language/schema/raw/master/csl-citation.json"}</w:instrText>
      </w:r>
      <w:r>
        <w:rPr>
          <w:rFonts w:hint="default" w:ascii="ArialMT" w:hAnsi="ArialMT" w:cs="ArialMT"/>
          <w:bCs/>
          <w:color w:val="000000" w:themeColor="text1"/>
          <w:sz w:val="22"/>
          <w:szCs w:val="22"/>
        </w:rPr>
        <w:fldChar w:fldCharType="separate"/>
      </w:r>
      <w:r>
        <w:rPr>
          <w:rFonts w:hint="default" w:ascii="ArialMT" w:hAnsi="ArialMT" w:cs="ArialMT"/>
          <w:bCs/>
          <w:color w:val="000000" w:themeColor="text1"/>
          <w:sz w:val="22"/>
          <w:szCs w:val="22"/>
        </w:rPr>
        <w:t>Kurniawan dan Nurtjahjanti (2016)</w:t>
      </w:r>
      <w:r>
        <w:rPr>
          <w:rFonts w:hint="default" w:ascii="ArialMT" w:hAnsi="ArialMT" w:cs="ArialMT"/>
          <w:bCs/>
          <w:color w:val="000000" w:themeColor="text1"/>
          <w:sz w:val="22"/>
          <w:szCs w:val="22"/>
        </w:rPr>
        <w:fldChar w:fldCharType="end"/>
      </w:r>
      <w:r>
        <w:rPr>
          <w:rFonts w:hint="default" w:ascii="ArialMT" w:hAnsi="ArialMT" w:cs="ArialMT"/>
          <w:bCs/>
          <w:color w:val="000000" w:themeColor="text1"/>
          <w:sz w:val="22"/>
          <w:szCs w:val="22"/>
        </w:rPr>
        <w:t xml:space="preserve"> adalah karyawan tetap dan level staf, sedangkan dalam penelitian ini adalah</w:t>
      </w:r>
      <w:r>
        <w:rPr>
          <w:rFonts w:hint="default" w:ascii="ArialMT" w:hAnsi="ArialMT" w:cs="ArialMT"/>
          <w:bCs/>
          <w:i/>
          <w:iCs/>
          <w:color w:val="000000" w:themeColor="text1"/>
          <w:sz w:val="22"/>
          <w:szCs w:val="22"/>
        </w:rPr>
        <w:t xml:space="preserve"> driver</w:t>
      </w:r>
      <w:r>
        <w:rPr>
          <w:rFonts w:hint="default" w:ascii="ArialMT" w:hAnsi="ArialMT" w:cs="ArialMT"/>
          <w:bCs/>
          <w:color w:val="000000" w:themeColor="text1"/>
          <w:sz w:val="22"/>
          <w:szCs w:val="22"/>
        </w:rPr>
        <w:t xml:space="preserve"> Go-Jek di Yogyakarta. Oleh karena itu, </w:t>
      </w:r>
      <w:r>
        <w:rPr>
          <w:rFonts w:hint="default" w:ascii="ArialMT" w:hAnsi="ArialMT" w:cs="ArialMT"/>
          <w:bCs/>
          <w:color w:val="000000" w:themeColor="text1"/>
          <w:sz w:val="22"/>
          <w:szCs w:val="22"/>
          <w:lang w:val="en-US"/>
        </w:rPr>
        <w:t>tujuan dan manfa</w:t>
      </w:r>
      <w:r>
        <w:rPr>
          <w:rFonts w:hint="default" w:ascii="ArialMT" w:hAnsi="ArialMT" w:cs="ArialMT"/>
          <w:bCs/>
          <w:color w:val="000000" w:themeColor="text1"/>
          <w:sz w:val="22"/>
          <w:szCs w:val="22"/>
        </w:rPr>
        <w:t xml:space="preserve">penelitian yang diajukan penulis mengenai apakah ada hubungan antara persepsi terhadap kompensasi dengan </w:t>
      </w:r>
      <w:r>
        <w:rPr>
          <w:rFonts w:hint="default" w:ascii="ArialMT" w:hAnsi="ArialMT" w:cs="ArialMT"/>
          <w:bCs/>
          <w:i/>
          <w:iCs/>
          <w:color w:val="000000" w:themeColor="text1"/>
          <w:sz w:val="22"/>
          <w:szCs w:val="22"/>
        </w:rPr>
        <w:t>employee engagement</w:t>
      </w:r>
      <w:r>
        <w:rPr>
          <w:rFonts w:hint="default" w:ascii="ArialMT" w:hAnsi="ArialMT" w:cs="ArialMT"/>
          <w:bCs/>
          <w:color w:val="000000" w:themeColor="text1"/>
          <w:sz w:val="22"/>
          <w:szCs w:val="22"/>
        </w:rPr>
        <w:t xml:space="preserve"> pada </w:t>
      </w:r>
      <w:r>
        <w:rPr>
          <w:rFonts w:hint="default" w:ascii="ArialMT" w:hAnsi="ArialMT" w:cs="ArialMT"/>
          <w:bCs/>
          <w:i/>
          <w:iCs/>
          <w:color w:val="000000" w:themeColor="text1"/>
          <w:sz w:val="22"/>
          <w:szCs w:val="22"/>
        </w:rPr>
        <w:t>driver</w:t>
      </w:r>
      <w:r>
        <w:rPr>
          <w:rFonts w:hint="default" w:ascii="ArialMT" w:hAnsi="ArialMT" w:cs="ArialMT"/>
          <w:bCs/>
          <w:color w:val="000000" w:themeColor="text1"/>
          <w:sz w:val="22"/>
          <w:szCs w:val="22"/>
        </w:rPr>
        <w:t xml:space="preserve"> Go-Jek di Yogyakarta?. </w:t>
      </w:r>
    </w:p>
    <w:p>
      <w:pPr>
        <w:spacing w:after="0" w:line="360" w:lineRule="auto"/>
        <w:ind w:left="0" w:leftChars="0" w:firstLine="440" w:firstLineChars="0"/>
        <w:jc w:val="both"/>
        <w:rPr>
          <w:rFonts w:hint="default" w:ascii="ArialMT" w:hAnsi="ArialMT" w:cs="ArialMT"/>
          <w:bCs/>
          <w:color w:val="000000" w:themeColor="text1"/>
          <w:sz w:val="22"/>
          <w:szCs w:val="22"/>
        </w:rPr>
      </w:pPr>
      <w:r>
        <w:rPr>
          <w:rFonts w:hint="default" w:ascii="ArialMT" w:hAnsi="ArialMT" w:cs="ArialMT"/>
          <w:color w:val="000000" w:themeColor="text1"/>
          <w:sz w:val="22"/>
          <w:szCs w:val="22"/>
        </w:rPr>
        <w:t xml:space="preserve">Penelitian ini memiliki tujuan dan manfaat. Tujuan penelitian ini adalah untuk mengetahui hubungan antara persepsi terhadap kompensasi dengan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pada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Go-Jek di Yogyakarta. Selanjutnya, manfaat dalam penelitian ini adalah meningkatkan ilmu psikologi yang berhubungan spesifik dengan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dan kompensasi, serta memberikan informasi dan gambaran tentang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dan kompensasi baik bagi subjek maupun bagi PT</w:t>
      </w:r>
      <w:r>
        <w:rPr>
          <w:rFonts w:hint="default" w:ascii="ArialMT" w:hAnsi="ArialMT" w:cs="ArialMT"/>
          <w:color w:val="000000" w:themeColor="text1"/>
          <w:sz w:val="22"/>
          <w:szCs w:val="22"/>
          <w:lang w:val="en-US"/>
        </w:rPr>
        <w:t xml:space="preserve"> </w:t>
      </w:r>
      <w:r>
        <w:rPr>
          <w:rFonts w:hint="default" w:ascii="ArialMT" w:hAnsi="ArialMT" w:cs="ArialMT"/>
          <w:color w:val="000000" w:themeColor="text1"/>
          <w:sz w:val="22"/>
          <w:szCs w:val="22"/>
        </w:rPr>
        <w:t>Go-Jek Indonesia.</w:t>
      </w:r>
    </w:p>
    <w:p>
      <w:pPr>
        <w:pageBreakBefore w:val="0"/>
        <w:widowControl/>
        <w:kinsoku/>
        <w:wordWrap/>
        <w:overflowPunct/>
        <w:topLinePunct w:val="0"/>
        <w:autoSpaceDE/>
        <w:autoSpaceDN/>
        <w:bidi w:val="0"/>
        <w:adjustRightInd/>
        <w:snapToGrid/>
        <w:spacing w:after="0" w:line="360" w:lineRule="auto"/>
        <w:ind w:firstLine="720"/>
        <w:jc w:val="both"/>
        <w:textAlignment w:val="auto"/>
        <w:rPr>
          <w:rFonts w:hint="default" w:ascii="ArialMT" w:hAnsi="ArialMT" w:cs="ArialMT"/>
          <w:color w:val="000000" w:themeColor="text1"/>
        </w:rPr>
      </w:pPr>
    </w:p>
    <w:p>
      <w:pPr>
        <w:pStyle w:val="2"/>
        <w:pageBreakBefore w:val="0"/>
        <w:widowControl/>
        <w:kinsoku/>
        <w:wordWrap/>
        <w:overflowPunct/>
        <w:topLinePunct w:val="0"/>
        <w:autoSpaceDE/>
        <w:autoSpaceDN/>
        <w:bidi w:val="0"/>
        <w:adjustRightInd/>
        <w:snapToGrid/>
        <w:spacing w:before="0" w:after="0" w:line="360" w:lineRule="auto"/>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METODE</w:t>
      </w:r>
    </w:p>
    <w:p>
      <w:pPr>
        <w:pageBreakBefore w:val="0"/>
        <w:widowControl/>
        <w:kinsoku/>
        <w:wordWrap/>
        <w:overflowPunct/>
        <w:topLinePunct w:val="0"/>
        <w:autoSpaceDE/>
        <w:autoSpaceDN/>
        <w:bidi w:val="0"/>
        <w:adjustRightInd/>
        <w:snapToGrid/>
        <w:spacing w:after="0" w:line="360" w:lineRule="auto"/>
        <w:ind w:left="0" w:leftChars="0" w:firstLine="440" w:firstLineChars="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Penelitian ini menggunakan metode kuantitatif dengan subjek dalam penelitian ini berjumlah 60 orang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Go-Jek yang berdomilisi di Yogyakarta. Sampel yang digunakan dalam penelitian ini adalah </w:t>
      </w:r>
      <w:r>
        <w:rPr>
          <w:rFonts w:hint="default" w:ascii="ArialMT" w:hAnsi="ArialMT" w:cs="ArialMT"/>
          <w:i/>
          <w:iCs/>
          <w:color w:val="000000" w:themeColor="text1"/>
          <w:sz w:val="22"/>
          <w:szCs w:val="22"/>
        </w:rPr>
        <w:t>purposive sampling</w:t>
      </w:r>
      <w:r>
        <w:rPr>
          <w:rFonts w:hint="default" w:ascii="ArialMT" w:hAnsi="ArialMT" w:cs="ArialMT"/>
          <w:color w:val="000000" w:themeColor="text1"/>
          <w:sz w:val="22"/>
          <w:szCs w:val="22"/>
        </w:rPr>
        <w:t xml:space="preserve">, yaitu teknik penentuan sampel dengan berdasarkan kriteria-kriteria atau pertimbangan tertentu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979-8433-64-0","author":[{"dropping-particle":"","family":"Sugiyono","given":"","non-dropping-particle":"","parse-names":false,"suffix":""}],"id":"ITEM-1","issued":{"date-parts":[["2016"]]},"publisher":"Alfabeta","publisher-place":"Bandung","title":"Metode penelitian kuantitatif, kualitatif, dan R&amp;D","type":"book"},"uris":["http://www.mendeley.com/documents/?uuid=f662864f-063a-4197-ab33-848f171e85e7"]}],"mendeley":{"formattedCitation":"(Sugiyono, 2016)","plainTextFormattedCitation":"(Sugiyono, 2016)","previouslyFormattedCitation":"(Sugiyono, 2016)"},"properties":{"noteIndex":0},"schema":"https://github.com/citation-style-language/schema/raw/master/csl-citation.json"}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(Sugiyono, 2016)</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Kriteria dalam penelitian ini adalah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Go-Jek di Yogyakarta yang menggunakan kendaraan roda dua atau sepeda motor</w:t>
      </w:r>
      <w:r>
        <w:rPr>
          <w:rFonts w:hint="default" w:ascii="ArialMT" w:hAnsi="ArialMT" w:cs="ArialMT"/>
          <w:color w:val="000000" w:themeColor="text1"/>
          <w:sz w:val="22"/>
          <w:szCs w:val="22"/>
          <w:lang w:val="en-US"/>
        </w:rPr>
        <w:t xml:space="preserve">, </w:t>
      </w:r>
      <w:r>
        <w:rPr>
          <w:rFonts w:hint="default" w:ascii="ArialMT" w:hAnsi="ArialMT"/>
          <w:color w:val="000000" w:themeColor="text1"/>
          <w:sz w:val="22"/>
          <w:szCs w:val="22"/>
        </w:rPr>
        <w:t xml:space="preserve">jam kerja dengan order-an yang berada pada waktu sekitar makan siang, waktu pulang kerja kantor, dan waktu makan malam, dengan karyawan yang bersifat </w:t>
      </w:r>
      <w:r>
        <w:rPr>
          <w:rFonts w:hint="default" w:ascii="ArialMT" w:hAnsi="ArialMT"/>
          <w:i/>
          <w:iCs/>
          <w:color w:val="000000" w:themeColor="text1"/>
          <w:sz w:val="22"/>
          <w:szCs w:val="22"/>
        </w:rPr>
        <w:t>freelance</w:t>
      </w:r>
      <w:r>
        <w:rPr>
          <w:rFonts w:hint="default" w:ascii="ArialMT" w:hAnsi="ArialMT"/>
          <w:color w:val="000000" w:themeColor="text1"/>
          <w:sz w:val="22"/>
          <w:szCs w:val="22"/>
        </w:rPr>
        <w:t>. Penyebaran data tersebut di kecamatan Sleman</w:t>
      </w:r>
      <w:r>
        <w:rPr>
          <w:rFonts w:hint="default" w:ascii="ArialMT" w:hAnsi="ArialMT" w:cs="ArialMT"/>
          <w:color w:val="000000" w:themeColor="text1"/>
          <w:sz w:val="22"/>
          <w:szCs w:val="22"/>
        </w:rPr>
        <w:t>.</w:t>
      </w:r>
    </w:p>
    <w:p>
      <w:pPr>
        <w:pageBreakBefore w:val="0"/>
        <w:widowControl/>
        <w:kinsoku/>
        <w:wordWrap/>
        <w:overflowPunct/>
        <w:topLinePunct w:val="0"/>
        <w:autoSpaceDE/>
        <w:autoSpaceDN/>
        <w:bidi w:val="0"/>
        <w:adjustRightInd/>
        <w:snapToGrid/>
        <w:spacing w:after="0" w:line="360" w:lineRule="auto"/>
        <w:ind w:left="0" w:leftChars="0" w:firstLine="440" w:firstLineChars="0"/>
        <w:jc w:val="both"/>
        <w:textAlignment w:val="auto"/>
        <w:rPr>
          <w:rFonts w:hint="default" w:ascii="ArialMT" w:hAnsi="ArialMT" w:eastAsia="Times New Roman" w:cs="ArialMT"/>
          <w:i w:val="0"/>
          <w:iCs/>
          <w:color w:val="000000" w:themeColor="text1"/>
          <w:sz w:val="22"/>
          <w:szCs w:val="22"/>
          <w:lang w:val="en-US" w:eastAsia="id-ID"/>
        </w:rPr>
      </w:pPr>
      <w:r>
        <w:rPr>
          <w:rFonts w:hint="default" w:ascii="ArialMT" w:hAnsi="ArialMT" w:cs="ArialMT"/>
          <w:color w:val="000000" w:themeColor="text1"/>
          <w:sz w:val="22"/>
          <w:szCs w:val="22"/>
        </w:rPr>
        <w:t xml:space="preserve">Skala yang digunakan dalam penelitian ini adalah </w:t>
      </w:r>
      <w:r>
        <w:rPr>
          <w:rFonts w:hint="default" w:ascii="ArialMT" w:hAnsi="ArialMT" w:cs="ArialMT"/>
          <w:color w:val="000000" w:themeColor="text1"/>
          <w:sz w:val="22"/>
          <w:szCs w:val="22"/>
          <w:shd w:val="clear" w:color="FFFFFF" w:fill="D9D9D9"/>
          <w:lang w:val="en-US"/>
        </w:rPr>
        <w:t>s</w:t>
      </w:r>
      <w:r>
        <w:rPr>
          <w:rFonts w:hint="default" w:ascii="ArialMT" w:hAnsi="ArialMT" w:cs="ArialMT"/>
          <w:color w:val="000000" w:themeColor="text1"/>
          <w:sz w:val="22"/>
          <w:szCs w:val="22"/>
          <w:shd w:val="clear" w:color="FFFFFF" w:fill="D9D9D9"/>
        </w:rPr>
        <w:t xml:space="preserve">kala </w:t>
      </w:r>
      <w:r>
        <w:rPr>
          <w:rFonts w:hint="default" w:ascii="ArialMT" w:hAnsi="ArialMT" w:cs="ArialMT"/>
          <w:i/>
          <w:iCs/>
          <w:color w:val="000000" w:themeColor="text1"/>
          <w:sz w:val="22"/>
          <w:szCs w:val="22"/>
          <w:shd w:val="clear" w:color="FFFFFF" w:fill="D9D9D9"/>
        </w:rPr>
        <w:t>Likert</w:t>
      </w:r>
      <w:r>
        <w:rPr>
          <w:rFonts w:hint="default" w:ascii="ArialMT" w:hAnsi="ArialMT" w:cs="ArialMT"/>
          <w:color w:val="000000" w:themeColor="text1"/>
          <w:sz w:val="22"/>
          <w:szCs w:val="22"/>
        </w:rPr>
        <w:t xml:space="preserve">. </w:t>
      </w:r>
      <w:r>
        <w:rPr>
          <w:rFonts w:hint="default" w:ascii="ArialMT" w:hAnsi="ArialMT" w:cs="ArialMT"/>
          <w:color w:val="000000" w:themeColor="text1"/>
          <w:sz w:val="22"/>
          <w:szCs w:val="22"/>
          <w:lang w:val="en-US"/>
        </w:rPr>
        <w:t xml:space="preserve">Skala psikologis dalam penelitian ini, yaitu </w:t>
      </w:r>
      <w:r>
        <w:rPr>
          <w:rFonts w:hint="default" w:ascii="ArialMT" w:hAnsi="ArialMT" w:cs="ArialMT"/>
          <w:color w:val="000000" w:themeColor="text1"/>
          <w:sz w:val="22"/>
          <w:szCs w:val="22"/>
        </w:rPr>
        <w:t xml:space="preserve">skala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dan skala persepsi terhadap kompensasi.</w:t>
      </w:r>
      <w:r>
        <w:rPr>
          <w:rFonts w:hint="default" w:ascii="ArialMT" w:hAnsi="ArialMT" w:cs="ArialMT"/>
          <w:color w:val="000000" w:themeColor="text1"/>
          <w:sz w:val="22"/>
          <w:szCs w:val="22"/>
          <w:lang w:val="en-US"/>
        </w:rPr>
        <w:t xml:space="preserve"> Skala </w:t>
      </w:r>
      <w:r>
        <w:rPr>
          <w:rFonts w:hint="default" w:ascii="ArialMT" w:hAnsi="ArialMT" w:cs="ArialMT"/>
          <w:i/>
          <w:iCs/>
          <w:color w:val="000000" w:themeColor="text1"/>
          <w:sz w:val="22"/>
          <w:szCs w:val="22"/>
          <w:lang w:val="en-US"/>
        </w:rPr>
        <w:t>employee engagement</w:t>
      </w:r>
      <w:r>
        <w:rPr>
          <w:rFonts w:hint="default" w:ascii="ArialMT" w:hAnsi="ArialMT" w:cs="ArialMT"/>
          <w:i w:val="0"/>
          <w:iCs w:val="0"/>
          <w:color w:val="000000" w:themeColor="text1"/>
          <w:sz w:val="22"/>
          <w:szCs w:val="22"/>
          <w:lang w:val="en-US"/>
        </w:rPr>
        <w:t xml:space="preserve"> tersebut disusun oleh peneliti menggunakan </w:t>
      </w:r>
      <w:r>
        <w:rPr>
          <w:rFonts w:hint="default" w:ascii="ArialMT" w:hAnsi="ArialMT" w:cs="ArialMT"/>
          <w:color w:val="000000" w:themeColor="text1"/>
          <w:sz w:val="22"/>
          <w:szCs w:val="22"/>
          <w:lang w:val="en-US"/>
        </w:rPr>
        <w:t xml:space="preserve">skala dari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{"citationItems":[{"id":"ITEM-1","itemData":{"abstract":"Penelitian ini bertujuan untuk mengetahui hubungan antara perceived organizational support dan job characteristic dengan employee engagement pada karyawan Bank X Kabupaten Berau. Hipotesis 1 yang diajukan adalah ada hubungan positif antara perceived organizational support dengan employee engagement pada karyawan Bank X Kabupaten Berau. Hipotesis 2 yang diajukan adalah ada hubungan positif antara job characteristic dengan employee engagement pada karyawan Bank X Kabupaten Berau. Subjek dalam penelitian ini berjumlah 60 orang yang memiliki karakteristik minimal masa kerja lebih dari 1 tahun. Cara pengambilan subjek dengan menggunakan metode purposive sampling. Pengambilan data penelitian ini menggunakan Skala Perceived Organizational Support, Skala Job Characteristic dan Skala Employee Engagement. Teknik analisis data yang digunakan adalah korelasi product moment dari Karl Pearson. Berdasarkan hasil analisis data diperoleh koefisien korelasi (R) hipotesis 1 sebesar 0,473 dengan p = 0,000 (p &lt; 0,05). Hasil tersebut menunjukan bahwa terdapat hubungan positif yang signifikan antara perceived organizational support dengan employee engagement. Diterimanya hipotesis 1 dalam penelitian ini menunjukkan koefisien determinasi (R2 ) sebesar 0,224 variabel perceived organizational support menunjukkan kontribusi 22,4% terhadap employee engagement dan dan sisanya 77,6% dipengaruhi oleh faktor lain yaitu job characteristic, reward &amp; recognition, perceived supervisor support, dan distributive &amp; procedural justice. Berdasarkan hasil analisis data diperoleh koefisien korelasi (R) hipotesis 2 sebesar 0,706 dengan p = 0,000 (p &lt; 0,05). Hasil tersebut menunjukan bahwa terdapat hubungan positif yang signifikan antara job characteristic dengan employee engagement. Diterimanya hipotesis 2 dalam penelitian ini menunjukkan koefisien determinasi (R2 ) sebesar 0,498 variabel job characteristic menunjukkan kontribusi 49,8% terhadap employee engagement dan dan sisanya 50,2% dipengaruhi oleh faktor lain yaitu reward &amp; recognition, perceived organizational support &amp; perceived supervisor support, dan distributive &amp; procedural justice.","author":[{"dropping-particle":"Al","family":"Kasim","given":"Muhammad Agung","non-dropping-particle":"","parse-names":false,"suffix":""}],"id":"ITEM-1","issued":{"date-parts":[["2019"]]},"publisher":"Universitas Mercu Buana Yogyakarta","title":"Hubungan antara perceived organizational support dan job charateristic dengan employee engagement pada karyawan Bank X Kabupaten Riau","type":"thesis"},"uris":["http://www.mendeley.com/documents/?uuid=dcc4c633-b609-47cc-aab1-4095029ff965"]}],"mendeley":{"formattedCitation":"(Kasim, 2019)","manualFormatting":"Kasim (2019)","plainTextFormattedCitation":"(Kasim, 2019)","previouslyFormattedCitation":"(Kasim, 2019)"},"properties":{"noteIndex":0},"schema":"https://github.com/citation-style-language/schema/raw/master/csl-citation.json"}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Kasim (2019)</w:t>
      </w:r>
      <w:r>
        <w:rPr>
          <w:rFonts w:hint="default" w:ascii="ArialMT" w:hAnsi="ArialMT" w:cs="ArialMT"/>
          <w:color w:val="000000" w:themeColor="text1"/>
          <w:sz w:val="22"/>
          <w:szCs w:val="22"/>
        </w:rPr>
        <w:fldChar w:fldCharType="end"/>
      </w:r>
      <w:r>
        <w:rPr>
          <w:rFonts w:hint="default" w:ascii="ArialMT" w:hAnsi="ArialMT" w:cs="ArialMT"/>
          <w:color w:val="000000" w:themeColor="text1"/>
          <w:kern w:val="0"/>
          <w:sz w:val="22"/>
          <w:szCs w:val="22"/>
          <w:lang w:val="en-US" w:eastAsia="zh-CN" w:bidi="ar"/>
        </w:rPr>
        <w:t xml:space="preserve"> </w:t>
      </w:r>
      <w:r>
        <w:rPr>
          <w:rFonts w:hint="default" w:ascii="ArialMT" w:hAnsi="ArialMT" w:cs="ArialMT"/>
          <w:color w:val="000000" w:themeColor="text1"/>
          <w:sz w:val="22"/>
          <w:szCs w:val="22"/>
          <w:lang w:val="en-US"/>
        </w:rPr>
        <w:t xml:space="preserve">berdasarkan karakteristik dari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{"citationItems":[{"id":"ITEM-1","itemData":{"DOI":"10.1002/job.248","author":[{"dropping-particle":"","family":"Schaufeli","given":"Wilmar B.","non-dropping-particle":"","parse-names":false,"suffix":""},{"dropping-particle":"","family":"Bakker","given":"Arnold B.","non-dropping-particle":"","parse-names":false,"suffix":""}],"container-title":"Journal of Organizational Behavior","id":"ITEM-1","issued":{"date-parts":[["2004"]]},"page":"293-315","title":"Job demands, job resources, and their relationship with burnout and engagement: A multi-sample study","type":"article-journal","volume":"25"},"uris":["http://www.mendeley.com/documents/?uuid=b353f7a4-36e9-4530-ba7c-775690ab218c"]}],"mendeley":{"formattedCitation":"(Schaufeli &amp; Bakker, 2004)","manualFormatting":"Schaufeli dan Bakker (2004)","plainTextFormattedCitation":"(Schaufeli &amp; Bakker, 2004)","previouslyFormattedCitation":"(Schaufeli &amp; Bakker, 2004)"},"properties":{"noteIndex":0},"schema":"https://github.com/citation-style-language/schema/raw/master/csl-citation.json"}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Schaufeli dan Bakker (2004)</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lang w:val="en-US"/>
        </w:rPr>
        <w:t xml:space="preserve">, yaitu </w:t>
      </w:r>
      <w:r>
        <w:rPr>
          <w:rFonts w:hint="default" w:ascii="ArialMT" w:hAnsi="ArialMT" w:cs="ArialMT"/>
          <w:i/>
          <w:iCs/>
          <w:color w:val="000000" w:themeColor="text1"/>
          <w:sz w:val="22"/>
          <w:szCs w:val="22"/>
          <w:lang w:val="en-US"/>
        </w:rPr>
        <w:t>vigor</w:t>
      </w:r>
      <w:r>
        <w:rPr>
          <w:rFonts w:hint="default" w:ascii="ArialMT" w:hAnsi="ArialMT" w:cs="ArialMT"/>
          <w:color w:val="000000" w:themeColor="text1"/>
          <w:sz w:val="22"/>
          <w:szCs w:val="22"/>
          <w:lang w:val="en-US"/>
        </w:rPr>
        <w:t xml:space="preserve">, </w:t>
      </w:r>
      <w:r>
        <w:rPr>
          <w:rFonts w:hint="default" w:ascii="ArialMT" w:hAnsi="ArialMT" w:cs="ArialMT"/>
          <w:i/>
          <w:iCs/>
          <w:color w:val="000000" w:themeColor="text1"/>
          <w:sz w:val="22"/>
          <w:szCs w:val="22"/>
          <w:lang w:val="en-US"/>
        </w:rPr>
        <w:t>dedication</w:t>
      </w:r>
      <w:r>
        <w:rPr>
          <w:rFonts w:hint="default" w:ascii="ArialMT" w:hAnsi="ArialMT" w:cs="ArialMT"/>
          <w:color w:val="000000" w:themeColor="text1"/>
          <w:sz w:val="22"/>
          <w:szCs w:val="22"/>
          <w:lang w:val="en-US"/>
        </w:rPr>
        <w:t xml:space="preserve">, </w:t>
      </w:r>
      <w:r>
        <w:rPr>
          <w:rFonts w:hint="default" w:ascii="ArialMT" w:hAnsi="ArialMT" w:cs="ArialMT"/>
          <w:i/>
          <w:iCs/>
          <w:color w:val="000000" w:themeColor="text1"/>
          <w:sz w:val="22"/>
          <w:szCs w:val="22"/>
          <w:lang w:val="en-US"/>
        </w:rPr>
        <w:t>absorption</w:t>
      </w:r>
      <w:r>
        <w:rPr>
          <w:rFonts w:hint="default" w:ascii="ArialMT" w:hAnsi="ArialMT" w:cs="ArialMT"/>
          <w:i w:val="0"/>
          <w:iCs w:val="0"/>
          <w:color w:val="000000" w:themeColor="text1"/>
          <w:sz w:val="22"/>
          <w:szCs w:val="22"/>
          <w:lang w:val="en-US"/>
        </w:rPr>
        <w:t xml:space="preserve">. Skala ini berjumlah  15 aitem yang masing-masing karakteristik terdiri dari  5 aitem </w:t>
      </w:r>
      <w:r>
        <w:rPr>
          <w:rFonts w:hint="default" w:ascii="ArialMT" w:hAnsi="ArialMT" w:eastAsia="Times New Roman" w:cs="ArialMT"/>
          <w:i/>
          <w:color w:val="000000" w:themeColor="text1"/>
          <w:sz w:val="22"/>
          <w:szCs w:val="22"/>
          <w:lang w:eastAsia="id-ID"/>
        </w:rPr>
        <w:t>favorable</w:t>
      </w:r>
      <w:r>
        <w:rPr>
          <w:rFonts w:hint="default" w:ascii="ArialMT" w:hAnsi="ArialMT" w:eastAsia="Times New Roman" w:cs="ArialMT"/>
          <w:i w:val="0"/>
          <w:iCs/>
          <w:color w:val="000000" w:themeColor="text1"/>
          <w:sz w:val="22"/>
          <w:szCs w:val="22"/>
          <w:lang w:val="en-US" w:eastAsia="id-ID"/>
        </w:rPr>
        <w:t xml:space="preserve">. Skala ini juga memiliki koefisien aitem total </w:t>
      </w:r>
      <w:r>
        <w:rPr>
          <w:rFonts w:hint="default" w:ascii="ArialMT" w:hAnsi="ArialMT" w:cs="ArialMT"/>
          <w:color w:val="000000" w:themeColor="text1"/>
          <w:sz w:val="22"/>
          <w:szCs w:val="22"/>
          <w:lang w:val="en-US"/>
        </w:rPr>
        <w:t>(r</w:t>
      </w:r>
      <w:r>
        <w:rPr>
          <w:rFonts w:hint="default" w:ascii="ArialMT" w:hAnsi="ArialMT" w:cs="ArialMT"/>
          <w:color w:val="000000" w:themeColor="text1"/>
          <w:sz w:val="22"/>
          <w:szCs w:val="22"/>
          <w:vertAlign w:val="subscript"/>
          <w:lang w:val="en-US"/>
        </w:rPr>
        <w:t>ix</w:t>
      </w:r>
      <w:r>
        <w:rPr>
          <w:rFonts w:hint="default" w:ascii="ArialMT" w:hAnsi="ArialMT" w:cs="ArialMT"/>
          <w:color w:val="000000" w:themeColor="text1"/>
          <w:sz w:val="22"/>
          <w:szCs w:val="22"/>
          <w:lang w:val="en-US"/>
        </w:rPr>
        <w:t xml:space="preserve">) </w:t>
      </w:r>
      <w:r>
        <w:rPr>
          <w:rFonts w:hint="default" w:ascii="ArialMT" w:hAnsi="ArialMT" w:eastAsia="Times New Roman" w:cs="ArialMT"/>
          <w:i w:val="0"/>
          <w:iCs/>
          <w:color w:val="000000" w:themeColor="text1"/>
          <w:sz w:val="22"/>
          <w:szCs w:val="22"/>
          <w:lang w:val="en-US" w:eastAsia="id-ID"/>
        </w:rPr>
        <w:t xml:space="preserve">bergerak dari rentang </w:t>
      </w:r>
      <w:r>
        <w:rPr>
          <w:rFonts w:hint="default" w:ascii="ArialMT" w:hAnsi="ArialMT" w:cs="ArialMT"/>
          <w:color w:val="000000" w:themeColor="text1"/>
          <w:sz w:val="22"/>
          <w:szCs w:val="22"/>
          <w:lang w:val="en-US"/>
        </w:rPr>
        <w:t xml:space="preserve">0,361 </w:t>
      </w:r>
      <w:r>
        <w:rPr>
          <w:rFonts w:hint="default" w:ascii="ArialMT" w:hAnsi="ArialMT" w:eastAsia="Times New Roman" w:cs="ArialMT"/>
          <w:i w:val="0"/>
          <w:iCs/>
          <w:color w:val="000000" w:themeColor="text1"/>
          <w:sz w:val="22"/>
          <w:szCs w:val="22"/>
          <w:lang w:val="en-US" w:eastAsia="id-ID"/>
        </w:rPr>
        <w:t xml:space="preserve">sampai </w:t>
      </w:r>
      <w:r>
        <w:rPr>
          <w:rFonts w:hint="default" w:ascii="ArialMT" w:hAnsi="ArialMT" w:cs="ArialMT"/>
          <w:color w:val="000000" w:themeColor="text1"/>
          <w:sz w:val="22"/>
          <w:szCs w:val="22"/>
          <w:lang w:val="en-US"/>
        </w:rPr>
        <w:t>0,718</w:t>
      </w:r>
      <w:r>
        <w:rPr>
          <w:rFonts w:hint="default" w:ascii="ArialMT" w:hAnsi="ArialMT" w:eastAsia="Times New Roman" w:cs="ArialMT"/>
          <w:i w:val="0"/>
          <w:iCs/>
          <w:color w:val="000000" w:themeColor="text1"/>
          <w:sz w:val="22"/>
          <w:szCs w:val="22"/>
          <w:lang w:val="en-US" w:eastAsia="id-ID"/>
        </w:rPr>
        <w:t xml:space="preserve"> dengan nilai reliabilitas alpha </w:t>
      </w:r>
      <w:r>
        <w:rPr>
          <w:rFonts w:hint="default" w:ascii="ArialMT" w:hAnsi="ArialMT" w:cs="ArialMT"/>
          <w:color w:val="000000" w:themeColor="text1"/>
          <w:sz w:val="22"/>
          <w:szCs w:val="22"/>
          <w:lang w:val="en-US"/>
        </w:rPr>
        <w:t>(</w:t>
      </w:r>
      <w:r>
        <w:rPr>
          <w:rFonts w:hint="default" w:ascii="Arial" w:hAnsi="Arial" w:cs="Arial"/>
          <w:color w:val="000000" w:themeColor="text1"/>
          <w:sz w:val="22"/>
          <w:szCs w:val="22"/>
          <w:lang w:val="en-US"/>
        </w:rPr>
        <w:t>α</w:t>
      </w:r>
      <w:r>
        <w:rPr>
          <w:rFonts w:hint="default" w:ascii="ArialMT" w:hAnsi="ArialMT" w:cs="ArialMT"/>
          <w:color w:val="000000" w:themeColor="text1"/>
          <w:sz w:val="22"/>
          <w:szCs w:val="22"/>
          <w:lang w:val="en-US"/>
        </w:rPr>
        <w:t xml:space="preserve">) </w:t>
      </w:r>
      <w:r>
        <w:rPr>
          <w:rFonts w:hint="default" w:ascii="ArialMT" w:hAnsi="ArialMT" w:eastAsia="Times New Roman" w:cs="ArialMT"/>
          <w:i w:val="0"/>
          <w:iCs/>
          <w:color w:val="000000" w:themeColor="text1"/>
          <w:sz w:val="22"/>
          <w:szCs w:val="22"/>
          <w:lang w:val="en-US" w:eastAsia="id-ID"/>
        </w:rPr>
        <w:t xml:space="preserve">sebesar </w:t>
      </w:r>
      <w:r>
        <w:rPr>
          <w:rFonts w:hint="default" w:ascii="ArialMT" w:hAnsi="ArialMT" w:cs="ArialMT"/>
          <w:color w:val="000000" w:themeColor="text1"/>
          <w:sz w:val="22"/>
          <w:szCs w:val="22"/>
          <w:lang w:val="en-US"/>
        </w:rPr>
        <w:t>0,893</w:t>
      </w:r>
      <w:r>
        <w:rPr>
          <w:rFonts w:hint="default" w:ascii="ArialMT" w:hAnsi="ArialMT" w:eastAsia="Times New Roman" w:cs="ArialMT"/>
          <w:i w:val="0"/>
          <w:iCs/>
          <w:color w:val="000000" w:themeColor="text1"/>
          <w:sz w:val="22"/>
          <w:szCs w:val="22"/>
          <w:lang w:val="en-US" w:eastAsia="id-ID"/>
        </w:rPr>
        <w:t xml:space="preserve">. </w:t>
      </w:r>
    </w:p>
    <w:p>
      <w:pPr>
        <w:pageBreakBefore w:val="0"/>
        <w:widowControl/>
        <w:kinsoku/>
        <w:wordWrap/>
        <w:overflowPunct/>
        <w:topLinePunct w:val="0"/>
        <w:autoSpaceDE/>
        <w:autoSpaceDN/>
        <w:bidi w:val="0"/>
        <w:adjustRightInd/>
        <w:snapToGrid/>
        <w:spacing w:after="0" w:line="360" w:lineRule="auto"/>
        <w:ind w:left="0" w:leftChars="0" w:firstLine="440" w:firstLineChars="0"/>
        <w:jc w:val="both"/>
        <w:textAlignment w:val="auto"/>
        <w:rPr>
          <w:rFonts w:hint="default" w:ascii="ArialMT" w:hAnsi="ArialMT" w:cs="ArialMT"/>
          <w:color w:val="000000" w:themeColor="text1"/>
          <w:sz w:val="22"/>
          <w:szCs w:val="22"/>
        </w:rPr>
      </w:pPr>
      <w:r>
        <w:rPr>
          <w:rFonts w:hint="default" w:ascii="ArialMT" w:hAnsi="ArialMT" w:eastAsia="Times New Roman" w:cs="ArialMT"/>
          <w:i w:val="0"/>
          <w:iCs/>
          <w:color w:val="000000" w:themeColor="text1"/>
          <w:sz w:val="22"/>
          <w:szCs w:val="22"/>
          <w:lang w:val="en-US" w:eastAsia="id-ID"/>
        </w:rPr>
        <w:t xml:space="preserve">Selanjutnya, skala persepsi terhadap kompensasi disusun peneliti oleh peneliti berdasarkan teori dari </w:t>
      </w:r>
      <w:r>
        <w:rPr>
          <w:rFonts w:hint="default" w:ascii="ArialMT" w:hAnsi="ArialMT" w:eastAsia="Times New Roman" w:cs="ArialMT"/>
          <w:iCs/>
          <w:color w:val="000000" w:themeColor="text1"/>
          <w:sz w:val="22"/>
          <w:szCs w:val="22"/>
          <w:lang w:eastAsia="id-ID"/>
        </w:rPr>
        <w:fldChar w:fldCharType="begin" w:fldLock="1"/>
      </w:r>
      <w:r>
        <w:rPr>
          <w:rFonts w:hint="default" w:ascii="ArialMT" w:hAnsi="ArialMT" w:eastAsia="Times New Roman" w:cs="ArialMT"/>
          <w:iCs/>
          <w:color w:val="000000" w:themeColor="text1"/>
          <w:sz w:val="22"/>
          <w:szCs w:val="22"/>
          <w:lang w:eastAsia="id-ID"/>
        </w:rPr>
        <w:instrText xml:space="preserve">ADDIN CSL_CITATION {"citationItems":[{"id":"ITEM-1","itemData":{"ISBN":"9780133848809","author":[{"dropping-particle":"","family":"Mondy","given":"R. Wayne","non-dropping-particle":"","parse-names":false,"suffix":""},{"dropping-particle":"","family":"Martocchio","given":"Joseph J.","non-dropping-particle":"","parse-names":false,"suffix":""}],"edition":"14","id":"ITEM-1","issued":{"date-parts":[["2016"]]},"publisher":"Pearson Education","publisher-place":"USA","title":"Human resources management","type":"book"},"uris":["http://www.mendeley.com/documents/?uuid=88b1a8b1-6312-48dd-b777-ec2a30a1a5f5"]}],"mendeley":{"formattedCitation":"(Mondy &amp; Martocchio, 2016)","manualFormatting":"Mondy dan Martocchio (2016)","plainTextFormattedCitation":"(Mondy &amp; Martocchio, 2016)","previouslyFormattedCitation":"(Mondy &amp; Martocchio, 2016)"},"properties":{"noteIndex":0},"schema":"https://github.com/citation-style-language/schema/raw/master/csl-citation.json"}</w:instrText>
      </w:r>
      <w:r>
        <w:rPr>
          <w:rFonts w:hint="default" w:ascii="ArialMT" w:hAnsi="ArialMT" w:eastAsia="Times New Roman" w:cs="ArialMT"/>
          <w:iCs/>
          <w:color w:val="000000" w:themeColor="text1"/>
          <w:sz w:val="22"/>
          <w:szCs w:val="22"/>
          <w:lang w:eastAsia="id-ID"/>
        </w:rPr>
        <w:fldChar w:fldCharType="separate"/>
      </w:r>
      <w:r>
        <w:rPr>
          <w:rFonts w:hint="default" w:ascii="ArialMT" w:hAnsi="ArialMT" w:eastAsia="Times New Roman" w:cs="ArialMT"/>
          <w:iCs/>
          <w:color w:val="000000" w:themeColor="text1"/>
          <w:sz w:val="22"/>
          <w:szCs w:val="22"/>
          <w:lang w:eastAsia="id-ID"/>
        </w:rPr>
        <w:t>Mondy dan Martocchio (2016)</w:t>
      </w:r>
      <w:r>
        <w:rPr>
          <w:rFonts w:hint="default" w:ascii="ArialMT" w:hAnsi="ArialMT" w:eastAsia="Times New Roman" w:cs="ArialMT"/>
          <w:iCs/>
          <w:color w:val="000000" w:themeColor="text1"/>
          <w:sz w:val="22"/>
          <w:szCs w:val="22"/>
          <w:lang w:eastAsia="id-ID"/>
        </w:rPr>
        <w:fldChar w:fldCharType="end"/>
      </w:r>
      <w:r>
        <w:rPr>
          <w:rFonts w:hint="default" w:ascii="ArialMT" w:hAnsi="ArialMT" w:cs="ArialMT"/>
          <w:color w:val="000000" w:themeColor="text1"/>
          <w:sz w:val="22"/>
          <w:szCs w:val="22"/>
        </w:rPr>
        <w:t xml:space="preserve"> ada dua, yaitu </w:t>
      </w:r>
      <w:r>
        <w:rPr>
          <w:rFonts w:hint="default" w:ascii="ArialMT" w:hAnsi="ArialMT" w:cs="ArialMT"/>
          <w:i/>
          <w:iCs/>
          <w:color w:val="000000" w:themeColor="text1"/>
          <w:sz w:val="22"/>
          <w:szCs w:val="22"/>
          <w:lang w:val="en-US"/>
        </w:rPr>
        <w:t>f</w:t>
      </w:r>
      <w:r>
        <w:rPr>
          <w:rFonts w:hint="default" w:ascii="ArialMT" w:hAnsi="ArialMT" w:cs="ArialMT"/>
          <w:i/>
          <w:iCs/>
          <w:color w:val="000000" w:themeColor="text1"/>
          <w:sz w:val="22"/>
          <w:szCs w:val="22"/>
        </w:rPr>
        <w:t xml:space="preserve">inancial compensation </w:t>
      </w:r>
      <w:r>
        <w:rPr>
          <w:rFonts w:hint="default" w:ascii="ArialMT" w:hAnsi="ArialMT" w:cs="ArialMT"/>
          <w:color w:val="000000" w:themeColor="text1"/>
          <w:sz w:val="22"/>
          <w:szCs w:val="22"/>
        </w:rPr>
        <w:t xml:space="preserve">dan </w:t>
      </w:r>
      <w:r>
        <w:rPr>
          <w:rFonts w:hint="default" w:ascii="ArialMT" w:hAnsi="ArialMT" w:cs="ArialMT"/>
          <w:i/>
          <w:iCs/>
          <w:color w:val="000000" w:themeColor="text1"/>
          <w:sz w:val="22"/>
          <w:szCs w:val="22"/>
          <w:lang w:val="en-US"/>
        </w:rPr>
        <w:t>n</w:t>
      </w:r>
      <w:r>
        <w:rPr>
          <w:rFonts w:hint="default" w:ascii="ArialMT" w:hAnsi="ArialMT" w:cs="ArialMT"/>
          <w:i/>
          <w:iCs/>
          <w:color w:val="000000" w:themeColor="text1"/>
          <w:sz w:val="22"/>
          <w:szCs w:val="22"/>
        </w:rPr>
        <w:t>onfinancial compensation</w:t>
      </w:r>
      <w:r>
        <w:rPr>
          <w:rFonts w:hint="default" w:ascii="ArialMT" w:hAnsi="ArialMT" w:cs="ArialMT"/>
          <w:i w:val="0"/>
          <w:iCs w:val="0"/>
          <w:color w:val="000000" w:themeColor="text1"/>
          <w:sz w:val="22"/>
          <w:szCs w:val="22"/>
          <w:lang w:val="en-US"/>
        </w:rPr>
        <w:t xml:space="preserve">. Skala ini berjumlah berjumlah  16 aitem yang masing-masing karakteristik terdiri dari  8 aitem </w:t>
      </w:r>
      <w:r>
        <w:rPr>
          <w:rFonts w:hint="default" w:ascii="ArialMT" w:hAnsi="ArialMT" w:eastAsia="Times New Roman" w:cs="ArialMT"/>
          <w:i/>
          <w:color w:val="000000" w:themeColor="text1"/>
          <w:sz w:val="22"/>
          <w:szCs w:val="22"/>
          <w:lang w:eastAsia="id-ID"/>
        </w:rPr>
        <w:t>favorable</w:t>
      </w:r>
      <w:r>
        <w:rPr>
          <w:rFonts w:hint="default" w:ascii="ArialMT" w:hAnsi="ArialMT" w:eastAsia="Times New Roman" w:cs="ArialMT"/>
          <w:i w:val="0"/>
          <w:iCs/>
          <w:color w:val="000000" w:themeColor="text1"/>
          <w:sz w:val="22"/>
          <w:szCs w:val="22"/>
          <w:lang w:val="en-US" w:eastAsia="id-ID"/>
        </w:rPr>
        <w:t xml:space="preserve">. Skala ini juga memiliki koefisien aitem total </w:t>
      </w:r>
      <w:r>
        <w:rPr>
          <w:rFonts w:hint="default" w:ascii="ArialMT" w:hAnsi="ArialMT" w:cs="ArialMT"/>
          <w:color w:val="000000" w:themeColor="text1"/>
          <w:sz w:val="22"/>
          <w:szCs w:val="22"/>
          <w:lang w:val="en-US"/>
        </w:rPr>
        <w:t>(r</w:t>
      </w:r>
      <w:r>
        <w:rPr>
          <w:rFonts w:hint="default" w:ascii="ArialMT" w:hAnsi="ArialMT" w:cs="ArialMT"/>
          <w:color w:val="000000" w:themeColor="text1"/>
          <w:sz w:val="22"/>
          <w:szCs w:val="22"/>
          <w:vertAlign w:val="subscript"/>
          <w:lang w:val="en-US"/>
        </w:rPr>
        <w:t>ix</w:t>
      </w:r>
      <w:r>
        <w:rPr>
          <w:rFonts w:hint="default" w:ascii="ArialMT" w:hAnsi="ArialMT" w:cs="ArialMT"/>
          <w:color w:val="000000" w:themeColor="text1"/>
          <w:sz w:val="22"/>
          <w:szCs w:val="22"/>
          <w:lang w:val="en-US"/>
        </w:rPr>
        <w:t xml:space="preserve">) </w:t>
      </w:r>
      <w:r>
        <w:rPr>
          <w:rFonts w:hint="default" w:ascii="ArialMT" w:hAnsi="ArialMT" w:eastAsia="Times New Roman" w:cs="ArialMT"/>
          <w:i w:val="0"/>
          <w:iCs/>
          <w:color w:val="000000" w:themeColor="text1"/>
          <w:sz w:val="22"/>
          <w:szCs w:val="22"/>
          <w:lang w:val="en-US" w:eastAsia="id-ID"/>
        </w:rPr>
        <w:t xml:space="preserve">bergerak dari rentang </w:t>
      </w:r>
      <w:r>
        <w:rPr>
          <w:rFonts w:hint="default" w:ascii="ArialMT" w:hAnsi="ArialMT" w:cs="ArialMT"/>
          <w:color w:val="000000" w:themeColor="text1"/>
          <w:sz w:val="22"/>
          <w:szCs w:val="22"/>
          <w:lang w:val="en-US"/>
        </w:rPr>
        <w:t xml:space="preserve">0,315 </w:t>
      </w:r>
      <w:r>
        <w:rPr>
          <w:rFonts w:hint="default" w:ascii="ArialMT" w:hAnsi="ArialMT" w:eastAsia="Times New Roman" w:cs="ArialMT"/>
          <w:i w:val="0"/>
          <w:iCs/>
          <w:color w:val="000000" w:themeColor="text1"/>
          <w:sz w:val="22"/>
          <w:szCs w:val="22"/>
          <w:lang w:val="en-US" w:eastAsia="id-ID"/>
        </w:rPr>
        <w:t xml:space="preserve">sampai </w:t>
      </w:r>
      <w:r>
        <w:rPr>
          <w:rFonts w:hint="default" w:ascii="ArialMT" w:hAnsi="ArialMT" w:cs="ArialMT"/>
          <w:color w:val="000000" w:themeColor="text1"/>
          <w:sz w:val="22"/>
          <w:szCs w:val="22"/>
          <w:lang w:val="en-US"/>
        </w:rPr>
        <w:t>0,667</w:t>
      </w:r>
      <w:r>
        <w:rPr>
          <w:rFonts w:hint="default" w:ascii="ArialMT" w:hAnsi="ArialMT" w:eastAsia="Times New Roman" w:cs="ArialMT"/>
          <w:i w:val="0"/>
          <w:iCs/>
          <w:color w:val="000000" w:themeColor="text1"/>
          <w:sz w:val="22"/>
          <w:szCs w:val="22"/>
          <w:lang w:val="en-US" w:eastAsia="id-ID"/>
        </w:rPr>
        <w:t xml:space="preserve"> dengan nilai reliabilitas alpha </w:t>
      </w:r>
      <w:r>
        <w:rPr>
          <w:rFonts w:hint="default" w:ascii="ArialMT" w:hAnsi="ArialMT" w:cs="ArialMT"/>
          <w:color w:val="000000" w:themeColor="text1"/>
          <w:sz w:val="22"/>
          <w:szCs w:val="22"/>
          <w:lang w:val="en-US"/>
        </w:rPr>
        <w:t>(</w:t>
      </w:r>
      <w:r>
        <w:rPr>
          <w:rFonts w:hint="default" w:ascii="Arial" w:hAnsi="Arial" w:cs="Arial"/>
          <w:color w:val="000000" w:themeColor="text1"/>
          <w:sz w:val="22"/>
          <w:szCs w:val="22"/>
          <w:lang w:val="en-US"/>
        </w:rPr>
        <w:t>α</w:t>
      </w:r>
      <w:r>
        <w:rPr>
          <w:rFonts w:hint="default" w:ascii="ArialMT" w:hAnsi="ArialMT" w:cs="ArialMT"/>
          <w:color w:val="000000" w:themeColor="text1"/>
          <w:sz w:val="22"/>
          <w:szCs w:val="22"/>
          <w:lang w:val="en-US"/>
        </w:rPr>
        <w:t xml:space="preserve">) </w:t>
      </w:r>
      <w:r>
        <w:rPr>
          <w:rFonts w:hint="default" w:ascii="ArialMT" w:hAnsi="ArialMT" w:eastAsia="Times New Roman" w:cs="ArialMT"/>
          <w:i w:val="0"/>
          <w:iCs/>
          <w:color w:val="000000" w:themeColor="text1"/>
          <w:sz w:val="22"/>
          <w:szCs w:val="22"/>
          <w:lang w:val="en-US" w:eastAsia="id-ID"/>
        </w:rPr>
        <w:t xml:space="preserve">sebesar </w:t>
      </w:r>
      <w:r>
        <w:rPr>
          <w:rFonts w:hint="default" w:ascii="ArialMT" w:hAnsi="ArialMT" w:cs="ArialMT"/>
          <w:color w:val="000000" w:themeColor="text1"/>
          <w:sz w:val="22"/>
          <w:szCs w:val="22"/>
          <w:lang w:val="en-US"/>
        </w:rPr>
        <w:t>0,885</w:t>
      </w:r>
      <w:r>
        <w:rPr>
          <w:rFonts w:hint="default" w:ascii="ArialMT" w:hAnsi="ArialMT" w:eastAsia="Times New Roman" w:cs="ArialMT"/>
          <w:i w:val="0"/>
          <w:iCs/>
          <w:color w:val="000000" w:themeColor="text1"/>
          <w:sz w:val="22"/>
          <w:szCs w:val="22"/>
          <w:lang w:val="en-US" w:eastAsia="id-ID"/>
        </w:rPr>
        <w:t>.</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42" w:firstLineChars="0"/>
        <w:jc w:val="both"/>
        <w:textAlignment w:val="auto"/>
        <w:rPr>
          <w:rFonts w:hint="default" w:ascii="ArialMT" w:hAnsi="ArialMT" w:cs="ArialMT"/>
          <w:i w:val="0"/>
          <w:iCs w:val="0"/>
          <w:color w:val="000000" w:themeColor="text1"/>
          <w:sz w:val="22"/>
          <w:szCs w:val="22"/>
          <w:lang w:val="en-US"/>
        </w:rPr>
      </w:pPr>
      <w:r>
        <w:rPr>
          <w:rFonts w:hint="default" w:ascii="ArialMT" w:hAnsi="ArialMT" w:cs="ArialMT"/>
          <w:color w:val="000000" w:themeColor="text1"/>
          <w:sz w:val="22"/>
          <w:szCs w:val="22"/>
          <w:lang w:val="en-US"/>
        </w:rPr>
        <w:t xml:space="preserve">Terakhir, metode analisis data yang digunakan dalam penelitian ini, yaitu </w:t>
      </w:r>
      <w:r>
        <w:rPr>
          <w:rFonts w:hint="default" w:ascii="ArialMT" w:hAnsi="ArialMT" w:cs="ArialMT"/>
          <w:i w:val="0"/>
          <w:iCs w:val="0"/>
          <w:color w:val="000000" w:themeColor="text1"/>
          <w:sz w:val="22"/>
          <w:szCs w:val="22"/>
          <w:lang w:val="en-US"/>
        </w:rPr>
        <w:t xml:space="preserve">korelasi </w:t>
      </w:r>
      <w:r>
        <w:rPr>
          <w:rFonts w:hint="default" w:ascii="ArialMT" w:hAnsi="ArialMT" w:cs="ArialMT"/>
          <w:i/>
          <w:iCs/>
          <w:color w:val="000000" w:themeColor="text1"/>
          <w:sz w:val="22"/>
          <w:szCs w:val="22"/>
          <w:lang w:val="en-US"/>
        </w:rPr>
        <w:t>product moment</w:t>
      </w:r>
      <w:r>
        <w:rPr>
          <w:rFonts w:hint="default" w:ascii="ArialMT" w:hAnsi="ArialMT" w:cs="ArialMT"/>
          <w:i w:val="0"/>
          <w:iCs w:val="0"/>
          <w:color w:val="000000" w:themeColor="text1"/>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42" w:firstLineChars="0"/>
        <w:jc w:val="both"/>
        <w:textAlignment w:val="auto"/>
        <w:rPr>
          <w:rFonts w:hint="default" w:ascii="ArialMT" w:hAnsi="ArialMT" w:cs="ArialMT"/>
          <w:i w:val="0"/>
          <w:iCs w:val="0"/>
          <w:color w:val="000000" w:themeColor="text1"/>
          <w:sz w:val="22"/>
          <w:szCs w:val="22"/>
          <w:lang w:val="en-US"/>
        </w:rPr>
      </w:pPr>
    </w:p>
    <w:p>
      <w:pPr>
        <w:pStyle w:val="2"/>
        <w:pageBreakBefore w:val="0"/>
        <w:widowControl/>
        <w:kinsoku/>
        <w:wordWrap/>
        <w:overflowPunct/>
        <w:topLinePunct w:val="0"/>
        <w:autoSpaceDE/>
        <w:autoSpaceDN/>
        <w:bidi w:val="0"/>
        <w:adjustRightInd/>
        <w:snapToGrid/>
        <w:spacing w:before="0" w:after="0" w:line="360" w:lineRule="auto"/>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HASIL</w:t>
      </w:r>
    </w:p>
    <w:p>
      <w:pPr>
        <w:pageBreakBefore w:val="0"/>
        <w:widowControl/>
        <w:kinsoku/>
        <w:wordWrap/>
        <w:overflowPunct/>
        <w:topLinePunct w:val="0"/>
        <w:autoSpaceDE/>
        <w:autoSpaceDN/>
        <w:bidi w:val="0"/>
        <w:adjustRightInd/>
        <w:snapToGrid/>
        <w:spacing w:after="0" w:line="360" w:lineRule="auto"/>
        <w:ind w:left="0" w:leftChars="0" w:firstLine="440" w:firstLineChars="200"/>
        <w:jc w:val="both"/>
        <w:textAlignment w:val="auto"/>
        <w:rPr>
          <w:rFonts w:hint="default" w:ascii="ArialMT" w:hAnsi="ArialMT" w:cs="ArialMT"/>
          <w:color w:val="000000" w:themeColor="text1"/>
        </w:rPr>
      </w:pPr>
      <w:r>
        <w:rPr>
          <w:rFonts w:hint="default" w:ascii="ArialMT" w:hAnsi="ArialMT" w:cs="ArialMT"/>
          <w:color w:val="000000" w:themeColor="text1"/>
        </w:rPr>
        <w:t xml:space="preserve">Uji normalitas </w:t>
      </w:r>
      <w:r>
        <w:rPr>
          <w:rFonts w:hint="default" w:ascii="ArialMT" w:hAnsi="ArialMT" w:cs="ArialMT"/>
          <w:color w:val="000000" w:themeColor="text1"/>
          <w:lang w:val="en-US"/>
        </w:rPr>
        <w:t xml:space="preserve">dilakukan untuk </w:t>
      </w:r>
      <w:r>
        <w:rPr>
          <w:rFonts w:hint="default" w:ascii="ArialMT" w:hAnsi="ArialMT" w:cs="ArialMT"/>
          <w:color w:val="000000" w:themeColor="text1"/>
        </w:rPr>
        <w:t xml:space="preserve">menentukan suatu data terdistribusi normal atau tidak menggunakan model </w:t>
      </w:r>
      <w:r>
        <w:rPr>
          <w:rFonts w:hint="default" w:ascii="ArialMT" w:hAnsi="ArialMT" w:cs="ArialMT"/>
          <w:i/>
          <w:color w:val="000000" w:themeColor="text1"/>
        </w:rPr>
        <w:t>Kolmogorov-Smirnov</w:t>
      </w:r>
      <w:r>
        <w:rPr>
          <w:rFonts w:hint="default" w:ascii="ArialMT" w:hAnsi="ArialMT" w:cs="ArialMT"/>
          <w:i/>
          <w:color w:val="000000" w:themeColor="text1"/>
          <w:lang w:val="en-US"/>
        </w:rPr>
        <w:t xml:space="preserve"> </w:t>
      </w:r>
      <w:r>
        <w:rPr>
          <w:rFonts w:hint="default" w:ascii="ArialMT" w:hAnsi="ArialMT" w:cs="ArialMT"/>
          <w:i/>
          <w:color w:val="000000" w:themeColor="text1"/>
        </w:rPr>
        <w:t>(KS</w:t>
      </w:r>
      <w:r>
        <w:rPr>
          <w:rFonts w:hint="default" w:ascii="ArialMT" w:hAnsi="ArialMT" w:cs="ArialMT"/>
          <w:i/>
          <w:color w:val="000000" w:themeColor="text1"/>
          <w:lang w:val="en-US"/>
        </w:rPr>
        <w:t>-</w:t>
      </w:r>
      <w:r>
        <w:rPr>
          <w:rFonts w:hint="default" w:ascii="ArialMT" w:hAnsi="ArialMT" w:cs="ArialMT"/>
          <w:i/>
          <w:color w:val="000000" w:themeColor="text1"/>
        </w:rPr>
        <w:t>Z)</w:t>
      </w:r>
      <w:r>
        <w:rPr>
          <w:rFonts w:hint="default" w:ascii="ArialMT" w:hAnsi="ArialMT" w:cs="ArialMT"/>
          <w:color w:val="000000" w:themeColor="text1"/>
        </w:rPr>
        <w:t xml:space="preserve">. </w:t>
      </w:r>
      <w:r>
        <w:rPr>
          <w:rFonts w:hint="default" w:ascii="ArialMT" w:hAnsi="ArialMT" w:cs="ArialMT"/>
          <w:color w:val="000000" w:themeColor="text1"/>
          <w:lang w:val="id-ID"/>
        </w:rPr>
        <w:t xml:space="preserve">Berdasarkan hasil uji normalitas variabel </w:t>
      </w:r>
      <w:r>
        <w:rPr>
          <w:rFonts w:hint="default" w:ascii="ArialMT" w:hAnsi="ArialMT" w:cs="ArialMT"/>
          <w:i/>
          <w:iCs/>
          <w:color w:val="000000" w:themeColor="text1"/>
        </w:rPr>
        <w:t>employee engagement</w:t>
      </w:r>
      <w:r>
        <w:rPr>
          <w:rFonts w:hint="default" w:ascii="ArialMT" w:hAnsi="ArialMT" w:cs="ArialMT"/>
          <w:color w:val="000000" w:themeColor="text1"/>
          <w:lang w:val="id-ID"/>
        </w:rPr>
        <w:t xml:space="preserve"> di peroleh KS-Z</w:t>
      </w:r>
      <w:r>
        <w:rPr>
          <w:rFonts w:hint="default" w:ascii="ArialMT" w:hAnsi="ArialMT" w:cs="ArialMT"/>
          <w:color w:val="000000" w:themeColor="text1"/>
          <w:lang w:val="en-US"/>
        </w:rPr>
        <w:t xml:space="preserve"> </w:t>
      </w:r>
      <w:r>
        <w:rPr>
          <w:rFonts w:hint="default" w:ascii="ArialMT" w:hAnsi="ArialMT" w:cs="ArialMT"/>
          <w:color w:val="000000" w:themeColor="text1"/>
          <w:lang w:val="id-ID"/>
        </w:rPr>
        <w:t>= 0</w:t>
      </w:r>
      <w:r>
        <w:rPr>
          <w:rFonts w:hint="default" w:ascii="ArialMT" w:hAnsi="ArialMT" w:cs="ArialMT"/>
          <w:color w:val="000000" w:themeColor="text1"/>
        </w:rPr>
        <w:t>,101</w:t>
      </w:r>
      <w:r>
        <w:rPr>
          <w:rFonts w:hint="default" w:ascii="ArialMT" w:hAnsi="ArialMT" w:cs="ArialMT"/>
          <w:color w:val="000000" w:themeColor="text1"/>
          <w:lang w:val="id-ID"/>
        </w:rPr>
        <w:t xml:space="preserve"> dengan p =</w:t>
      </w:r>
      <w:r>
        <w:rPr>
          <w:rFonts w:hint="default" w:ascii="ArialMT" w:hAnsi="ArialMT" w:cs="ArialMT"/>
          <w:color w:val="000000" w:themeColor="text1"/>
          <w:lang w:val="en-US"/>
        </w:rPr>
        <w:t xml:space="preserve"> </w:t>
      </w:r>
      <w:r>
        <w:rPr>
          <w:rFonts w:hint="default" w:ascii="ArialMT" w:hAnsi="ArialMT" w:cs="ArialMT"/>
          <w:color w:val="000000" w:themeColor="text1"/>
          <w:lang w:val="id-ID"/>
        </w:rPr>
        <w:t>0,</w:t>
      </w:r>
      <w:r>
        <w:rPr>
          <w:rFonts w:hint="default" w:ascii="ArialMT" w:hAnsi="ArialMT" w:cs="ArialMT"/>
          <w:color w:val="000000" w:themeColor="text1"/>
        </w:rPr>
        <w:t>199</w:t>
      </w:r>
      <w:r>
        <w:rPr>
          <w:rFonts w:hint="default" w:ascii="ArialMT" w:hAnsi="ArialMT" w:cs="ArialMT"/>
          <w:color w:val="000000" w:themeColor="text1"/>
          <w:lang w:val="en-US"/>
        </w:rPr>
        <w:t xml:space="preserve"> </w:t>
      </w:r>
      <w:r>
        <w:rPr>
          <w:rFonts w:hint="default" w:ascii="ArialMT" w:hAnsi="ArialMT" w:cs="ArialMT"/>
          <w:color w:val="000000" w:themeColor="text1"/>
          <w:lang w:val="id-ID"/>
        </w:rPr>
        <w:t>(p &gt; 0,0</w:t>
      </w:r>
      <w:r>
        <w:rPr>
          <w:rFonts w:hint="default" w:ascii="ArialMT" w:hAnsi="ArialMT" w:cs="ArialMT"/>
          <w:color w:val="000000" w:themeColor="text1"/>
        </w:rPr>
        <w:t>5</w:t>
      </w:r>
      <w:r>
        <w:rPr>
          <w:rFonts w:hint="default" w:ascii="ArialMT" w:hAnsi="ArialMT" w:cs="ArialMT"/>
          <w:color w:val="000000" w:themeColor="text1"/>
          <w:lang w:val="id-ID"/>
        </w:rPr>
        <w:t xml:space="preserve">0) </w:t>
      </w:r>
      <w:r>
        <w:rPr>
          <w:rFonts w:hint="default" w:ascii="ArialMT" w:hAnsi="ArialMT" w:cs="ArialMT"/>
          <w:color w:val="000000" w:themeColor="text1"/>
        </w:rPr>
        <w:t xml:space="preserve">sebaran data varibel </w:t>
      </w:r>
      <w:r>
        <w:rPr>
          <w:rFonts w:hint="default" w:ascii="ArialMT" w:hAnsi="ArialMT" w:cs="ArialMT"/>
          <w:i/>
          <w:iCs/>
          <w:color w:val="000000" w:themeColor="text1"/>
          <w:lang w:val="en-US"/>
        </w:rPr>
        <w:t>e</w:t>
      </w:r>
      <w:r>
        <w:rPr>
          <w:rFonts w:hint="default" w:ascii="ArialMT" w:hAnsi="ArialMT" w:cs="ArialMT"/>
          <w:i/>
          <w:iCs/>
          <w:color w:val="000000" w:themeColor="text1"/>
        </w:rPr>
        <w:t xml:space="preserve">mployee </w:t>
      </w:r>
      <w:r>
        <w:rPr>
          <w:rFonts w:hint="default" w:ascii="ArialMT" w:hAnsi="ArialMT" w:cs="ArialMT"/>
          <w:i/>
          <w:iCs/>
          <w:color w:val="000000" w:themeColor="text1"/>
          <w:lang w:val="en-US"/>
        </w:rPr>
        <w:t>e</w:t>
      </w:r>
      <w:r>
        <w:rPr>
          <w:rFonts w:hint="default" w:ascii="ArialMT" w:hAnsi="ArialMT" w:cs="ArialMT"/>
          <w:i/>
          <w:iCs/>
          <w:color w:val="000000" w:themeColor="text1"/>
        </w:rPr>
        <w:t>ngagement</w:t>
      </w:r>
      <w:r>
        <w:rPr>
          <w:rFonts w:hint="default" w:ascii="ArialMT" w:hAnsi="ArialMT" w:cs="ArialMT"/>
          <w:color w:val="000000" w:themeColor="text1"/>
        </w:rPr>
        <w:t xml:space="preserve"> mengikuti sebaran data normal. </w:t>
      </w:r>
      <w:r>
        <w:rPr>
          <w:rFonts w:hint="default" w:ascii="ArialMT" w:hAnsi="ArialMT" w:cs="ArialMT"/>
          <w:color w:val="000000" w:themeColor="text1"/>
          <w:lang w:val="id-ID"/>
        </w:rPr>
        <w:t xml:space="preserve">Selanjutnya, </w:t>
      </w:r>
      <w:r>
        <w:rPr>
          <w:rFonts w:hint="default" w:ascii="ArialMT" w:hAnsi="ArialMT" w:cs="ArialMT"/>
          <w:color w:val="000000" w:themeColor="text1"/>
          <w:lang w:val="en-US"/>
        </w:rPr>
        <w:t>p</w:t>
      </w:r>
      <w:r>
        <w:rPr>
          <w:rFonts w:hint="default" w:ascii="ArialMT" w:hAnsi="ArialMT" w:cs="ArialMT"/>
          <w:color w:val="000000" w:themeColor="text1"/>
        </w:rPr>
        <w:t xml:space="preserve">ersepsi terhadap </w:t>
      </w:r>
      <w:r>
        <w:rPr>
          <w:rFonts w:hint="default" w:ascii="ArialMT" w:hAnsi="ArialMT" w:cs="ArialMT"/>
          <w:color w:val="000000" w:themeColor="text1"/>
          <w:lang w:val="en-US"/>
        </w:rPr>
        <w:t>k</w:t>
      </w:r>
      <w:r>
        <w:rPr>
          <w:rFonts w:hint="default" w:ascii="ArialMT" w:hAnsi="ArialMT" w:cs="ArialMT"/>
          <w:color w:val="000000" w:themeColor="text1"/>
        </w:rPr>
        <w:t>ompensasi</w:t>
      </w:r>
      <w:r>
        <w:rPr>
          <w:rFonts w:hint="default" w:ascii="ArialMT" w:hAnsi="ArialMT" w:cs="ArialMT"/>
          <w:color w:val="000000" w:themeColor="text1"/>
          <w:lang w:val="en-US"/>
        </w:rPr>
        <w:t xml:space="preserve"> </w:t>
      </w:r>
      <w:r>
        <w:rPr>
          <w:rFonts w:hint="default" w:ascii="ArialMT" w:hAnsi="ArialMT" w:cs="ArialMT"/>
          <w:color w:val="000000" w:themeColor="text1"/>
          <w:lang w:val="id-ID"/>
        </w:rPr>
        <w:t>KS-Z</w:t>
      </w:r>
      <w:r>
        <w:rPr>
          <w:rFonts w:hint="default" w:ascii="ArialMT" w:hAnsi="ArialMT" w:cs="ArialMT"/>
          <w:color w:val="000000" w:themeColor="text1"/>
          <w:lang w:val="en-US"/>
        </w:rPr>
        <w:t xml:space="preserve"> </w:t>
      </w:r>
      <w:r>
        <w:rPr>
          <w:rFonts w:hint="default" w:ascii="ArialMT" w:hAnsi="ArialMT" w:cs="ArialMT"/>
          <w:color w:val="000000" w:themeColor="text1"/>
          <w:lang w:val="id-ID"/>
        </w:rPr>
        <w:t>=</w:t>
      </w:r>
      <w:r>
        <w:rPr>
          <w:rFonts w:hint="default" w:ascii="ArialMT" w:hAnsi="ArialMT" w:cs="ArialMT"/>
          <w:color w:val="000000" w:themeColor="text1"/>
          <w:lang w:val="en-US"/>
        </w:rPr>
        <w:t xml:space="preserve"> </w:t>
      </w:r>
      <w:r>
        <w:rPr>
          <w:rFonts w:hint="default" w:ascii="ArialMT" w:hAnsi="ArialMT" w:cs="ArialMT"/>
          <w:color w:val="000000" w:themeColor="text1"/>
          <w:lang w:val="id-ID"/>
        </w:rPr>
        <w:t>0,</w:t>
      </w:r>
      <w:r>
        <w:rPr>
          <w:rFonts w:hint="default" w:ascii="ArialMT" w:hAnsi="ArialMT" w:cs="ArialMT"/>
          <w:color w:val="000000" w:themeColor="text1"/>
        </w:rPr>
        <w:t>081</w:t>
      </w:r>
      <w:r>
        <w:rPr>
          <w:rFonts w:hint="default" w:ascii="ArialMT" w:hAnsi="ArialMT" w:cs="ArialMT"/>
          <w:color w:val="000000" w:themeColor="text1"/>
          <w:lang w:val="id-ID"/>
        </w:rPr>
        <w:t xml:space="preserve"> dengan p = 0,200 (p &gt; 0,050)  berarti </w:t>
      </w:r>
      <w:r>
        <w:rPr>
          <w:rFonts w:hint="default" w:ascii="ArialMT" w:hAnsi="ArialMT" w:cs="ArialMT"/>
          <w:color w:val="000000" w:themeColor="text1"/>
        </w:rPr>
        <w:t xml:space="preserve">sebaran data variabel </w:t>
      </w:r>
      <w:r>
        <w:rPr>
          <w:rFonts w:hint="default" w:ascii="ArialMT" w:hAnsi="ArialMT" w:cs="ArialMT"/>
          <w:color w:val="000000" w:themeColor="text1"/>
          <w:lang w:val="en-US"/>
        </w:rPr>
        <w:t>p</w:t>
      </w:r>
      <w:r>
        <w:rPr>
          <w:rFonts w:hint="default" w:ascii="ArialMT" w:hAnsi="ArialMT" w:cs="ArialMT"/>
          <w:color w:val="000000" w:themeColor="text1"/>
        </w:rPr>
        <w:t xml:space="preserve">ersepsi terhadap </w:t>
      </w:r>
      <w:r>
        <w:rPr>
          <w:rFonts w:hint="default" w:ascii="ArialMT" w:hAnsi="ArialMT" w:cs="ArialMT"/>
          <w:color w:val="000000" w:themeColor="text1"/>
          <w:lang w:val="en-US"/>
        </w:rPr>
        <w:t>k</w:t>
      </w:r>
      <w:r>
        <w:rPr>
          <w:rFonts w:hint="default" w:ascii="ArialMT" w:hAnsi="ArialMT" w:cs="ArialMT"/>
          <w:color w:val="000000" w:themeColor="text1"/>
        </w:rPr>
        <w:t>ompensasi mengikuti sebaran data normal.</w:t>
      </w:r>
    </w:p>
    <w:p>
      <w:pPr>
        <w:pageBreakBefore w:val="0"/>
        <w:widowControl/>
        <w:kinsoku/>
        <w:wordWrap/>
        <w:overflowPunct/>
        <w:topLinePunct w:val="0"/>
        <w:autoSpaceDE/>
        <w:autoSpaceDN/>
        <w:bidi w:val="0"/>
        <w:adjustRightInd/>
        <w:snapToGrid/>
        <w:spacing w:after="0" w:line="360" w:lineRule="auto"/>
        <w:ind w:left="0" w:leftChars="0" w:firstLine="440" w:firstLineChars="200"/>
        <w:jc w:val="both"/>
        <w:textAlignment w:val="auto"/>
        <w:rPr>
          <w:rFonts w:hint="default" w:ascii="ArialMT" w:hAnsi="ArialMT" w:cs="ArialMT"/>
          <w:color w:val="000000" w:themeColor="text1"/>
          <w:lang w:eastAsia="id-ID"/>
        </w:rPr>
      </w:pPr>
      <w:r>
        <w:rPr>
          <w:rFonts w:hint="default" w:ascii="ArialMT" w:hAnsi="ArialMT" w:cs="ArialMT"/>
          <w:color w:val="000000" w:themeColor="text1"/>
          <w:lang w:val="id-ID" w:eastAsia="id-ID"/>
        </w:rPr>
        <w:t xml:space="preserve">Berdasarkan hasil uji linieritas pada penelitian ini di peroleh F = </w:t>
      </w:r>
      <w:r>
        <w:rPr>
          <w:rFonts w:hint="default" w:ascii="ArialMT" w:hAnsi="ArialMT" w:cs="ArialMT"/>
          <w:color w:val="000000" w:themeColor="text1"/>
          <w:lang w:eastAsia="id-ID"/>
        </w:rPr>
        <w:t>19,371</w:t>
      </w:r>
      <w:r>
        <w:rPr>
          <w:rFonts w:hint="default" w:ascii="ArialMT" w:hAnsi="ArialMT" w:cs="ArialMT"/>
          <w:color w:val="000000" w:themeColor="text1"/>
          <w:lang w:val="en-US" w:eastAsia="id-ID"/>
        </w:rPr>
        <w:t xml:space="preserve"> </w:t>
      </w:r>
      <w:r>
        <w:rPr>
          <w:rFonts w:hint="default" w:ascii="ArialMT" w:hAnsi="ArialMT" w:cs="ArialMT"/>
          <w:color w:val="000000" w:themeColor="text1"/>
          <w:lang w:val="id-ID" w:eastAsia="id-ID"/>
        </w:rPr>
        <w:t>dan p</w:t>
      </w:r>
      <w:r>
        <w:rPr>
          <w:rFonts w:hint="default" w:ascii="ArialMT" w:hAnsi="ArialMT" w:cs="ArialMT"/>
          <w:color w:val="000000" w:themeColor="text1"/>
          <w:lang w:val="en-US" w:eastAsia="id-ID"/>
        </w:rPr>
        <w:t xml:space="preserve"> </w:t>
      </w:r>
      <w:r>
        <w:rPr>
          <w:rFonts w:hint="default" w:ascii="ArialMT" w:hAnsi="ArialMT" w:cs="ArialMT"/>
          <w:color w:val="000000" w:themeColor="text1"/>
          <w:lang w:val="id-ID" w:eastAsia="id-ID"/>
        </w:rPr>
        <w:t>= 0,0</w:t>
      </w:r>
      <w:r>
        <w:rPr>
          <w:rFonts w:hint="default" w:ascii="ArialMT" w:hAnsi="ArialMT" w:cs="ArialMT"/>
          <w:color w:val="000000" w:themeColor="text1"/>
          <w:lang w:eastAsia="id-ID"/>
        </w:rPr>
        <w:t>00</w:t>
      </w:r>
      <w:r>
        <w:rPr>
          <w:rFonts w:hint="default" w:ascii="ArialMT" w:hAnsi="ArialMT" w:cs="ArialMT"/>
          <w:color w:val="000000" w:themeColor="text1"/>
          <w:lang w:val="id-ID" w:eastAsia="id-ID"/>
        </w:rPr>
        <w:t xml:space="preserve"> berarti hubungan antara </w:t>
      </w:r>
      <w:r>
        <w:rPr>
          <w:rFonts w:hint="default" w:ascii="ArialMT" w:hAnsi="ArialMT" w:cs="ArialMT"/>
          <w:color w:val="000000" w:themeColor="text1"/>
          <w:lang w:eastAsia="id-ID"/>
        </w:rPr>
        <w:t>persepsi terhadap kompensasi</w:t>
      </w:r>
      <w:r>
        <w:rPr>
          <w:rFonts w:hint="default" w:ascii="ArialMT" w:hAnsi="ArialMT" w:cs="ArialMT"/>
          <w:color w:val="000000" w:themeColor="text1"/>
          <w:lang w:val="id-ID" w:eastAsia="id-ID"/>
        </w:rPr>
        <w:t xml:space="preserve"> den</w:t>
      </w:r>
      <w:r>
        <w:rPr>
          <w:rFonts w:hint="default" w:ascii="ArialMT" w:hAnsi="ArialMT" w:cs="ArialMT"/>
          <w:color w:val="000000" w:themeColor="text1"/>
          <w:lang w:eastAsia="id-ID"/>
        </w:rPr>
        <w:t xml:space="preserve">gan </w:t>
      </w:r>
      <w:r>
        <w:rPr>
          <w:rFonts w:hint="default" w:ascii="ArialMT" w:hAnsi="ArialMT" w:cs="ArialMT"/>
          <w:i/>
          <w:iCs/>
          <w:color w:val="000000" w:themeColor="text1"/>
          <w:lang w:eastAsia="id-ID"/>
        </w:rPr>
        <w:t>employee engagement</w:t>
      </w:r>
      <w:r>
        <w:rPr>
          <w:rFonts w:hint="default" w:ascii="ArialMT" w:hAnsi="ArialMT" w:cs="ArialMT"/>
          <w:i/>
          <w:iCs/>
          <w:color w:val="000000" w:themeColor="text1"/>
          <w:lang w:val="en-US" w:eastAsia="id-ID"/>
        </w:rPr>
        <w:t xml:space="preserve"> </w:t>
      </w:r>
      <w:r>
        <w:rPr>
          <w:rFonts w:hint="default" w:ascii="ArialMT" w:hAnsi="ArialMT" w:cs="ArialMT"/>
          <w:color w:val="000000" w:themeColor="text1"/>
          <w:lang w:val="id-ID" w:eastAsia="id-ID"/>
        </w:rPr>
        <w:t>merupaka</w:t>
      </w:r>
      <w:r>
        <w:rPr>
          <w:rFonts w:hint="default" w:ascii="ArialMT" w:hAnsi="ArialMT" w:cs="ArialMT"/>
          <w:color w:val="000000" w:themeColor="text1"/>
          <w:lang w:eastAsia="id-ID"/>
        </w:rPr>
        <w:t>n</w:t>
      </w:r>
      <w:r>
        <w:rPr>
          <w:rFonts w:hint="default" w:ascii="ArialMT" w:hAnsi="ArialMT" w:cs="ArialMT"/>
          <w:color w:val="000000" w:themeColor="text1"/>
          <w:lang w:val="id-ID" w:eastAsia="id-ID"/>
        </w:rPr>
        <w:t xml:space="preserve"> hubungan yang linier</w:t>
      </w:r>
      <w:r>
        <w:rPr>
          <w:rFonts w:hint="default" w:ascii="ArialMT" w:hAnsi="ArialMT" w:cs="ArialMT"/>
          <w:color w:val="000000" w:themeColor="text1"/>
          <w:lang w:eastAsia="id-ID"/>
        </w:rPr>
        <w:t>.</w:t>
      </w:r>
    </w:p>
    <w:p>
      <w:pPr>
        <w:pageBreakBefore w:val="0"/>
        <w:widowControl/>
        <w:kinsoku/>
        <w:wordWrap/>
        <w:overflowPunct/>
        <w:topLinePunct w:val="0"/>
        <w:autoSpaceDE/>
        <w:autoSpaceDN/>
        <w:bidi w:val="0"/>
        <w:adjustRightInd/>
        <w:snapToGrid/>
        <w:spacing w:after="0" w:line="360" w:lineRule="auto"/>
        <w:ind w:left="0" w:leftChars="0" w:firstLine="440" w:firstLineChars="200"/>
        <w:jc w:val="both"/>
        <w:textAlignment w:val="auto"/>
        <w:rPr>
          <w:rFonts w:hint="default" w:ascii="ArialMT" w:hAnsi="ArialMT" w:cs="ArialMT"/>
          <w:color w:val="000000" w:themeColor="text1"/>
        </w:rPr>
      </w:pPr>
      <w:r>
        <w:rPr>
          <w:rFonts w:hint="default" w:ascii="ArialMT" w:hAnsi="ArialMT" w:cs="ArialMT"/>
          <w:color w:val="000000" w:themeColor="text1"/>
          <w:lang w:val="id-ID" w:eastAsia="id-ID"/>
        </w:rPr>
        <w:t xml:space="preserve">Uji hipotesis dilakukan dengan menggunakan </w:t>
      </w:r>
      <w:r>
        <w:rPr>
          <w:rFonts w:hint="default" w:ascii="ArialMT" w:hAnsi="ArialMT" w:cs="ArialMT"/>
          <w:color w:val="000000" w:themeColor="text1"/>
          <w:lang w:eastAsia="id-ID"/>
        </w:rPr>
        <w:t>t</w:t>
      </w:r>
      <w:r>
        <w:rPr>
          <w:rFonts w:hint="default" w:ascii="ArialMT" w:hAnsi="ArialMT" w:cs="ArialMT"/>
          <w:color w:val="000000" w:themeColor="text1"/>
          <w:lang w:val="id-ID" w:eastAsia="id-ID"/>
        </w:rPr>
        <w:t xml:space="preserve">eknik korelasi </w:t>
      </w:r>
      <w:r>
        <w:rPr>
          <w:rFonts w:hint="default" w:ascii="ArialMT" w:hAnsi="ArialMT" w:cs="ArialMT"/>
          <w:i/>
          <w:iCs/>
          <w:color w:val="000000" w:themeColor="text1"/>
          <w:lang w:val="id-ID" w:eastAsia="id-ID"/>
        </w:rPr>
        <w:t>product moment</w:t>
      </w:r>
      <w:r>
        <w:rPr>
          <w:rFonts w:hint="default" w:ascii="ArialMT" w:hAnsi="ArialMT" w:cs="ArialMT"/>
          <w:i/>
          <w:iCs/>
          <w:color w:val="000000" w:themeColor="text1"/>
          <w:lang w:eastAsia="id-ID"/>
        </w:rPr>
        <w:t>.</w:t>
      </w:r>
      <w:r>
        <w:rPr>
          <w:rFonts w:hint="default" w:ascii="ArialMT" w:hAnsi="ArialMT" w:cs="ArialMT"/>
          <w:i/>
          <w:iCs/>
          <w:color w:val="000000" w:themeColor="text1"/>
          <w:lang w:val="en-US" w:eastAsia="id-ID"/>
        </w:rPr>
        <w:t xml:space="preserve"> </w:t>
      </w:r>
      <w:r>
        <w:rPr>
          <w:rFonts w:hint="default" w:ascii="ArialMT" w:hAnsi="ArialMT" w:cs="ArialMT"/>
          <w:color w:val="000000" w:themeColor="text1"/>
        </w:rPr>
        <w:t xml:space="preserve">Berdasarkan hasil analisis data menggunakan analisis korelasi </w:t>
      </w:r>
      <w:r>
        <w:rPr>
          <w:rFonts w:hint="default" w:ascii="ArialMT" w:hAnsi="ArialMT" w:cs="ArialMT"/>
          <w:i/>
          <w:iCs/>
          <w:color w:val="000000" w:themeColor="text1"/>
        </w:rPr>
        <w:t xml:space="preserve">product moment </w:t>
      </w:r>
      <w:r>
        <w:rPr>
          <w:rFonts w:hint="default" w:ascii="ArialMT" w:hAnsi="ArialMT" w:cs="ArialMT"/>
          <w:color w:val="000000" w:themeColor="text1"/>
        </w:rPr>
        <w:t xml:space="preserve">pada penelitian ini menunjukan bahwa hipotesis memiliki hubungan </w:t>
      </w:r>
      <w:r>
        <w:rPr>
          <w:rFonts w:hint="default" w:ascii="ArialMT" w:hAnsi="ArialMT" w:cs="ArialMT"/>
          <w:color w:val="000000" w:themeColor="text1"/>
          <w:lang w:val="id-ID"/>
        </w:rPr>
        <w:t>positif</w:t>
      </w:r>
      <w:r>
        <w:rPr>
          <w:rFonts w:hint="default" w:ascii="ArialMT" w:hAnsi="ArialMT" w:cs="ArialMT"/>
          <w:color w:val="000000" w:themeColor="text1"/>
          <w:lang w:val="en-US"/>
        </w:rPr>
        <w:t xml:space="preserve"> </w:t>
      </w:r>
      <w:r>
        <w:rPr>
          <w:rFonts w:hint="default" w:ascii="ArialMT" w:hAnsi="ArialMT" w:cs="ArialMT"/>
          <w:color w:val="000000" w:themeColor="text1"/>
          <w:lang w:val="id-ID"/>
        </w:rPr>
        <w:t>antara</w:t>
      </w:r>
      <w:r>
        <w:rPr>
          <w:rFonts w:hint="default" w:ascii="ArialMT" w:hAnsi="ArialMT" w:cs="ArialMT"/>
          <w:color w:val="000000" w:themeColor="text1"/>
          <w:lang w:val="en-US"/>
        </w:rPr>
        <w:t xml:space="preserve"> </w:t>
      </w:r>
      <w:r>
        <w:rPr>
          <w:rFonts w:hint="default" w:ascii="ArialMT" w:hAnsi="ArialMT" w:cs="ArialMT"/>
          <w:color w:val="000000" w:themeColor="text1"/>
        </w:rPr>
        <w:t>persepsi terhadap kompensasi dengan</w:t>
      </w:r>
      <w:r>
        <w:rPr>
          <w:rFonts w:hint="default" w:ascii="ArialMT" w:hAnsi="ArialMT" w:cs="ArialMT"/>
          <w:color w:val="000000" w:themeColor="text1"/>
          <w:lang w:val="en-US"/>
        </w:rPr>
        <w:t xml:space="preserve"> </w:t>
      </w:r>
      <w:r>
        <w:rPr>
          <w:rFonts w:hint="default" w:ascii="ArialMT" w:hAnsi="ArialMT" w:cs="ArialMT"/>
          <w:i/>
          <w:iCs/>
          <w:color w:val="000000" w:themeColor="text1"/>
        </w:rPr>
        <w:t xml:space="preserve">employee engagement </w:t>
      </w:r>
      <w:r>
        <w:rPr>
          <w:rFonts w:hint="default" w:ascii="ArialMT" w:hAnsi="ArialMT" w:cs="ArialMT"/>
          <w:color w:val="000000" w:themeColor="text1"/>
        </w:rPr>
        <w:t xml:space="preserve">diperoleh koefisien korelasi (rxy) sebesar </w:t>
      </w:r>
      <w:r>
        <w:rPr>
          <w:rFonts w:hint="default" w:ascii="ArialMT" w:hAnsi="ArialMT" w:cs="ArialMT"/>
          <w:color w:val="000000" w:themeColor="text1"/>
          <w:lang w:val="id-ID"/>
        </w:rPr>
        <w:t>=</w:t>
      </w:r>
      <w:r>
        <w:rPr>
          <w:rFonts w:hint="default" w:ascii="ArialMT" w:hAnsi="ArialMT" w:cs="ArialMT"/>
          <w:color w:val="000000" w:themeColor="text1"/>
          <w:lang w:val="en-US"/>
        </w:rPr>
        <w:t xml:space="preserve"> </w:t>
      </w:r>
      <w:r>
        <w:rPr>
          <w:rFonts w:hint="default" w:ascii="ArialMT" w:hAnsi="ArialMT" w:cs="ArialMT"/>
          <w:color w:val="000000" w:themeColor="text1"/>
          <w:lang w:val="id-ID"/>
        </w:rPr>
        <w:t>0,</w:t>
      </w:r>
      <w:r>
        <w:rPr>
          <w:rFonts w:hint="default" w:ascii="ArialMT" w:hAnsi="ArialMT" w:cs="ArialMT"/>
          <w:color w:val="000000" w:themeColor="text1"/>
        </w:rPr>
        <w:t>456</w:t>
      </w:r>
      <w:r>
        <w:rPr>
          <w:rFonts w:hint="default" w:ascii="ArialMT" w:hAnsi="ArialMT" w:cs="ArialMT"/>
          <w:color w:val="000000" w:themeColor="text1"/>
          <w:lang w:val="en-US"/>
        </w:rPr>
        <w:t xml:space="preserve"> </w:t>
      </w:r>
      <w:r>
        <w:rPr>
          <w:rFonts w:hint="default" w:ascii="ArialMT" w:hAnsi="ArialMT" w:cs="ArialMT"/>
          <w:color w:val="000000" w:themeColor="text1"/>
        </w:rPr>
        <w:t>dengan</w:t>
      </w:r>
      <w:r>
        <w:rPr>
          <w:rFonts w:hint="default" w:ascii="ArialMT" w:hAnsi="ArialMT" w:cs="ArialMT"/>
          <w:color w:val="000000" w:themeColor="text1"/>
          <w:lang w:val="en-US"/>
        </w:rPr>
        <w:t xml:space="preserve"> </w:t>
      </w:r>
      <w:r>
        <w:rPr>
          <w:rFonts w:hint="default" w:ascii="ArialMT" w:hAnsi="ArialMT" w:cs="ArialMT"/>
          <w:color w:val="000000" w:themeColor="text1"/>
          <w:lang w:val="id-ID"/>
        </w:rPr>
        <w:t>p =</w:t>
      </w:r>
      <w:r>
        <w:rPr>
          <w:rFonts w:hint="default" w:ascii="ArialMT" w:hAnsi="ArialMT" w:cs="ArialMT"/>
          <w:color w:val="000000" w:themeColor="text1"/>
          <w:lang w:val="en-US"/>
        </w:rPr>
        <w:t xml:space="preserve"> </w:t>
      </w:r>
      <w:r>
        <w:rPr>
          <w:rFonts w:hint="default" w:ascii="ArialMT" w:hAnsi="ArialMT" w:cs="ArialMT"/>
          <w:color w:val="000000" w:themeColor="text1"/>
          <w:lang w:val="id-ID"/>
        </w:rPr>
        <w:t>0,0</w:t>
      </w:r>
      <w:r>
        <w:rPr>
          <w:rFonts w:hint="default" w:ascii="ArialMT" w:hAnsi="ArialMT" w:cs="ArialMT"/>
          <w:color w:val="000000" w:themeColor="text1"/>
        </w:rPr>
        <w:t xml:space="preserve">00 (p &lt; 0,050) hal tersebut sesuai dengan hipotesis yang diajukan peneliti bahwa semakin positif persepsi terhadap kompensasi maka cenderung semakin tinggi </w:t>
      </w:r>
      <w:r>
        <w:rPr>
          <w:rFonts w:hint="default" w:ascii="ArialMT" w:hAnsi="ArialMT" w:cs="ArialMT"/>
          <w:i/>
          <w:iCs/>
          <w:color w:val="000000" w:themeColor="text1"/>
        </w:rPr>
        <w:t>employee engagement</w:t>
      </w:r>
      <w:r>
        <w:rPr>
          <w:rFonts w:hint="default" w:ascii="ArialMT" w:hAnsi="ArialMT" w:cs="ArialMT"/>
          <w:color w:val="000000" w:themeColor="text1"/>
        </w:rPr>
        <w:t xml:space="preserve">, sebaliknya semakin negatif persepsi terhadap kompensasi maka cenderung semakin rendah </w:t>
      </w:r>
      <w:r>
        <w:rPr>
          <w:rFonts w:hint="default" w:ascii="ArialMT" w:hAnsi="ArialMT" w:cs="ArialMT"/>
          <w:i/>
          <w:iCs/>
          <w:color w:val="000000" w:themeColor="text1"/>
        </w:rPr>
        <w:t>employee engagement</w:t>
      </w:r>
      <w:r>
        <w:rPr>
          <w:rFonts w:hint="default" w:ascii="ArialMT" w:hAnsi="ArialMT" w:cs="ArialMT"/>
          <w:color w:val="000000" w:themeColor="text1"/>
        </w:rPr>
        <w:t>.</w:t>
      </w:r>
    </w:p>
    <w:p>
      <w:pPr>
        <w:pageBreakBefore w:val="0"/>
        <w:widowControl/>
        <w:kinsoku/>
        <w:wordWrap/>
        <w:overflowPunct/>
        <w:topLinePunct w:val="0"/>
        <w:autoSpaceDE/>
        <w:autoSpaceDN/>
        <w:bidi w:val="0"/>
        <w:adjustRightInd/>
        <w:snapToGrid/>
        <w:spacing w:after="0" w:line="360" w:lineRule="auto"/>
        <w:jc w:val="both"/>
        <w:textAlignment w:val="auto"/>
        <w:rPr>
          <w:rFonts w:hint="default" w:ascii="ArialMT" w:hAnsi="ArialMT" w:cs="ArialMT"/>
          <w:color w:val="000000" w:themeColor="text1"/>
        </w:rPr>
      </w:pPr>
    </w:p>
    <w:p>
      <w:pPr>
        <w:pStyle w:val="2"/>
        <w:pageBreakBefore w:val="0"/>
        <w:widowControl/>
        <w:kinsoku/>
        <w:wordWrap/>
        <w:overflowPunct/>
        <w:topLinePunct w:val="0"/>
        <w:autoSpaceDE/>
        <w:autoSpaceDN/>
        <w:bidi w:val="0"/>
        <w:adjustRightInd/>
        <w:snapToGrid/>
        <w:spacing w:before="0" w:after="0" w:line="360" w:lineRule="auto"/>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PEMBAHASAN</w:t>
      </w:r>
    </w:p>
    <w:p>
      <w:pPr>
        <w:pageBreakBefore w:val="0"/>
        <w:widowControl/>
        <w:kinsoku/>
        <w:wordWrap/>
        <w:overflowPunct/>
        <w:topLinePunct w:val="0"/>
        <w:autoSpaceDE/>
        <w:autoSpaceDN/>
        <w:bidi w:val="0"/>
        <w:adjustRightInd/>
        <w:snapToGrid/>
        <w:spacing w:after="0" w:line="360" w:lineRule="auto"/>
        <w:ind w:left="0" w:leftChars="0" w:firstLine="440" w:firstLineChars="20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Diterimanya hipotesis dalam penelitian ini menunjukan bahwa persepsi terhadap kompensasi sebagai salah satu faktor yang mempengaruhi</w:t>
      </w:r>
      <w:r>
        <w:rPr>
          <w:rFonts w:hint="default" w:ascii="ArialMT" w:hAnsi="ArialMT" w:cs="ArialMT"/>
          <w:color w:val="000000" w:themeColor="text1"/>
          <w:sz w:val="22"/>
          <w:szCs w:val="22"/>
          <w:lang w:val="en-US"/>
        </w:rPr>
        <w:t xml:space="preserve">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pada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Go-Jek di Yogyakarta.</w:t>
      </w:r>
      <w:bookmarkStart w:id="0" w:name="_Hlk528750098"/>
      <w:r>
        <w:rPr>
          <w:rFonts w:hint="default" w:ascii="ArialMT" w:hAnsi="ArialMT" w:cs="ArialMT"/>
          <w:color w:val="000000" w:themeColor="text1"/>
          <w:sz w:val="22"/>
          <w:szCs w:val="22"/>
          <w:lang w:val="en-US"/>
        </w:rPr>
        <w:t xml:space="preserve"> </w:t>
      </w:r>
      <w:r>
        <w:rPr>
          <w:rFonts w:hint="default" w:ascii="ArialMT" w:hAnsi="ArialMT" w:cs="ArialMT"/>
          <w:color w:val="000000" w:themeColor="text1"/>
          <w:sz w:val="22"/>
          <w:szCs w:val="22"/>
        </w:rPr>
        <w:t xml:space="preserve">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{"citationItems":[{"id":"ITEM-1","itemData":{"ISBN":"9780132834872","author":[{"dropping-particle":"","family":"Robbins","given":"Stephen P.","non-dropping-particle":"","parse-names":false,"suffix":""},{"dropping-particle":"","family":"Judge","given":"Timothy A.","non-dropping-particle":"","parse-names":false,"suffix":""}],"edition":"15","id":"ITEM-1","issued":{"date-parts":[["2013"]]},"publisher":"Pearson Education","publisher-place":"New Jersey","title":"Organizational behavior","type":"book"},"uris":["http://www.mendeley.com/documents/?uuid=3d88bf13-c5fc-414d-a457-ef22d73a11d5"]}],"mendeley":{"formattedCitation":"(Robbins &amp; Judge, 2013)","manualFormatting":"Robbins dan Judge (2013)","plainTextFormattedCitation":"(Robbins &amp; Judge, 2013)","previouslyFormattedCitation":"(Robbins &amp; Judge, 2013)"},"properties":{"noteIndex":0},"schema":"https://github.com/citation-style-language/schema/raw/master/csl-citation.json"}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Robbins dan Judge (2013)</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persepsi adalah proses individu mengatur dan menafsirkan tayangan sensori untuk memberikan makna pada lingkungan sekitar.</w:t>
      </w:r>
      <w:r>
        <w:rPr>
          <w:rFonts w:hint="default" w:ascii="ArialMT" w:hAnsi="ArialMT" w:cs="ArialMT"/>
          <w:color w:val="000000" w:themeColor="text1"/>
          <w:sz w:val="22"/>
          <w:szCs w:val="22"/>
          <w:lang w:val="en-US"/>
        </w:rPr>
        <w:t xml:space="preserve">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{"citationItems":[{"id":"ITEM-1","itemData":{"ISBN":"9780133848809","author":[{"dropping-particle":"","family":"Mondy","given":"R. Wayne","non-dropping-particle":"","parse-names":false,"suffix":""},{"dropping-particle":"","family":"Martocchio","given":"Joseph J.","non-dropping-particle":"","parse-names":false,"suffix":""}],"edition":"14","id":"ITEM-1","issued":{"date-parts":[["2016"]]},"publisher":"Pearson Education","publisher-place":"USA","title":"Human resources management","type":"book"},"uris":["http://www.mendeley.com/documents/?uuid=88b1a8b1-6312-48dd-b777-ec2a30a1a5f5"]}],"mendeley":{"formattedCitation":"(Mondy &amp; Martocchio, 2016)","manualFormatting":"Mondy dan Martocchio (2016)","plainTextFormattedCitation":"(Mondy &amp; Martocchio, 2016)","previouslyFormattedCitation":"(Mondy &amp; Martocchio, 2016)"},"properties":{"noteIndex":0},"schema":"https://github.com/citation-style-language/schema/raw/master/csl-citation.json"}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Mondy dan Martocchio (2016)</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menyatakan bahwa kompensasi adalah total semua penghargaan</w:t>
      </w:r>
      <w:r>
        <w:rPr>
          <w:rFonts w:hint="default" w:ascii="ArialMT" w:hAnsi="ArialMT" w:cs="ArialMT"/>
          <w:color w:val="000000" w:themeColor="text1"/>
          <w:sz w:val="22"/>
          <w:szCs w:val="22"/>
          <w:lang w:val="en-US"/>
        </w:rPr>
        <w:t xml:space="preserve"> </w:t>
      </w:r>
      <w:r>
        <w:rPr>
          <w:rFonts w:hint="default" w:ascii="ArialMT" w:hAnsi="ArialMT" w:cs="ArialMT"/>
          <w:color w:val="000000" w:themeColor="text1"/>
          <w:sz w:val="22"/>
          <w:szCs w:val="22"/>
        </w:rPr>
        <w:t>yang disediakan sebagai imbalan atau ganti atas kerja karyawan. Berdasarkan uraian di</w:t>
      </w:r>
      <w:r>
        <w:rPr>
          <w:rFonts w:hint="default" w:ascii="ArialMT" w:hAnsi="ArialMT" w:cs="ArialMT"/>
          <w:color w:val="000000" w:themeColor="text1"/>
          <w:sz w:val="22"/>
          <w:szCs w:val="22"/>
          <w:lang w:val="en-US"/>
        </w:rPr>
        <w:t xml:space="preserve"> </w:t>
      </w:r>
      <w:r>
        <w:rPr>
          <w:rFonts w:hint="default" w:ascii="ArialMT" w:hAnsi="ArialMT" w:cs="ArialMT"/>
          <w:color w:val="000000" w:themeColor="text1"/>
          <w:sz w:val="22"/>
          <w:szCs w:val="22"/>
        </w:rPr>
        <w:t xml:space="preserve">atas, dapat simpulkan bahwa persepsi terhadap kompensasi merupakan suatu cara individu mengatur dan menafsirkan tayangan sensori sehingga dapat memberikan makna atas upaya atau umpan balik yang diberikan ke pekerjaan, seperti uang, asuransi, tunjangan, dan sebagainya. Persepsi terhadap kompensasi mempunyai dua komponen-komponen 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{"citationItems":[{"id":"ITEM-1","itemData":{"ISBN":"9780133848809","author":[{"dropping-particle":"","family":"Mondy","given":"R. Wayne","non-dropping-particle":"","parse-names":false,"suffix":""},{"dropping-particle":"","family":"Martocchio","given":"Joseph J.","non-dropping-particle":"","parse-names":false,"suffix":""}],"edition":"14","id":"ITEM-1","issued":{"date-parts":[["2016"]]},"publisher":"Pearson Education","publisher-place":"USA","title":"Human resources management","type":"book"},"uris":["http://www.mendeley.com/documents/?uuid=88b1a8b1-6312-48dd-b777-ec2a30a1a5f5"]}],"mendeley":{"formattedCitation":"(Mondy &amp; Martocchio, 2016)","manualFormatting":"Mondy dan Martocchio (2016)","plainTextFormattedCitation":"(Mondy &amp; Martocchio, 2016)","previouslyFormattedCitation":"(Mondy &amp; Martocchio, 2016)"},"properties":{"noteIndex":0},"schema":"https://github.com/citation-style-language/schema/raw/master/csl-citation.json"}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Mondy dan Martocchio (2016)</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yaitu </w:t>
      </w:r>
      <w:r>
        <w:rPr>
          <w:rFonts w:hint="default" w:ascii="ArialMT" w:hAnsi="ArialMT" w:cs="ArialMT"/>
          <w:i/>
          <w:iCs/>
          <w:color w:val="000000" w:themeColor="text1"/>
          <w:sz w:val="22"/>
          <w:szCs w:val="22"/>
        </w:rPr>
        <w:t>financial compensation</w:t>
      </w:r>
      <w:r>
        <w:rPr>
          <w:rFonts w:hint="default" w:ascii="ArialMT" w:hAnsi="ArialMT" w:cs="ArialMT"/>
          <w:color w:val="000000" w:themeColor="text1"/>
          <w:sz w:val="22"/>
          <w:szCs w:val="22"/>
        </w:rPr>
        <w:t xml:space="preserve"> dan </w:t>
      </w:r>
      <w:r>
        <w:rPr>
          <w:rFonts w:hint="default" w:ascii="ArialMT" w:hAnsi="ArialMT" w:cs="ArialMT"/>
          <w:i/>
          <w:iCs/>
          <w:color w:val="000000" w:themeColor="text1"/>
          <w:sz w:val="22"/>
          <w:szCs w:val="22"/>
        </w:rPr>
        <w:t>nonfinancial compensation</w:t>
      </w:r>
      <w:r>
        <w:rPr>
          <w:rFonts w:hint="default" w:ascii="ArialMT" w:hAnsi="ArialMT" w:cs="ArialMT"/>
          <w:color w:val="000000" w:themeColor="text1"/>
          <w:sz w:val="22"/>
          <w:szCs w:val="22"/>
        </w:rPr>
        <w:t>.</w:t>
      </w:r>
    </w:p>
    <w:p>
      <w:pPr>
        <w:spacing w:after="0" w:line="360" w:lineRule="auto"/>
        <w:ind w:left="0" w:leftChars="0" w:firstLine="440" w:firstLineChars="20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Komponen </w:t>
      </w:r>
      <w:r>
        <w:rPr>
          <w:rFonts w:hint="default" w:ascii="ArialMT" w:hAnsi="ArialMT" w:cs="ArialMT"/>
          <w:i/>
          <w:iCs/>
          <w:color w:val="000000" w:themeColor="text1"/>
          <w:sz w:val="22"/>
          <w:szCs w:val="22"/>
        </w:rPr>
        <w:t>financial compensation</w:t>
      </w:r>
      <w:r>
        <w:rPr>
          <w:rFonts w:hint="default" w:ascii="ArialMT" w:hAnsi="ArialMT" w:cs="ArialMT"/>
          <w:color w:val="000000" w:themeColor="text1"/>
          <w:sz w:val="22"/>
          <w:szCs w:val="22"/>
        </w:rPr>
        <w:t xml:space="preserve"> terdiri dari semua penghargaan dalam bentuk finansial kepada karyawan yang bersangkutan. </w:t>
      </w:r>
      <w:r>
        <w:rPr>
          <w:rFonts w:hint="default" w:ascii="ArialMT" w:hAnsi="ArialMT" w:cs="ArialMT"/>
          <w:i/>
          <w:iCs/>
          <w:color w:val="000000" w:themeColor="text1"/>
          <w:sz w:val="22"/>
          <w:szCs w:val="22"/>
        </w:rPr>
        <w:t>Financial compensation</w:t>
      </w:r>
      <w:r>
        <w:rPr>
          <w:rFonts w:hint="default" w:ascii="ArialMT" w:hAnsi="ArialMT" w:cs="ArialMT"/>
          <w:color w:val="000000" w:themeColor="text1"/>
          <w:sz w:val="22"/>
          <w:szCs w:val="22"/>
        </w:rPr>
        <w:t xml:space="preserve"> terdiri dari pembayaran atau kompensasi yang diterima karyawan baik secara langsung maupun tidak langsung dalam bentuk upah, gaji, komisi, bonus, liburan berbayar, perawatan medis, dan asuransi Mondy &amp; Martocchio, 2016).</w:t>
      </w:r>
    </w:p>
    <w:p>
      <w:pPr>
        <w:spacing w:after="0" w:line="360" w:lineRule="auto"/>
        <w:ind w:left="0" w:leftChars="0" w:firstLine="440" w:firstLineChars="20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Karyawan yang mempersepsikan positif terhadap kompensasi finansial menunjukan penilaian bahwa perusahaan dapat memberikan pembayaran langsung secara adil seperti upah, gaji, insentif, komisi, dan bonus. Persepsi keadilan yang ada pada karyawan berhubungan positif dengan peningkatan komitmen, peningkatan kepuasan kepada perusahaan, pekerjaan, dan pemimpin, juga peningkatan perilaku sebagai bagian dari organisasi atau perusahaan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{"citationItems":[{"id":"ITEM-1","itemData":{"ISBN":"9780132668217","abstract":"Human Resource Management, 13th edition provides students in human resource management courses and practicing managers with a comprehensive review of essential personnel management concepts and techniques in a highly readable and understandable form. As this new edition goes to press, I feel even more strongly than I did when I wrote the first that all managers not just HR managers need a strong foundation in HR/personnel management concepts and techniques to effectively do their jobs. Particularly in these difficult economic times, where students want to be able to apply at work what they learn in class, this edition continues to particularly focus on practical applications that all managers can use in carrying out their HR-related responsibilities. If you adopted the previous edition, you will find transitioning to the 13th edition easy, as the chapter outline (as well as the outline for each chapter) is more or less the same.","author":[{"dropping-particle":"","family":"Dessler","given":"Gary","non-dropping-particle":"","parse-names":false,"suffix":""}],"edition":"15","id":"ITEM-1","issued":{"date-parts":[["2017"]]},"publisher":"Pearson Education","publisher-place":"USA","title":"Human resource management","type":"book"},"uris":["http://www.mendeley.com/documents/?uuid=0f4b2bde-fef0-41ce-9094-2f7ed1dcb66f"]}],"mendeley":{"formattedCitation":"(Dessler, 2017)","plainTextFormattedCitation":"(Dessler, 2017)","previouslyFormattedCitation":"(Dessler, 2017)"},"properties":{"noteIndex":0},"schema":"https://github.com/citation-style-language/schema/raw/master/csl-citation.json"}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(Dessler, 2017)</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Selain itu, keadilan yang dirasakan oleh karyawan dapat memuaskan kebutuhannya sehingga karyawan merasa senang saat menjalani aktivitas kerja, antusias, dan bersungguh dalam menyelesaikan pekerjaannya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-602-289-225-0","author":[{"dropping-particle":"","family":"Kaswan","given":"","non-dropping-particle":"","parse-names":false,"suffix":""}],"id":"ITEM-1","issued":{"date-parts":[["2017"]]},"publisher":"Alfabeta","publisher-place":"Bandung","title":"Psikologi industri dan organisasi","type":"book"},"uris":["http://www.mendeley.com/documents/?uuid=f46adb89-cd93-49b1-bf1b-a01b47458793"]}],"mendeley":{"formattedCitation":"(Kaswan, 2017)","plainTextFormattedCitation":"(Kaswan, 2017)","previouslyFormattedCitation":"(Kaswan, 2017)"},"properties":{"noteIndex":0},"schema":"https://github.com/citation-style-language/schema/raw/master/csl-citation.json"}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(Kaswan, 2017)</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Lebih lanjut, kepuasan yang dirasakan oleh karyawan tersebut juga dapat mempengaruhi keputusan karyawan mengenai seberapa keras karyawan dalam bekerja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{"citationItems":[{"id":"ITEM-1","itemData":{"ISBN":"‎9798146599","author":[{"dropping-particle":"","family":"Simamora","given":"Henry","non-dropping-particle":"","parse-names":false,"suffix":""}],"edition":"3","id":"ITEM-1","issued":{"date-parts":[["2004"]]},"publisher":"STIE YKPN","publisher-place":"Yogyakarta","title":"Manajemen sumber daya manusia","type":"book"},"uris":["http://www.mendeley.com/documents/?uuid=c8312f6f-eb74-47e4-9eae-9bd086d69ff7"]}],"mendeley":{"formattedCitation":"(Simamora, 2004)","plainTextFormattedCitation":"(Simamora, 2004)","previouslyFormattedCitation":"(Simamora, 2004)"},"properties":{"noteIndex":0},"schema":"https://github.com/citation-style-language/schema/raw/master/csl-citation.json"}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(Simamora, 2004)</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Hal tersebut menunjukkan bahwa kompensasi finansial yang diberikan karyawan secara adil menurut Mathis, Jackson, Valentine, dan Meglich (2017) dapat mempengaruhi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w:t>
      </w:r>
    </w:p>
    <w:p>
      <w:pPr>
        <w:spacing w:after="0" w:line="360" w:lineRule="auto"/>
        <w:ind w:left="0" w:leftChars="0" w:firstLine="440" w:firstLineChars="20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Hal ini diperkuat dari hasil lapangan bahwa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merasa upah yang ditetapkan oleh perusahaan sesuai dengan beban kerja,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juga menilai bahwa bonus yang diberikan sudah sesuai dengan harapan, dan menurut </w:t>
      </w:r>
      <w:r>
        <w:rPr>
          <w:rFonts w:hint="default" w:ascii="ArialMT" w:hAnsi="ArialMT" w:cs="ArialMT"/>
          <w:i/>
          <w:iCs/>
          <w:color w:val="000000" w:themeColor="text1"/>
          <w:sz w:val="22"/>
          <w:szCs w:val="22"/>
        </w:rPr>
        <w:t>driver</w:t>
      </w:r>
      <w:r>
        <w:rPr>
          <w:rFonts w:hint="default" w:ascii="ArialMT" w:hAnsi="ArialMT" w:cs="ArialMT"/>
          <w:color w:val="000000" w:themeColor="text1"/>
          <w:sz w:val="22"/>
          <w:szCs w:val="22"/>
        </w:rPr>
        <w:t xml:space="preserve"> asuransi kecelakaan yang diberikan mudah diklaim sehingga hal tersebut membuat driver lebih bersemangat dalam bekerja, driver jadi lebih menikmati dalam bekerja, dan tanggung jawabnya bisa dilaksanakan dengan lebih baik.</w:t>
      </w:r>
    </w:p>
    <w:p>
      <w:pPr>
        <w:spacing w:after="0" w:line="360" w:lineRule="auto"/>
        <w:ind w:left="0" w:leftChars="0" w:firstLine="440" w:firstLineChars="20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Komponen </w:t>
      </w:r>
      <w:r>
        <w:rPr>
          <w:rFonts w:hint="default" w:ascii="ArialMT" w:hAnsi="ArialMT" w:cs="ArialMT"/>
          <w:i/>
          <w:iCs/>
          <w:color w:val="000000" w:themeColor="text1"/>
          <w:sz w:val="22"/>
          <w:szCs w:val="22"/>
        </w:rPr>
        <w:t>nonfinancial compensation</w:t>
      </w:r>
      <w:r>
        <w:rPr>
          <w:rFonts w:hint="default" w:ascii="ArialMT" w:hAnsi="ArialMT" w:cs="ArialMT"/>
          <w:color w:val="000000" w:themeColor="text1"/>
          <w:sz w:val="22"/>
          <w:szCs w:val="22"/>
        </w:rPr>
        <w:t xml:space="preserve"> terdiri dari kepuasan yang diterima karyawan dari pekerjaan, psikologis, atau lingkungan fisik tempat karyawan tersebut bekerja. Misalnya contoh yang termasuk pada pekerjaan, yaitu kebermaknaan, apresiasi, kepuasan, pembelajaran, kesenangan, dan tantangan</w:t>
      </w:r>
      <w:r>
        <w:rPr>
          <w:rFonts w:hint="default" w:ascii="ArialMT" w:hAnsi="ArialMT" w:cs="ArialMT"/>
          <w:color w:val="000000" w:themeColor="text1"/>
          <w:sz w:val="22"/>
          <w:szCs w:val="22"/>
          <w:lang w:val="en-US"/>
        </w:rPr>
        <w:t xml:space="preserve">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{"citationItems":[{"id":"ITEM-1","itemData":{"ISBN":"9780133848809","author":[{"dropping-particle":"","family":"Mondy","given":"R. Wayne","non-dropping-particle":"","parse-names":false,"suffix":""},{"dropping-particle":"","family":"Martocchio","given":"Joseph J.","non-dropping-particle":"","parse-names":false,"suffix":""}],"edition":"14","id":"ITEM-1","issued":{"date-parts":[["2016"]]},"publisher":"Pearson Education","publisher-place":"USA","title":"Human resources management","type":"book"},"uris":["http://www.mendeley.com/documents/?uuid=88b1a8b1-6312-48dd-b777-ec2a30a1a5f5"]}],"mendeley":{"formattedCitation":"(Mondy &amp; Martocchio, 2016)","plainTextFormattedCitation":"(Mondy &amp; Martocchio, 2016)","previouslyFormattedCitation":"(Mondy &amp; Martocchio, 2016)"},"properties":{"noteIndex":0},"schema":"https://github.com/citation-style-language/schema/raw/master/csl-citation.json"}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(Mondy &amp; Martocchio, 2016)</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w:t>
      </w:r>
    </w:p>
    <w:p>
      <w:pPr>
        <w:spacing w:after="0" w:line="360" w:lineRule="auto"/>
        <w:ind w:left="0" w:leftChars="0" w:firstLine="440" w:firstLineChars="20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Karyawan yang memiliki persepsi positif terhadap kompensasi non-finansial berpandangan bahwa perusahaan dapat memberikan kebijakan yang sesuai harapannya melalui pengembangan karir, jabatan, peluang promosi, pengakuan karya, temuan baru, prestasi kerja, dan lingkungan kerja yang bersahabat, nyaman, menyenangkan, kondusif, disertai pujian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{"citationItems":[{"id":"ITEM-1","itemData":{"ISBN":"978-979-769-776-1","author":[{"dropping-particle":"","family":"Zainal","given":"Veithzal Rivai","non-dropping-particle":"","parse-names":false,"suffix":""},{"dropping-particle":"","family":"Ramly","given":"H. Mansyur","non-dropping-particle":"","parse-names":false,"suffix":""},{"dropping-particle":"","family":"Mutis","given":"Thoby","non-dropping-particle":"","parse-names":false,"suffix":""},{"dropping-particle":"","family":"Arafah","given":"Willy","non-dropping-particle":"","parse-names":false,"suffix":""}],"edition":"3","id":"ITEM-1","issued":{"date-parts":[["2009"]]},"publisher":"Rajawali Pers","publisher-place":"Jakarta","title":"Manajemen sumber daya manusia untuk Perusahaan: Dari teori ke praktik","type":"book"},"uris":["http://www.mendeley.com/documents/?uuid=6d7e9780-6f83-499f-bec2-64b387537a10"]}],"mendeley":{"formattedCitation":"(Zainal et al., 2009)","manualFormatting":"(Zainal, Ramly, Mutis, dan Arafah, 2009)","plainTextFormattedCitation":"(Zainal et al., 2009)","previouslyFormattedCitation":"(Zainal et al., 2009)"},"properties":{"noteIndex":0},"schema":"https://github.com/citation-style-language/schema/raw/master/csl-citation.json"}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(Zainal, Ramly, Mutis, dan Arafah, 2009)</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Kebijakan yang sesuai harapan 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{"citationItems":[{"id":"ITEM-1","itemData":{"ISBN":"9780132163842","author":[{"dropping-particle":"","family":"Robbins","given":"Stephen P.","non-dropping-particle":"","parse-names":false,"suffix":""},{"dropping-particle":"","family":"Coulter","given":"Mary","non-dropping-particle":"","parse-names":false,"suffix":""}],"edition":"11","id":"ITEM-1","issued":{"date-parts":[["2018"]]},"publisher":"Pearson Education","publisher-place":"USA","title":"Management","type":"book"},"uris":["http://www.mendeley.com/documents/?uuid=fae920ba-cd61-4850-99c4-009cbdfc7cad"]}],"mendeley":{"formattedCitation":"(Robbins &amp; Coulter, 2018)","manualFormatting":"Robbins dan Coulter (2018)","plainTextFormattedCitation":"(Robbins &amp; Coulter, 2018)","previouslyFormattedCitation":"(Robbins &amp; Coulter, 2018)"},"properties":{"noteIndex":0},"schema":"https://github.com/citation-style-language/schema/raw/master/csl-citation.json"}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Robbins dan Coulter (2018)</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membuat karyawan merasa senang dengan pekerjaannya. </w:t>
      </w:r>
    </w:p>
    <w:p>
      <w:pPr>
        <w:spacing w:after="0" w:line="360" w:lineRule="auto"/>
        <w:ind w:left="0" w:leftChars="0" w:firstLine="440" w:firstLineChars="20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Selain itu, kebijakan tersebut 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{"citationItems":[{"id":"ITEM-1","itemData":{"ISBN":"9780324542752","author":[{"dropping-particle":"","family":"Mathis","given":"Robert L.","non-dropping-particle":"","parse-names":false,"suffix":""},{"dropping-particle":"","family":"Jackson","given":"John H.","non-dropping-particle":"","parse-names":false,"suffix":""},{"dropping-particle":"","family":"Valentine","given":"Sean R.","non-dropping-particle":"","parse-names":false,"suffix":""},{"dropping-particle":"","family":"Meglich","given":"Patricia A.","non-dropping-particle":"","parse-names":false,"suffix":""}],"edition":"15","id":"ITEM-1","issued":{"date-parts":[["2017"]]},"publisher":"Cengage Learning","publisher-place":"USA","title":"Human resource management","type":"book"},"uris":["http://www.mendeley.com/documents/?uuid=4c382356-74a1-40fa-bbd4-ebad6605820d"]}],"mendeley":{"formattedCitation":"(Mathis et al., 2017)","manualFormatting":"Mathis, Jackson, Valentine. dan Meglich (2017)","plainTextFormattedCitation":"(Mathis et al., 2017)","previouslyFormattedCitation":"(Mathis et al., 2017)"},"properties":{"noteIndex":0},"schema":"https://github.com/citation-style-language/schema/raw/master/csl-citation.json"}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Mathis, Jackson, Valentine. dan Meglich (2017)</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dapat menjaga karyawan tetap termotivasi atau terdorong untuk bekerja. Karyawan yang termotivasi menunjukkan kontribusinya dengan kinerja saat bekerja. Lebih lanjut, 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{"citationItems":[{"id":"ITEM-1","itemData":{"DOI":"10.17148/iarjset.2017.4533","abstract":"The study is about the assessment of compensation and benefits in selected audit firms in the Kingdom of Bahrain. The research study appraised the current status of compensation and benefits of the firms in terms of remuneration, allowance, promotion and incentives. Also, it endeavored to figure out the perceptions of the employees of the selected audit firms in the Kingdom of Bahrain on the level of effectiveness of compensation and benefits along with the same variables in order to establish a base for enhancement of performance of employees. The study used a descriptive survey method to analyze the perception on compensation and benefits in selected audit firms in the Kingdom of Bahrain. Also, this method is used to analyze the significant relationship of the perception of the employees along with the same variables. The respondents of the study were the 100 employees of the audit firms in the Kingdom of Bahrain. The primary tool in gathering data was the questionnaire. Secondary sources were utilized such as: books, articles, unpublished theses and other printed resources related to the study that were used to support and strengthen the findings of the study. Descriptive statistics were used to analyze and interpret the data gathered such as: weighted mean to identify the average perception of the respondents. T-test was used to calculate the difference in the perception of the respondents. The correlation assessed whether the means of two groups are statistically different from each other. The following were the major findings in the study: 1) The status of the employees' compensation and benefits in audit firms in Bahrain is found to be good as revealed by an overall mean score of 3.93. 2)The effectiveness of the employee performance in audit firms in the light of the four components of compensation and benefits is found to be effective. This is drawn from an overall mean score 3.98. 3) There is a significant relationship between employees’ compensation and benefits in audit firms in Bahrain and effectiveness of employee performance. The problems that encountered by employees in relation to compensation and benefits in audit firms in Bahrain include: a) Non- compliance between rises in salaries and rises in prices; b) Non-compliance between salaries of counterparts in other jobs; c) Allowances are not provided on fair criteria; d) Allowances are in accordance unaccepted criteria; e)There are non-clear basis for distribution of allowances such as p…","author":[{"dropping-particle":"","family":"Feraro-Banta","given":"Lucia","non-dropping-particle":"","parse-names":false,"suffix":""},{"dropping-particle":"Al","family":"Shaikh","given":"Shirin","non-dropping-particle":"","parse-names":false,"suffix":""}],"container-title":"International Advanced Research Journal in Science, Engineering and Technology (Iarjset)","id":"ITEM-1","issue":"5","issued":{"date-parts":[["2017"]]},"page":"175-183","title":"Relation of compensation and benefits on employees performance: A Study of audit firms in Bahrain","type":"article-journal","volume":"4"},"uris":["http://www.mendeley.com/documents/?uuid=2e73b9b0-a66d-4246-847e-4e3f7183379f"]}],"mendeley":{"formattedCitation":"(Feraro-Banta &amp; Shaikh, 2017)","manualFormatting":"Feraro-Banta dan Shaikh (2017)","plainTextFormattedCitation":"(Feraro-Banta &amp; Shaikh, 2017)","previouslyFormattedCitation":"(Feraro-Banta &amp; Shaikh, 2017)"},"properties":{"noteIndex":0},"schema":"https://github.com/citation-style-language/schema/raw/master/csl-citation.json"}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Feraro-Banta dan Shaikh (2017)</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karyawan yang tertarik dan termotivasi saat bekerja menunjukkan kinerja dengan pendapatan yang tinggi dan kepuasan dalam bekerja. Hal tersebut menunjukkan bahwa kompensasi non-finansial yang diberikan sesuai kebijakan menurut </w:t>
      </w:r>
      <w:r>
        <w:rPr>
          <w:rFonts w:hint="default" w:ascii="ArialMT" w:hAnsi="ArialMT" w:cs="ArialMT"/>
          <w:color w:val="000000" w:themeColor="text1"/>
          <w:sz w:val="22"/>
          <w:szCs w:val="22"/>
        </w:rPr>
        <w:fldChar w:fldCharType="begin" w:fldLock="1"/>
      </w:r>
      <w:r>
        <w:rPr>
          <w:rFonts w:hint="default" w:ascii="ArialMT" w:hAnsi="ArialMT" w:cs="ArialMT"/>
          <w:color w:val="000000" w:themeColor="text1"/>
          <w:sz w:val="22"/>
          <w:szCs w:val="22"/>
        </w:rPr>
        <w:instrText xml:space="preserve">ADDIN CSL_CITATION {"citationItems":[{"id":"ITEM-1","itemData":{"DOI":"10.19030/ijmis.v17i2.7711","ISSN":"1546-5748","abstract":"Organizations continually seek to create greater efficiencies, employee engagement and organizational development opportunities. Increasing employee satisfaction allows for reduced labor costs and increase efficiencies. Satisfied employees use multiple paths of information to determine their interests in engagement which range from employer-employee relationships to compensation. The more satisfied employees are the more likely organizations will be able to capitalize on intellectual capital to navigate environmental challenges while contributing to their bottom lines.","author":[{"dropping-particle":"","family":"Abel","given":"Murad","non-dropping-particle":"","parse-names":false,"suffix":""}],"container-title":"International Journal of Management &amp; Information Systems (IJMIS)","id":"ITEM-1","issue":"2","issued":{"date-parts":[["2013"]]},"page":"83-88","title":"The social and financial benefits of developing employee satisfaction","type":"article-journal","volume":"17"},"uris":["http://www.mendeley.com/documents/?uuid=a226530b-a1df-4e3b-9ebe-514b2cff8d4a"]}],"mendeley":{"formattedCitation":"(Abel, 2013)","manualFormatting":"Abel (2013)","plainTextFormattedCitation":"(Abel, 2013)","previouslyFormattedCitation":"(Abel, 2013)"},"properties":{"noteIndex":0},"schema":"https://github.com/citation-style-language/schema/raw/master/csl-citation.json"}</w:instrText>
      </w:r>
      <w:r>
        <w:rPr>
          <w:rFonts w:hint="default" w:ascii="ArialMT" w:hAnsi="ArialMT" w:cs="ArialMT"/>
          <w:color w:val="000000" w:themeColor="text1"/>
          <w:sz w:val="22"/>
          <w:szCs w:val="22"/>
        </w:rPr>
        <w:fldChar w:fldCharType="separate"/>
      </w:r>
      <w:r>
        <w:rPr>
          <w:rFonts w:hint="default" w:ascii="ArialMT" w:hAnsi="ArialMT" w:cs="ArialMT"/>
          <w:color w:val="000000" w:themeColor="text1"/>
          <w:sz w:val="22"/>
          <w:szCs w:val="22"/>
        </w:rPr>
        <w:t>Abel (2013)</w:t>
      </w:r>
      <w:r>
        <w:rPr>
          <w:rFonts w:hint="default" w:ascii="ArialMT" w:hAnsi="ArialMT" w:cs="ArialMT"/>
          <w:color w:val="000000" w:themeColor="text1"/>
          <w:sz w:val="22"/>
          <w:szCs w:val="22"/>
        </w:rPr>
        <w:fldChar w:fldCharType="end"/>
      </w:r>
      <w:r>
        <w:rPr>
          <w:rFonts w:hint="default" w:ascii="ArialMT" w:hAnsi="ArialMT" w:cs="ArialMT"/>
          <w:color w:val="000000" w:themeColor="text1"/>
          <w:sz w:val="22"/>
          <w:szCs w:val="22"/>
        </w:rPr>
        <w:t xml:space="preserve"> dapat menciptakan kepuasan yang berpengaruh ke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produktivitas, komitmen, dan loyalitas pada organisasi atau perusahaan.</w:t>
      </w:r>
    </w:p>
    <w:p>
      <w:pPr>
        <w:spacing w:after="0" w:line="360" w:lineRule="auto"/>
        <w:ind w:left="0" w:leftChars="0" w:firstLine="440" w:firstLineChars="20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Hal ini diperkuat dari hasil lapangan bahwa perusahaan memberikan apresiasi atas hasil kerja yang meningkat, mengadakan pelatihan sesuai dengan kebutuhan dan memberikan fasilitas penunjang pekerjaan sehingga hal inilah yang membuat driver berusaha memberikan hasil kerja dengan kualitas yang baik, menjadi lebih baik dalam menyelesaikan pekerjaannya, dan driver merasa betah dalam bekerja karena mempunyai rekan kerja yang dapat membantu ketika bekerja saat mengalami kesulitan.</w:t>
      </w:r>
    </w:p>
    <w:p>
      <w:pPr>
        <w:spacing w:after="0" w:line="360" w:lineRule="auto"/>
        <w:ind w:left="0" w:leftChars="0" w:firstLine="440" w:firstLineChars="200"/>
        <w:jc w:val="both"/>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Berdasarkan analisis data, diketahui bahwa nilai koefisien determinasi (R²) dalam penelitian ini sebesar 0,208 yang berarti bahwa persepsi terhadap kompensasi memberikan sumbangan terhadap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sebesar 20,8% dan sisanya sebesar 79,2% dipengaruhi oleh faktor-faktor lainnya yang tidak diteliti. Oleh karena itu, dapat disimpulkan bahwa terdapat hubungan yang positif antara persepsi terhadap kompensasi dengan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Semakin positif persepsi terhadap kompensasi maka </w:t>
      </w:r>
      <w:r>
        <w:rPr>
          <w:rFonts w:hint="default" w:ascii="ArialMT" w:hAnsi="ArialMT" w:cs="ArialMT"/>
          <w:color w:val="000000" w:themeColor="text1"/>
          <w:sz w:val="22"/>
          <w:szCs w:val="22"/>
          <w:lang w:val="en-US"/>
        </w:rPr>
        <w:t xml:space="preserve">cenderung </w:t>
      </w:r>
      <w:r>
        <w:rPr>
          <w:rFonts w:hint="default" w:ascii="ArialMT" w:hAnsi="ArialMT" w:cs="ArialMT"/>
          <w:color w:val="000000" w:themeColor="text1"/>
          <w:sz w:val="22"/>
          <w:szCs w:val="22"/>
        </w:rPr>
        <w:t xml:space="preserve">semakin tinggi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Sebaliknya semakin negatif persepsi terhadap kompensasi maka </w:t>
      </w:r>
      <w:r>
        <w:rPr>
          <w:rFonts w:hint="default" w:ascii="ArialMT" w:hAnsi="ArialMT" w:cs="ArialMT"/>
          <w:color w:val="000000" w:themeColor="text1"/>
          <w:sz w:val="22"/>
          <w:szCs w:val="22"/>
          <w:lang w:val="en-US"/>
        </w:rPr>
        <w:t xml:space="preserve">cenderung </w:t>
      </w:r>
      <w:r>
        <w:rPr>
          <w:rFonts w:hint="default" w:ascii="ArialMT" w:hAnsi="ArialMT" w:cs="ArialMT"/>
          <w:color w:val="000000" w:themeColor="text1"/>
          <w:sz w:val="22"/>
          <w:szCs w:val="22"/>
        </w:rPr>
        <w:t xml:space="preserve">semakin rendah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Diterimanya hipotesis ini menunjukkan bahwa persepsi terhadap kompensasi dianggap sebagai salah satu faktor yang dapat mempengaruhi </w:t>
      </w:r>
      <w:r>
        <w:rPr>
          <w:rFonts w:hint="default" w:ascii="ArialMT" w:hAnsi="ArialMT" w:cs="ArialMT"/>
          <w:i/>
          <w:iCs/>
          <w:color w:val="000000" w:themeColor="text1"/>
          <w:sz w:val="22"/>
          <w:szCs w:val="22"/>
        </w:rPr>
        <w:t>employee engagement</w:t>
      </w:r>
      <w:r>
        <w:rPr>
          <w:rFonts w:hint="default" w:ascii="ArialMT" w:hAnsi="ArialMT" w:cs="ArialMT"/>
          <w:color w:val="000000" w:themeColor="text1"/>
          <w:sz w:val="22"/>
          <w:szCs w:val="22"/>
        </w:rPr>
        <w:t xml:space="preserve"> pada driver Go-Jek di Yogyakarta.</w:t>
      </w:r>
    </w:p>
    <w:bookmarkEnd w:id="0"/>
    <w:p>
      <w:pPr>
        <w:spacing w:after="0" w:line="360" w:lineRule="auto"/>
        <w:jc w:val="both"/>
        <w:rPr>
          <w:rFonts w:hint="default" w:ascii="ArialMT" w:hAnsi="ArialMT" w:cs="ArialMT"/>
          <w:color w:val="000000" w:themeColor="text1"/>
          <w:u w:val="single"/>
        </w:rPr>
      </w:pPr>
      <w:r>
        <w:rPr>
          <w:rFonts w:hint="default" w:ascii="ArialMT" w:hAnsi="ArialMT" w:cs="ArialMT"/>
          <w:color w:val="000000" w:themeColor="text1"/>
        </w:rPr>
        <w:tab/>
      </w:r>
    </w:p>
    <w:p>
      <w:pPr>
        <w:pStyle w:val="2"/>
        <w:spacing w:before="0" w:after="0" w:line="360" w:lineRule="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KESIMPULAN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40" w:firstLineChars="200"/>
        <w:jc w:val="both"/>
        <w:textAlignment w:val="auto"/>
        <w:rPr>
          <w:rFonts w:hint="default" w:ascii="ArialMT" w:hAnsi="ArialMT" w:cs="ArialMT"/>
          <w:color w:val="000000" w:themeColor="text1"/>
          <w:lang w:val="en-US"/>
        </w:rPr>
      </w:pPr>
      <w:r>
        <w:rPr>
          <w:rFonts w:hint="default" w:ascii="ArialMT" w:hAnsi="ArialMT" w:cs="ArialMT"/>
          <w:color w:val="000000" w:themeColor="text1"/>
          <w:lang w:val="en-US"/>
        </w:rPr>
        <w:t>Berdasarkan uraian di atas, dapat disimpulkan bahwa terdapat hubungan yang positif antara p</w:t>
      </w:r>
      <w:r>
        <w:rPr>
          <w:rFonts w:hint="default" w:ascii="ArialMT" w:hAnsi="ArialMT" w:cs="ArialMT"/>
          <w:color w:val="000000" w:themeColor="text1"/>
        </w:rPr>
        <w:t xml:space="preserve">ersepsi terhadap kompensasi dengan </w:t>
      </w:r>
      <w:r>
        <w:rPr>
          <w:rFonts w:hint="default" w:ascii="ArialMT" w:hAnsi="ArialMT" w:cs="ArialMT"/>
          <w:i/>
          <w:iCs/>
          <w:color w:val="000000" w:themeColor="text1"/>
        </w:rPr>
        <w:t>employee engagement</w:t>
      </w:r>
      <w:r>
        <w:rPr>
          <w:rFonts w:hint="default" w:ascii="ArialMT" w:hAnsi="ArialMT" w:cs="ArialMT"/>
          <w:color w:val="000000" w:themeColor="text1"/>
        </w:rPr>
        <w:t xml:space="preserve"> pada </w:t>
      </w:r>
      <w:r>
        <w:rPr>
          <w:rFonts w:hint="default" w:ascii="ArialMT" w:hAnsi="ArialMT" w:cs="ArialMT"/>
          <w:i/>
          <w:iCs/>
          <w:color w:val="000000" w:themeColor="text1"/>
        </w:rPr>
        <w:t>driver</w:t>
      </w:r>
      <w:r>
        <w:rPr>
          <w:rFonts w:hint="default" w:ascii="ArialMT" w:hAnsi="ArialMT" w:cs="ArialMT"/>
          <w:color w:val="000000" w:themeColor="text1"/>
        </w:rPr>
        <w:t xml:space="preserve"> Go-Jek di Yogyakarta.</w:t>
      </w:r>
      <w:r>
        <w:rPr>
          <w:rFonts w:hint="default" w:ascii="ArialMT" w:hAnsi="ArialMT" w:cs="ArialMT"/>
          <w:color w:val="000000" w:themeColor="text1"/>
          <w:lang w:val="en-US"/>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440" w:firstLineChars="200"/>
        <w:jc w:val="both"/>
        <w:textAlignment w:val="auto"/>
        <w:rPr>
          <w:rFonts w:hint="default" w:ascii="ArialMT" w:hAnsi="ArialMT" w:cs="ArialMT"/>
          <w:color w:val="000000" w:themeColor="text1"/>
        </w:rPr>
      </w:pPr>
      <w:r>
        <w:rPr>
          <w:rFonts w:hint="default" w:ascii="ArialMT" w:hAnsi="ArialMT" w:cs="ArialMT"/>
          <w:color w:val="000000" w:themeColor="text1"/>
          <w:lang w:val="en-US"/>
        </w:rPr>
        <w:t>Selain itu, terdapat pula beberapa saran yang penulis perlu sampaikan dalam penelitian ini</w:t>
      </w:r>
      <w:r>
        <w:rPr>
          <w:rFonts w:hint="default" w:ascii="ArialMT" w:hAnsi="ArialMT" w:cs="ArialMT"/>
          <w:color w:val="000000" w:themeColor="text1"/>
        </w:rPr>
        <w:t xml:space="preserve"> </w:t>
      </w:r>
      <w:r>
        <w:rPr>
          <w:rFonts w:hint="default" w:ascii="ArialMT" w:hAnsi="ArialMT" w:cs="ArialMT"/>
          <w:color w:val="000000" w:themeColor="text1"/>
          <w:lang w:val="en-US"/>
        </w:rPr>
        <w:t xml:space="preserve">bagi PT Go-Jek Indonesia, </w:t>
      </w:r>
      <w:r>
        <w:rPr>
          <w:rFonts w:hint="default" w:ascii="ArialMT" w:hAnsi="ArialMT"/>
          <w:color w:val="000000" w:themeColor="text1"/>
          <w:lang w:val="en-US"/>
        </w:rPr>
        <w:t xml:space="preserve">diharapkan dapat memberikan bantuan pinjaman dan menyesuaikan upah yang ditetapkan dengan yang diharapan oleh driver. Bagi </w:t>
      </w:r>
      <w:r>
        <w:rPr>
          <w:rFonts w:hint="default" w:ascii="ArialMT" w:hAnsi="ArialMT"/>
          <w:i/>
          <w:iCs/>
          <w:color w:val="000000" w:themeColor="text1"/>
          <w:lang w:val="en-US"/>
        </w:rPr>
        <w:t>driver</w:t>
      </w:r>
      <w:r>
        <w:rPr>
          <w:rFonts w:hint="default" w:ascii="ArialMT" w:hAnsi="ArialMT"/>
          <w:color w:val="000000" w:themeColor="text1"/>
          <w:lang w:val="en-US"/>
        </w:rPr>
        <w:t xml:space="preserve"> Go-Jek, agar memperoleh upah yang sesuai maka perlu mempertahankan serta meningkatkan semangat, antusias, konsentrasi, dan rasa tanggung jawab dalam bekerja. Terakhir,</w:t>
      </w:r>
      <w:bookmarkStart w:id="1" w:name="_GoBack"/>
      <w:bookmarkEnd w:id="1"/>
      <w:r>
        <w:rPr>
          <w:rFonts w:hint="default" w:ascii="ArialMT" w:hAnsi="ArialMT" w:cs="ArialMT"/>
          <w:color w:val="000000" w:themeColor="text1"/>
          <w:lang w:val="en-US"/>
        </w:rPr>
        <w:t xml:space="preserve"> bagi penelitian selanjutnya, a</w:t>
      </w:r>
      <w:r>
        <w:rPr>
          <w:rFonts w:hint="default" w:ascii="ArialMT" w:hAnsi="ArialMT" w:cs="ArialMT"/>
          <w:color w:val="000000" w:themeColor="text1"/>
        </w:rPr>
        <w:t xml:space="preserve">langkah baiknya nanti jika penulis selanjutnya mengembangkan penelitian ini dengan menambahkan variabel independen lainnya selain hubungan persepsi terhadap kompensasi dengan </w:t>
      </w:r>
      <w:r>
        <w:rPr>
          <w:rFonts w:hint="default" w:ascii="ArialMT" w:hAnsi="ArialMT" w:cs="ArialMT"/>
          <w:i/>
          <w:iCs/>
          <w:color w:val="000000" w:themeColor="text1"/>
        </w:rPr>
        <w:t>employee engagement</w:t>
      </w:r>
      <w:r>
        <w:rPr>
          <w:rFonts w:hint="default" w:ascii="ArialMT" w:hAnsi="ArialMT" w:cs="ArialMT"/>
          <w:color w:val="000000" w:themeColor="text1"/>
        </w:rPr>
        <w:t>, variasi kriteria subjek yang diuji, dan dapat menguji faktor-faktor lain yang tidak penulis teliti.</w:t>
      </w:r>
    </w:p>
    <w:p>
      <w:pPr>
        <w:spacing w:after="0" w:line="240" w:lineRule="auto"/>
        <w:jc w:val="both"/>
        <w:rPr>
          <w:rFonts w:hint="default" w:ascii="ArialMT" w:hAnsi="ArialMT" w:cs="ArialMT"/>
          <w:color w:val="000000" w:themeColor="text1"/>
        </w:rPr>
      </w:pPr>
    </w:p>
    <w:p>
      <w:pPr>
        <w:pStyle w:val="2"/>
        <w:pageBreakBefore w:val="0"/>
        <w:widowControl/>
        <w:kinsoku/>
        <w:wordWrap/>
        <w:overflowPunct/>
        <w:topLinePunct w:val="0"/>
        <w:autoSpaceDE/>
        <w:autoSpaceDN/>
        <w:bidi w:val="0"/>
        <w:adjustRightInd/>
        <w:snapToGrid/>
        <w:spacing w:before="0" w:after="0" w:line="240" w:lineRule="auto"/>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DAFTAR PUSTAKA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ArialMT" w:hAnsi="ArialMT" w:cs="ArialMT"/>
          <w:color w:val="000000" w:themeColor="text1"/>
        </w:rPr>
      </w:pP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lang w:eastAsia="zh-CN"/>
        </w:rPr>
        <w:fldChar w:fldCharType="begin" w:fldLock="1"/>
      </w:r>
      <w:r>
        <w:rPr>
          <w:rFonts w:hint="default" w:ascii="ArialMT" w:hAnsi="ArialMT" w:cs="ArialMT"/>
          <w:color w:val="000000" w:themeColor="text1"/>
          <w:sz w:val="22"/>
          <w:szCs w:val="22"/>
          <w:lang w:eastAsia="zh-CN"/>
        </w:rPr>
        <w:instrText xml:space="preserve">ADDIN Mendeley Bibliography CSL_BIBLIOGRAPHY </w:instrText>
      </w:r>
      <w:r>
        <w:rPr>
          <w:rFonts w:hint="default" w:ascii="ArialMT" w:hAnsi="ArialMT" w:cs="ArialMT"/>
          <w:color w:val="000000" w:themeColor="text1"/>
          <w:sz w:val="22"/>
          <w:szCs w:val="22"/>
          <w:lang w:eastAsia="zh-CN"/>
        </w:rPr>
        <w:fldChar w:fldCharType="separate"/>
      </w:r>
      <w:r>
        <w:rPr>
          <w:rFonts w:hint="default" w:ascii="ArialMT" w:hAnsi="ArialMT" w:cs="ArialMT"/>
          <w:color w:val="000000" w:themeColor="text1"/>
          <w:sz w:val="22"/>
          <w:szCs w:val="22"/>
        </w:rPr>
        <w:t xml:space="preserve">Abel, M. (2013). The social and financial benefits of developing employee satisfaction. </w:t>
      </w:r>
      <w:r>
        <w:rPr>
          <w:rFonts w:hint="default" w:ascii="ArialMT" w:hAnsi="ArialMT" w:cs="ArialMT"/>
          <w:i/>
          <w:iCs/>
          <w:color w:val="000000" w:themeColor="text1"/>
          <w:sz w:val="22"/>
          <w:szCs w:val="22"/>
        </w:rPr>
        <w:t>International Journal of Management &amp; Information Systems (IJMIS)</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17</w:t>
      </w:r>
      <w:r>
        <w:rPr>
          <w:rFonts w:hint="default" w:ascii="ArialMT" w:hAnsi="ArialMT" w:cs="ArialMT"/>
          <w:color w:val="000000" w:themeColor="text1"/>
          <w:sz w:val="22"/>
          <w:szCs w:val="22"/>
        </w:rPr>
        <w:t>(2), 83–88. https://doi.org/10.19030/ijmis.v17i2.7711</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Andrew, O. C., &amp; Sofian, S. (2011). Engaging people who driver execution and organizational performance. </w:t>
      </w:r>
      <w:r>
        <w:rPr>
          <w:rFonts w:hint="default" w:ascii="ArialMT" w:hAnsi="ArialMT" w:cs="ArialMT"/>
          <w:i/>
          <w:iCs/>
          <w:color w:val="000000" w:themeColor="text1"/>
          <w:sz w:val="22"/>
          <w:szCs w:val="22"/>
        </w:rPr>
        <w:t>American Journal of Economics and Business Administration</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3</w:t>
      </w:r>
      <w:r>
        <w:rPr>
          <w:rFonts w:hint="default" w:ascii="ArialMT" w:hAnsi="ArialMT" w:cs="ArialMT"/>
          <w:color w:val="000000" w:themeColor="text1"/>
          <w:sz w:val="22"/>
          <w:szCs w:val="22"/>
        </w:rPr>
        <w:t>(3), 569–575.</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Crawford, E. R., LePine, J. A., &amp; Rich, B. L. (2010). Linking job demands and resources to employee engagement and burnout: A theoretical extension and meta-analytic test. </w:t>
      </w:r>
      <w:r>
        <w:rPr>
          <w:rFonts w:hint="default" w:ascii="ArialMT" w:hAnsi="ArialMT" w:cs="ArialMT"/>
          <w:i/>
          <w:iCs/>
          <w:color w:val="000000" w:themeColor="text1"/>
          <w:sz w:val="22"/>
          <w:szCs w:val="22"/>
        </w:rPr>
        <w:t>Journal of Applied Psychology</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95</w:t>
      </w:r>
      <w:r>
        <w:rPr>
          <w:rFonts w:hint="default" w:ascii="ArialMT" w:hAnsi="ArialMT" w:cs="ArialMT"/>
          <w:color w:val="000000" w:themeColor="text1"/>
          <w:sz w:val="22"/>
          <w:szCs w:val="22"/>
        </w:rPr>
        <w:t>(5), 834–848. https://doi.org/10.1037/a0019364</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Cropanzano, R., &amp; Mitchell, M. S. (2005). Social exchange theory: An interdisciplinary review. </w:t>
      </w:r>
      <w:r>
        <w:rPr>
          <w:rFonts w:hint="default" w:ascii="ArialMT" w:hAnsi="ArialMT" w:cs="ArialMT"/>
          <w:i/>
          <w:iCs/>
          <w:color w:val="000000" w:themeColor="text1"/>
          <w:sz w:val="22"/>
          <w:szCs w:val="22"/>
        </w:rPr>
        <w:t>Journal of Management</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31</w:t>
      </w:r>
      <w:r>
        <w:rPr>
          <w:rFonts w:hint="default" w:ascii="ArialMT" w:hAnsi="ArialMT" w:cs="ArialMT"/>
          <w:color w:val="000000" w:themeColor="text1"/>
          <w:sz w:val="22"/>
          <w:szCs w:val="22"/>
        </w:rPr>
        <w:t>(6), 874–900. https://doi.org/10.1177/0149206305279602</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2" w:hanging="482"/>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Dajani, M. A. Z. (2015). The impact of employee engagement on job performance and organisational commitment in the Eqyptian Banking Sector. </w:t>
      </w:r>
      <w:r>
        <w:rPr>
          <w:rFonts w:hint="default" w:ascii="ArialMT" w:hAnsi="ArialMT" w:cs="ArialMT"/>
          <w:i/>
          <w:iCs/>
          <w:color w:val="000000" w:themeColor="text1"/>
          <w:sz w:val="22"/>
          <w:szCs w:val="22"/>
        </w:rPr>
        <w:t>Journal of Business and Management Sciences</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3</w:t>
      </w:r>
      <w:r>
        <w:rPr>
          <w:rFonts w:hint="default" w:ascii="ArialMT" w:hAnsi="ArialMT" w:cs="ArialMT"/>
          <w:color w:val="000000" w:themeColor="text1"/>
          <w:sz w:val="22"/>
          <w:szCs w:val="22"/>
        </w:rPr>
        <w:t>(5), 138–147. https://doi.org/10.12691/jbms-3-5-1</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2" w:hanging="482"/>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Dale Carnegie. (2017). Employee engagement in Indonesia (with 2016 update). Retrieved May 16, 2020, from https://www.dalecarnegie.id/sumberdaya/unduh/employee-infographic/employee-engagement-in-indonesia-with-2016-update/</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2" w:hanging="482"/>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Dessler, G. (2017). </w:t>
      </w:r>
      <w:r>
        <w:rPr>
          <w:rFonts w:hint="default" w:ascii="ArialMT" w:hAnsi="ArialMT" w:cs="ArialMT"/>
          <w:i/>
          <w:iCs/>
          <w:color w:val="000000" w:themeColor="text1"/>
          <w:sz w:val="22"/>
          <w:szCs w:val="22"/>
        </w:rPr>
        <w:t>Human resource management</w:t>
      </w:r>
      <w:r>
        <w:rPr>
          <w:rFonts w:hint="default" w:ascii="ArialMT" w:hAnsi="ArialMT" w:cs="ArialMT"/>
          <w:color w:val="000000" w:themeColor="text1"/>
          <w:sz w:val="22"/>
          <w:szCs w:val="22"/>
        </w:rPr>
        <w:t xml:space="preserve"> (15th ed.).</w:t>
      </w:r>
      <w:r>
        <w:rPr>
          <w:rFonts w:hint="default" w:ascii="ArialMT" w:hAnsi="ArialMT" w:cs="ArialMT"/>
          <w:color w:val="000000" w:themeColor="text1"/>
          <w:sz w:val="22"/>
          <w:szCs w:val="22"/>
          <w:lang w:val="en-US"/>
        </w:rPr>
        <w:t xml:space="preserve"> </w:t>
      </w:r>
      <w:r>
        <w:rPr>
          <w:rFonts w:hint="default" w:ascii="ArialMT" w:hAnsi="ArialMT" w:cs="ArialMT"/>
          <w:color w:val="000000" w:themeColor="text1"/>
          <w:kern w:val="0"/>
          <w:sz w:val="22"/>
          <w:szCs w:val="22"/>
          <w:lang w:val="en-US" w:eastAsia="zh-CN" w:bidi="ar"/>
        </w:rPr>
        <w:t xml:space="preserve">USA: </w:t>
      </w:r>
      <w:r>
        <w:rPr>
          <w:rFonts w:hint="default" w:ascii="ArialMT" w:hAnsi="ArialMT" w:cs="ArialMT"/>
          <w:color w:val="000000" w:themeColor="text1"/>
          <w:sz w:val="22"/>
          <w:szCs w:val="22"/>
        </w:rPr>
        <w:t>Pearson Education.</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Federman, B. (2009). </w:t>
      </w:r>
      <w:r>
        <w:rPr>
          <w:rFonts w:hint="default" w:ascii="ArialMT" w:hAnsi="ArialMT" w:cs="ArialMT"/>
          <w:i/>
          <w:iCs/>
          <w:color w:val="000000" w:themeColor="text1"/>
          <w:sz w:val="22"/>
          <w:szCs w:val="22"/>
        </w:rPr>
        <w:t>Employee engagement: A roadmap for creating profits, optimizing performance, and increasing loyalty</w:t>
      </w:r>
      <w:r>
        <w:rPr>
          <w:rFonts w:hint="default" w:ascii="ArialMT" w:hAnsi="ArialMT" w:cs="ArialMT"/>
          <w:color w:val="000000" w:themeColor="text1"/>
          <w:sz w:val="22"/>
          <w:szCs w:val="22"/>
        </w:rPr>
        <w:t xml:space="preserve">. </w:t>
      </w:r>
      <w:r>
        <w:rPr>
          <w:rFonts w:hint="default" w:ascii="ArialMT" w:hAnsi="ArialMT" w:cs="ArialMT"/>
          <w:color w:val="000000" w:themeColor="text1"/>
          <w:kern w:val="0"/>
          <w:sz w:val="22"/>
          <w:szCs w:val="22"/>
          <w:lang w:val="en-US" w:eastAsia="zh-CN" w:bidi="ar"/>
        </w:rPr>
        <w:t xml:space="preserve">San Francisco: </w:t>
      </w:r>
      <w:r>
        <w:rPr>
          <w:rFonts w:hint="default" w:ascii="ArialMT" w:hAnsi="ArialMT" w:cs="ArialMT"/>
          <w:color w:val="000000" w:themeColor="text1"/>
          <w:sz w:val="22"/>
          <w:szCs w:val="22"/>
        </w:rPr>
        <w:t>John Wiley &amp; Sons.</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Feraro-Banta, L., &amp; Shaikh, S. Al. (2017). Relation of compensation and benefits on employees performance: A Study of audit firms in Bahrain. </w:t>
      </w:r>
      <w:r>
        <w:rPr>
          <w:rFonts w:hint="default" w:ascii="ArialMT" w:hAnsi="ArialMT" w:cs="ArialMT"/>
          <w:i/>
          <w:iCs/>
          <w:color w:val="000000" w:themeColor="text1"/>
          <w:sz w:val="22"/>
          <w:szCs w:val="22"/>
        </w:rPr>
        <w:t>International Advanced Research Journal in Science, Engineering and Technology (Iarjset)</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4</w:t>
      </w:r>
      <w:r>
        <w:rPr>
          <w:rFonts w:hint="default" w:ascii="ArialMT" w:hAnsi="ArialMT" w:cs="ArialMT"/>
          <w:color w:val="000000" w:themeColor="text1"/>
          <w:sz w:val="22"/>
          <w:szCs w:val="22"/>
        </w:rPr>
        <w:t>(5), 175–183. https://doi.org/10.17148/iarjset.2017.4533</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Kasim, M. A. Al. (2019). </w:t>
      </w:r>
      <w:r>
        <w:rPr>
          <w:rFonts w:hint="default" w:ascii="ArialMT" w:hAnsi="ArialMT" w:cs="ArialMT"/>
          <w:i/>
          <w:iCs/>
          <w:color w:val="000000" w:themeColor="text1"/>
          <w:sz w:val="22"/>
          <w:szCs w:val="22"/>
        </w:rPr>
        <w:t>Hubungan antara perceived organizational support dan job charateristic dengan employee engagement pada karyawan Bank X Kabupaten Riau</w:t>
      </w:r>
      <w:r>
        <w:rPr>
          <w:rFonts w:hint="default" w:ascii="ArialMT" w:hAnsi="ArialMT" w:cs="ArialMT"/>
          <w:color w:val="000000" w:themeColor="text1"/>
          <w:sz w:val="22"/>
          <w:szCs w:val="22"/>
        </w:rPr>
        <w:t xml:space="preserve"> [Universitas Mercu Buana Yogyakarta]. </w:t>
      </w:r>
      <w:r>
        <w:rPr>
          <w:rFonts w:hint="default" w:ascii="ArialMT" w:hAnsi="ArialMT" w:cs="ArialMT"/>
          <w:color w:val="000000" w:themeColor="text1"/>
          <w:kern w:val="0"/>
          <w:sz w:val="22"/>
          <w:szCs w:val="22"/>
          <w:lang w:val="en-US" w:eastAsia="zh-CN" w:bidi="ar"/>
        </w:rPr>
        <w:t xml:space="preserve">Retrieved from </w:t>
      </w:r>
      <w:r>
        <w:rPr>
          <w:rFonts w:hint="default" w:ascii="ArialMT" w:hAnsi="ArialMT" w:cs="ArialMT"/>
          <w:color w:val="000000" w:themeColor="text1"/>
          <w:sz w:val="22"/>
          <w:szCs w:val="22"/>
        </w:rPr>
        <w:t>http://eprints.mercubuana-yogya.ac.id/6189/1/Abstrak.pdf</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Kaswan. (2017). </w:t>
      </w:r>
      <w:r>
        <w:rPr>
          <w:rFonts w:hint="default" w:ascii="ArialMT" w:hAnsi="ArialMT" w:cs="ArialMT"/>
          <w:i/>
          <w:iCs/>
          <w:color w:val="000000" w:themeColor="text1"/>
          <w:sz w:val="22"/>
          <w:szCs w:val="22"/>
        </w:rPr>
        <w:t>Psikologi industri dan organisasi</w:t>
      </w:r>
      <w:r>
        <w:rPr>
          <w:rFonts w:hint="default" w:ascii="ArialMT" w:hAnsi="ArialMT" w:cs="ArialMT"/>
          <w:color w:val="000000" w:themeColor="text1"/>
          <w:sz w:val="22"/>
          <w:szCs w:val="22"/>
        </w:rPr>
        <w:t xml:space="preserve">. </w:t>
      </w:r>
      <w:r>
        <w:rPr>
          <w:rFonts w:hint="default" w:ascii="ArialMT" w:hAnsi="ArialMT" w:cs="ArialMT"/>
          <w:color w:val="000000" w:themeColor="text1"/>
          <w:kern w:val="0"/>
          <w:sz w:val="22"/>
          <w:szCs w:val="22"/>
          <w:lang w:val="en-US" w:eastAsia="zh-CN" w:bidi="ar"/>
        </w:rPr>
        <w:t xml:space="preserve">Bandung: </w:t>
      </w:r>
      <w:r>
        <w:rPr>
          <w:rFonts w:hint="default" w:ascii="ArialMT" w:hAnsi="ArialMT" w:cs="ArialMT"/>
          <w:color w:val="000000" w:themeColor="text1"/>
          <w:sz w:val="22"/>
          <w:szCs w:val="22"/>
        </w:rPr>
        <w:t>Alfabeta.</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Kurniawan, B. W., &amp; Nurtjahjanti, H. (2016). Hubungan antara persepsi terhadap kompensasi dengan employee engagement pada karyawan PT.X. </w:t>
      </w:r>
      <w:r>
        <w:rPr>
          <w:rFonts w:hint="default" w:ascii="ArialMT" w:hAnsi="ArialMT" w:cs="ArialMT"/>
          <w:i/>
          <w:iCs/>
          <w:color w:val="000000" w:themeColor="text1"/>
          <w:sz w:val="22"/>
          <w:szCs w:val="22"/>
        </w:rPr>
        <w:t>Jurnal Empati</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5</w:t>
      </w:r>
      <w:r>
        <w:rPr>
          <w:rFonts w:hint="default" w:ascii="ArialMT" w:hAnsi="ArialMT" w:cs="ArialMT"/>
          <w:color w:val="000000" w:themeColor="text1"/>
          <w:sz w:val="22"/>
          <w:szCs w:val="22"/>
        </w:rPr>
        <w:t>(4), 732–737.</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Marciano, P. L. (2010). </w:t>
      </w:r>
      <w:r>
        <w:rPr>
          <w:rFonts w:hint="default" w:ascii="ArialMT" w:hAnsi="ArialMT" w:cs="ArialMT"/>
          <w:i/>
          <w:iCs/>
          <w:color w:val="000000" w:themeColor="text1"/>
          <w:sz w:val="22"/>
          <w:szCs w:val="22"/>
        </w:rPr>
        <w:t>Carrots and sticks don’t work: Build a culture of employee engagement with the principles of RESPECT</w:t>
      </w:r>
      <w:r>
        <w:rPr>
          <w:rFonts w:hint="default" w:ascii="ArialMT" w:hAnsi="ArialMT" w:cs="ArialMT"/>
          <w:i/>
          <w:iCs/>
          <w:color w:val="000000" w:themeColor="text1"/>
          <w:sz w:val="22"/>
          <w:szCs w:val="22"/>
          <w:lang w:val="en-US"/>
        </w:rPr>
        <w:t xml:space="preserve"> </w:t>
      </w:r>
      <w:r>
        <w:rPr>
          <w:rFonts w:hint="default" w:ascii="ArialMT" w:hAnsi="ArialMT" w:cs="ArialMT"/>
          <w:i/>
          <w:iCs/>
          <w:color w:val="000000" w:themeColor="text1"/>
          <w:sz w:val="22"/>
          <w:szCs w:val="22"/>
          <w:vertAlign w:val="superscript"/>
        </w:rPr>
        <w:t>TM</w:t>
      </w:r>
      <w:r>
        <w:rPr>
          <w:rFonts w:hint="default" w:ascii="ArialMT" w:hAnsi="ArialMT" w:cs="ArialMT"/>
          <w:color w:val="000000" w:themeColor="text1"/>
          <w:sz w:val="22"/>
          <w:szCs w:val="22"/>
        </w:rPr>
        <w:t xml:space="preserve">. </w:t>
      </w:r>
      <w:r>
        <w:rPr>
          <w:rFonts w:hint="default" w:ascii="ArialMT" w:hAnsi="ArialMT" w:cs="ArialMT"/>
          <w:color w:val="000000" w:themeColor="text1"/>
          <w:kern w:val="0"/>
          <w:sz w:val="22"/>
          <w:szCs w:val="22"/>
          <w:lang w:val="en-US" w:eastAsia="zh-CN" w:bidi="ar"/>
        </w:rPr>
        <w:t xml:space="preserve">USA: </w:t>
      </w:r>
      <w:r>
        <w:rPr>
          <w:rFonts w:hint="default" w:ascii="ArialMT" w:hAnsi="ArialMT" w:cs="ArialMT"/>
          <w:color w:val="000000" w:themeColor="text1"/>
          <w:sz w:val="22"/>
          <w:szCs w:val="22"/>
        </w:rPr>
        <w:t>McGraw-Hill.</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Mathis, R. L., Jackson, J. H., Valentine, S. R., &amp; Meglich, P. A. (2017). </w:t>
      </w:r>
      <w:r>
        <w:rPr>
          <w:rFonts w:hint="default" w:ascii="ArialMT" w:hAnsi="ArialMT" w:cs="ArialMT"/>
          <w:i/>
          <w:iCs/>
          <w:color w:val="000000" w:themeColor="text1"/>
          <w:sz w:val="22"/>
          <w:szCs w:val="22"/>
        </w:rPr>
        <w:t>Human resource management</w:t>
      </w:r>
      <w:r>
        <w:rPr>
          <w:rFonts w:hint="default" w:ascii="ArialMT" w:hAnsi="ArialMT" w:cs="ArialMT"/>
          <w:color w:val="000000" w:themeColor="text1"/>
          <w:sz w:val="22"/>
          <w:szCs w:val="22"/>
        </w:rPr>
        <w:t xml:space="preserve"> (15th ed.). </w:t>
      </w:r>
      <w:r>
        <w:rPr>
          <w:rFonts w:hint="default" w:ascii="ArialMT" w:hAnsi="ArialMT" w:cs="ArialMT"/>
          <w:color w:val="000000" w:themeColor="text1"/>
          <w:kern w:val="0"/>
          <w:sz w:val="22"/>
          <w:szCs w:val="22"/>
          <w:lang w:val="en-US" w:eastAsia="zh-CN" w:bidi="ar"/>
        </w:rPr>
        <w:t xml:space="preserve">USA: </w:t>
      </w:r>
      <w:r>
        <w:rPr>
          <w:rFonts w:hint="default" w:ascii="ArialMT" w:hAnsi="ArialMT" w:cs="ArialMT"/>
          <w:color w:val="000000" w:themeColor="text1"/>
          <w:sz w:val="22"/>
          <w:szCs w:val="22"/>
        </w:rPr>
        <w:t>Cengage Learning.</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McMullen, T., &amp; Hay Group. (2013). Reward strategy and practice: Eight recommendations to improve employee engagement. </w:t>
      </w:r>
      <w:r>
        <w:rPr>
          <w:rFonts w:hint="default" w:ascii="ArialMT" w:hAnsi="ArialMT" w:cs="ArialMT"/>
          <w:i/>
          <w:iCs/>
          <w:color w:val="000000" w:themeColor="text1"/>
          <w:sz w:val="22"/>
          <w:szCs w:val="22"/>
        </w:rPr>
        <w:t>Jounal of Compensation and Benefits</w:t>
      </w:r>
      <w:r>
        <w:rPr>
          <w:rFonts w:hint="default" w:ascii="ArialMT" w:hAnsi="ArialMT" w:cs="ArialMT"/>
          <w:color w:val="000000" w:themeColor="text1"/>
          <w:sz w:val="22"/>
          <w:szCs w:val="22"/>
        </w:rPr>
        <w:t>, 23–29.</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Mondy, R. W., &amp; Martocchio, J. J. (2016). </w:t>
      </w:r>
      <w:r>
        <w:rPr>
          <w:rFonts w:hint="default" w:ascii="ArialMT" w:hAnsi="ArialMT" w:cs="ArialMT"/>
          <w:i/>
          <w:iCs/>
          <w:color w:val="000000" w:themeColor="text1"/>
          <w:sz w:val="22"/>
          <w:szCs w:val="22"/>
        </w:rPr>
        <w:t>Human resources management</w:t>
      </w:r>
      <w:r>
        <w:rPr>
          <w:rFonts w:hint="default" w:ascii="ArialMT" w:hAnsi="ArialMT" w:cs="ArialMT"/>
          <w:color w:val="000000" w:themeColor="text1"/>
          <w:sz w:val="22"/>
          <w:szCs w:val="22"/>
        </w:rPr>
        <w:t xml:space="preserve"> (14th ed.). </w:t>
      </w:r>
      <w:r>
        <w:rPr>
          <w:rFonts w:hint="default" w:ascii="ArialMT" w:hAnsi="ArialMT" w:cs="ArialMT"/>
          <w:color w:val="000000" w:themeColor="text1"/>
          <w:kern w:val="0"/>
          <w:sz w:val="22"/>
          <w:szCs w:val="22"/>
          <w:lang w:val="en-US" w:eastAsia="zh-CN" w:bidi="ar"/>
        </w:rPr>
        <w:t xml:space="preserve">USA: </w:t>
      </w:r>
      <w:r>
        <w:rPr>
          <w:rFonts w:hint="default" w:ascii="ArialMT" w:hAnsi="ArialMT" w:cs="ArialMT"/>
          <w:color w:val="000000" w:themeColor="text1"/>
          <w:sz w:val="22"/>
          <w:szCs w:val="22"/>
        </w:rPr>
        <w:t>Pearson Education.</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Riani, A. L. (2010). </w:t>
      </w:r>
      <w:r>
        <w:rPr>
          <w:rFonts w:hint="default" w:ascii="ArialMT" w:hAnsi="ArialMT" w:cs="ArialMT"/>
          <w:i/>
          <w:iCs/>
          <w:color w:val="000000" w:themeColor="text1"/>
          <w:sz w:val="22"/>
          <w:szCs w:val="22"/>
        </w:rPr>
        <w:t>Perspektif kompensasi Perusahaan, CEO, dan Karyawan</w:t>
      </w:r>
      <w:r>
        <w:rPr>
          <w:rFonts w:hint="default" w:ascii="ArialMT" w:hAnsi="ArialMT" w:cs="ArialMT"/>
          <w:color w:val="000000" w:themeColor="text1"/>
          <w:sz w:val="22"/>
          <w:szCs w:val="22"/>
        </w:rPr>
        <w:t xml:space="preserve">. </w:t>
      </w:r>
      <w:r>
        <w:rPr>
          <w:rFonts w:hint="default" w:ascii="ArialMT" w:hAnsi="ArialMT" w:cs="ArialMT"/>
          <w:color w:val="000000" w:themeColor="text1"/>
          <w:kern w:val="0"/>
          <w:sz w:val="22"/>
          <w:szCs w:val="22"/>
          <w:lang w:val="en-US" w:eastAsia="zh-CN" w:bidi="ar"/>
        </w:rPr>
        <w:t xml:space="preserve">Surakarta: </w:t>
      </w:r>
      <w:r>
        <w:rPr>
          <w:rFonts w:hint="default" w:ascii="ArialMT" w:hAnsi="ArialMT" w:cs="ArialMT"/>
          <w:color w:val="000000" w:themeColor="text1"/>
          <w:sz w:val="22"/>
          <w:szCs w:val="22"/>
        </w:rPr>
        <w:t>Yuma Pustaka.</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Robbins, S. P., &amp; Coulter, M. (2018). </w:t>
      </w:r>
      <w:r>
        <w:rPr>
          <w:rFonts w:hint="default" w:ascii="ArialMT" w:hAnsi="ArialMT" w:cs="ArialMT"/>
          <w:i/>
          <w:iCs/>
          <w:color w:val="000000" w:themeColor="text1"/>
          <w:sz w:val="22"/>
          <w:szCs w:val="22"/>
        </w:rPr>
        <w:t>Management</w:t>
      </w:r>
      <w:r>
        <w:rPr>
          <w:rFonts w:hint="default" w:ascii="ArialMT" w:hAnsi="ArialMT" w:cs="ArialMT"/>
          <w:color w:val="000000" w:themeColor="text1"/>
          <w:sz w:val="22"/>
          <w:szCs w:val="22"/>
        </w:rPr>
        <w:t xml:space="preserve"> (11th ed.). </w:t>
      </w:r>
      <w:r>
        <w:rPr>
          <w:rFonts w:hint="default" w:ascii="ArialMT" w:hAnsi="ArialMT" w:cs="ArialMT"/>
          <w:color w:val="000000" w:themeColor="text1"/>
          <w:kern w:val="0"/>
          <w:sz w:val="22"/>
          <w:szCs w:val="22"/>
          <w:lang w:val="en-US" w:eastAsia="zh-CN" w:bidi="ar"/>
        </w:rPr>
        <w:t xml:space="preserve">USA: </w:t>
      </w:r>
      <w:r>
        <w:rPr>
          <w:rFonts w:hint="default" w:ascii="ArialMT" w:hAnsi="ArialMT" w:cs="ArialMT"/>
          <w:color w:val="000000" w:themeColor="text1"/>
          <w:sz w:val="22"/>
          <w:szCs w:val="22"/>
        </w:rPr>
        <w:t>Pearson Education.</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Robbins, S. P., &amp; Judge, T. A. (2013). </w:t>
      </w:r>
      <w:r>
        <w:rPr>
          <w:rFonts w:hint="default" w:ascii="ArialMT" w:hAnsi="ArialMT" w:cs="ArialMT"/>
          <w:i/>
          <w:iCs/>
          <w:color w:val="000000" w:themeColor="text1"/>
          <w:sz w:val="22"/>
          <w:szCs w:val="22"/>
        </w:rPr>
        <w:t>Organizational behavior</w:t>
      </w:r>
      <w:r>
        <w:rPr>
          <w:rFonts w:hint="default" w:ascii="ArialMT" w:hAnsi="ArialMT" w:cs="ArialMT"/>
          <w:color w:val="000000" w:themeColor="text1"/>
          <w:sz w:val="22"/>
          <w:szCs w:val="22"/>
        </w:rPr>
        <w:t xml:space="preserve"> (15th ed.).</w:t>
      </w:r>
      <w:r>
        <w:rPr>
          <w:rFonts w:hint="default" w:ascii="ArialMT" w:hAnsi="ArialMT" w:cs="ArialMT"/>
          <w:color w:val="000000" w:themeColor="text1"/>
          <w:sz w:val="22"/>
          <w:szCs w:val="22"/>
          <w:lang w:val="en-US"/>
        </w:rPr>
        <w:t xml:space="preserve"> </w:t>
      </w:r>
      <w:r>
        <w:rPr>
          <w:rFonts w:hint="default" w:ascii="ArialMT" w:hAnsi="ArialMT" w:cs="ArialMT"/>
          <w:color w:val="000000" w:themeColor="text1"/>
          <w:kern w:val="0"/>
          <w:sz w:val="22"/>
          <w:szCs w:val="22"/>
          <w:lang w:val="en-US" w:eastAsia="zh-CN" w:bidi="ar"/>
        </w:rPr>
        <w:t xml:space="preserve">New Jersey: </w:t>
      </w:r>
      <w:r>
        <w:rPr>
          <w:rFonts w:hint="default" w:ascii="ArialMT" w:hAnsi="ArialMT" w:cs="ArialMT"/>
          <w:color w:val="000000" w:themeColor="text1"/>
          <w:sz w:val="22"/>
          <w:szCs w:val="22"/>
        </w:rPr>
        <w:t>Pearson Education.</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Saks, A. M. (2006). Antecedents and consequences of employee engagement. </w:t>
      </w:r>
      <w:r>
        <w:rPr>
          <w:rFonts w:hint="default" w:ascii="ArialMT" w:hAnsi="ArialMT" w:cs="ArialMT"/>
          <w:i/>
          <w:iCs/>
          <w:color w:val="000000" w:themeColor="text1"/>
          <w:sz w:val="22"/>
          <w:szCs w:val="22"/>
        </w:rPr>
        <w:t>Journal of Managerial Psychology</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21</w:t>
      </w:r>
      <w:r>
        <w:rPr>
          <w:rFonts w:hint="default" w:ascii="ArialMT" w:hAnsi="ArialMT" w:cs="ArialMT"/>
          <w:color w:val="000000" w:themeColor="text1"/>
          <w:sz w:val="22"/>
          <w:szCs w:val="22"/>
        </w:rPr>
        <w:t>(7), 600–619. https://doi.org/10.1108/02683940610690169</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Schaufeli, W. B., &amp; Bakker, A. B. (2004). Job demands, job resources, and their relationship with burnout and engagement: A multi-sample study. </w:t>
      </w:r>
      <w:r>
        <w:rPr>
          <w:rFonts w:hint="default" w:ascii="ArialMT" w:hAnsi="ArialMT" w:cs="ArialMT"/>
          <w:i/>
          <w:iCs/>
          <w:color w:val="000000" w:themeColor="text1"/>
          <w:sz w:val="22"/>
          <w:szCs w:val="22"/>
        </w:rPr>
        <w:t>Journal of Organizational Behavior</w:t>
      </w:r>
      <w:r>
        <w:rPr>
          <w:rFonts w:hint="default" w:ascii="ArialMT" w:hAnsi="ArialMT" w:cs="ArialMT"/>
          <w:color w:val="000000" w:themeColor="text1"/>
          <w:sz w:val="22"/>
          <w:szCs w:val="22"/>
        </w:rPr>
        <w:t xml:space="preserve">, </w:t>
      </w:r>
      <w:r>
        <w:rPr>
          <w:rFonts w:hint="default" w:ascii="ArialMT" w:hAnsi="ArialMT" w:cs="ArialMT"/>
          <w:i/>
          <w:iCs/>
          <w:color w:val="000000" w:themeColor="text1"/>
          <w:sz w:val="22"/>
          <w:szCs w:val="22"/>
        </w:rPr>
        <w:t>25</w:t>
      </w:r>
      <w:r>
        <w:rPr>
          <w:rFonts w:hint="default" w:ascii="ArialMT" w:hAnsi="ArialMT" w:cs="ArialMT"/>
          <w:color w:val="000000" w:themeColor="text1"/>
          <w:sz w:val="22"/>
          <w:szCs w:val="22"/>
        </w:rPr>
        <w:t>, 293–315. https://doi.org/10.1002/job.248</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Simamora, H. (2004). </w:t>
      </w:r>
      <w:r>
        <w:rPr>
          <w:rFonts w:hint="default" w:ascii="ArialMT" w:hAnsi="ArialMT" w:cs="ArialMT"/>
          <w:i/>
          <w:iCs/>
          <w:color w:val="000000" w:themeColor="text1"/>
          <w:sz w:val="22"/>
          <w:szCs w:val="22"/>
        </w:rPr>
        <w:t>Manajemen sumber daya manusia</w:t>
      </w:r>
      <w:r>
        <w:rPr>
          <w:rFonts w:hint="default" w:ascii="ArialMT" w:hAnsi="ArialMT" w:cs="ArialMT"/>
          <w:color w:val="000000" w:themeColor="text1"/>
          <w:sz w:val="22"/>
          <w:szCs w:val="22"/>
        </w:rPr>
        <w:t xml:space="preserve"> (3rd ed.). </w:t>
      </w:r>
      <w:r>
        <w:rPr>
          <w:rFonts w:hint="default" w:ascii="ArialMT" w:hAnsi="ArialMT" w:cs="ArialMT"/>
          <w:color w:val="000000" w:themeColor="text1"/>
          <w:kern w:val="0"/>
          <w:sz w:val="22"/>
          <w:szCs w:val="22"/>
          <w:lang w:val="en-US" w:eastAsia="zh-CN" w:bidi="ar"/>
        </w:rPr>
        <w:t xml:space="preserve">Yogyakarta: </w:t>
      </w:r>
      <w:r>
        <w:rPr>
          <w:rFonts w:hint="default" w:ascii="ArialMT" w:hAnsi="ArialMT" w:cs="ArialMT"/>
          <w:color w:val="000000" w:themeColor="text1"/>
          <w:sz w:val="22"/>
          <w:szCs w:val="22"/>
        </w:rPr>
        <w:t>STIE YKPN.</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Sugiyono. (2016). </w:t>
      </w:r>
      <w:r>
        <w:rPr>
          <w:rFonts w:hint="default" w:ascii="ArialMT" w:hAnsi="ArialMT" w:cs="ArialMT"/>
          <w:i/>
          <w:iCs/>
          <w:color w:val="000000" w:themeColor="text1"/>
          <w:sz w:val="22"/>
          <w:szCs w:val="22"/>
        </w:rPr>
        <w:t>Metode penelitian kuantitatif, kualitatif, dan R&amp;D</w:t>
      </w:r>
      <w:r>
        <w:rPr>
          <w:rFonts w:hint="default" w:ascii="ArialMT" w:hAnsi="ArialMT" w:cs="ArialMT"/>
          <w:color w:val="000000" w:themeColor="text1"/>
          <w:sz w:val="22"/>
          <w:szCs w:val="22"/>
        </w:rPr>
        <w:t xml:space="preserve">. </w:t>
      </w:r>
      <w:r>
        <w:rPr>
          <w:rFonts w:hint="default" w:ascii="ArialMT" w:hAnsi="ArialMT" w:cs="ArialMT"/>
          <w:color w:val="000000" w:themeColor="text1"/>
          <w:kern w:val="0"/>
          <w:sz w:val="22"/>
          <w:szCs w:val="22"/>
          <w:lang w:val="en-US" w:eastAsia="zh-CN" w:bidi="ar"/>
        </w:rPr>
        <w:t xml:space="preserve">Bandung: </w:t>
      </w:r>
      <w:r>
        <w:rPr>
          <w:rFonts w:hint="default" w:ascii="ArialMT" w:hAnsi="ArialMT" w:cs="ArialMT"/>
          <w:color w:val="000000" w:themeColor="text1"/>
          <w:sz w:val="22"/>
          <w:szCs w:val="22"/>
        </w:rPr>
        <w:t>Alfabeta.</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Tim Go-Jek. (2019a). </w:t>
      </w:r>
      <w:r>
        <w:rPr>
          <w:rFonts w:hint="default" w:ascii="ArialMT" w:hAnsi="ArialMT" w:cs="ArialMT"/>
          <w:i/>
          <w:iCs/>
          <w:color w:val="000000" w:themeColor="text1"/>
          <w:sz w:val="22"/>
          <w:szCs w:val="22"/>
        </w:rPr>
        <w:t>Kebijakan Gojek</w:t>
      </w:r>
      <w:r>
        <w:rPr>
          <w:rFonts w:hint="default" w:ascii="ArialMT" w:hAnsi="ArialMT" w:cs="ArialMT"/>
          <w:color w:val="000000" w:themeColor="text1"/>
          <w:sz w:val="22"/>
          <w:szCs w:val="22"/>
        </w:rPr>
        <w:t xml:space="preserve">. </w:t>
      </w:r>
      <w:r>
        <w:rPr>
          <w:rFonts w:hint="default" w:ascii="ArialMT" w:hAnsi="ArialMT" w:cs="ArialMT"/>
          <w:color w:val="000000" w:themeColor="text1"/>
          <w:kern w:val="0"/>
          <w:sz w:val="22"/>
          <w:szCs w:val="22"/>
          <w:lang w:val="en-US" w:eastAsia="zh-CN" w:bidi="ar"/>
        </w:rPr>
        <w:t xml:space="preserve">Retrieved September 10, 2019, from </w:t>
      </w:r>
      <w:r>
        <w:rPr>
          <w:rFonts w:hint="default" w:ascii="ArialMT" w:hAnsi="ArialMT" w:cs="ArialMT"/>
          <w:color w:val="000000" w:themeColor="text1"/>
          <w:sz w:val="22"/>
          <w:szCs w:val="22"/>
        </w:rPr>
        <w:t>https://driver.go-jek.com/s/article/Kebijakan-GO-JEK-1536836220960</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Tim Go-Jek. (2019b). </w:t>
      </w:r>
      <w:r>
        <w:rPr>
          <w:rFonts w:hint="default" w:ascii="ArialMT" w:hAnsi="ArialMT" w:cs="ArialMT"/>
          <w:i/>
          <w:iCs/>
          <w:color w:val="000000" w:themeColor="text1"/>
          <w:sz w:val="22"/>
          <w:szCs w:val="22"/>
        </w:rPr>
        <w:t>Langkah 6: Tata tertib dan kebijakan Gojek</w:t>
      </w:r>
      <w:r>
        <w:rPr>
          <w:rFonts w:hint="default" w:ascii="ArialMT" w:hAnsi="ArialMT" w:cs="ArialMT"/>
          <w:color w:val="000000" w:themeColor="text1"/>
          <w:sz w:val="22"/>
          <w:szCs w:val="22"/>
        </w:rPr>
        <w:t xml:space="preserve">. </w:t>
      </w:r>
      <w:r>
        <w:rPr>
          <w:rFonts w:hint="default" w:ascii="ArialMT" w:hAnsi="ArialMT" w:cs="ArialMT"/>
          <w:color w:val="000000" w:themeColor="text1"/>
          <w:kern w:val="0"/>
          <w:sz w:val="22"/>
          <w:szCs w:val="22"/>
          <w:lang w:val="en-US" w:eastAsia="zh-CN" w:bidi="ar"/>
        </w:rPr>
        <w:t xml:space="preserve">Retrieved September 10, 2019, from </w:t>
      </w:r>
      <w:r>
        <w:rPr>
          <w:rFonts w:hint="default" w:ascii="ArialMT" w:hAnsi="ArialMT" w:cs="ArialMT"/>
          <w:color w:val="000000" w:themeColor="text1"/>
          <w:sz w:val="22"/>
          <w:szCs w:val="22"/>
        </w:rPr>
        <w:t>https://driver.go-jek.com/s/article/Langkah-6-Tata-Tertib-dan-Kebijakan-GOJEK</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Tim Go-Jek. (2019c). </w:t>
      </w:r>
      <w:r>
        <w:rPr>
          <w:rFonts w:hint="default" w:ascii="ArialMT" w:hAnsi="ArialMT" w:cs="ArialMT"/>
          <w:i/>
          <w:iCs/>
          <w:color w:val="000000" w:themeColor="text1"/>
          <w:sz w:val="22"/>
          <w:szCs w:val="22"/>
        </w:rPr>
        <w:t>Perjanjian kerjasama kemitraan Gojek</w:t>
      </w:r>
      <w:r>
        <w:rPr>
          <w:rFonts w:hint="default" w:ascii="ArialMT" w:hAnsi="ArialMT" w:cs="ArialMT"/>
          <w:color w:val="000000" w:themeColor="text1"/>
          <w:sz w:val="22"/>
          <w:szCs w:val="22"/>
        </w:rPr>
        <w:t xml:space="preserve">. </w:t>
      </w:r>
      <w:r>
        <w:rPr>
          <w:rFonts w:hint="default" w:ascii="ArialMT" w:hAnsi="ArialMT" w:cs="ArialMT"/>
          <w:color w:val="000000" w:themeColor="text1"/>
          <w:kern w:val="0"/>
          <w:sz w:val="22"/>
          <w:szCs w:val="22"/>
          <w:lang w:val="en-US" w:eastAsia="zh-CN" w:bidi="ar"/>
        </w:rPr>
        <w:t xml:space="preserve">Retrieved September 10, 2019, from </w:t>
      </w:r>
      <w:r>
        <w:rPr>
          <w:rFonts w:hint="default" w:ascii="ArialMT" w:hAnsi="ArialMT" w:cs="ArialMT"/>
          <w:color w:val="000000" w:themeColor="text1"/>
          <w:sz w:val="22"/>
          <w:szCs w:val="22"/>
        </w:rPr>
        <w:t>https://www.gojek.com/app/kilat-contract/</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Tim Go-Jek. (2019d). </w:t>
      </w:r>
      <w:r>
        <w:rPr>
          <w:rFonts w:hint="default" w:ascii="ArialMT" w:hAnsi="ArialMT" w:cs="ArialMT"/>
          <w:i/>
          <w:iCs/>
          <w:color w:val="000000" w:themeColor="text1"/>
          <w:sz w:val="22"/>
          <w:szCs w:val="22"/>
        </w:rPr>
        <w:t>Program pelatihan berkendara aman (safety training) di 16 kota</w:t>
      </w:r>
      <w:r>
        <w:rPr>
          <w:rFonts w:hint="default" w:ascii="ArialMT" w:hAnsi="ArialMT" w:cs="ArialMT"/>
          <w:color w:val="000000" w:themeColor="text1"/>
          <w:sz w:val="22"/>
          <w:szCs w:val="22"/>
        </w:rPr>
        <w:t xml:space="preserve">. </w:t>
      </w:r>
      <w:r>
        <w:rPr>
          <w:rFonts w:hint="default" w:ascii="ArialMT" w:hAnsi="ArialMT" w:cs="ArialMT"/>
          <w:color w:val="000000" w:themeColor="text1"/>
          <w:kern w:val="0"/>
          <w:sz w:val="22"/>
          <w:szCs w:val="22"/>
          <w:lang w:val="en-US" w:eastAsia="zh-CN" w:bidi="ar"/>
        </w:rPr>
        <w:t xml:space="preserve">Retrieved September 10, 2019, from </w:t>
      </w:r>
      <w:r>
        <w:rPr>
          <w:rFonts w:hint="default" w:ascii="ArialMT" w:hAnsi="ArialMT" w:cs="ArialMT"/>
          <w:color w:val="000000" w:themeColor="text1"/>
          <w:sz w:val="22"/>
          <w:szCs w:val="22"/>
        </w:rPr>
        <w:t>https://driver.go-jek.com/s/article/Program-Pelatihan-Berkendara-Aman-Safety-Training-di-16-Kota</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0" w:hanging="480"/>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Wijaya, A. (2016). </w:t>
      </w:r>
      <w:r>
        <w:rPr>
          <w:rFonts w:hint="default" w:ascii="ArialMT" w:hAnsi="ArialMT" w:cs="ArialMT"/>
          <w:i/>
          <w:iCs/>
          <w:color w:val="000000" w:themeColor="text1"/>
          <w:sz w:val="22"/>
          <w:szCs w:val="22"/>
        </w:rPr>
        <w:t>Aspek hukum bisnis transportasi jalan online</w:t>
      </w:r>
      <w:r>
        <w:rPr>
          <w:rFonts w:hint="default" w:ascii="ArialMT" w:hAnsi="ArialMT" w:cs="ArialMT"/>
          <w:color w:val="000000" w:themeColor="text1"/>
          <w:sz w:val="22"/>
          <w:szCs w:val="22"/>
        </w:rPr>
        <w:t xml:space="preserve">. </w:t>
      </w:r>
      <w:r>
        <w:rPr>
          <w:rFonts w:hint="default" w:ascii="ArialMT" w:hAnsi="ArialMT" w:cs="ArialMT"/>
          <w:color w:val="000000" w:themeColor="text1"/>
          <w:kern w:val="0"/>
          <w:sz w:val="22"/>
          <w:szCs w:val="22"/>
          <w:lang w:val="en-US" w:eastAsia="zh-CN" w:bidi="ar"/>
        </w:rPr>
        <w:t xml:space="preserve">Jakarta Timur: </w:t>
      </w:r>
      <w:r>
        <w:rPr>
          <w:rFonts w:hint="default" w:ascii="ArialMT" w:hAnsi="ArialMT" w:cs="ArialMT"/>
          <w:color w:val="000000" w:themeColor="text1"/>
          <w:sz w:val="22"/>
          <w:szCs w:val="22"/>
        </w:rPr>
        <w:t>Sinar Grafika.</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2" w:hanging="482"/>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Wijayanto, D. (2018). </w:t>
      </w:r>
      <w:r>
        <w:rPr>
          <w:rFonts w:hint="default" w:ascii="ArialMT" w:hAnsi="ArialMT" w:cs="ArialMT"/>
          <w:i/>
          <w:iCs/>
          <w:color w:val="000000" w:themeColor="text1"/>
          <w:sz w:val="22"/>
          <w:szCs w:val="22"/>
        </w:rPr>
        <w:t>Go-Jek: For every need</w:t>
      </w:r>
      <w:r>
        <w:rPr>
          <w:rFonts w:hint="default" w:ascii="ArialMT" w:hAnsi="ArialMT" w:cs="ArialMT"/>
          <w:color w:val="000000" w:themeColor="text1"/>
          <w:sz w:val="22"/>
          <w:szCs w:val="22"/>
        </w:rPr>
        <w:t xml:space="preserve">. </w:t>
      </w:r>
      <w:r>
        <w:rPr>
          <w:rFonts w:hint="default" w:ascii="ArialMT" w:hAnsi="ArialMT" w:cs="ArialMT"/>
          <w:color w:val="000000" w:themeColor="text1"/>
          <w:kern w:val="0"/>
          <w:sz w:val="22"/>
          <w:szCs w:val="22"/>
          <w:lang w:val="en-US" w:eastAsia="zh-CN" w:bidi="ar"/>
        </w:rPr>
        <w:t xml:space="preserve">Solo: </w:t>
      </w:r>
      <w:r>
        <w:rPr>
          <w:rFonts w:hint="default" w:ascii="ArialMT" w:hAnsi="ArialMT" w:cs="ArialMT"/>
          <w:color w:val="000000" w:themeColor="text1"/>
          <w:sz w:val="22"/>
          <w:szCs w:val="22"/>
        </w:rPr>
        <w:t>Metagraf.</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2" w:hanging="482"/>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Younger, J. (2019). The facts on why the freelance revolution is large and growing. Retrieved May 16, 2020, from https://www.forbes.com/sites/jonyounger/2019/07/01/how-gallup-data-explains-the-vitality-of-the-freelance-revolution/amp/</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482" w:hanging="482"/>
        <w:jc w:val="both"/>
        <w:textAlignment w:val="auto"/>
        <w:rPr>
          <w:rFonts w:hint="default" w:ascii="ArialMT" w:hAnsi="ArialMT" w:cs="ArialMT"/>
          <w:color w:val="000000" w:themeColor="text1"/>
          <w:sz w:val="22"/>
          <w:szCs w:val="22"/>
        </w:rPr>
      </w:pPr>
      <w:r>
        <w:rPr>
          <w:rFonts w:hint="default" w:ascii="ArialMT" w:hAnsi="ArialMT" w:cs="ArialMT"/>
          <w:color w:val="000000" w:themeColor="text1"/>
          <w:sz w:val="22"/>
          <w:szCs w:val="22"/>
        </w:rPr>
        <w:t xml:space="preserve">Zainal, V. R., Ramly, H. M., Mutis, T., &amp; Arafah, W. (2009). </w:t>
      </w:r>
      <w:r>
        <w:rPr>
          <w:rFonts w:hint="default" w:ascii="ArialMT" w:hAnsi="ArialMT" w:cs="ArialMT"/>
          <w:i/>
          <w:iCs/>
          <w:color w:val="000000" w:themeColor="text1"/>
          <w:sz w:val="22"/>
          <w:szCs w:val="22"/>
        </w:rPr>
        <w:t>Manajemen sumber daya manusia untuk Perusahaan: Dari teori ke praktik</w:t>
      </w:r>
      <w:r>
        <w:rPr>
          <w:rFonts w:hint="default" w:ascii="ArialMT" w:hAnsi="ArialMT" w:cs="ArialMT"/>
          <w:color w:val="000000" w:themeColor="text1"/>
          <w:sz w:val="22"/>
          <w:szCs w:val="22"/>
        </w:rPr>
        <w:t xml:space="preserve"> (3rd ed.).</w:t>
      </w:r>
      <w:r>
        <w:rPr>
          <w:rFonts w:hint="default" w:ascii="ArialMT" w:hAnsi="ArialMT" w:cs="ArialMT"/>
          <w:color w:val="000000" w:themeColor="text1"/>
          <w:sz w:val="22"/>
          <w:szCs w:val="22"/>
          <w:lang w:val="en-US"/>
        </w:rPr>
        <w:t xml:space="preserve"> </w:t>
      </w:r>
      <w:r>
        <w:rPr>
          <w:rFonts w:hint="default" w:ascii="ArialMT" w:hAnsi="ArialMT" w:cs="ArialMT"/>
          <w:color w:val="000000" w:themeColor="text1"/>
          <w:kern w:val="0"/>
          <w:sz w:val="22"/>
          <w:szCs w:val="22"/>
          <w:lang w:val="en-US" w:eastAsia="zh-CN" w:bidi="ar"/>
        </w:rPr>
        <w:t xml:space="preserve">Jakarta: </w:t>
      </w:r>
      <w:r>
        <w:rPr>
          <w:rFonts w:hint="default" w:ascii="ArialMT" w:hAnsi="ArialMT" w:cs="ArialMT"/>
          <w:color w:val="000000" w:themeColor="text1"/>
          <w:sz w:val="22"/>
          <w:szCs w:val="22"/>
        </w:rPr>
        <w:t>Rajawali Pers.</w:t>
      </w:r>
    </w:p>
    <w:p>
      <w:pPr>
        <w:keepNext w:val="0"/>
        <w:keepLines w:val="0"/>
        <w:pageBreakBefore w:val="0"/>
        <w:widowControl/>
        <w:kinsoku/>
        <w:wordWrap/>
        <w:overflowPunct/>
        <w:topLinePunct w:val="0"/>
        <w:autoSpaceDE/>
        <w:autoSpaceDN/>
        <w:bidi w:val="0"/>
        <w:adjustRightInd/>
        <w:snapToGrid/>
        <w:spacing w:after="0" w:line="360" w:lineRule="auto"/>
        <w:ind w:left="440" w:hanging="440" w:hangingChars="200"/>
        <w:textAlignment w:val="auto"/>
        <w:rPr>
          <w:rFonts w:hint="default" w:ascii="Arial" w:hAnsi="Arial" w:cs="Arial"/>
          <w:color w:val="000000" w:themeColor="text1"/>
        </w:rPr>
      </w:pPr>
      <w:r>
        <w:rPr>
          <w:rFonts w:hint="default" w:ascii="ArialMT" w:hAnsi="ArialMT" w:cs="ArialMT"/>
          <w:color w:val="000000" w:themeColor="text1"/>
          <w:sz w:val="22"/>
          <w:szCs w:val="22"/>
          <w:lang w:eastAsia="zh-CN"/>
        </w:rPr>
        <w:fldChar w:fldCharType="end"/>
      </w:r>
    </w:p>
    <w:sectPr>
      <w:footerReference r:id="rId7" w:type="default"/>
      <w:type w:val="continuous"/>
      <w:pgSz w:w="11907" w:h="16839"/>
      <w:pgMar w:top="2268" w:right="1701" w:bottom="1701" w:left="2268" w:header="720" w:footer="490" w:gutter="0"/>
      <w:pgNumType w:start="2"/>
      <w:cols w:space="567"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M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2773"/>
    </w:sdtPr>
    <w:sdtContent>
      <w:p>
        <w:pPr>
          <w:pStyle w:val="6"/>
          <w:jc w:val="center"/>
        </w:pPr>
        <w:r>
          <w:fldChar w:fldCharType="begin"/>
        </w:r>
        <w:r>
          <w:instrText xml:space="preserve"> PAGE   \* MERGEFORMAT </w:instrText>
        </w:r>
        <w:r>
          <w:fldChar w:fldCharType="separate"/>
        </w:r>
        <w:r>
          <w:t>1</w:t>
        </w:r>
        <w:r>
          <w:fldChar w:fldCharType="end"/>
        </w:r>
      </w:p>
    </w:sdtContent>
  </w:sdt>
  <w:p>
    <w:pPr>
      <w:pStyle w:val="6"/>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uto"/>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thinThickSmallGap" w:color="622423" w:sz="24" w:space="1"/>
      </w:pBdr>
      <w:tabs>
        <w:tab w:val="right" w:pos="8505"/>
        <w:tab w:val="clear" w:pos="4680"/>
        <w:tab w:val="clear" w:pos="9360"/>
      </w:tabs>
      <w:rPr>
        <w:rFonts w:ascii="Cambria" w:hAnsi="Cambria"/>
      </w:rPr>
    </w:pPr>
    <w:r>
      <w:rPr>
        <w:rFonts w:ascii="Cambria" w:hAnsi="Cambria"/>
        <w:sz w:val="18"/>
      </w:rPr>
      <w:t>Evaluation Of Group Counseling Program…</w:t>
    </w:r>
    <w:r>
      <w:rPr>
        <w:rFonts w:ascii="Cambria" w:hAnsi="Cambria"/>
        <w:sz w:val="18"/>
      </w:rPr>
      <w:tab/>
    </w:r>
    <w:r>
      <w:fldChar w:fldCharType="begin"/>
    </w:r>
    <w:r>
      <w:instrText xml:space="preserve"> PAGE   \* MERGEFORMAT </w:instrText>
    </w:r>
    <w:r>
      <w:fldChar w:fldCharType="separate"/>
    </w:r>
    <w:r>
      <w:rPr>
        <w:rFonts w:ascii="Cambria" w:hAnsi="Cambria"/>
      </w:rPr>
      <w:t>1</w:t>
    </w:r>
    <w:r>
      <w:rPr>
        <w:rFonts w:ascii="Cambria" w:hAnsi="Cambr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t>16</w:t>
    </w:r>
    <w:r>
      <w:fldChar w:fldCharType="end"/>
    </w:r>
  </w:p>
  <w:p>
    <w:pPr>
      <w:pStyle w:val="6"/>
      <w:jc w:val="right"/>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239"/>
        <w:tab w:val="clear" w:pos="4680"/>
        <w:tab w:val="clear" w:pos="9360"/>
      </w:tabs>
      <w:spacing w:line="240" w:lineRule="auto"/>
      <w:rPr>
        <w:rFonts w:ascii="Times New Roman" w:hAnsi="Times New Roman"/>
        <w:sz w:val="20"/>
      </w:rPr>
    </w:pPr>
    <w:r>
      <w:rPr>
        <w:rFonts w:ascii="Times New Roman" w:hAnsi="Times New Roman"/>
        <w:sz w:val="20"/>
      </w:rPr>
      <w:t>Sebagian Teks Dari Judul Artikel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ocumentProtection w:enforcement="0"/>
  <w:defaultTabStop w:val="720"/>
  <w:drawingGridHorizontalSpacing w:val="110"/>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3D2CBC"/>
    <w:rsid w:val="000053BF"/>
    <w:rsid w:val="0001091F"/>
    <w:rsid w:val="00023C95"/>
    <w:rsid w:val="000433E3"/>
    <w:rsid w:val="00050E7E"/>
    <w:rsid w:val="0005278B"/>
    <w:rsid w:val="00071D70"/>
    <w:rsid w:val="00084C72"/>
    <w:rsid w:val="000C24FB"/>
    <w:rsid w:val="000D05DE"/>
    <w:rsid w:val="000D595A"/>
    <w:rsid w:val="000D609D"/>
    <w:rsid w:val="000F17E4"/>
    <w:rsid w:val="000F6DFF"/>
    <w:rsid w:val="00124B56"/>
    <w:rsid w:val="0013116E"/>
    <w:rsid w:val="00146962"/>
    <w:rsid w:val="00146FC4"/>
    <w:rsid w:val="00157E0D"/>
    <w:rsid w:val="00157FCE"/>
    <w:rsid w:val="00183E12"/>
    <w:rsid w:val="00184C1A"/>
    <w:rsid w:val="00192BDA"/>
    <w:rsid w:val="00196ED3"/>
    <w:rsid w:val="001A43BE"/>
    <w:rsid w:val="001B0F99"/>
    <w:rsid w:val="001B6AC3"/>
    <w:rsid w:val="001E501C"/>
    <w:rsid w:val="00201009"/>
    <w:rsid w:val="00201649"/>
    <w:rsid w:val="00226687"/>
    <w:rsid w:val="00235188"/>
    <w:rsid w:val="002420DF"/>
    <w:rsid w:val="002428FB"/>
    <w:rsid w:val="0024578B"/>
    <w:rsid w:val="00247039"/>
    <w:rsid w:val="00247A3C"/>
    <w:rsid w:val="0025153F"/>
    <w:rsid w:val="00256223"/>
    <w:rsid w:val="002730B2"/>
    <w:rsid w:val="002759E9"/>
    <w:rsid w:val="002867EF"/>
    <w:rsid w:val="002A6152"/>
    <w:rsid w:val="002B495E"/>
    <w:rsid w:val="002D2445"/>
    <w:rsid w:val="002F656B"/>
    <w:rsid w:val="00323DA1"/>
    <w:rsid w:val="00325350"/>
    <w:rsid w:val="0033158A"/>
    <w:rsid w:val="003411F2"/>
    <w:rsid w:val="00344377"/>
    <w:rsid w:val="00346D8D"/>
    <w:rsid w:val="00355D20"/>
    <w:rsid w:val="00364E6E"/>
    <w:rsid w:val="00391B4F"/>
    <w:rsid w:val="003A1F09"/>
    <w:rsid w:val="003C05DB"/>
    <w:rsid w:val="003D2CBC"/>
    <w:rsid w:val="003E0828"/>
    <w:rsid w:val="003F560F"/>
    <w:rsid w:val="003F7C34"/>
    <w:rsid w:val="00402583"/>
    <w:rsid w:val="00404E21"/>
    <w:rsid w:val="00405421"/>
    <w:rsid w:val="00405A25"/>
    <w:rsid w:val="00406653"/>
    <w:rsid w:val="004243D6"/>
    <w:rsid w:val="00424933"/>
    <w:rsid w:val="00441A57"/>
    <w:rsid w:val="00442095"/>
    <w:rsid w:val="0044795B"/>
    <w:rsid w:val="00460508"/>
    <w:rsid w:val="00473C02"/>
    <w:rsid w:val="004947F1"/>
    <w:rsid w:val="004A2E85"/>
    <w:rsid w:val="004A7B76"/>
    <w:rsid w:val="004B5A05"/>
    <w:rsid w:val="004E47EE"/>
    <w:rsid w:val="004F15B1"/>
    <w:rsid w:val="00523556"/>
    <w:rsid w:val="005329CB"/>
    <w:rsid w:val="00535584"/>
    <w:rsid w:val="00543EAF"/>
    <w:rsid w:val="00546B66"/>
    <w:rsid w:val="00560660"/>
    <w:rsid w:val="00565670"/>
    <w:rsid w:val="005A0315"/>
    <w:rsid w:val="005B3DD6"/>
    <w:rsid w:val="005D60E8"/>
    <w:rsid w:val="005E3FF3"/>
    <w:rsid w:val="006052C8"/>
    <w:rsid w:val="00626618"/>
    <w:rsid w:val="00630192"/>
    <w:rsid w:val="00634308"/>
    <w:rsid w:val="006547AA"/>
    <w:rsid w:val="006569A4"/>
    <w:rsid w:val="0066590D"/>
    <w:rsid w:val="00673A24"/>
    <w:rsid w:val="00690EF3"/>
    <w:rsid w:val="00694DE8"/>
    <w:rsid w:val="006B2B70"/>
    <w:rsid w:val="006C240D"/>
    <w:rsid w:val="006C5EA8"/>
    <w:rsid w:val="006D1AE4"/>
    <w:rsid w:val="006D4815"/>
    <w:rsid w:val="006D753D"/>
    <w:rsid w:val="00700351"/>
    <w:rsid w:val="0070158F"/>
    <w:rsid w:val="00724D7F"/>
    <w:rsid w:val="00726235"/>
    <w:rsid w:val="00726C11"/>
    <w:rsid w:val="00737952"/>
    <w:rsid w:val="00770A5C"/>
    <w:rsid w:val="0077138F"/>
    <w:rsid w:val="0077230A"/>
    <w:rsid w:val="00795306"/>
    <w:rsid w:val="007B1F33"/>
    <w:rsid w:val="007C0E87"/>
    <w:rsid w:val="00822C50"/>
    <w:rsid w:val="00832715"/>
    <w:rsid w:val="00841725"/>
    <w:rsid w:val="00861201"/>
    <w:rsid w:val="0088764F"/>
    <w:rsid w:val="0089256A"/>
    <w:rsid w:val="008A6A19"/>
    <w:rsid w:val="008B3B6B"/>
    <w:rsid w:val="008B757B"/>
    <w:rsid w:val="008B7AC9"/>
    <w:rsid w:val="008C696D"/>
    <w:rsid w:val="008D639F"/>
    <w:rsid w:val="00915B26"/>
    <w:rsid w:val="009162F3"/>
    <w:rsid w:val="00917906"/>
    <w:rsid w:val="00926333"/>
    <w:rsid w:val="00936B90"/>
    <w:rsid w:val="00951B6F"/>
    <w:rsid w:val="00953AEE"/>
    <w:rsid w:val="00954754"/>
    <w:rsid w:val="00955DDE"/>
    <w:rsid w:val="00973578"/>
    <w:rsid w:val="0099660C"/>
    <w:rsid w:val="009D044C"/>
    <w:rsid w:val="009E0278"/>
    <w:rsid w:val="009E6091"/>
    <w:rsid w:val="00A12F9D"/>
    <w:rsid w:val="00A14A2C"/>
    <w:rsid w:val="00A158BA"/>
    <w:rsid w:val="00A358B3"/>
    <w:rsid w:val="00A54D7A"/>
    <w:rsid w:val="00A73242"/>
    <w:rsid w:val="00A733A2"/>
    <w:rsid w:val="00A87E7D"/>
    <w:rsid w:val="00AB1987"/>
    <w:rsid w:val="00AE3CEF"/>
    <w:rsid w:val="00AF6A83"/>
    <w:rsid w:val="00AF7FBE"/>
    <w:rsid w:val="00B05B0D"/>
    <w:rsid w:val="00B0641C"/>
    <w:rsid w:val="00B16F03"/>
    <w:rsid w:val="00B37243"/>
    <w:rsid w:val="00B521E4"/>
    <w:rsid w:val="00B627A3"/>
    <w:rsid w:val="00BA1E51"/>
    <w:rsid w:val="00BA6E26"/>
    <w:rsid w:val="00BB7642"/>
    <w:rsid w:val="00BC3088"/>
    <w:rsid w:val="00BC4959"/>
    <w:rsid w:val="00BF248B"/>
    <w:rsid w:val="00BF4433"/>
    <w:rsid w:val="00C110B9"/>
    <w:rsid w:val="00C159D1"/>
    <w:rsid w:val="00C1751D"/>
    <w:rsid w:val="00C2335A"/>
    <w:rsid w:val="00C309AF"/>
    <w:rsid w:val="00C41F94"/>
    <w:rsid w:val="00C50270"/>
    <w:rsid w:val="00C64A03"/>
    <w:rsid w:val="00C81FF0"/>
    <w:rsid w:val="00CA37E8"/>
    <w:rsid w:val="00CB22B0"/>
    <w:rsid w:val="00CB3BC3"/>
    <w:rsid w:val="00CE041A"/>
    <w:rsid w:val="00CE13C4"/>
    <w:rsid w:val="00CE3191"/>
    <w:rsid w:val="00CE746D"/>
    <w:rsid w:val="00CF0D44"/>
    <w:rsid w:val="00CF5899"/>
    <w:rsid w:val="00D248FA"/>
    <w:rsid w:val="00D30754"/>
    <w:rsid w:val="00D3184A"/>
    <w:rsid w:val="00D3736E"/>
    <w:rsid w:val="00D433D9"/>
    <w:rsid w:val="00D622E3"/>
    <w:rsid w:val="00D705A2"/>
    <w:rsid w:val="00D70B91"/>
    <w:rsid w:val="00D806D4"/>
    <w:rsid w:val="00D87282"/>
    <w:rsid w:val="00D96E6A"/>
    <w:rsid w:val="00DA48E3"/>
    <w:rsid w:val="00DA5AA3"/>
    <w:rsid w:val="00DB0580"/>
    <w:rsid w:val="00E1461F"/>
    <w:rsid w:val="00E22495"/>
    <w:rsid w:val="00E30535"/>
    <w:rsid w:val="00E51804"/>
    <w:rsid w:val="00E522A8"/>
    <w:rsid w:val="00E54A32"/>
    <w:rsid w:val="00E56DAF"/>
    <w:rsid w:val="00E70703"/>
    <w:rsid w:val="00E70A5D"/>
    <w:rsid w:val="00EA009C"/>
    <w:rsid w:val="00EA071A"/>
    <w:rsid w:val="00EA5C4B"/>
    <w:rsid w:val="00EB5049"/>
    <w:rsid w:val="00EB5AE4"/>
    <w:rsid w:val="00EC136E"/>
    <w:rsid w:val="00EC6A9C"/>
    <w:rsid w:val="00EE0504"/>
    <w:rsid w:val="00EF0F2C"/>
    <w:rsid w:val="00F03E5D"/>
    <w:rsid w:val="00F076AA"/>
    <w:rsid w:val="00F3118C"/>
    <w:rsid w:val="00F43556"/>
    <w:rsid w:val="00F50731"/>
    <w:rsid w:val="00F723F2"/>
    <w:rsid w:val="00F757A2"/>
    <w:rsid w:val="00F86FED"/>
    <w:rsid w:val="00FA43C6"/>
    <w:rsid w:val="00FA4933"/>
    <w:rsid w:val="00FC786E"/>
    <w:rsid w:val="00FE42A0"/>
    <w:rsid w:val="00FF0367"/>
    <w:rsid w:val="00FF5A90"/>
    <w:rsid w:val="025D4767"/>
    <w:rsid w:val="025E710D"/>
    <w:rsid w:val="029B5DCB"/>
    <w:rsid w:val="02F52C69"/>
    <w:rsid w:val="02F9349D"/>
    <w:rsid w:val="03342DDD"/>
    <w:rsid w:val="03590EFA"/>
    <w:rsid w:val="045405B3"/>
    <w:rsid w:val="04571BF5"/>
    <w:rsid w:val="04785119"/>
    <w:rsid w:val="0478679E"/>
    <w:rsid w:val="05266BBB"/>
    <w:rsid w:val="05411D6D"/>
    <w:rsid w:val="0550320F"/>
    <w:rsid w:val="05996E45"/>
    <w:rsid w:val="061F6CEF"/>
    <w:rsid w:val="067965E1"/>
    <w:rsid w:val="06EF0AD2"/>
    <w:rsid w:val="07556C7C"/>
    <w:rsid w:val="075920F6"/>
    <w:rsid w:val="07864075"/>
    <w:rsid w:val="07C90306"/>
    <w:rsid w:val="08952343"/>
    <w:rsid w:val="08AC100C"/>
    <w:rsid w:val="08C252FF"/>
    <w:rsid w:val="091D7935"/>
    <w:rsid w:val="09757A30"/>
    <w:rsid w:val="0A6C60FA"/>
    <w:rsid w:val="0A85490A"/>
    <w:rsid w:val="0A954FFB"/>
    <w:rsid w:val="0AF05884"/>
    <w:rsid w:val="0AF246A7"/>
    <w:rsid w:val="0B037224"/>
    <w:rsid w:val="0B4A5E18"/>
    <w:rsid w:val="0B825270"/>
    <w:rsid w:val="0BB034EC"/>
    <w:rsid w:val="0BF93DCF"/>
    <w:rsid w:val="0C442F14"/>
    <w:rsid w:val="0CBB6CC2"/>
    <w:rsid w:val="0D2C6373"/>
    <w:rsid w:val="0D3641D6"/>
    <w:rsid w:val="0D5A03CE"/>
    <w:rsid w:val="0DAC3388"/>
    <w:rsid w:val="0DE803D3"/>
    <w:rsid w:val="0E9A4D3F"/>
    <w:rsid w:val="0EB25A21"/>
    <w:rsid w:val="0F50743E"/>
    <w:rsid w:val="0F667805"/>
    <w:rsid w:val="0FDC31D5"/>
    <w:rsid w:val="100E7136"/>
    <w:rsid w:val="1068524D"/>
    <w:rsid w:val="109F4CAD"/>
    <w:rsid w:val="10E11303"/>
    <w:rsid w:val="110671A1"/>
    <w:rsid w:val="11643F66"/>
    <w:rsid w:val="11B72B5B"/>
    <w:rsid w:val="120151F9"/>
    <w:rsid w:val="12A726CF"/>
    <w:rsid w:val="13BD2F72"/>
    <w:rsid w:val="142A5FAB"/>
    <w:rsid w:val="145B0A95"/>
    <w:rsid w:val="14A04B0F"/>
    <w:rsid w:val="14D66C9D"/>
    <w:rsid w:val="14FE4CB6"/>
    <w:rsid w:val="150967FF"/>
    <w:rsid w:val="151A17C3"/>
    <w:rsid w:val="15207C61"/>
    <w:rsid w:val="155A4658"/>
    <w:rsid w:val="156E3968"/>
    <w:rsid w:val="156E67C7"/>
    <w:rsid w:val="15A4195F"/>
    <w:rsid w:val="15FF5D9C"/>
    <w:rsid w:val="164D2326"/>
    <w:rsid w:val="16590B60"/>
    <w:rsid w:val="168C2978"/>
    <w:rsid w:val="169F46F3"/>
    <w:rsid w:val="16D6282D"/>
    <w:rsid w:val="16DF507D"/>
    <w:rsid w:val="1742161B"/>
    <w:rsid w:val="175608B8"/>
    <w:rsid w:val="1762391B"/>
    <w:rsid w:val="17AE29AB"/>
    <w:rsid w:val="18033F0C"/>
    <w:rsid w:val="181B5EBE"/>
    <w:rsid w:val="187710F3"/>
    <w:rsid w:val="189829CB"/>
    <w:rsid w:val="18A956C3"/>
    <w:rsid w:val="191413B0"/>
    <w:rsid w:val="19352970"/>
    <w:rsid w:val="193970AF"/>
    <w:rsid w:val="197A517A"/>
    <w:rsid w:val="19A4518B"/>
    <w:rsid w:val="1A8E0047"/>
    <w:rsid w:val="1CAF406B"/>
    <w:rsid w:val="1D31536C"/>
    <w:rsid w:val="1D7A45B4"/>
    <w:rsid w:val="1DF512BB"/>
    <w:rsid w:val="1E383F50"/>
    <w:rsid w:val="1E783E2C"/>
    <w:rsid w:val="1EA40BC5"/>
    <w:rsid w:val="1EE95368"/>
    <w:rsid w:val="1F0C371F"/>
    <w:rsid w:val="1F1B2507"/>
    <w:rsid w:val="1F1F699A"/>
    <w:rsid w:val="1FBA54CF"/>
    <w:rsid w:val="1FC625B6"/>
    <w:rsid w:val="1FCB646C"/>
    <w:rsid w:val="208D3CF4"/>
    <w:rsid w:val="20D520AB"/>
    <w:rsid w:val="20E45F6F"/>
    <w:rsid w:val="21837C54"/>
    <w:rsid w:val="219A4306"/>
    <w:rsid w:val="21DA1058"/>
    <w:rsid w:val="21F21649"/>
    <w:rsid w:val="22043E77"/>
    <w:rsid w:val="221527AC"/>
    <w:rsid w:val="2216414B"/>
    <w:rsid w:val="225D3883"/>
    <w:rsid w:val="22DF3963"/>
    <w:rsid w:val="23273A51"/>
    <w:rsid w:val="234C4A05"/>
    <w:rsid w:val="234D3C23"/>
    <w:rsid w:val="238A3226"/>
    <w:rsid w:val="23AF534C"/>
    <w:rsid w:val="23F224B8"/>
    <w:rsid w:val="2454250C"/>
    <w:rsid w:val="246C3746"/>
    <w:rsid w:val="24DB3EDD"/>
    <w:rsid w:val="258A591D"/>
    <w:rsid w:val="25B55B3B"/>
    <w:rsid w:val="25BC4288"/>
    <w:rsid w:val="262757E0"/>
    <w:rsid w:val="26487579"/>
    <w:rsid w:val="26D419B0"/>
    <w:rsid w:val="270A61FC"/>
    <w:rsid w:val="271D35EB"/>
    <w:rsid w:val="27646FCB"/>
    <w:rsid w:val="278241AF"/>
    <w:rsid w:val="279773CD"/>
    <w:rsid w:val="27C55276"/>
    <w:rsid w:val="27F00F4B"/>
    <w:rsid w:val="28345083"/>
    <w:rsid w:val="288F63AC"/>
    <w:rsid w:val="28CA2D49"/>
    <w:rsid w:val="28F80C18"/>
    <w:rsid w:val="292F18DA"/>
    <w:rsid w:val="2988202D"/>
    <w:rsid w:val="299D443F"/>
    <w:rsid w:val="29BE6205"/>
    <w:rsid w:val="29ED486D"/>
    <w:rsid w:val="2A1D1D9E"/>
    <w:rsid w:val="2A2F4EED"/>
    <w:rsid w:val="2A4C4569"/>
    <w:rsid w:val="2A63384F"/>
    <w:rsid w:val="2A835897"/>
    <w:rsid w:val="2B206BBD"/>
    <w:rsid w:val="2B371074"/>
    <w:rsid w:val="2B3B5B1C"/>
    <w:rsid w:val="2B9F76ED"/>
    <w:rsid w:val="2BA750C4"/>
    <w:rsid w:val="2C383312"/>
    <w:rsid w:val="2C3A05E9"/>
    <w:rsid w:val="2C671D65"/>
    <w:rsid w:val="2C6E5822"/>
    <w:rsid w:val="2CDF7720"/>
    <w:rsid w:val="2D870428"/>
    <w:rsid w:val="2DC3318E"/>
    <w:rsid w:val="2E26548B"/>
    <w:rsid w:val="2E497FA4"/>
    <w:rsid w:val="2E6E188E"/>
    <w:rsid w:val="2FEB76E6"/>
    <w:rsid w:val="30282FA8"/>
    <w:rsid w:val="302D3E4C"/>
    <w:rsid w:val="305B01B6"/>
    <w:rsid w:val="307A023B"/>
    <w:rsid w:val="31227718"/>
    <w:rsid w:val="32084258"/>
    <w:rsid w:val="326D7E96"/>
    <w:rsid w:val="3296028C"/>
    <w:rsid w:val="33756781"/>
    <w:rsid w:val="33921951"/>
    <w:rsid w:val="33955161"/>
    <w:rsid w:val="33B36D7C"/>
    <w:rsid w:val="347F6041"/>
    <w:rsid w:val="34F077D1"/>
    <w:rsid w:val="34F260A3"/>
    <w:rsid w:val="350427F8"/>
    <w:rsid w:val="352A22D2"/>
    <w:rsid w:val="35360FB7"/>
    <w:rsid w:val="356B6C9A"/>
    <w:rsid w:val="359579EB"/>
    <w:rsid w:val="35A778BD"/>
    <w:rsid w:val="35C819AC"/>
    <w:rsid w:val="35F36E26"/>
    <w:rsid w:val="363F45F6"/>
    <w:rsid w:val="36743E5E"/>
    <w:rsid w:val="36B96907"/>
    <w:rsid w:val="36E52BDB"/>
    <w:rsid w:val="370040A4"/>
    <w:rsid w:val="37374A6A"/>
    <w:rsid w:val="37762693"/>
    <w:rsid w:val="378647E1"/>
    <w:rsid w:val="37E47646"/>
    <w:rsid w:val="38396559"/>
    <w:rsid w:val="38686AFF"/>
    <w:rsid w:val="38BD1AA2"/>
    <w:rsid w:val="38C24CA7"/>
    <w:rsid w:val="38C76888"/>
    <w:rsid w:val="39461C70"/>
    <w:rsid w:val="396B341A"/>
    <w:rsid w:val="39D82CA9"/>
    <w:rsid w:val="39E13D97"/>
    <w:rsid w:val="3A0C6963"/>
    <w:rsid w:val="3A13697F"/>
    <w:rsid w:val="3A2B1832"/>
    <w:rsid w:val="3A423CBA"/>
    <w:rsid w:val="3A635733"/>
    <w:rsid w:val="3A67525D"/>
    <w:rsid w:val="3A8F5466"/>
    <w:rsid w:val="3BA7438B"/>
    <w:rsid w:val="3BBF6561"/>
    <w:rsid w:val="3D836717"/>
    <w:rsid w:val="3DC31C58"/>
    <w:rsid w:val="3DD0019D"/>
    <w:rsid w:val="3DDD2642"/>
    <w:rsid w:val="3DEF2715"/>
    <w:rsid w:val="3E0100D2"/>
    <w:rsid w:val="3E0159EF"/>
    <w:rsid w:val="3E455840"/>
    <w:rsid w:val="3E563B02"/>
    <w:rsid w:val="3E5C3C0D"/>
    <w:rsid w:val="3E7C7C98"/>
    <w:rsid w:val="3EC93955"/>
    <w:rsid w:val="3ED86E9B"/>
    <w:rsid w:val="3F232EE7"/>
    <w:rsid w:val="3F2E030C"/>
    <w:rsid w:val="3FC637B7"/>
    <w:rsid w:val="3FDC33A5"/>
    <w:rsid w:val="40384193"/>
    <w:rsid w:val="40725C7A"/>
    <w:rsid w:val="40F025F7"/>
    <w:rsid w:val="419D1FDB"/>
    <w:rsid w:val="41B61218"/>
    <w:rsid w:val="41B849C0"/>
    <w:rsid w:val="420F40C8"/>
    <w:rsid w:val="421F3D22"/>
    <w:rsid w:val="426230F0"/>
    <w:rsid w:val="427A4AD1"/>
    <w:rsid w:val="42822F1C"/>
    <w:rsid w:val="42EB190B"/>
    <w:rsid w:val="432A2F66"/>
    <w:rsid w:val="435252DE"/>
    <w:rsid w:val="440A4D37"/>
    <w:rsid w:val="44410158"/>
    <w:rsid w:val="44F45693"/>
    <w:rsid w:val="45157A65"/>
    <w:rsid w:val="451D0734"/>
    <w:rsid w:val="45AE21A4"/>
    <w:rsid w:val="45BB618F"/>
    <w:rsid w:val="45D00DF3"/>
    <w:rsid w:val="46291B18"/>
    <w:rsid w:val="463777D5"/>
    <w:rsid w:val="46425491"/>
    <w:rsid w:val="46681624"/>
    <w:rsid w:val="46EC6F3D"/>
    <w:rsid w:val="46FD30D4"/>
    <w:rsid w:val="47025A38"/>
    <w:rsid w:val="470623BB"/>
    <w:rsid w:val="476041D6"/>
    <w:rsid w:val="477B6C92"/>
    <w:rsid w:val="47D84FD0"/>
    <w:rsid w:val="489679A9"/>
    <w:rsid w:val="48B25B9B"/>
    <w:rsid w:val="48F74B0C"/>
    <w:rsid w:val="49280B7C"/>
    <w:rsid w:val="495D1A6D"/>
    <w:rsid w:val="49A275C8"/>
    <w:rsid w:val="49B971C8"/>
    <w:rsid w:val="49BA3A7A"/>
    <w:rsid w:val="4A370979"/>
    <w:rsid w:val="4A6161E0"/>
    <w:rsid w:val="4AB508C5"/>
    <w:rsid w:val="4B5241E4"/>
    <w:rsid w:val="4B625D7B"/>
    <w:rsid w:val="4B855024"/>
    <w:rsid w:val="4BE37216"/>
    <w:rsid w:val="4C217DFB"/>
    <w:rsid w:val="4C307CFD"/>
    <w:rsid w:val="4C357934"/>
    <w:rsid w:val="4C7144E4"/>
    <w:rsid w:val="4C8C0730"/>
    <w:rsid w:val="4C941EA7"/>
    <w:rsid w:val="4CF073F7"/>
    <w:rsid w:val="4D1E5C22"/>
    <w:rsid w:val="4D7D177F"/>
    <w:rsid w:val="4DA14112"/>
    <w:rsid w:val="4DE250A9"/>
    <w:rsid w:val="4E0F65F8"/>
    <w:rsid w:val="4E2B4681"/>
    <w:rsid w:val="4E9E2B79"/>
    <w:rsid w:val="4F032881"/>
    <w:rsid w:val="4F851DB2"/>
    <w:rsid w:val="4FCE361C"/>
    <w:rsid w:val="50AD7CF8"/>
    <w:rsid w:val="50E04D38"/>
    <w:rsid w:val="511E064B"/>
    <w:rsid w:val="51675D48"/>
    <w:rsid w:val="51E4446E"/>
    <w:rsid w:val="52286DA3"/>
    <w:rsid w:val="5252313B"/>
    <w:rsid w:val="52CF1942"/>
    <w:rsid w:val="52E46154"/>
    <w:rsid w:val="53295A74"/>
    <w:rsid w:val="53551D51"/>
    <w:rsid w:val="538D4835"/>
    <w:rsid w:val="540E01F5"/>
    <w:rsid w:val="541B5D22"/>
    <w:rsid w:val="54224C63"/>
    <w:rsid w:val="54262B0E"/>
    <w:rsid w:val="54A3546E"/>
    <w:rsid w:val="54C738D2"/>
    <w:rsid w:val="54C81EA9"/>
    <w:rsid w:val="54F329B6"/>
    <w:rsid w:val="54F7594D"/>
    <w:rsid w:val="554F5F53"/>
    <w:rsid w:val="55BE12A9"/>
    <w:rsid w:val="55C77423"/>
    <w:rsid w:val="55D37B39"/>
    <w:rsid w:val="55DB7C44"/>
    <w:rsid w:val="562D545C"/>
    <w:rsid w:val="563A2285"/>
    <w:rsid w:val="56647FBB"/>
    <w:rsid w:val="56893ED7"/>
    <w:rsid w:val="56C400C8"/>
    <w:rsid w:val="57496ED2"/>
    <w:rsid w:val="575575BD"/>
    <w:rsid w:val="57684C2C"/>
    <w:rsid w:val="57821018"/>
    <w:rsid w:val="58AF4376"/>
    <w:rsid w:val="58C6533E"/>
    <w:rsid w:val="58F520DA"/>
    <w:rsid w:val="590D60DB"/>
    <w:rsid w:val="59D13E69"/>
    <w:rsid w:val="5A2D300A"/>
    <w:rsid w:val="5B49059C"/>
    <w:rsid w:val="5BAF65F6"/>
    <w:rsid w:val="5D0B3F80"/>
    <w:rsid w:val="5D1B3D65"/>
    <w:rsid w:val="5DA56947"/>
    <w:rsid w:val="5DAC71C3"/>
    <w:rsid w:val="5DF655A5"/>
    <w:rsid w:val="5E180131"/>
    <w:rsid w:val="5E3B419A"/>
    <w:rsid w:val="5E56795C"/>
    <w:rsid w:val="5E9130F6"/>
    <w:rsid w:val="5EBA6A5D"/>
    <w:rsid w:val="5EBF3BE4"/>
    <w:rsid w:val="5EE20CFD"/>
    <w:rsid w:val="5EF431FE"/>
    <w:rsid w:val="5F673159"/>
    <w:rsid w:val="5FAB3CB1"/>
    <w:rsid w:val="603A1992"/>
    <w:rsid w:val="605917DB"/>
    <w:rsid w:val="6074406F"/>
    <w:rsid w:val="609940EC"/>
    <w:rsid w:val="60EC4DCE"/>
    <w:rsid w:val="61410C1B"/>
    <w:rsid w:val="6198074E"/>
    <w:rsid w:val="61F9550E"/>
    <w:rsid w:val="6211422F"/>
    <w:rsid w:val="627112E3"/>
    <w:rsid w:val="62AB0C37"/>
    <w:rsid w:val="62C03975"/>
    <w:rsid w:val="6301589F"/>
    <w:rsid w:val="633972DB"/>
    <w:rsid w:val="63A86F3D"/>
    <w:rsid w:val="63B6025A"/>
    <w:rsid w:val="64987231"/>
    <w:rsid w:val="64BE0630"/>
    <w:rsid w:val="655D209D"/>
    <w:rsid w:val="6567379B"/>
    <w:rsid w:val="672E3D2C"/>
    <w:rsid w:val="67B37418"/>
    <w:rsid w:val="67D27928"/>
    <w:rsid w:val="680E53B6"/>
    <w:rsid w:val="68151F0B"/>
    <w:rsid w:val="687E74A1"/>
    <w:rsid w:val="68D731BC"/>
    <w:rsid w:val="68FE4B65"/>
    <w:rsid w:val="6A225C67"/>
    <w:rsid w:val="6A28235D"/>
    <w:rsid w:val="6A7D32B5"/>
    <w:rsid w:val="6AB45381"/>
    <w:rsid w:val="6B00162A"/>
    <w:rsid w:val="6B49390B"/>
    <w:rsid w:val="6BE72921"/>
    <w:rsid w:val="6BEE5F3B"/>
    <w:rsid w:val="6C120C92"/>
    <w:rsid w:val="6C3E01E2"/>
    <w:rsid w:val="6CED5319"/>
    <w:rsid w:val="6D441D5E"/>
    <w:rsid w:val="6DA16A33"/>
    <w:rsid w:val="6DC16007"/>
    <w:rsid w:val="6DE64EBB"/>
    <w:rsid w:val="6E171728"/>
    <w:rsid w:val="6E2E0FAB"/>
    <w:rsid w:val="6E825DC8"/>
    <w:rsid w:val="6EA70F40"/>
    <w:rsid w:val="6EBA3771"/>
    <w:rsid w:val="6EBF31B0"/>
    <w:rsid w:val="6EE1455A"/>
    <w:rsid w:val="6F556E31"/>
    <w:rsid w:val="6F8D7B75"/>
    <w:rsid w:val="6F9D5AD6"/>
    <w:rsid w:val="6FA67FCC"/>
    <w:rsid w:val="6FC6517E"/>
    <w:rsid w:val="6FF72D5E"/>
    <w:rsid w:val="70155CCC"/>
    <w:rsid w:val="703A64A4"/>
    <w:rsid w:val="70C80ABE"/>
    <w:rsid w:val="710A2A3B"/>
    <w:rsid w:val="711C3332"/>
    <w:rsid w:val="718F1147"/>
    <w:rsid w:val="71AF4837"/>
    <w:rsid w:val="72C0182D"/>
    <w:rsid w:val="73537BFC"/>
    <w:rsid w:val="7362551B"/>
    <w:rsid w:val="73D37E77"/>
    <w:rsid w:val="73F97CF4"/>
    <w:rsid w:val="7411504D"/>
    <w:rsid w:val="74280F4A"/>
    <w:rsid w:val="74285E46"/>
    <w:rsid w:val="7487759F"/>
    <w:rsid w:val="74C57863"/>
    <w:rsid w:val="74E46918"/>
    <w:rsid w:val="751318B1"/>
    <w:rsid w:val="75740F7E"/>
    <w:rsid w:val="75936039"/>
    <w:rsid w:val="75B56D6F"/>
    <w:rsid w:val="76163964"/>
    <w:rsid w:val="762E2C24"/>
    <w:rsid w:val="76300515"/>
    <w:rsid w:val="76821B6A"/>
    <w:rsid w:val="768429A6"/>
    <w:rsid w:val="76896DB4"/>
    <w:rsid w:val="76DB60BF"/>
    <w:rsid w:val="77165217"/>
    <w:rsid w:val="773D529E"/>
    <w:rsid w:val="777023B5"/>
    <w:rsid w:val="779A1587"/>
    <w:rsid w:val="77C3783A"/>
    <w:rsid w:val="77C95950"/>
    <w:rsid w:val="78303BF7"/>
    <w:rsid w:val="787675C8"/>
    <w:rsid w:val="78786B6F"/>
    <w:rsid w:val="787B57FA"/>
    <w:rsid w:val="78887053"/>
    <w:rsid w:val="791801FC"/>
    <w:rsid w:val="79246611"/>
    <w:rsid w:val="79383978"/>
    <w:rsid w:val="79400367"/>
    <w:rsid w:val="7974619D"/>
    <w:rsid w:val="79777FCD"/>
    <w:rsid w:val="798E3C77"/>
    <w:rsid w:val="79AA29C2"/>
    <w:rsid w:val="7A0B48AE"/>
    <w:rsid w:val="7A150AE0"/>
    <w:rsid w:val="7A4A7EA7"/>
    <w:rsid w:val="7A516D37"/>
    <w:rsid w:val="7A6C36FE"/>
    <w:rsid w:val="7AF17F74"/>
    <w:rsid w:val="7B532A38"/>
    <w:rsid w:val="7B5530FF"/>
    <w:rsid w:val="7B5D0AD6"/>
    <w:rsid w:val="7B735331"/>
    <w:rsid w:val="7C1453B6"/>
    <w:rsid w:val="7C162387"/>
    <w:rsid w:val="7C1C5DBA"/>
    <w:rsid w:val="7C4C2D65"/>
    <w:rsid w:val="7C6568D8"/>
    <w:rsid w:val="7C991581"/>
    <w:rsid w:val="7D3923D9"/>
    <w:rsid w:val="7D3C0B45"/>
    <w:rsid w:val="7D603346"/>
    <w:rsid w:val="7D747643"/>
    <w:rsid w:val="7D97592A"/>
    <w:rsid w:val="7DB6533B"/>
    <w:rsid w:val="7DF278E6"/>
    <w:rsid w:val="7E28487A"/>
    <w:rsid w:val="7EA47B89"/>
    <w:rsid w:val="7FC63CE8"/>
    <w:rsid w:val="7FD152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semiHidden/>
    <w:unhideWhenUsed/>
    <w:qFormat/>
    <w:uiPriority w:val="99"/>
    <w:pPr>
      <w:spacing w:after="0" w:line="240" w:lineRule="auto"/>
    </w:pPr>
    <w:rPr>
      <w:rFonts w:ascii="Tahoma" w:hAnsi="Tahoma" w:cs="Tahoma"/>
      <w:sz w:val="16"/>
      <w:szCs w:val="16"/>
    </w:rPr>
  </w:style>
  <w:style w:type="paragraph" w:styleId="4">
    <w:name w:val="annotation text"/>
    <w:basedOn w:val="1"/>
    <w:link w:val="21"/>
    <w:qFormat/>
    <w:uiPriority w:val="0"/>
  </w:style>
  <w:style w:type="paragraph" w:styleId="5">
    <w:name w:val="annotation subject"/>
    <w:basedOn w:val="4"/>
    <w:next w:val="4"/>
    <w:link w:val="22"/>
    <w:semiHidden/>
    <w:unhideWhenUsed/>
    <w:qFormat/>
    <w:uiPriority w:val="99"/>
    <w:pPr>
      <w:spacing w:line="240" w:lineRule="auto"/>
    </w:pPr>
    <w:rPr>
      <w:b/>
      <w:bCs/>
      <w:sz w:val="20"/>
      <w:szCs w:val="20"/>
    </w:rPr>
  </w:style>
  <w:style w:type="paragraph" w:styleId="6">
    <w:name w:val="footer"/>
    <w:basedOn w:val="1"/>
    <w:link w:val="17"/>
    <w:unhideWhenUsed/>
    <w:qFormat/>
    <w:uiPriority w:val="99"/>
    <w:pPr>
      <w:tabs>
        <w:tab w:val="center" w:pos="4680"/>
        <w:tab w:val="right" w:pos="9360"/>
      </w:tabs>
    </w:pPr>
  </w:style>
  <w:style w:type="paragraph" w:styleId="7">
    <w:name w:val="header"/>
    <w:basedOn w:val="1"/>
    <w:link w:val="16"/>
    <w:unhideWhenUsed/>
    <w:qFormat/>
    <w:uiPriority w:val="99"/>
    <w:pPr>
      <w:tabs>
        <w:tab w:val="center" w:pos="4680"/>
        <w:tab w:val="right" w:pos="9360"/>
      </w:tabs>
    </w:pPr>
  </w:style>
  <w:style w:type="paragraph" w:styleId="8">
    <w:name w:val="HTML Preformatted"/>
    <w:basedOn w:val="1"/>
    <w:link w:val="1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rPr>
  </w:style>
  <w:style w:type="paragraph" w:styleId="9">
    <w:name w:val="Normal (Web)"/>
    <w:basedOn w:val="1"/>
    <w:qFormat/>
    <w:uiPriority w:val="0"/>
    <w:rPr>
      <w:sz w:val="24"/>
      <w:szCs w:val="24"/>
    </w:rPr>
  </w:style>
  <w:style w:type="character" w:styleId="11">
    <w:name w:val="annotation reference"/>
    <w:basedOn w:val="10"/>
    <w:semiHidden/>
    <w:unhideWhenUsed/>
    <w:qFormat/>
    <w:uiPriority w:val="99"/>
    <w:rPr>
      <w:sz w:val="16"/>
      <w:szCs w:val="16"/>
    </w:rPr>
  </w:style>
  <w:style w:type="character" w:styleId="12">
    <w:name w:val="Strong"/>
    <w:basedOn w:val="10"/>
    <w:qFormat/>
    <w:uiPriority w:val="22"/>
    <w:rPr>
      <w:b/>
      <w:bCs/>
    </w:rPr>
  </w:style>
  <w:style w:type="paragraph" w:styleId="14">
    <w:name w:val="List Paragraph"/>
    <w:basedOn w:val="1"/>
    <w:qFormat/>
    <w:uiPriority w:val="1"/>
    <w:pPr>
      <w:ind w:left="720"/>
      <w:contextualSpacing/>
    </w:pPr>
  </w:style>
  <w:style w:type="character" w:customStyle="1" w:styleId="15">
    <w:name w:val="HTML Preformatted Char"/>
    <w:basedOn w:val="10"/>
    <w:link w:val="8"/>
    <w:qFormat/>
    <w:uiPriority w:val="99"/>
    <w:rPr>
      <w:rFonts w:ascii="Courier New" w:hAnsi="Courier New" w:eastAsia="Times New Roman" w:cs="Times New Roman"/>
      <w:sz w:val="20"/>
      <w:szCs w:val="20"/>
    </w:rPr>
  </w:style>
  <w:style w:type="character" w:customStyle="1" w:styleId="16">
    <w:name w:val="Header Char"/>
    <w:basedOn w:val="10"/>
    <w:link w:val="7"/>
    <w:qFormat/>
    <w:uiPriority w:val="99"/>
    <w:rPr>
      <w:rFonts w:ascii="Calibri" w:hAnsi="Calibri" w:eastAsia="Calibri" w:cs="Times New Roman"/>
    </w:rPr>
  </w:style>
  <w:style w:type="character" w:customStyle="1" w:styleId="17">
    <w:name w:val="Footer Char"/>
    <w:basedOn w:val="10"/>
    <w:link w:val="6"/>
    <w:qFormat/>
    <w:uiPriority w:val="99"/>
    <w:rPr>
      <w:rFonts w:ascii="Calibri" w:hAnsi="Calibri" w:eastAsia="Calibri" w:cs="Times New Roman"/>
    </w:rPr>
  </w:style>
  <w:style w:type="paragraph" w:customStyle="1" w:styleId="18">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character" w:customStyle="1" w:styleId="19">
    <w:name w:val="e24kjd"/>
    <w:basedOn w:val="10"/>
    <w:qFormat/>
    <w:uiPriority w:val="0"/>
  </w:style>
  <w:style w:type="character" w:customStyle="1" w:styleId="20">
    <w:name w:val="Balloon Text Char"/>
    <w:basedOn w:val="10"/>
    <w:link w:val="3"/>
    <w:semiHidden/>
    <w:qFormat/>
    <w:uiPriority w:val="99"/>
    <w:rPr>
      <w:rFonts w:ascii="Tahoma" w:hAnsi="Tahoma" w:eastAsia="Calibri" w:cs="Tahoma"/>
      <w:sz w:val="16"/>
      <w:szCs w:val="16"/>
    </w:rPr>
  </w:style>
  <w:style w:type="character" w:customStyle="1" w:styleId="21">
    <w:name w:val="Comment Text Char"/>
    <w:basedOn w:val="10"/>
    <w:link w:val="4"/>
    <w:qFormat/>
    <w:uiPriority w:val="0"/>
    <w:rPr>
      <w:rFonts w:ascii="Calibri" w:hAnsi="Calibri" w:eastAsia="Calibri"/>
      <w:sz w:val="22"/>
      <w:szCs w:val="22"/>
    </w:rPr>
  </w:style>
  <w:style w:type="character" w:customStyle="1" w:styleId="22">
    <w:name w:val="Comment Subject Char"/>
    <w:basedOn w:val="21"/>
    <w:link w:val="5"/>
    <w:qFormat/>
    <w:uiPriority w:val="0"/>
    <w:rPr>
      <w:rFonts w:ascii="Calibri" w:hAnsi="Calibri" w:eastAsia="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23488-95A0-405D-B7F3-D78A705BD015}">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17</Pages>
  <Words>6089</Words>
  <Characters>34712</Characters>
  <Lines>289</Lines>
  <Paragraphs>81</Paragraphs>
  <TotalTime>30</TotalTime>
  <ScaleCrop>false</ScaleCrop>
  <LinksUpToDate>false</LinksUpToDate>
  <CharactersWithSpaces>40720</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2020-05-01T04:18:00Z</dcterms:created>
  <dc:creator>user</dc:creator>
  <cp:lastModifiedBy>ASUS</cp:lastModifiedBy>
  <dcterms:modified xsi:type="dcterms:W3CDTF">2020-06-21T11:49:09Z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