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8D" w:rsidRPr="00A3565D" w:rsidRDefault="00B0328D" w:rsidP="00A3565D">
      <w:pPr>
        <w:pStyle w:val="BodyText"/>
        <w:jc w:val="center"/>
        <w:rPr>
          <w:b/>
          <w:color w:val="000000"/>
        </w:rPr>
      </w:pPr>
      <w:r w:rsidRPr="00A3565D">
        <w:rPr>
          <w:b/>
        </w:rPr>
        <w:t>PENGARUH KEBIJAKAN AKUNTANSI, PENGENDALIAN INTERNAL DAN RISIKO KEUANGAN TERHADAP PENGUNGKAPAN RISIKO</w:t>
      </w:r>
    </w:p>
    <w:p w:rsidR="00B0328D" w:rsidRPr="00A3565D" w:rsidRDefault="00B0328D" w:rsidP="00A3565D">
      <w:pPr>
        <w:pStyle w:val="Heading1"/>
        <w:spacing w:before="0"/>
        <w:ind w:left="0" w:right="0"/>
        <w:rPr>
          <w:bCs w:val="0"/>
          <w:sz w:val="24"/>
          <w:szCs w:val="24"/>
        </w:rPr>
      </w:pPr>
      <w:r w:rsidRPr="00A3565D">
        <w:rPr>
          <w:bCs w:val="0"/>
          <w:sz w:val="24"/>
          <w:szCs w:val="24"/>
        </w:rPr>
        <w:t>( Studi Kasus Perusahaan Manufaktur Yang Terdaftar Di Bursa Efek Indonesia Tahun 2017-2019 )</w:t>
      </w:r>
    </w:p>
    <w:p w:rsidR="00B0328D" w:rsidRPr="00A3565D" w:rsidRDefault="00B0328D" w:rsidP="00A3565D">
      <w:pPr>
        <w:pStyle w:val="Heading1"/>
        <w:spacing w:before="0"/>
        <w:ind w:left="0" w:right="0"/>
        <w:rPr>
          <w:bCs w:val="0"/>
          <w:sz w:val="24"/>
          <w:szCs w:val="24"/>
        </w:rPr>
      </w:pPr>
    </w:p>
    <w:p w:rsidR="00B0328D" w:rsidRPr="00A3565D" w:rsidRDefault="00B0328D" w:rsidP="00A3565D">
      <w:pPr>
        <w:pStyle w:val="Heading1"/>
        <w:spacing w:before="0"/>
        <w:ind w:left="0" w:right="0"/>
        <w:rPr>
          <w:bCs w:val="0"/>
          <w:sz w:val="24"/>
          <w:szCs w:val="24"/>
        </w:rPr>
      </w:pPr>
    </w:p>
    <w:p w:rsidR="00B0328D" w:rsidRPr="00A3565D" w:rsidRDefault="00B0328D" w:rsidP="00A3565D">
      <w:pPr>
        <w:spacing w:after="0" w:line="240" w:lineRule="auto"/>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THE INFLUENCE OF ACCOUNTING POLICIES, INTERNAL CONTROL AND FINANCIAL RISK ON RISK DISCLOSURE</w:t>
      </w:r>
    </w:p>
    <w:p w:rsidR="00B0328D" w:rsidRPr="00A3565D" w:rsidRDefault="00B0328D" w:rsidP="00A3565D">
      <w:pPr>
        <w:spacing w:after="0" w:line="240" w:lineRule="auto"/>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(CASE STUDIES OF MANUFACTURING COMPANIES LISTED ON INDONESIA STOCK EXCHANGE 2017-2019)</w:t>
      </w:r>
    </w:p>
    <w:p w:rsidR="00B0328D" w:rsidRPr="00A3565D" w:rsidRDefault="00B0328D" w:rsidP="00A3565D">
      <w:pPr>
        <w:pStyle w:val="Heading1"/>
        <w:spacing w:before="0"/>
        <w:ind w:left="0" w:right="0"/>
        <w:rPr>
          <w:bCs w:val="0"/>
          <w:sz w:val="24"/>
          <w:szCs w:val="24"/>
        </w:rPr>
      </w:pPr>
    </w:p>
    <w:p w:rsidR="00B0328D" w:rsidRPr="00A3565D" w:rsidRDefault="00B0328D" w:rsidP="00A3565D">
      <w:pPr>
        <w:spacing w:after="240" w:line="240" w:lineRule="auto"/>
        <w:jc w:val="center"/>
        <w:rPr>
          <w:rFonts w:ascii="Times New Roman" w:hAnsi="Times New Roman" w:cs="Times New Roman"/>
          <w:b/>
          <w:sz w:val="24"/>
          <w:szCs w:val="24"/>
        </w:rPr>
      </w:pPr>
      <w:r w:rsidRPr="00A3565D">
        <w:rPr>
          <w:rFonts w:ascii="Times New Roman" w:hAnsi="Times New Roman" w:cs="Times New Roman"/>
          <w:b/>
          <w:sz w:val="24"/>
          <w:szCs w:val="24"/>
        </w:rPr>
        <w:t>Laeli Indah Yuliana</w:t>
      </w:r>
    </w:p>
    <w:p w:rsidR="00B0328D" w:rsidRPr="00A3565D" w:rsidRDefault="00B0328D" w:rsidP="00A3565D">
      <w:pPr>
        <w:spacing w:after="240" w:line="240" w:lineRule="auto"/>
        <w:jc w:val="center"/>
        <w:rPr>
          <w:rFonts w:ascii="Times New Roman" w:hAnsi="Times New Roman" w:cs="Times New Roman"/>
          <w:b/>
          <w:sz w:val="24"/>
          <w:szCs w:val="24"/>
        </w:rPr>
      </w:pPr>
      <w:r w:rsidRPr="00A3565D">
        <w:rPr>
          <w:rFonts w:ascii="Times New Roman" w:hAnsi="Times New Roman" w:cs="Times New Roman"/>
          <w:b/>
          <w:sz w:val="24"/>
          <w:szCs w:val="24"/>
        </w:rPr>
        <w:t>Universitas Mercu Buana Yogyakarta</w:t>
      </w:r>
    </w:p>
    <w:p w:rsidR="00B0328D" w:rsidRPr="00A3565D" w:rsidRDefault="001D17CE" w:rsidP="00A3565D">
      <w:pPr>
        <w:spacing w:after="240" w:line="240" w:lineRule="auto"/>
        <w:jc w:val="center"/>
        <w:rPr>
          <w:rFonts w:ascii="Times New Roman" w:hAnsi="Times New Roman" w:cs="Times New Roman"/>
          <w:b/>
          <w:sz w:val="24"/>
          <w:szCs w:val="24"/>
        </w:rPr>
      </w:pPr>
      <w:hyperlink r:id="rId5" w:history="1">
        <w:r w:rsidR="00B0328D" w:rsidRPr="00A3565D">
          <w:rPr>
            <w:rStyle w:val="Hyperlink"/>
            <w:rFonts w:ascii="Times New Roman" w:hAnsi="Times New Roman" w:cs="Times New Roman"/>
            <w:b/>
            <w:sz w:val="24"/>
            <w:szCs w:val="24"/>
          </w:rPr>
          <w:t>laeliindah30@gmail.com</w:t>
        </w:r>
      </w:hyperlink>
    </w:p>
    <w:p w:rsidR="00B0328D" w:rsidRPr="00A3565D" w:rsidRDefault="00B0328D" w:rsidP="00A3565D">
      <w:pPr>
        <w:pStyle w:val="Heading1"/>
        <w:spacing w:before="0"/>
        <w:ind w:left="0" w:right="0"/>
        <w:rPr>
          <w:sz w:val="24"/>
          <w:szCs w:val="24"/>
        </w:rPr>
      </w:pPr>
    </w:p>
    <w:p w:rsidR="00B0328D" w:rsidRPr="00A3565D" w:rsidRDefault="00B0328D" w:rsidP="00A3565D">
      <w:pPr>
        <w:spacing w:line="240" w:lineRule="auto"/>
        <w:jc w:val="center"/>
        <w:rPr>
          <w:rFonts w:ascii="Times New Roman" w:hAnsi="Times New Roman" w:cs="Times New Roman"/>
          <w:sz w:val="24"/>
          <w:szCs w:val="24"/>
        </w:rPr>
      </w:pPr>
      <w:r w:rsidRPr="00A3565D">
        <w:rPr>
          <w:rFonts w:ascii="Times New Roman" w:hAnsi="Times New Roman" w:cs="Times New Roman"/>
          <w:sz w:val="24"/>
          <w:szCs w:val="24"/>
        </w:rPr>
        <w:t>ABSTRAK</w:t>
      </w:r>
    </w:p>
    <w:p w:rsidR="00B0328D" w:rsidRPr="00A3565D" w:rsidRDefault="00B0328D"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Penelitian ini bertujuan untuk meneliti pengaruh dari kebijakan akuntansi, pengendalian internal dan risiko keuangan terhadap pengungkapan risiko pada perusahaan manufaktur. Populasi dalam penelitian ini adalah perusahaan manufaktur yang terdaftar di Bursa Efek Indonesia (BEI) tahun 2017-2019. Variabel independen dalam penelitian ini adalah kebijakan akuntansi, pengendalian internal dan risiko keuangan. Sedangkan, variabel dependen dalam penelitian ini adalah pengungkapan risiko. Tenik yang digunakan dalam penelitian ini adalah metode analisis regresi linier berganda. Penentuan sampel menggunakan metode purposive sampling, yang kemudian memperoleh sampel sebanyak 38 perusahaan. Hasil dari penelitian ini menunjukkan bahwa kebijakan akuntansi berpengaruh negatif dan tidak signifikan  terhadap pengungkapan risiko. Pengendalian internal berpengaruh positif dan tidak signifikan terhadap pengungkapan  risiko. Risiko keuangan  berpengaruh negatif dan tidak signifikan terhadap pengungkapan risiko. Implikasi dari penelitian ini adalah diharapkan perusahaan lebih banyak mengungkapkan informasi kondisi keuangan perusahaan secara </w:t>
      </w:r>
      <w:r w:rsidRPr="00A3565D">
        <w:rPr>
          <w:rFonts w:ascii="Times New Roman" w:hAnsi="Times New Roman" w:cs="Times New Roman"/>
          <w:i/>
          <w:color w:val="000000" w:themeColor="text1"/>
          <w:sz w:val="24"/>
          <w:szCs w:val="24"/>
        </w:rPr>
        <w:t xml:space="preserve">real, </w:t>
      </w:r>
      <w:r w:rsidRPr="00A3565D">
        <w:rPr>
          <w:rFonts w:ascii="Times New Roman" w:hAnsi="Times New Roman" w:cs="Times New Roman"/>
          <w:color w:val="000000" w:themeColor="text1"/>
          <w:sz w:val="24"/>
          <w:szCs w:val="24"/>
        </w:rPr>
        <w:t>agar investor yang menginvestasikan dananya pada perusahaan tersebut tidak merasa dirugikan.</w:t>
      </w:r>
    </w:p>
    <w:p w:rsidR="00B0328D" w:rsidRPr="00A3565D" w:rsidRDefault="00B0328D" w:rsidP="00A3565D">
      <w:pPr>
        <w:spacing w:after="0" w:line="240" w:lineRule="auto"/>
        <w:ind w:firstLine="720"/>
        <w:jc w:val="both"/>
        <w:rPr>
          <w:rFonts w:ascii="Times New Roman" w:hAnsi="Times New Roman" w:cs="Times New Roman"/>
          <w:color w:val="000000" w:themeColor="text1"/>
          <w:sz w:val="24"/>
          <w:szCs w:val="24"/>
        </w:rPr>
      </w:pPr>
    </w:p>
    <w:p w:rsidR="00B0328D" w:rsidRPr="00A3565D" w:rsidRDefault="00B0328D" w:rsidP="00A3565D">
      <w:pPr>
        <w:spacing w:after="0" w:line="240" w:lineRule="auto"/>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Kata Kunci: Pengungkapan  risiko, kebijakan akuntansi, pengendalian internal, risiko keuangan</w:t>
      </w:r>
    </w:p>
    <w:p w:rsidR="00B0328D" w:rsidRPr="00A3565D" w:rsidRDefault="00B0328D" w:rsidP="00A3565D">
      <w:pPr>
        <w:spacing w:after="0" w:line="240" w:lineRule="auto"/>
        <w:jc w:val="center"/>
        <w:rPr>
          <w:rFonts w:ascii="Times New Roman" w:hAnsi="Times New Roman" w:cs="Times New Roman"/>
          <w:b/>
          <w:sz w:val="24"/>
          <w:szCs w:val="24"/>
        </w:rPr>
      </w:pPr>
    </w:p>
    <w:p w:rsidR="00B0328D" w:rsidRPr="00A3565D" w:rsidRDefault="00B0328D" w:rsidP="00A3565D">
      <w:pPr>
        <w:spacing w:after="0" w:line="240" w:lineRule="auto"/>
        <w:jc w:val="center"/>
        <w:rPr>
          <w:rFonts w:ascii="Times New Roman" w:hAnsi="Times New Roman" w:cs="Times New Roman"/>
          <w:b/>
          <w:sz w:val="24"/>
          <w:szCs w:val="24"/>
        </w:rPr>
      </w:pPr>
      <w:r w:rsidRPr="00A3565D">
        <w:rPr>
          <w:rFonts w:ascii="Times New Roman" w:hAnsi="Times New Roman" w:cs="Times New Roman"/>
          <w:b/>
          <w:sz w:val="24"/>
          <w:szCs w:val="24"/>
        </w:rPr>
        <w:t>ABSTRACT</w:t>
      </w:r>
    </w:p>
    <w:p w:rsidR="00B0328D" w:rsidRPr="00A3565D" w:rsidRDefault="00B0328D" w:rsidP="00A3565D">
      <w:pPr>
        <w:spacing w:after="0" w:line="240" w:lineRule="auto"/>
        <w:jc w:val="center"/>
        <w:rPr>
          <w:rFonts w:ascii="Times New Roman" w:hAnsi="Times New Roman" w:cs="Times New Roman"/>
          <w:b/>
          <w:sz w:val="24"/>
          <w:szCs w:val="24"/>
        </w:rPr>
      </w:pPr>
    </w:p>
    <w:p w:rsidR="00B0328D" w:rsidRPr="00A3565D" w:rsidRDefault="00B0328D"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This study aims to examine the effect of accounting policies, internal control and financial risk on risk disclosure in manufacturing companies. The population in this study are manufacturing companies listed on the Indonesia Stock Exchange (BEI) 2017-2019. The independent variables in this study are accounting policies, internal control and financial risk. Meanwhile, the dependent variable in this study is risk disclosure. The technique used in this research is multiple linear regression analysis method. Determination of the sample using purposive sampling method, which then obtained a sample of 38 companies. The results of this study indicate that accounting policies have a negative and insignificant effect on risk disclosure. </w:t>
      </w:r>
      <w:r w:rsidRPr="00A3565D">
        <w:rPr>
          <w:rFonts w:ascii="Times New Roman" w:hAnsi="Times New Roman" w:cs="Times New Roman"/>
          <w:color w:val="000000" w:themeColor="text1"/>
          <w:sz w:val="24"/>
          <w:szCs w:val="24"/>
        </w:rPr>
        <w:lastRenderedPageBreak/>
        <w:t>Internal control has a positive and insignificant effect on risk disclosure. Financial risk has a negative and insignificant effect on risk disclosure. The implication of this research is that the company is expected to disclose more information on the company's financial condition in real terms, so that investors who invest their funds in the company do not feel disadvantaged.</w:t>
      </w:r>
    </w:p>
    <w:p w:rsidR="00B0328D" w:rsidRPr="00A3565D" w:rsidRDefault="00B0328D" w:rsidP="00A3565D">
      <w:pPr>
        <w:spacing w:after="0" w:line="240" w:lineRule="auto"/>
        <w:jc w:val="both"/>
        <w:rPr>
          <w:rFonts w:ascii="Times New Roman" w:hAnsi="Times New Roman" w:cs="Times New Roman"/>
          <w:color w:val="000000" w:themeColor="text1"/>
          <w:sz w:val="24"/>
          <w:szCs w:val="24"/>
        </w:rPr>
      </w:pPr>
    </w:p>
    <w:p w:rsidR="00B0328D" w:rsidRPr="00A3565D" w:rsidRDefault="00B0328D" w:rsidP="00A3565D">
      <w:pPr>
        <w:spacing w:after="0" w:line="240" w:lineRule="auto"/>
        <w:jc w:val="both"/>
        <w:rPr>
          <w:rFonts w:ascii="Times New Roman" w:hAnsi="Times New Roman" w:cs="Times New Roman"/>
          <w:b/>
          <w:color w:val="000000" w:themeColor="text1"/>
          <w:sz w:val="24"/>
          <w:szCs w:val="24"/>
        </w:rPr>
      </w:pPr>
      <w:r w:rsidRPr="00A3565D">
        <w:rPr>
          <w:rFonts w:ascii="Times New Roman" w:hAnsi="Times New Roman" w:cs="Times New Roman"/>
          <w:color w:val="000000" w:themeColor="text1"/>
          <w:sz w:val="24"/>
          <w:szCs w:val="24"/>
        </w:rPr>
        <w:t>Keywords: risk disclosure, accounting policies, internal control, financial risk</w:t>
      </w:r>
    </w:p>
    <w:p w:rsidR="00B93004" w:rsidRPr="00A3565D" w:rsidRDefault="00B93004" w:rsidP="00A3565D">
      <w:pPr>
        <w:spacing w:line="240" w:lineRule="auto"/>
        <w:rPr>
          <w:rFonts w:ascii="Times New Roman" w:hAnsi="Times New Roman" w:cs="Times New Roman"/>
          <w:sz w:val="24"/>
          <w:szCs w:val="24"/>
        </w:rPr>
      </w:pPr>
    </w:p>
    <w:p w:rsidR="00B0328D" w:rsidRPr="00A3565D" w:rsidRDefault="00B0328D" w:rsidP="00A3565D">
      <w:pPr>
        <w:pStyle w:val="Heading1"/>
        <w:spacing w:before="0" w:after="240"/>
        <w:ind w:left="0"/>
        <w:jc w:val="left"/>
        <w:rPr>
          <w:spacing w:val="-1"/>
          <w:sz w:val="24"/>
          <w:szCs w:val="24"/>
        </w:rPr>
      </w:pPr>
      <w:bookmarkStart w:id="0" w:name="_Toc57843876"/>
      <w:r w:rsidRPr="00A3565D">
        <w:rPr>
          <w:spacing w:val="-1"/>
          <w:sz w:val="24"/>
          <w:szCs w:val="24"/>
        </w:rPr>
        <w:t>PENDAHULUAN</w:t>
      </w:r>
      <w:bookmarkEnd w:id="0"/>
    </w:p>
    <w:p w:rsidR="00B0328D" w:rsidRPr="00A3565D" w:rsidRDefault="00B0328D" w:rsidP="00A3565D">
      <w:pPr>
        <w:spacing w:line="240" w:lineRule="auto"/>
        <w:ind w:firstLine="720"/>
        <w:jc w:val="both"/>
        <w:rPr>
          <w:rFonts w:ascii="Times New Roman" w:eastAsia="Calibri" w:hAnsi="Times New Roman" w:cs="Times New Roman"/>
          <w:color w:val="000000"/>
          <w:sz w:val="24"/>
          <w:szCs w:val="24"/>
        </w:rPr>
      </w:pPr>
      <w:r w:rsidRPr="00A3565D">
        <w:rPr>
          <w:rFonts w:ascii="Times New Roman" w:eastAsia="Calibri" w:hAnsi="Times New Roman" w:cs="Times New Roman"/>
          <w:color w:val="000000"/>
          <w:sz w:val="24"/>
          <w:szCs w:val="24"/>
        </w:rPr>
        <w:t xml:space="preserve">Keberadaan risiko dalam setiap kegiatan usaha tidak bisa dihindari pada dunia bisnis. Risiko bukan suatu bencana yang sering membawa dampak negatif apabila perusahaan mampu untuk mengelola risiko dengan baik. Salah satu aspek penting dalam perusahaan untuk melaksanakan pengelolaan risiko itu yaitu pengungkapan risiko. Melalui pengungkapan risiko perusahaan dapat berkomunikasi dengan para </w:t>
      </w:r>
      <w:r w:rsidRPr="00A3565D">
        <w:rPr>
          <w:rFonts w:ascii="Times New Roman" w:eastAsia="Calibri" w:hAnsi="Times New Roman" w:cs="Times New Roman"/>
          <w:i/>
          <w:color w:val="000000"/>
          <w:sz w:val="24"/>
          <w:szCs w:val="24"/>
        </w:rPr>
        <w:t>stakeholder</w:t>
      </w:r>
      <w:r w:rsidRPr="00A3565D">
        <w:rPr>
          <w:rFonts w:ascii="Times New Roman" w:eastAsia="Calibri" w:hAnsi="Times New Roman" w:cs="Times New Roman"/>
          <w:color w:val="000000"/>
          <w:sz w:val="24"/>
          <w:szCs w:val="24"/>
        </w:rPr>
        <w:t xml:space="preserve">nya untuk memberikan informasi khususnya data terkait risiko yang dialami oleh perusahaan. Informasi risiko mampu membantu para </w:t>
      </w:r>
      <w:r w:rsidRPr="00A3565D">
        <w:rPr>
          <w:rFonts w:ascii="Times New Roman" w:eastAsia="Calibri" w:hAnsi="Times New Roman" w:cs="Times New Roman"/>
          <w:i/>
          <w:color w:val="000000"/>
          <w:sz w:val="24"/>
          <w:szCs w:val="24"/>
        </w:rPr>
        <w:t xml:space="preserve">stakeholder </w:t>
      </w:r>
      <w:r w:rsidRPr="00A3565D">
        <w:rPr>
          <w:rFonts w:ascii="Times New Roman" w:eastAsia="Calibri" w:hAnsi="Times New Roman" w:cs="Times New Roman"/>
          <w:color w:val="000000"/>
          <w:sz w:val="24"/>
          <w:szCs w:val="24"/>
        </w:rPr>
        <w:t xml:space="preserve">dalam mengindentifikasi tipe risiko yang dialami perusahaan serta mengukur keakuratan perkiraan harga saham serta memperkirakan nilai pasarnya </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{"citationItems":[{"id":"ITEM-1","itemData":{"abstract":"Global Review of Accounting and Finance Vol … Also, both the number of executive and the number of independent directors related positively to the level of corporate risk reporting … Beta is one of the most popular and commonly used measures of risk for the financial markets …","author":[{"dropping-particle":"","family":"Mousa","given":"Gehan a","non-dropping-particle":"","parse-names":false,"suffix":""},{"dropping-particle":"","family":"Elamir","given":"Elsayed a H","non-dropping-particle":"","parse-names":false,"suffix":""}],"container-title":"Global Review of Accounting and Finance","id":"ITEM-1","issue":"1","issued":{"date-parts":[["2013"]]},"page":"27-54","title":"Content Analysis of Corporate Risk Disclosures : The Case of Bahraini Capital Market Mousa &amp; Elamir","type":"article-journal","volume":"4"},"uris":["http://www.mendeley.com/documents/?uuid=dd5467af-51fe-4103-b9db-03fb7cfa508c"]}],"mendeley":{"formattedCitation":"(Mousa &amp; Elamir, 2013)","plainTextFormattedCitation":"(Mousa &amp; Elamir, 2013)","previouslyFormattedCitation":"(Mousa &amp; Elamir, 2013)"},"properties":{"noteIndex":0},"schema":"https://github.com/citation-style-language/schema/raw/master/csl-citation.json"}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(Mousa &amp; Elamir, 2013)</w:t>
      </w:r>
      <w:r w:rsidR="001D17CE" w:rsidRPr="00A3565D">
        <w:rPr>
          <w:rFonts w:ascii="Times New Roman" w:eastAsia="Calibri" w:hAnsi="Times New Roman" w:cs="Times New Roman"/>
          <w:color w:val="000000"/>
          <w:sz w:val="24"/>
          <w:szCs w:val="24"/>
        </w:rPr>
        <w:fldChar w:fldCharType="end"/>
      </w:r>
      <w:r w:rsidRPr="00A3565D">
        <w:rPr>
          <w:rFonts w:ascii="Times New Roman" w:eastAsia="Calibri" w:hAnsi="Times New Roman" w:cs="Times New Roman"/>
          <w:color w:val="000000"/>
          <w:sz w:val="24"/>
          <w:szCs w:val="24"/>
        </w:rPr>
        <w:t xml:space="preserve">. Dalam mengelola risiko perusahaan, pihak manajemen melakukan salah satu cara yaitu dengan mengungkapkan risiko-risiko tersebut pada laporan tahunan perusahaan </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{"citationItems":[{"id":"ITEM-1","itemData":{"ISSN":"2337-3806","abstract":"The purpose of this research is to provide empirical evidence of barriers to entry, ownership concentration, board size, board compotition, firm size, liquidity, industrial sector and auditor type. Barriers to entry was measured by total fixed assets, ownership concentration was measured by percentage of shares held by substantial shareholders &gt;5%, board size was measured by number of board member, board compotition was measured by idependent board/total board, firm size was measured by log natural of net sales, liquidity was measured by the acid test rate, industrial sector and auditor type was measured by variabel dummy. Risk disclosure was measured by content analysis-sentence approach. The population of this research is 428 companies in the non-financial companies which were listed in Indonesian Stock Exchange (IDX). The research data were collected from annual report and financial statement for 2012. Based on stratified random sampling method, there are 102 samples. The reseacrh hypotesis were tested using multiple regression analysis. The results of this research show that barriers to entry and auditor type have significant relationships with risk disclosure. Next, variable ownership concentration, board size, board compotition, firm size, liquidity, industrial sector have no significant relationship with risk disclosure.","author":[{"dropping-particle":"","family":"Agustina","given":"C. H.","non-dropping-particle":"","parse-names":false,"suffix":""}],"id":"ITEM-1","issued":{"date-parts":[["2014"]]},"publisher":"Universitas Diponegoro","title":"Pengaruh Kompetisi, Corporate Governance, Struktur Kepemilikan Terhadap Pengungkapan Risiko","type":"thesis"},"uris":["http://www.mendeley.com/documents/?uuid=ed9e0615-eeee-4b47-acfb-61db79a5240c"]}],"mendeley":{"formattedCitation":"(Agustina, 2014)","plainTextFormattedCitation":"(Agustina, 2014)","previouslyFormattedCitation":"(Agustina, 2014)"},"properties":{"noteIndex":0},"schema":"https://github.com/citation-style-language/schema/raw/master/csl-citation.json"}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(Agustina, 2014)</w:t>
      </w:r>
      <w:r w:rsidR="001D17CE" w:rsidRPr="00A3565D">
        <w:rPr>
          <w:rFonts w:ascii="Times New Roman" w:eastAsia="Calibri" w:hAnsi="Times New Roman" w:cs="Times New Roman"/>
          <w:color w:val="000000"/>
          <w:sz w:val="24"/>
          <w:szCs w:val="24"/>
        </w:rPr>
        <w:fldChar w:fldCharType="end"/>
      </w:r>
      <w:r w:rsidRPr="00A3565D">
        <w:rPr>
          <w:rFonts w:ascii="Times New Roman" w:eastAsia="Calibri" w:hAnsi="Times New Roman" w:cs="Times New Roman"/>
          <w:color w:val="000000"/>
          <w:sz w:val="24"/>
          <w:szCs w:val="24"/>
        </w:rPr>
        <w:t>.</w:t>
      </w:r>
    </w:p>
    <w:p w:rsidR="00B0328D" w:rsidRPr="00A3565D" w:rsidRDefault="00B0328D" w:rsidP="00A3565D">
      <w:pPr>
        <w:spacing w:line="240" w:lineRule="auto"/>
        <w:ind w:firstLine="720"/>
        <w:jc w:val="both"/>
        <w:rPr>
          <w:rFonts w:ascii="Times New Roman" w:hAnsi="Times New Roman" w:cs="Times New Roman"/>
          <w:color w:val="000000" w:themeColor="text1"/>
          <w:sz w:val="24"/>
          <w:szCs w:val="24"/>
        </w:rPr>
      </w:pPr>
      <w:r w:rsidRPr="00A3565D">
        <w:rPr>
          <w:rFonts w:ascii="Times New Roman" w:eastAsia="Calibri" w:hAnsi="Times New Roman" w:cs="Times New Roman"/>
          <w:color w:val="000000"/>
          <w:sz w:val="24"/>
          <w:szCs w:val="24"/>
        </w:rPr>
        <w:t xml:space="preserve">Laporan tahunan perusahaan termasuk dalam salah satu media yang digunakan perusahaan untuk menarik minat </w:t>
      </w:r>
      <w:r w:rsidRPr="00A3565D">
        <w:rPr>
          <w:rFonts w:ascii="Times New Roman" w:eastAsia="Calibri" w:hAnsi="Times New Roman" w:cs="Times New Roman"/>
          <w:i/>
          <w:color w:val="000000"/>
          <w:sz w:val="24"/>
          <w:szCs w:val="24"/>
        </w:rPr>
        <w:t xml:space="preserve">stakeholder </w:t>
      </w:r>
      <w:r w:rsidRPr="00A3565D">
        <w:rPr>
          <w:rFonts w:ascii="Times New Roman" w:eastAsia="Calibri" w:hAnsi="Times New Roman" w:cs="Times New Roman"/>
          <w:color w:val="000000"/>
          <w:sz w:val="24"/>
          <w:szCs w:val="24"/>
        </w:rPr>
        <w:t xml:space="preserve">dalam berinvestasi. Tujuan dari sejumlah perusahaan besar untuk mengungkapkan banyak informasi dalam laporan tahunan guna memenuhi kebutuhan pihak-pihak yang berkepentingan. Kebutuhan akan pengungkapan risiko dinilai tidak hanya terdapat pada pengguna informasi yang lama saja, tetapi juga pengguna informasi yang barubaru </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{"citationItems":[{"id":"ITEM-1","itemData":{"DOI":"10.1016/j.cya.2015.05.014","ISSN":"01861042","abstract":"Improvements in risk disclosure have been an important part of the corporate governance reforms. This paper is intended to identify the factors that explain the extent to which a sample of 35 listed Spanish firms disclose risk-related information. This study focuses on the risk disclosures made in the corporate governance reports during the year 2009. Using the content analysis technique an index was developed in order to assess the amount and quality of the risk information disclosed by Spanish companies. Several characteristics were selected and their influence on the level of risk disclosure was tested empirically. Results indicate that sector and risk level are positively related to the extent of corporate risk disclosures. This study adds to the international research on risk disclosure by extending the scope of the current understanding of risk reporting practices and their determinants. The findings could be especially useful for regulators and policy-makers in order to enhance risk disclosure and to improve transparency.","author":[{"dropping-particle":"","family":"Hernández Madrigal","given":"Mónica","non-dropping-particle":"","parse-names":false,"suffix":""},{"dropping-particle":"","family":"Aibar Guzmán","given":"Beatriz","non-dropping-particle":"","parse-names":false,"suffix":""},{"dropping-particle":"","family":"Aibar Guzmán","given":"Cristina","non-dropping-particle":"","parse-names":false,"suffix":""}],"container-title":"Contaduria y Administracion","id":"ITEM-1","issue":"4","issued":{"date-parts":[["2015"]]},"page":"757-775","publisher":"Universidad Nacional Autónoma de México, Facultad de Contaduría y Administración","title":"Determinants of corporate risk disclosure in large Spanish companies: A snapshot","type":"article-journal","volume":"60"},"uris":["http://www.mendeley.com/documents/?uuid=00fcd3de-32b6-4329-96e6-9286e0f265bd"]}],"mendeley":{"formattedCitation":"(Hernández Madrigal et al., 2015)","plainTextFormattedCitation":"(Hernández Madrigal et al., 2015)","previouslyFormattedCitation":"(Hernández Madrigal et al., 2015)"},"properties":{"noteIndex":0},"schema":"https://github.com/citation-style-language/schema/raw/master/csl-citation.json"}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(Hernández Madrigal et al., 2015)</w:t>
      </w:r>
      <w:r w:rsidR="001D17CE" w:rsidRPr="00A3565D">
        <w:rPr>
          <w:rFonts w:ascii="Times New Roman" w:eastAsia="Calibri" w:hAnsi="Times New Roman" w:cs="Times New Roman"/>
          <w:color w:val="000000"/>
          <w:sz w:val="24"/>
          <w:szCs w:val="24"/>
        </w:rPr>
        <w:fldChar w:fldCharType="end"/>
      </w:r>
      <w:r w:rsidRPr="00A3565D">
        <w:rPr>
          <w:rFonts w:ascii="Times New Roman" w:eastAsia="Calibri" w:hAnsi="Times New Roman" w:cs="Times New Roman"/>
          <w:color w:val="000000"/>
          <w:sz w:val="24"/>
          <w:szCs w:val="24"/>
        </w:rPr>
        <w:t xml:space="preserve">. Informasi yang relevan dengan kualitas dan performa keuangan perusahaan berkaitan dengan kegiatan operasional, sosial dan lingkungan, serta risiko perusahaan. Adanya kegagalan suatu perusahaan dalam manajemen menyebabkan investor serta pemegang kepentingan lebih memperhatikan pentingnya informasi mengenai risiko </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{"citationItems":[{"id":"ITEM-1","itemData":{"DOI":"10.1108/MAJ-11-2012-0776","ISSN":"02686902","abstract":"Purpose: This study aims to measure the extent of mandatory and voluntary risk reporting and investigate the impact of competition, corporate governance and ownership structure on risk reporting practices in annual reports of Egyptian companies. Design/methodology/approach: A number of theoretical perspectives including proprietary cost, agency theory, stakeholder theory, political cost, signalling theory and legitimacy theory are used to derive research hypotheses and identify the potential determinants of risk reporting practices in the annual reports of Egyptian companies. The annual reports of 105 listed companies for 2007 were examined to measure the extent of risk reporting and examine potential determinants of risk reporting. An unweighted disclosure index, based on Egyptian Accounting Standards (EAS) 25, has been used to measure the level of mandatory risk reporting while content analysis - sentence approach - is used in coding voluntary risk reporting. Multiple regression analysis is used in evaluating the relationships between competition, corporate governance, ownership structure and risk reporting. Findings: The results indicate a low level of compliance with mandatory risk reporting requirements. A low extent of voluntary risk reporting with a tendency to report more backward-looking and qualitative risk disclosure compared to forward-looking and quantitative risk disclosure is indicated. Agency theory and proprietary cost provide explanations for the variation of risk reporting in corporate annual reports. It is suggested that competition, role duality, board size, ownership concentration and auditor type are key determinants of risk reporting practices in Egypt. Research limitations/implications: The scoring and classification process suffers from inherent judgment limitations and subjectivity, which cannot be entirely eradicated. The study applies a cross-sectional approach and examines risk reporting practice and its determinants at one point in time. However, longitudinal research may provide a better understanding of risk reporting practices of Egyptian companies. The use of only one proxy of competition is one of the limitations of this study. Practical implications: The findings regarding mandatory disclosure level and nature of voluntary risk disclosure should be on concern to regulatory authorities and standard-setters. Originality/value: The study aims to contribute to risk reporting research through addressing not only mandatory…","author":[{"dropping-particle":"","family":"Mokhtar","given":"Ekramy Said","non-dropping-particle":"","parse-names":false,"suffix":""},{"dropping-particle":"","family":"Mellett","given":"Howard","non-dropping-particle":"","parse-names":false,"suffix":""}],"container-title":"Managerial Auditing Journal","id":"ITEM-1","issue":"9","issued":{"date-parts":[["2013"]]},"page":"838-865","title":"Competition, corporate governance, ownership structure and risk reporting","type":"article-journal","volume":"28"},"uris":["http://www.mendeley.com/documents/?uuid=6912e090-5d26-4141-b0a7-2d3b31ef993c"]}],"mendeley":{"formattedCitation":"(Mokhtar &amp; Mellett, 2013)","plainTextFormattedCitation":"(Mokhtar &amp; Mellett, 2013)","previouslyFormattedCitation":"(Mokhtar &amp; Mellett, 2013)"},"properties":{"noteIndex":0},"schema":"https://github.com/citation-style-language/schema/raw/master/csl-citation.json"}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(Mokhtar &amp; Mellett, 2013)</w:t>
      </w:r>
      <w:r w:rsidR="001D17CE" w:rsidRPr="00A3565D">
        <w:rPr>
          <w:rFonts w:ascii="Times New Roman" w:eastAsia="Calibri" w:hAnsi="Times New Roman" w:cs="Times New Roman"/>
          <w:color w:val="000000"/>
          <w:sz w:val="24"/>
          <w:szCs w:val="24"/>
        </w:rPr>
        <w:fldChar w:fldCharType="end"/>
      </w:r>
      <w:r w:rsidRPr="00A3565D">
        <w:rPr>
          <w:rFonts w:ascii="Times New Roman" w:eastAsia="Calibri" w:hAnsi="Times New Roman" w:cs="Times New Roman"/>
          <w:color w:val="000000"/>
          <w:sz w:val="24"/>
          <w:szCs w:val="24"/>
        </w:rPr>
        <w:t>. Keterbukaan informasi atas risiko dan cara pengelolaan risiko yang dilakukan perusahaan akan meningkatkan kepercayaan dari para pemangku kepentingan.</w:t>
      </w:r>
      <w:r w:rsidRPr="00A3565D">
        <w:rPr>
          <w:rFonts w:ascii="Times New Roman" w:hAnsi="Times New Roman" w:cs="Times New Roman"/>
          <w:color w:val="000000" w:themeColor="text1"/>
          <w:sz w:val="24"/>
          <w:szCs w:val="24"/>
        </w:rPr>
        <w:t xml:space="preserve"> Masih banyak perusahaan yang melakukan skandal akuntansi yang menyebabkan kepercayaan investor dan pengguna informasi berkurang terhadap kelengkapan serta keandalan angka-angka akuntansi dalam laporan keuangan. Pelaporan keuangan dituntut untuk  memberikan informasi-informasi yang sekiranya dapat mempengaruhi </w:t>
      </w:r>
      <w:r w:rsidRPr="00A3565D">
        <w:rPr>
          <w:rFonts w:ascii="Times New Roman" w:hAnsi="Times New Roman" w:cs="Times New Roman"/>
          <w:i/>
          <w:color w:val="000000" w:themeColor="text1"/>
          <w:sz w:val="24"/>
          <w:szCs w:val="24"/>
        </w:rPr>
        <w:t xml:space="preserve">stakeholder </w:t>
      </w:r>
      <w:r w:rsidRPr="00A3565D">
        <w:rPr>
          <w:rFonts w:ascii="Times New Roman" w:hAnsi="Times New Roman" w:cs="Times New Roman"/>
          <w:color w:val="000000" w:themeColor="text1"/>
          <w:sz w:val="24"/>
          <w:szCs w:val="24"/>
        </w:rPr>
        <w:t xml:space="preserve">dalam mempertimbangkan keputusan apa yang akan diambil. Sehingga, apabila informasi dalam laporan keuangan tidak benar, kemungkinan akan terjadi kesalahan dalam pengambilan keputusan yang dilakukan </w:t>
      </w:r>
      <w:r w:rsidRPr="00A3565D">
        <w:rPr>
          <w:rFonts w:ascii="Times New Roman" w:hAnsi="Times New Roman" w:cs="Times New Roman"/>
          <w:i/>
          <w:color w:val="000000" w:themeColor="text1"/>
          <w:sz w:val="24"/>
          <w:szCs w:val="24"/>
        </w:rPr>
        <w:t>stakeholder</w:t>
      </w:r>
      <w:r w:rsidRPr="00A3565D">
        <w:rPr>
          <w:rFonts w:ascii="Times New Roman" w:hAnsi="Times New Roman" w:cs="Times New Roman"/>
          <w:color w:val="000000" w:themeColor="text1"/>
          <w:sz w:val="24"/>
          <w:szCs w:val="24"/>
        </w:rPr>
        <w:t xml:space="preserve">. Kesalahan inilah yang menyebabkan kerugian bagi </w:t>
      </w:r>
      <w:r w:rsidRPr="00A3565D">
        <w:rPr>
          <w:rFonts w:ascii="Times New Roman" w:hAnsi="Times New Roman" w:cs="Times New Roman"/>
          <w:i/>
          <w:color w:val="000000" w:themeColor="text1"/>
          <w:sz w:val="24"/>
          <w:szCs w:val="24"/>
        </w:rPr>
        <w:t>stakeholder</w:t>
      </w:r>
      <w:r w:rsidRPr="00A3565D">
        <w:rPr>
          <w:rFonts w:ascii="Times New Roman" w:hAnsi="Times New Roman" w:cs="Times New Roman"/>
          <w:color w:val="000000" w:themeColor="text1"/>
          <w:sz w:val="24"/>
          <w:szCs w:val="24"/>
        </w:rPr>
        <w:t xml:space="preserve">. Informasi dalam laporan keuangan akan meminimalisir kesalahan </w:t>
      </w:r>
      <w:r w:rsidRPr="00A3565D">
        <w:rPr>
          <w:rFonts w:ascii="Times New Roman" w:hAnsi="Times New Roman" w:cs="Times New Roman"/>
          <w:i/>
          <w:color w:val="000000" w:themeColor="text1"/>
          <w:sz w:val="24"/>
          <w:szCs w:val="24"/>
        </w:rPr>
        <w:t xml:space="preserve">stakeholder </w:t>
      </w:r>
      <w:r w:rsidRPr="00A3565D">
        <w:rPr>
          <w:rFonts w:ascii="Times New Roman" w:hAnsi="Times New Roman" w:cs="Times New Roman"/>
          <w:color w:val="000000" w:themeColor="text1"/>
          <w:sz w:val="24"/>
          <w:szCs w:val="24"/>
        </w:rPr>
        <w:t>dalam pengambilan keputusan dengan melakukan pengungkapan. Pengungkapan yang harus dilakukan oleh perusahaan salah satunya adalah pengungkapan risiko.</w:t>
      </w:r>
    </w:p>
    <w:p w:rsidR="00B0328D" w:rsidRPr="00A3565D" w:rsidRDefault="00B0328D" w:rsidP="00A3565D">
      <w:pPr>
        <w:spacing w:line="240" w:lineRule="auto"/>
        <w:ind w:firstLine="720"/>
        <w:jc w:val="both"/>
        <w:rPr>
          <w:rFonts w:ascii="Times New Roman" w:eastAsia="Calibri" w:hAnsi="Times New Roman" w:cs="Times New Roman"/>
          <w:color w:val="000000"/>
          <w:sz w:val="24"/>
          <w:szCs w:val="24"/>
        </w:rPr>
      </w:pPr>
      <w:r w:rsidRPr="00A3565D">
        <w:rPr>
          <w:rFonts w:ascii="Times New Roman" w:hAnsi="Times New Roman" w:cs="Times New Roman"/>
          <w:color w:val="000000" w:themeColor="text1"/>
          <w:sz w:val="24"/>
          <w:szCs w:val="24"/>
        </w:rPr>
        <w:t xml:space="preserve">Pengungkapan risiko dapat disebabkan oleh beberapa faktor, salah satunya adalah kebijakan akuntansi. </w:t>
      </w:r>
      <w:r w:rsidRPr="00A3565D">
        <w:rPr>
          <w:rFonts w:ascii="Times New Roman" w:hAnsi="Times New Roman" w:cs="Times New Roman"/>
          <w:color w:val="000000" w:themeColor="text1"/>
          <w:sz w:val="24"/>
          <w:szCs w:val="24"/>
          <w:shd w:val="clear" w:color="auto" w:fill="FFFFFF"/>
        </w:rPr>
        <w:t xml:space="preserve">Penelitian yang dilakukan oleh </w:t>
      </w:r>
      <w:r w:rsidR="001D17CE" w:rsidRPr="00A3565D">
        <w:rPr>
          <w:rFonts w:ascii="Times New Roman" w:hAnsi="Times New Roman" w:cs="Times New Roman"/>
          <w:color w:val="000000" w:themeColor="text1"/>
          <w:sz w:val="24"/>
          <w:szCs w:val="24"/>
          <w:shd w:val="clear" w:color="auto" w:fill="FFFFFF"/>
        </w:rPr>
        <w:fldChar w:fldCharType="begin"/>
      </w:r>
      <w:r w:rsidRPr="00A3565D">
        <w:rPr>
          <w:rFonts w:ascii="Times New Roman" w:hAnsi="Times New Roman" w:cs="Times New Roman"/>
          <w:color w:val="000000" w:themeColor="text1"/>
          <w:sz w:val="24"/>
          <w:szCs w:val="24"/>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rFonts w:ascii="Times New Roman" w:hAnsi="Times New Roman" w:cs="Times New Roman"/>
          <w:color w:val="000000" w:themeColor="text1"/>
          <w:sz w:val="24"/>
          <w:szCs w:val="24"/>
          <w:shd w:val="clear" w:color="auto" w:fill="FFFFFF"/>
        </w:rPr>
        <w:fldChar w:fldCharType="separate"/>
      </w:r>
      <w:r w:rsidRPr="00A3565D">
        <w:rPr>
          <w:rFonts w:ascii="Times New Roman" w:hAnsi="Times New Roman" w:cs="Times New Roman"/>
          <w:noProof/>
          <w:color w:val="000000" w:themeColor="text1"/>
          <w:sz w:val="24"/>
          <w:szCs w:val="24"/>
          <w:shd w:val="clear" w:color="auto" w:fill="FFFFFF"/>
        </w:rPr>
        <w:t>(Abdallah et al., 2015)</w:t>
      </w:r>
      <w:r w:rsidR="001D17CE" w:rsidRPr="00A3565D">
        <w:rPr>
          <w:rFonts w:ascii="Times New Roman" w:hAnsi="Times New Roman" w:cs="Times New Roman"/>
          <w:color w:val="000000" w:themeColor="text1"/>
          <w:sz w:val="24"/>
          <w:szCs w:val="24"/>
          <w:shd w:val="clear" w:color="auto" w:fill="FFFFFF"/>
        </w:rPr>
        <w:fldChar w:fldCharType="end"/>
      </w:r>
      <w:r w:rsidRPr="00A3565D">
        <w:rPr>
          <w:rFonts w:ascii="Times New Roman" w:hAnsi="Times New Roman" w:cs="Times New Roman"/>
          <w:color w:val="000000" w:themeColor="text1"/>
          <w:sz w:val="24"/>
          <w:szCs w:val="24"/>
          <w:shd w:val="clear" w:color="auto" w:fill="FFFFFF"/>
        </w:rPr>
        <w:t xml:space="preserve"> di wilayah MENA, Afrika Utara pada negara Bahrain,Kuwait dan Oman menyatakan bahwa kebijakan akuntansi berpengaruh signifikan terhadap pengungkapan risiko. Namun dalam penelitian </w:t>
      </w:r>
      <w:r w:rsidR="001D17CE" w:rsidRPr="00A3565D">
        <w:rPr>
          <w:rFonts w:ascii="Times New Roman" w:hAnsi="Times New Roman" w:cs="Times New Roman"/>
          <w:color w:val="000000" w:themeColor="text1"/>
          <w:sz w:val="24"/>
          <w:szCs w:val="24"/>
          <w:shd w:val="clear" w:color="auto" w:fill="FFFFFF"/>
        </w:rPr>
        <w:fldChar w:fldCharType="begin"/>
      </w:r>
      <w:r w:rsidRPr="00A3565D">
        <w:rPr>
          <w:rFonts w:ascii="Times New Roman" w:hAnsi="Times New Roman" w:cs="Times New Roman"/>
          <w:color w:val="000000" w:themeColor="text1"/>
          <w:sz w:val="24"/>
          <w:szCs w:val="24"/>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rFonts w:ascii="Times New Roman" w:hAnsi="Times New Roman" w:cs="Times New Roman"/>
          <w:color w:val="000000" w:themeColor="text1"/>
          <w:sz w:val="24"/>
          <w:szCs w:val="24"/>
          <w:shd w:val="clear" w:color="auto" w:fill="FFFFFF"/>
        </w:rPr>
        <w:fldChar w:fldCharType="separate"/>
      </w:r>
      <w:r w:rsidRPr="00A3565D">
        <w:rPr>
          <w:rFonts w:ascii="Times New Roman" w:hAnsi="Times New Roman" w:cs="Times New Roman"/>
          <w:noProof/>
          <w:color w:val="000000" w:themeColor="text1"/>
          <w:sz w:val="24"/>
          <w:szCs w:val="24"/>
          <w:shd w:val="clear" w:color="auto" w:fill="FFFFFF"/>
        </w:rPr>
        <w:t>(Abdallah et al., 2015)</w:t>
      </w:r>
      <w:r w:rsidR="001D17CE" w:rsidRPr="00A3565D">
        <w:rPr>
          <w:rFonts w:ascii="Times New Roman" w:hAnsi="Times New Roman" w:cs="Times New Roman"/>
          <w:color w:val="000000" w:themeColor="text1"/>
          <w:sz w:val="24"/>
          <w:szCs w:val="24"/>
          <w:shd w:val="clear" w:color="auto" w:fill="FFFFFF"/>
        </w:rPr>
        <w:fldChar w:fldCharType="end"/>
      </w:r>
      <w:r w:rsidRPr="00A3565D">
        <w:rPr>
          <w:rFonts w:ascii="Times New Roman" w:hAnsi="Times New Roman" w:cs="Times New Roman"/>
          <w:color w:val="000000" w:themeColor="text1"/>
          <w:sz w:val="24"/>
          <w:szCs w:val="24"/>
          <w:shd w:val="clear" w:color="auto" w:fill="FFFFFF"/>
        </w:rPr>
        <w:t xml:space="preserve"> pada negara Arab Saudi, Qatar dan UEA di wilayah MENA, Afrika Utara  menyatakan bahwa kebijakan akuntansi tidak berpengaruh signifikan terhadap pengungkapan risiko. Karena pada setiap negara memiliki kebijakan akuntansi yang berbeda-beda. Faktor lain yang mempengaruhi pengungkapan risiko yaitu pengendalian internal. Pengendalian internal merupakan salah satu fungsi penting manajemen yang harus dilakukan oleh semua manajer untuk mencapai tujuan perusahaan. Pengendalian dapat diartikan sebagai fungsi manajemen untuk memastikan bahwa kegiatan dalam perusahaan  dilakukan sesuai dengan yang direncanakan. Dalam penelitian yang dilakukan oleh </w:t>
      </w:r>
      <w:r w:rsidR="001D17CE" w:rsidRPr="00A3565D">
        <w:rPr>
          <w:rFonts w:ascii="Times New Roman" w:hAnsi="Times New Roman" w:cs="Times New Roman"/>
          <w:color w:val="000000" w:themeColor="text1"/>
          <w:sz w:val="24"/>
          <w:szCs w:val="24"/>
          <w:shd w:val="clear" w:color="auto" w:fill="FFFFFF"/>
        </w:rPr>
        <w:fldChar w:fldCharType="begin"/>
      </w:r>
      <w:r w:rsidRPr="00A3565D">
        <w:rPr>
          <w:rFonts w:ascii="Times New Roman" w:hAnsi="Times New Roman" w:cs="Times New Roman"/>
          <w:color w:val="000000" w:themeColor="text1"/>
          <w:sz w:val="24"/>
          <w:szCs w:val="24"/>
          <w:shd w:val="clear" w:color="auto" w:fill="FFFFFF"/>
        </w:rPr>
        <w:instrText>ADDIN CSL_CITATION {"citationItems":[{"id":"ITEM-1","itemData":{"author":[{"dropping-particle":"","family":"Gotri","given":"Salma Khairunnisa","non-dropping-particle":"","parse-names":false,"suffix":""},{"dropping-particle":"","family":"Syafruddin","given":"Muchamad","non-dropping-particle":"","parse-names":false,"suffix":""}],"container-title":"Diponegoro Journal of Accounting","id":"ITEM-1","issue":"2","issued":{"date-parts":[["2019"]]},"page":"1-15","title":"FAKTOR - FAKTOR YANG MEMPENGARUHI PENGUNGKAPAN RISIKO PERUSAHAAN ( Studi Empiris pada Perusahaan yang Terdaftar di Bursa Efek Indonesia Tahun 2017 )","type":"article-journal","volume":"8"},"uris":["http://www.mendeley.com/documents/?uuid=f9f1fad6-8934-4068-a184-07b5ec8ffa3c"]}],"mendeley":{"formattedCitation":"(Gotri &amp; Syafruddin, 2019)","plainTextFormattedCitation":"(Gotri &amp; Syafruddin, 2019)","previouslyFormattedCitation":"(Gotri &amp; Syafruddin, 2019)"},"properties":{"noteIndex":0},"schema":"https://github.com/citation-style-language/schema/raw/master/csl-citation.json"}</w:instrText>
      </w:r>
      <w:r w:rsidR="001D17CE" w:rsidRPr="00A3565D">
        <w:rPr>
          <w:rFonts w:ascii="Times New Roman" w:hAnsi="Times New Roman" w:cs="Times New Roman"/>
          <w:color w:val="000000" w:themeColor="text1"/>
          <w:sz w:val="24"/>
          <w:szCs w:val="24"/>
          <w:shd w:val="clear" w:color="auto" w:fill="FFFFFF"/>
        </w:rPr>
        <w:fldChar w:fldCharType="separate"/>
      </w:r>
      <w:r w:rsidRPr="00A3565D">
        <w:rPr>
          <w:rFonts w:ascii="Times New Roman" w:hAnsi="Times New Roman" w:cs="Times New Roman"/>
          <w:noProof/>
          <w:color w:val="000000" w:themeColor="text1"/>
          <w:sz w:val="24"/>
          <w:szCs w:val="24"/>
          <w:shd w:val="clear" w:color="auto" w:fill="FFFFFF"/>
        </w:rPr>
        <w:t>(Gotri &amp; Syafruddin, 2019)</w:t>
      </w:r>
      <w:r w:rsidR="001D17CE" w:rsidRPr="00A3565D">
        <w:rPr>
          <w:rFonts w:ascii="Times New Roman" w:hAnsi="Times New Roman" w:cs="Times New Roman"/>
          <w:color w:val="000000" w:themeColor="text1"/>
          <w:sz w:val="24"/>
          <w:szCs w:val="24"/>
          <w:shd w:val="clear" w:color="auto" w:fill="FFFFFF"/>
        </w:rPr>
        <w:fldChar w:fldCharType="end"/>
      </w:r>
      <w:r w:rsidRPr="00A3565D">
        <w:rPr>
          <w:rFonts w:ascii="Times New Roman" w:hAnsi="Times New Roman" w:cs="Times New Roman"/>
          <w:color w:val="000000" w:themeColor="text1"/>
          <w:sz w:val="24"/>
          <w:szCs w:val="24"/>
          <w:shd w:val="clear" w:color="auto" w:fill="FFFFFF"/>
        </w:rPr>
        <w:t xml:space="preserve"> menyatakan bahwa pengendalian berpengaruh positif terhadap pengungkapanrisiko. Berbanding terbalik dengan penelitian </w:t>
      </w:r>
      <w:r w:rsidR="001D17CE" w:rsidRPr="00A3565D">
        <w:rPr>
          <w:rFonts w:ascii="Times New Roman" w:hAnsi="Times New Roman" w:cs="Times New Roman"/>
          <w:color w:val="000000" w:themeColor="text1"/>
          <w:sz w:val="24"/>
          <w:szCs w:val="24"/>
          <w:shd w:val="clear" w:color="auto" w:fill="FFFFFF"/>
        </w:rPr>
        <w:fldChar w:fldCharType="begin"/>
      </w:r>
      <w:r w:rsidRPr="00A3565D">
        <w:rPr>
          <w:rFonts w:ascii="Times New Roman" w:hAnsi="Times New Roman" w:cs="Times New Roman"/>
          <w:color w:val="000000" w:themeColor="text1"/>
          <w:sz w:val="24"/>
          <w:szCs w:val="24"/>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rFonts w:ascii="Times New Roman" w:hAnsi="Times New Roman" w:cs="Times New Roman"/>
          <w:color w:val="000000" w:themeColor="text1"/>
          <w:sz w:val="24"/>
          <w:szCs w:val="24"/>
          <w:shd w:val="clear" w:color="auto" w:fill="FFFFFF"/>
        </w:rPr>
        <w:fldChar w:fldCharType="separate"/>
      </w:r>
      <w:r w:rsidRPr="00A3565D">
        <w:rPr>
          <w:rFonts w:ascii="Times New Roman" w:hAnsi="Times New Roman" w:cs="Times New Roman"/>
          <w:noProof/>
          <w:color w:val="000000" w:themeColor="text1"/>
          <w:sz w:val="24"/>
          <w:szCs w:val="24"/>
          <w:shd w:val="clear" w:color="auto" w:fill="FFFFFF"/>
        </w:rPr>
        <w:t>(Abdallah et al., 2015)</w:t>
      </w:r>
      <w:r w:rsidR="001D17CE" w:rsidRPr="00A3565D">
        <w:rPr>
          <w:rFonts w:ascii="Times New Roman" w:hAnsi="Times New Roman" w:cs="Times New Roman"/>
          <w:color w:val="000000" w:themeColor="text1"/>
          <w:sz w:val="24"/>
          <w:szCs w:val="24"/>
          <w:shd w:val="clear" w:color="auto" w:fill="FFFFFF"/>
        </w:rPr>
        <w:fldChar w:fldCharType="end"/>
      </w:r>
      <w:r w:rsidRPr="00A3565D">
        <w:rPr>
          <w:rFonts w:ascii="Times New Roman" w:hAnsi="Times New Roman" w:cs="Times New Roman"/>
          <w:color w:val="000000" w:themeColor="text1"/>
          <w:sz w:val="24"/>
          <w:szCs w:val="24"/>
          <w:shd w:val="clear" w:color="auto" w:fill="FFFFFF"/>
        </w:rPr>
        <w:t xml:space="preserve"> di wilayah MENA, Afrika Utara menyatakan bahwa pengendalian tidak berpengaruh terhadap pengungkapan risiko. Karena Perusahaan yang tingkat pengendaliannya lebih tinggi terlihat lebih banyak mengungkapkan informasi mengenai risiko perusahaan dan bagaimana mereka mengelola risiko tersebut yang dijelaskan di dalam laporan keuangan.Faktor terakhir yang mempengaruhi pengungkapan risiko yaitu risiko keuangan. Risiko keuangan merupakan risiko yang berkaitan dengan instrumen keuangan perusahaan seperti risiko pasar, kredit, likuiditas, serta tingkat bunga atas arus kas. Dalam penelitian yang dilakukan oleh </w:t>
      </w:r>
      <w:r w:rsidR="001D17CE" w:rsidRPr="00A3565D">
        <w:rPr>
          <w:rFonts w:ascii="Times New Roman" w:hAnsi="Times New Roman" w:cs="Times New Roman"/>
          <w:color w:val="000000" w:themeColor="text1"/>
          <w:sz w:val="24"/>
          <w:szCs w:val="24"/>
          <w:shd w:val="clear" w:color="auto" w:fill="FFFFFF"/>
        </w:rPr>
        <w:fldChar w:fldCharType="begin"/>
      </w:r>
      <w:r w:rsidRPr="00A3565D">
        <w:rPr>
          <w:rFonts w:ascii="Times New Roman" w:hAnsi="Times New Roman" w:cs="Times New Roman"/>
          <w:color w:val="000000" w:themeColor="text1"/>
          <w:sz w:val="24"/>
          <w:szCs w:val="24"/>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rFonts w:ascii="Times New Roman" w:hAnsi="Times New Roman" w:cs="Times New Roman"/>
          <w:color w:val="000000" w:themeColor="text1"/>
          <w:sz w:val="24"/>
          <w:szCs w:val="24"/>
          <w:shd w:val="clear" w:color="auto" w:fill="FFFFFF"/>
        </w:rPr>
        <w:fldChar w:fldCharType="separate"/>
      </w:r>
      <w:r w:rsidRPr="00A3565D">
        <w:rPr>
          <w:rFonts w:ascii="Times New Roman" w:hAnsi="Times New Roman" w:cs="Times New Roman"/>
          <w:noProof/>
          <w:color w:val="000000" w:themeColor="text1"/>
          <w:sz w:val="24"/>
          <w:szCs w:val="24"/>
          <w:shd w:val="clear" w:color="auto" w:fill="FFFFFF"/>
        </w:rPr>
        <w:t>(Abdallah et al., 2015)</w:t>
      </w:r>
      <w:r w:rsidR="001D17CE" w:rsidRPr="00A3565D">
        <w:rPr>
          <w:rFonts w:ascii="Times New Roman" w:hAnsi="Times New Roman" w:cs="Times New Roman"/>
          <w:color w:val="000000" w:themeColor="text1"/>
          <w:sz w:val="24"/>
          <w:szCs w:val="24"/>
          <w:shd w:val="clear" w:color="auto" w:fill="FFFFFF"/>
        </w:rPr>
        <w:fldChar w:fldCharType="end"/>
      </w:r>
      <w:r w:rsidRPr="00A3565D">
        <w:rPr>
          <w:rFonts w:ascii="Times New Roman" w:hAnsi="Times New Roman" w:cs="Times New Roman"/>
          <w:color w:val="000000" w:themeColor="text1"/>
          <w:sz w:val="24"/>
          <w:szCs w:val="24"/>
          <w:shd w:val="clear" w:color="auto" w:fill="FFFFFF"/>
        </w:rPr>
        <w:t xml:space="preserve"> di wilayah MENA, Afrika Utara menyatakan bahwa risiko keuangan berpengaruh negatif terhadap pengungkapan risiko. </w:t>
      </w:r>
      <w:r w:rsidRPr="00A3565D">
        <w:rPr>
          <w:rFonts w:ascii="Times New Roman" w:eastAsia="Times New Roman" w:hAnsi="Times New Roman" w:cs="Times New Roman"/>
          <w:color w:val="000000" w:themeColor="text1"/>
          <w:sz w:val="24"/>
          <w:szCs w:val="24"/>
        </w:rPr>
        <w:t>Hasil mereka menunjukkan bahwa perusahaan yang lebih baik berasal dari tata kelola karena memiliki dampak langsung pada sejauh mana masalah keagenan dapat dikurangi dalam konteks perusahaan yang beroperasi di wilayah dunia yang melanjutkan integrasinya ke dalam sistem ekonomi global.</w:t>
      </w:r>
      <w:r w:rsidRPr="00A3565D">
        <w:rPr>
          <w:rFonts w:ascii="Times New Roman" w:hAnsi="Times New Roman" w:cs="Times New Roman"/>
          <w:color w:val="000000" w:themeColor="text1"/>
          <w:sz w:val="24"/>
          <w:szCs w:val="24"/>
        </w:rPr>
        <w:t xml:space="preserve">Berbanding terbalik dengan penelitian oleh </w:t>
      </w:r>
      <w:r w:rsidR="001D17CE" w:rsidRPr="00A3565D">
        <w:rPr>
          <w:rFonts w:ascii="Times New Roman" w:hAnsi="Times New Roman" w:cs="Times New Roman"/>
          <w:color w:val="000000" w:themeColor="text1"/>
          <w:sz w:val="24"/>
          <w:szCs w:val="24"/>
        </w:rPr>
        <w:fldChar w:fldCharType="begin"/>
      </w:r>
      <w:r w:rsidRPr="00A3565D">
        <w:rPr>
          <w:rFonts w:ascii="Times New Roman" w:hAnsi="Times New Roman" w:cs="Times New Roman"/>
          <w:color w:val="000000" w:themeColor="text1"/>
          <w:sz w:val="24"/>
          <w:szCs w:val="24"/>
        </w:rPr>
        <w:instrText>ADDIN CSL_CITATION {"citationItems":[{"id":"ITEM-1","itemData":{"ISSN":"2337-3806","author":[{"dropping-particle":"","family":"Puspawardani","given":"Mutiara","non-dropping-particle":"","parse-names":false,"suffix":""},{"dropping-particle":"","family":"Juliarto","given":"Agung","non-dropping-particle":"","parse-names":false,"suffix":""}],"container-title":"Diponegoro Journal of Accounting","id":"ITEM-1","issue":"4","issued":{"date-parts":[["2019"]]},"page":"1-11","title":"Analisis Faktor-Faktor Yang Mempengaruhi Pengungkapan Risiko Perusahaan","type":"article-journal","volume":"8"},"uris":["http://www.mendeley.com/documents/?uuid=f868ec5c-a409-4de8-8454-5f3aed350789"]}],"mendeley":{"formattedCitation":"(Puspawardani &amp; Juliarto, 2019)","plainTextFormattedCitation":"(Puspawardani &amp; Juliarto, 2019)","previouslyFormattedCitation":"(Puspawardani &amp; Juliarto, 2019)"},"properties":{"noteIndex":0},"schema":"https://github.com/citation-style-language/schema/raw/master/csl-citation.json"}</w:instrText>
      </w:r>
      <w:r w:rsidR="001D17CE" w:rsidRPr="00A3565D">
        <w:rPr>
          <w:rFonts w:ascii="Times New Roman" w:hAnsi="Times New Roman" w:cs="Times New Roman"/>
          <w:color w:val="000000" w:themeColor="text1"/>
          <w:sz w:val="24"/>
          <w:szCs w:val="24"/>
        </w:rPr>
        <w:fldChar w:fldCharType="separate"/>
      </w:r>
      <w:r w:rsidRPr="00A3565D">
        <w:rPr>
          <w:rFonts w:ascii="Times New Roman" w:hAnsi="Times New Roman" w:cs="Times New Roman"/>
          <w:noProof/>
          <w:color w:val="000000" w:themeColor="text1"/>
          <w:sz w:val="24"/>
          <w:szCs w:val="24"/>
        </w:rPr>
        <w:t>(Puspawardani &amp; Juliarto, 2019)</w:t>
      </w:r>
      <w:r w:rsidR="001D17CE" w:rsidRPr="00A3565D">
        <w:rPr>
          <w:rFonts w:ascii="Times New Roman" w:hAnsi="Times New Roman" w:cs="Times New Roman"/>
          <w:color w:val="000000" w:themeColor="text1"/>
          <w:sz w:val="24"/>
          <w:szCs w:val="24"/>
        </w:rPr>
        <w:fldChar w:fldCharType="end"/>
      </w:r>
      <w:r w:rsidRPr="00A3565D">
        <w:rPr>
          <w:rFonts w:ascii="Times New Roman" w:eastAsia="Times New Roman" w:hAnsi="Times New Roman" w:cs="Times New Roman"/>
          <w:color w:val="000000" w:themeColor="text1"/>
          <w:sz w:val="24"/>
          <w:szCs w:val="24"/>
        </w:rPr>
        <w:t xml:space="preserve"> menemukan bahwa risiko keuangan berpengaruh signifikan terhadap pengungkapan risiko perusahaan. Sementara </w:t>
      </w:r>
      <w:r w:rsidR="001D17CE" w:rsidRPr="00A3565D">
        <w:rPr>
          <w:rFonts w:ascii="Times New Roman" w:eastAsia="Times New Roman" w:hAnsi="Times New Roman" w:cs="Times New Roman"/>
          <w:color w:val="000000" w:themeColor="text1"/>
          <w:sz w:val="24"/>
          <w:szCs w:val="24"/>
        </w:rPr>
        <w:fldChar w:fldCharType="begin"/>
      </w:r>
      <w:r w:rsidRPr="00A3565D">
        <w:rPr>
          <w:rFonts w:ascii="Times New Roman" w:eastAsia="Times New Roman" w:hAnsi="Times New Roman" w:cs="Times New Roman"/>
          <w:color w:val="000000" w:themeColor="text1"/>
          <w:sz w:val="24"/>
          <w:szCs w:val="24"/>
        </w:rPr>
        <w:instrText>ADDIN CSL_CITATION {"citationItems":[{"id":"ITEM-1","itemData":{"author":[{"dropping-particle":"","family":"Fadly","given":"Boy dan Elsa Simanjuntak","non-dropping-particle":"","parse-names":false,"suffix":""}],"container-title":"Sekolah Tinggi Ilmu Ekonomi IBBI Medan","id":"ITEM-1","issued":{"date-parts":[["2018"]]},"page":"1-11","title":"pengaruh Karakteristik Perusahaan dan Mekanisme Corporate Governance terhadap pengungkapan risiko dalam laporan keuangan Interim pada perusajaan pertambangan yang terdaftar di bursa efek indonesia","type":"article-journal"},"uris":["http://www.mendeley.com/documents/?uuid=fcc11bde-6ff8-4ab4-9f3c-f8b7c245b260"]}],"mendeley":{"formattedCitation":"(Fadly, 2018)","plainTextFormattedCitation":"(Fadly, 2018)","previouslyFormattedCitation":"(Fadly, 2018)"},"properties":{"noteIndex":0},"schema":"https://github.com/citation-style-language/schema/raw/master/csl-citation.json"}</w:instrText>
      </w:r>
      <w:r w:rsidR="001D17CE" w:rsidRPr="00A3565D">
        <w:rPr>
          <w:rFonts w:ascii="Times New Roman" w:eastAsia="Times New Roman" w:hAnsi="Times New Roman" w:cs="Times New Roman"/>
          <w:color w:val="000000" w:themeColor="text1"/>
          <w:sz w:val="24"/>
          <w:szCs w:val="24"/>
        </w:rPr>
        <w:fldChar w:fldCharType="separate"/>
      </w:r>
      <w:r w:rsidRPr="00A3565D">
        <w:rPr>
          <w:rFonts w:ascii="Times New Roman" w:eastAsia="Times New Roman" w:hAnsi="Times New Roman" w:cs="Times New Roman"/>
          <w:noProof/>
          <w:color w:val="000000" w:themeColor="text1"/>
          <w:sz w:val="24"/>
          <w:szCs w:val="24"/>
        </w:rPr>
        <w:t>(Fadly, 2018)</w:t>
      </w:r>
      <w:r w:rsidR="001D17CE" w:rsidRPr="00A3565D">
        <w:rPr>
          <w:rFonts w:ascii="Times New Roman" w:eastAsia="Times New Roman" w:hAnsi="Times New Roman" w:cs="Times New Roman"/>
          <w:color w:val="000000" w:themeColor="text1"/>
          <w:sz w:val="24"/>
          <w:szCs w:val="24"/>
        </w:rPr>
        <w:fldChar w:fldCharType="end"/>
      </w:r>
      <w:r w:rsidRPr="00A3565D">
        <w:rPr>
          <w:rFonts w:ascii="Times New Roman" w:eastAsia="Times New Roman" w:hAnsi="Times New Roman" w:cs="Times New Roman"/>
          <w:color w:val="000000" w:themeColor="text1"/>
          <w:sz w:val="24"/>
          <w:szCs w:val="24"/>
        </w:rPr>
        <w:t xml:space="preserve"> berpendapat bahwa risiko keuangan tidak berpengaruh positif dan signifikan terhadap pengungkapan risiko.</w:t>
      </w:r>
    </w:p>
    <w:p w:rsidR="00B0328D" w:rsidRPr="00A3565D" w:rsidRDefault="002F66E0" w:rsidP="00A3565D">
      <w:pPr>
        <w:spacing w:line="240" w:lineRule="auto"/>
        <w:jc w:val="both"/>
        <w:rPr>
          <w:rFonts w:ascii="Times New Roman" w:hAnsi="Times New Roman" w:cs="Times New Roman"/>
          <w:b/>
          <w:color w:val="000000" w:themeColor="text1"/>
          <w:sz w:val="24"/>
          <w:szCs w:val="24"/>
        </w:rPr>
      </w:pPr>
      <w:bookmarkStart w:id="1" w:name="_Toc58606625"/>
      <w:bookmarkStart w:id="2" w:name="_Toc58607354"/>
      <w:r w:rsidRPr="00A3565D">
        <w:rPr>
          <w:rFonts w:ascii="Times New Roman" w:hAnsi="Times New Roman" w:cs="Times New Roman"/>
          <w:b/>
          <w:color w:val="000000" w:themeColor="text1"/>
          <w:sz w:val="24"/>
          <w:szCs w:val="24"/>
        </w:rPr>
        <w:t>Pengaruh Kebijakan Akuntansi terhadap Pengungkapan Risiko</w:t>
      </w:r>
      <w:bookmarkEnd w:id="1"/>
      <w:bookmarkEnd w:id="2"/>
    </w:p>
    <w:p w:rsidR="002F66E0" w:rsidRPr="00A3565D" w:rsidRDefault="002F66E0" w:rsidP="00A3565D">
      <w:pPr>
        <w:pStyle w:val="Default"/>
        <w:ind w:firstLine="720"/>
        <w:jc w:val="both"/>
        <w:rPr>
          <w:color w:val="000000" w:themeColor="text1"/>
          <w:shd w:val="clear" w:color="auto" w:fill="FFFFFF"/>
        </w:rPr>
      </w:pPr>
      <w:r w:rsidRPr="00A3565D">
        <w:rPr>
          <w:color w:val="000000" w:themeColor="text1"/>
        </w:rPr>
        <w:t xml:space="preserve">Dalam teori </w:t>
      </w:r>
      <w:r w:rsidRPr="00A3565D">
        <w:rPr>
          <w:i/>
          <w:color w:val="000000" w:themeColor="text1"/>
        </w:rPr>
        <w:t xml:space="preserve">stakeholder </w:t>
      </w:r>
      <w:r w:rsidRPr="00A3565D">
        <w:rPr>
          <w:color w:val="000000" w:themeColor="text1"/>
        </w:rPr>
        <w:t xml:space="preserve">menyatakan bahwa perusahaan wajib bertanggung jawab dan bermanfaat untuk para </w:t>
      </w:r>
      <w:r w:rsidRPr="00A3565D">
        <w:rPr>
          <w:i/>
          <w:iCs/>
          <w:color w:val="000000" w:themeColor="text1"/>
        </w:rPr>
        <w:t>stakeholder</w:t>
      </w:r>
      <w:r w:rsidRPr="00A3565D">
        <w:rPr>
          <w:iCs/>
          <w:color w:val="000000" w:themeColor="text1"/>
        </w:rPr>
        <w:t xml:space="preserve">, karena suatu perusahaan sangat tergantung oleh keputusan para </w:t>
      </w:r>
      <w:r w:rsidRPr="00A3565D">
        <w:rPr>
          <w:i/>
          <w:iCs/>
          <w:color w:val="000000" w:themeColor="text1"/>
        </w:rPr>
        <w:t>stakeholder</w:t>
      </w:r>
      <w:r w:rsidRPr="00A3565D">
        <w:rPr>
          <w:color w:val="000000" w:themeColor="text1"/>
        </w:rPr>
        <w:t xml:space="preserve">. Penerapan metode akuntansi yang berbeda dapat memberikan dampak dan hasil yang juga berbeda pada laporan keuangan perusahaan (Syailendra &amp; Raharja, 2014).Seperti halnya kebijakan akuntansi yang bisa digunakan untuk memastikan laporan keuangan dapat memberikan informasi yang relevan dan memberikan manfaat bagi penguna laporan keuangan serta memastikan bahwa informasinya dapat diandalkan. Hal ini didukung dengan hasil penelitian yang dilakukan oleh </w:t>
      </w:r>
      <w:r w:rsidR="001D17CE" w:rsidRPr="00A3565D">
        <w:rPr>
          <w:color w:val="000000" w:themeColor="text1"/>
        </w:rPr>
        <w:fldChar w:fldCharType="begin"/>
      </w:r>
      <w:r w:rsidRPr="00A3565D">
        <w:rPr>
          <w:color w:val="000000" w:themeColor="text1"/>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color w:val="000000" w:themeColor="text1"/>
        </w:rPr>
        <w:fldChar w:fldCharType="separate"/>
      </w:r>
      <w:r w:rsidRPr="00A3565D">
        <w:rPr>
          <w:noProof/>
          <w:color w:val="000000" w:themeColor="text1"/>
        </w:rPr>
        <w:t>(Abdallah et al., 2015)</w:t>
      </w:r>
      <w:r w:rsidR="001D17CE" w:rsidRPr="00A3565D">
        <w:rPr>
          <w:color w:val="000000" w:themeColor="text1"/>
        </w:rPr>
        <w:fldChar w:fldCharType="end"/>
      </w:r>
      <w:r w:rsidRPr="00A3565D">
        <w:rPr>
          <w:color w:val="000000" w:themeColor="text1"/>
          <w:shd w:val="clear" w:color="auto" w:fill="FFFFFF"/>
        </w:rPr>
        <w:t xml:space="preserve"> di wilayah MENA, Afrika Utara pada negara Bahrain,Kuwait dan Oman menyatakan bahwa kebijakan akuntansi berpengaruh signifikan terhadap pengungkapan risiko. Namun dalam penelitian </w:t>
      </w:r>
      <w:r w:rsidR="001D17CE" w:rsidRPr="00A3565D">
        <w:rPr>
          <w:color w:val="000000" w:themeColor="text1"/>
          <w:shd w:val="clear" w:color="auto" w:fill="FFFFFF"/>
        </w:rPr>
        <w:fldChar w:fldCharType="begin"/>
      </w:r>
      <w:r w:rsidRPr="00A3565D">
        <w:rPr>
          <w:color w:val="000000" w:themeColor="text1"/>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color w:val="000000" w:themeColor="text1"/>
          <w:shd w:val="clear" w:color="auto" w:fill="FFFFFF"/>
        </w:rPr>
        <w:fldChar w:fldCharType="separate"/>
      </w:r>
      <w:r w:rsidRPr="00A3565D">
        <w:rPr>
          <w:noProof/>
          <w:color w:val="000000" w:themeColor="text1"/>
          <w:shd w:val="clear" w:color="auto" w:fill="FFFFFF"/>
        </w:rPr>
        <w:t>(Abdallah et al., 2015)</w:t>
      </w:r>
      <w:r w:rsidR="001D17CE" w:rsidRPr="00A3565D">
        <w:rPr>
          <w:color w:val="000000" w:themeColor="text1"/>
          <w:shd w:val="clear" w:color="auto" w:fill="FFFFFF"/>
        </w:rPr>
        <w:fldChar w:fldCharType="end"/>
      </w:r>
      <w:r w:rsidRPr="00A3565D">
        <w:rPr>
          <w:color w:val="000000" w:themeColor="text1"/>
          <w:shd w:val="clear" w:color="auto" w:fill="FFFFFF"/>
        </w:rPr>
        <w:t xml:space="preserve"> pada negara Arab Saudi, Qatar dan UEA di wilayah MENA, Afrika Utara  menyatakan bahwa kebijakan akuntansi tidak berpengaruh signifikan terhadap pengungkapan risiko.</w:t>
      </w:r>
    </w:p>
    <w:p w:rsidR="002F66E0" w:rsidRPr="00A3565D" w:rsidRDefault="002F66E0" w:rsidP="00A3565D">
      <w:pPr>
        <w:pStyle w:val="Default"/>
        <w:ind w:firstLine="720"/>
        <w:jc w:val="both"/>
        <w:rPr>
          <w:color w:val="000000" w:themeColor="text1"/>
        </w:rPr>
      </w:pPr>
    </w:p>
    <w:p w:rsidR="002F66E0" w:rsidRPr="00A3565D" w:rsidRDefault="002F66E0" w:rsidP="00A3565D">
      <w:pPr>
        <w:pStyle w:val="Default"/>
        <w:ind w:left="720"/>
        <w:jc w:val="both"/>
        <w:rPr>
          <w:b/>
          <w:color w:val="000000" w:themeColor="text1"/>
        </w:rPr>
      </w:pPr>
      <w:r w:rsidRPr="00A3565D">
        <w:rPr>
          <w:b/>
          <w:color w:val="000000" w:themeColor="text1"/>
          <w:shd w:val="clear" w:color="auto" w:fill="FFFFFF"/>
        </w:rPr>
        <w:t>H1: Kebijakan Akuntansi berpengaruh negatif terhadap pengungkapan risiko</w:t>
      </w:r>
      <w:r w:rsidRPr="00A3565D">
        <w:rPr>
          <w:b/>
          <w:color w:val="000000" w:themeColor="text1"/>
        </w:rPr>
        <w:t>.</w:t>
      </w:r>
    </w:p>
    <w:p w:rsidR="002F66E0" w:rsidRPr="00A3565D" w:rsidRDefault="002F66E0" w:rsidP="00A3565D">
      <w:pPr>
        <w:pStyle w:val="Heading2"/>
        <w:spacing w:before="0" w:line="240" w:lineRule="auto"/>
        <w:jc w:val="both"/>
        <w:rPr>
          <w:rFonts w:ascii="Times New Roman" w:hAnsi="Times New Roman" w:cs="Times New Roman"/>
          <w:color w:val="000000" w:themeColor="text1"/>
          <w:sz w:val="24"/>
          <w:szCs w:val="24"/>
        </w:rPr>
      </w:pPr>
      <w:bookmarkStart w:id="3" w:name="_Toc58606626"/>
      <w:bookmarkStart w:id="4" w:name="_Toc58607355"/>
    </w:p>
    <w:p w:rsidR="002F66E0" w:rsidRPr="00A3565D" w:rsidRDefault="002F66E0" w:rsidP="00A3565D">
      <w:pPr>
        <w:pStyle w:val="Heading2"/>
        <w:spacing w:before="0" w:line="240" w:lineRule="auto"/>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Pengaruh Pengendalian Internal terhadap Pengungkapan Risiko</w:t>
      </w:r>
      <w:bookmarkEnd w:id="3"/>
      <w:bookmarkEnd w:id="4"/>
    </w:p>
    <w:p w:rsidR="002F66E0" w:rsidRPr="00A3565D" w:rsidRDefault="002F66E0" w:rsidP="00A3565D">
      <w:pPr>
        <w:pStyle w:val="Default"/>
        <w:ind w:firstLine="720"/>
        <w:jc w:val="both"/>
        <w:rPr>
          <w:color w:val="000000" w:themeColor="text1"/>
          <w:shd w:val="clear" w:color="auto" w:fill="FFFFFF"/>
        </w:rPr>
      </w:pPr>
      <w:r w:rsidRPr="00A3565D">
        <w:rPr>
          <w:color w:val="000000" w:themeColor="text1"/>
        </w:rPr>
        <w:t xml:space="preserve">Menurut teori </w:t>
      </w:r>
      <w:r w:rsidRPr="00A3565D">
        <w:rPr>
          <w:i/>
          <w:color w:val="000000" w:themeColor="text1"/>
        </w:rPr>
        <w:t>stakeholder</w:t>
      </w:r>
      <w:r w:rsidRPr="00A3565D">
        <w:rPr>
          <w:color w:val="000000" w:themeColor="text1"/>
        </w:rPr>
        <w:t xml:space="preserve">, perusahaan dengan tingkat pengendalian lebih tinggi, cenderung mengungkapkan lebih banyak informasi risiko untuk memenuhi harapan pemegang saham mereka, serta pemangku kepentingan lainnya, yang ingin memantau manajemen risiko mereka pada suatu perusahaan. </w:t>
      </w:r>
      <w:r w:rsidRPr="00A3565D">
        <w:rPr>
          <w:color w:val="000000" w:themeColor="text1"/>
          <w:shd w:val="clear" w:color="auto" w:fill="FFFFFF"/>
        </w:rPr>
        <w:t xml:space="preserve">Hal ini didukung dengan hasil  penelitian yang dilakukan oleh </w:t>
      </w:r>
      <w:r w:rsidR="001D17CE" w:rsidRPr="00A3565D">
        <w:rPr>
          <w:color w:val="000000" w:themeColor="text1"/>
          <w:shd w:val="clear" w:color="auto" w:fill="FFFFFF"/>
        </w:rPr>
        <w:fldChar w:fldCharType="begin"/>
      </w:r>
      <w:r w:rsidRPr="00A3565D">
        <w:rPr>
          <w:color w:val="000000" w:themeColor="text1"/>
          <w:shd w:val="clear" w:color="auto" w:fill="FFFFFF"/>
        </w:rPr>
        <w:instrText>ADDIN CSL_CITATION {"citationItems":[{"id":"ITEM-1","itemData":{"author":[{"dropping-particle":"","family":"Gotri","given":"Salma Khairunnisa","non-dropping-particle":"","parse-names":false,"suffix":""},{"dropping-particle":"","family":"Syafruddin","given":"Muchamad","non-dropping-particle":"","parse-names":false,"suffix":""}],"container-title":"Diponegoro Journal of Accounting","id":"ITEM-1","issue":"2","issued":{"date-parts":[["2019"]]},"page":"1-15","title":"FAKTOR - FAKTOR YANG MEMPENGARUHI PENGUNGKAPAN RISIKO PERUSAHAAN ( Studi Empiris pada Perusahaan yang Terdaftar di Bursa Efek Indonesia Tahun 2017 )","type":"article-journal","volume":"8"},"uris":["http://www.mendeley.com/documents/?uuid=f9f1fad6-8934-4068-a184-07b5ec8ffa3c"]}],"mendeley":{"formattedCitation":"(Gotri &amp; Syafruddin, 2019)","plainTextFormattedCitation":"(Gotri &amp; Syafruddin, 2019)","previouslyFormattedCitation":"(Gotri &amp; Syafruddin, 2019)"},"properties":{"noteIndex":0},"schema":"https://github.com/citation-style-language/schema/raw/master/csl-citation.json"}</w:instrText>
      </w:r>
      <w:r w:rsidR="001D17CE" w:rsidRPr="00A3565D">
        <w:rPr>
          <w:color w:val="000000" w:themeColor="text1"/>
          <w:shd w:val="clear" w:color="auto" w:fill="FFFFFF"/>
        </w:rPr>
        <w:fldChar w:fldCharType="separate"/>
      </w:r>
      <w:r w:rsidRPr="00A3565D">
        <w:rPr>
          <w:noProof/>
          <w:color w:val="000000" w:themeColor="text1"/>
          <w:shd w:val="clear" w:color="auto" w:fill="FFFFFF"/>
        </w:rPr>
        <w:t>(Gotri &amp; Syafruddin, 2019)</w:t>
      </w:r>
      <w:r w:rsidR="001D17CE" w:rsidRPr="00A3565D">
        <w:rPr>
          <w:color w:val="000000" w:themeColor="text1"/>
          <w:shd w:val="clear" w:color="auto" w:fill="FFFFFF"/>
        </w:rPr>
        <w:fldChar w:fldCharType="end"/>
      </w:r>
      <w:r w:rsidRPr="00A3565D">
        <w:rPr>
          <w:color w:val="000000" w:themeColor="text1"/>
          <w:shd w:val="clear" w:color="auto" w:fill="FFFFFF"/>
        </w:rPr>
        <w:t xml:space="preserve"> menyatakan bahwa pengendalian berpengaruh positif terhadap pengungkapan risiko.</w:t>
      </w:r>
    </w:p>
    <w:p w:rsidR="002F66E0" w:rsidRPr="00A3565D" w:rsidRDefault="002F66E0" w:rsidP="00A3565D">
      <w:pPr>
        <w:pStyle w:val="Default"/>
        <w:ind w:firstLine="720"/>
        <w:jc w:val="both"/>
        <w:rPr>
          <w:b/>
          <w:color w:val="000000" w:themeColor="text1"/>
        </w:rPr>
      </w:pPr>
    </w:p>
    <w:p w:rsidR="002F66E0" w:rsidRPr="00A3565D" w:rsidRDefault="002F66E0" w:rsidP="00A3565D">
      <w:pPr>
        <w:pStyle w:val="Default"/>
        <w:ind w:firstLine="720"/>
        <w:jc w:val="both"/>
        <w:rPr>
          <w:b/>
          <w:color w:val="000000" w:themeColor="text1"/>
          <w:shd w:val="clear" w:color="auto" w:fill="FFFFFF"/>
        </w:rPr>
      </w:pPr>
      <w:r w:rsidRPr="00A3565D">
        <w:rPr>
          <w:b/>
          <w:color w:val="000000" w:themeColor="text1"/>
          <w:shd w:val="clear" w:color="auto" w:fill="FFFFFF"/>
        </w:rPr>
        <w:t>H2: Pengendalian Internal berpengaruh positif terhadap pengungkapan risiko</w:t>
      </w:r>
    </w:p>
    <w:p w:rsidR="002F66E0" w:rsidRPr="00A3565D" w:rsidRDefault="002F66E0" w:rsidP="00A3565D">
      <w:pPr>
        <w:spacing w:line="240" w:lineRule="auto"/>
        <w:rPr>
          <w:rFonts w:ascii="Times New Roman" w:hAnsi="Times New Roman" w:cs="Times New Roman"/>
          <w:b/>
          <w:sz w:val="24"/>
          <w:szCs w:val="24"/>
        </w:rPr>
      </w:pPr>
    </w:p>
    <w:p w:rsidR="002F66E0" w:rsidRPr="00A3565D" w:rsidRDefault="002F66E0" w:rsidP="00A3565D">
      <w:pPr>
        <w:pStyle w:val="Heading2"/>
        <w:spacing w:before="0" w:line="240" w:lineRule="auto"/>
        <w:jc w:val="both"/>
        <w:rPr>
          <w:rFonts w:ascii="Times New Roman" w:hAnsi="Times New Roman" w:cs="Times New Roman"/>
          <w:color w:val="000000" w:themeColor="text1"/>
          <w:sz w:val="24"/>
          <w:szCs w:val="24"/>
        </w:rPr>
      </w:pPr>
      <w:bookmarkStart w:id="5" w:name="_Toc58606627"/>
      <w:bookmarkStart w:id="6" w:name="_Toc58607356"/>
      <w:r w:rsidRPr="00A3565D">
        <w:rPr>
          <w:rFonts w:ascii="Times New Roman" w:hAnsi="Times New Roman" w:cs="Times New Roman"/>
          <w:color w:val="000000" w:themeColor="text1"/>
          <w:sz w:val="24"/>
          <w:szCs w:val="24"/>
        </w:rPr>
        <w:t>Pengaruh Risiko Keuangan terhadap pengungkapan Risiko</w:t>
      </w:r>
      <w:bookmarkEnd w:id="5"/>
      <w:bookmarkEnd w:id="6"/>
    </w:p>
    <w:p w:rsidR="002F66E0" w:rsidRPr="00A3565D" w:rsidRDefault="002F66E0" w:rsidP="00A3565D">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A3565D">
        <w:rPr>
          <w:rFonts w:ascii="Times New Roman" w:hAnsi="Times New Roman" w:cs="Times New Roman"/>
          <w:color w:val="000000" w:themeColor="text1"/>
          <w:sz w:val="24"/>
          <w:szCs w:val="24"/>
        </w:rPr>
        <w:t xml:space="preserve">Dalam hal ini teori keagenan dapat digunakan sebagai dasar dalam memahami praktik pengungkapan risiko. </w:t>
      </w:r>
      <w:r w:rsidRPr="00A3565D">
        <w:rPr>
          <w:rFonts w:ascii="Times New Roman" w:hAnsi="Times New Roman" w:cs="Times New Roman"/>
          <w:i/>
          <w:iCs/>
          <w:color w:val="000000" w:themeColor="text1"/>
          <w:sz w:val="24"/>
          <w:szCs w:val="24"/>
        </w:rPr>
        <w:t xml:space="preserve">Agent </w:t>
      </w:r>
      <w:r w:rsidRPr="00A3565D">
        <w:rPr>
          <w:rFonts w:ascii="Times New Roman" w:hAnsi="Times New Roman" w:cs="Times New Roman"/>
          <w:color w:val="000000" w:themeColor="text1"/>
          <w:sz w:val="24"/>
          <w:szCs w:val="24"/>
        </w:rPr>
        <w:t xml:space="preserve">sebagai pihak yang lebih banyak mengetahui kondisiperusahaan seharusnya melakukan praktik tersebut. Hal ini dikarenakan informasi tentang risiko merupakan informasi penting yang dapat mempengaruhi pertimbangan </w:t>
      </w:r>
      <w:r w:rsidRPr="00A3565D">
        <w:rPr>
          <w:rFonts w:ascii="Times New Roman" w:hAnsi="Times New Roman" w:cs="Times New Roman"/>
          <w:i/>
          <w:iCs/>
          <w:color w:val="000000" w:themeColor="text1"/>
          <w:sz w:val="24"/>
          <w:szCs w:val="24"/>
        </w:rPr>
        <w:t xml:space="preserve">principal </w:t>
      </w:r>
      <w:r w:rsidRPr="00A3565D">
        <w:rPr>
          <w:rFonts w:ascii="Times New Roman" w:hAnsi="Times New Roman" w:cs="Times New Roman"/>
          <w:color w:val="000000" w:themeColor="text1"/>
          <w:sz w:val="24"/>
          <w:szCs w:val="24"/>
        </w:rPr>
        <w:t>tentang keadaan</w:t>
      </w:r>
      <w:r w:rsidRPr="00A3565D">
        <w:rPr>
          <w:rFonts w:ascii="Times New Roman" w:eastAsia="Calibri" w:hAnsi="Times New Roman" w:cs="Times New Roman"/>
          <w:color w:val="000000"/>
          <w:sz w:val="24"/>
          <w:szCs w:val="24"/>
        </w:rPr>
        <w:t xml:space="preserve"> masa mendatang yang dihadapi perusahaan</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ISSN":"2337-3806","author":[{"dropping-particle":"","family":"Puspawardani","given":"Mutiara","non-dropping-particle":"","parse-names":false,"suffix":""},{"dropping-particle":"","family":"Juliarto","given":"Agung","non-dropping-particle":"","parse-names":false,"suffix":""}],"container-title":"Diponegoro Journal of Accounting","id":"ITEM-1","issue":"4","issued":{"date-parts":[["2019"]]},"page":"1-11","title":"Analisis Faktor-Faktor Yang Mempengaruhi Pengungkapan Risiko Perusahaan","type":"article-journal","volume":"8"},"uris":["http://www.mendeley.com/documents/?uuid=f868ec5c-a409-4de8-8454-5f3aed350789"]}],"mendeley":{"formattedCitation":"(Puspawardani &amp; Juliarto, 2019)","plainTextFormattedCitation":"(Puspawardani &amp; Juliarto, 2019)","previouslyFormattedCitation":"(Puspawardani &amp; Juliarto, 2019)"},"properties":{"noteIndex":0},"schema":"https://github.com/citation-style-language/schema/raw/master/csl-citation.json"}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(Puspawardani &amp; Juliarto, 2019)</w:t>
      </w:r>
      <w:r w:rsidR="001D17CE" w:rsidRPr="00A3565D">
        <w:rPr>
          <w:rFonts w:ascii="Times New Roman" w:eastAsia="Calibri" w:hAnsi="Times New Roman" w:cs="Times New Roman"/>
          <w:color w:val="000000"/>
          <w:sz w:val="24"/>
          <w:szCs w:val="24"/>
        </w:rPr>
        <w:fldChar w:fldCharType="end"/>
      </w:r>
      <w:r w:rsidRPr="00A3565D">
        <w:rPr>
          <w:rFonts w:ascii="Times New Roman" w:eastAsia="Calibri" w:hAnsi="Times New Roman" w:cs="Times New Roman"/>
          <w:color w:val="000000"/>
          <w:sz w:val="24"/>
          <w:szCs w:val="24"/>
        </w:rPr>
        <w:t xml:space="preserve">. </w:t>
      </w:r>
      <w:r w:rsidRPr="00A3565D">
        <w:rPr>
          <w:rFonts w:ascii="Times New Roman" w:eastAsia="Calibri" w:hAnsi="Times New Roman" w:cs="Times New Roman"/>
          <w:color w:val="000000"/>
          <w:sz w:val="24"/>
          <w:szCs w:val="24"/>
          <w:shd w:val="clear" w:color="auto" w:fill="FFFFFF"/>
        </w:rPr>
        <w:t xml:space="preserve">Hal ini didukung dengan hasil  penelitian yang dilakukan oleh </w:t>
      </w:r>
      <w:r w:rsidR="001D17CE" w:rsidRPr="00A3565D">
        <w:rPr>
          <w:rFonts w:ascii="Times New Roman" w:eastAsia="Calibri" w:hAnsi="Times New Roman" w:cs="Times New Roman"/>
          <w:color w:val="000000"/>
          <w:sz w:val="24"/>
          <w:szCs w:val="24"/>
          <w:shd w:val="clear" w:color="auto" w:fill="FFFFFF"/>
        </w:rPr>
        <w:fldChar w:fldCharType="begin"/>
      </w:r>
      <w:r w:rsidRPr="00A3565D">
        <w:rPr>
          <w:rFonts w:ascii="Times New Roman" w:eastAsia="Calibri" w:hAnsi="Times New Roman" w:cs="Times New Roman"/>
          <w:color w:val="000000"/>
          <w:sz w:val="24"/>
          <w:szCs w:val="24"/>
          <w:shd w:val="clear" w:color="auto" w:fill="FFFFFF"/>
        </w:rPr>
        <w:instrText>ADDIN CSL_CITATION {"citationItems":[{"id":"ITEM-1","itemData":{"DOI":"10.1016/j.mulfin.2015.02.003","ISSN":"1042444X","abstract":"Using content analysis we evaluate the determinants of corporaterisk disclosure in a sample of 424 publicly traded firms in the GulfCooperation Council countries. We hypothesize that corporate riskdisclosure will be lower in Islamic financial institutions when com-pared to conventional financial institutions and higher in firms thathave high quality corporate governance contexts. We also arguethat corporate risk disclosure will vary across the Gulf CooperationCouncil countries despite sociocultural and regulatory similarities.Results are generally supportive of our hypotheses. Implications fortheory and practice are discussed.","author":[{"dropping-particle":"","family":"Abdallah","given":"Abed Al Nasser","non-dropping-particle":"","parse-names":false,"suffix":""},{"dropping-particle":"","family":"Hassan","given":"Mostafa Kamal","non-dropping-particle":"","parse-names":false,"suffix":""},{"dropping-particle":"","family":"McClelland","given":"Patrick L.","non-dropping-particle":"","parse-names":false,"suffix":""}],"container-title":"Journal of Multinational Financial Management","id":"ITEM-1","issued":{"date-parts":[["2015"]]},"page":"63-82","publisher":"Elsevier B.V.","title":"Islamic financial institutions, corporate overnance, and corporate risk disclosure in Gulf Cooperation Council countries","type":"article-journal","volume":"31"},"uris":["http://www.mendeley.com/documents/?uuid=9da4d182-d55f-4b1b-8b0b-0e44968fe523"]}],"mendeley":{"formattedCitation":"(Abdallah et al., 2015)","plainTextFormattedCitation":"(Abdallah et al., 2015)","previouslyFormattedCitation":"(Abdallah et al., 2015)"},"properties":{"noteIndex":0},"schema":"https://github.com/citation-style-language/schema/raw/master/csl-citation.json"}</w:instrText>
      </w:r>
      <w:r w:rsidR="001D17CE" w:rsidRPr="00A3565D">
        <w:rPr>
          <w:rFonts w:ascii="Times New Roman" w:eastAsia="Calibri" w:hAnsi="Times New Roman" w:cs="Times New Roman"/>
          <w:color w:val="000000"/>
          <w:sz w:val="24"/>
          <w:szCs w:val="24"/>
          <w:shd w:val="clear" w:color="auto" w:fill="FFFFFF"/>
        </w:rPr>
        <w:fldChar w:fldCharType="separate"/>
      </w:r>
      <w:r w:rsidRPr="00A3565D">
        <w:rPr>
          <w:rFonts w:ascii="Times New Roman" w:eastAsia="Calibri" w:hAnsi="Times New Roman" w:cs="Times New Roman"/>
          <w:noProof/>
          <w:color w:val="000000"/>
          <w:sz w:val="24"/>
          <w:szCs w:val="24"/>
          <w:shd w:val="clear" w:color="auto" w:fill="FFFFFF"/>
        </w:rPr>
        <w:t>(Abdallah et al., 2015)</w:t>
      </w:r>
      <w:r w:rsidR="001D17CE" w:rsidRPr="00A3565D">
        <w:rPr>
          <w:rFonts w:ascii="Times New Roman" w:eastAsia="Calibri" w:hAnsi="Times New Roman" w:cs="Times New Roman"/>
          <w:color w:val="000000"/>
          <w:sz w:val="24"/>
          <w:szCs w:val="24"/>
          <w:shd w:val="clear" w:color="auto" w:fill="FFFFFF"/>
        </w:rPr>
        <w:fldChar w:fldCharType="end"/>
      </w:r>
      <w:r w:rsidRPr="00A3565D">
        <w:rPr>
          <w:rFonts w:ascii="Times New Roman" w:eastAsia="Calibri" w:hAnsi="Times New Roman" w:cs="Times New Roman"/>
          <w:color w:val="000000"/>
          <w:sz w:val="24"/>
          <w:szCs w:val="24"/>
          <w:shd w:val="clear" w:color="auto" w:fill="FFFFFF"/>
        </w:rPr>
        <w:t xml:space="preserve"> di wilayah MENA, Afrika Utara menyatakan bahwa risiko keuangan berpengaruh negatif terhadap pengungkapan risiko. </w:t>
      </w:r>
      <w:r w:rsidRPr="00A3565D">
        <w:rPr>
          <w:rFonts w:ascii="Times New Roman" w:eastAsia="Times New Roman" w:hAnsi="Times New Roman" w:cs="Times New Roman"/>
          <w:color w:val="000000"/>
          <w:sz w:val="24"/>
          <w:szCs w:val="24"/>
        </w:rPr>
        <w:t>Kemudian</w:t>
      </w:r>
      <w:r w:rsidR="001D17CE" w:rsidRPr="00A3565D">
        <w:rPr>
          <w:rFonts w:ascii="Times New Roman" w:eastAsia="Calibri" w:hAnsi="Times New Roman" w:cs="Times New Roman"/>
          <w:color w:val="000000"/>
          <w:sz w:val="24"/>
          <w:szCs w:val="24"/>
        </w:rPr>
        <w:fldChar w:fldCharType="begin"/>
      </w:r>
      <w:r w:rsidRPr="00A3565D">
        <w:rPr>
          <w:rFonts w:ascii="Times New Roman" w:eastAsia="Calibri" w:hAnsi="Times New Roman" w:cs="Times New Roman"/>
          <w:color w:val="000000"/>
          <w:sz w:val="24"/>
          <w:szCs w:val="24"/>
        </w:rPr>
        <w:instrText>ADDIN CSL_CITATION {"citationItems":[{"id":"ITEM-1","itemData":{"ISSN":"2337-3806","author":[{"dropping-particle":"","family":"Puspawardani","given":"Mutiara","non-dropping-particle":"","parse-names":false,"suffix":""},{"dropping-particle":"","family":"Juliarto","given":"Agung","non-dropping-particle":"","parse-names":false,"suffix":""}],"container-title":"Diponegoro Journal of Accounting","id":"ITEM-1","issue":"4","issued":{"date-parts":[["2019"]]},"page":"1-11","title":"Analisis Faktor-Faktor Yang Mempengaruhi Pengungkapan Risiko Perusahaan","type":"article-journal","volume":"8"},"uris":["http://www.mendeley.com/documents/?uuid=f868ec5c-a409-4de8-8454-5f3aed350789"]}],"mendeley":{"formattedCitation":"(Puspawardani &amp; Juliarto, 2019)","plainTextFormattedCitation":"(Puspawardani &amp; Juliarto, 2019)","previouslyFormattedCitation":"(Puspawardani &amp; Juliarto, 2019)"},"properties":{"noteIndex":0},"schema":"https://github.com/citation-style-language/schema/raw/master/csl-citation.json"}</w:instrText>
      </w:r>
      <w:r w:rsidR="001D17CE" w:rsidRPr="00A3565D">
        <w:rPr>
          <w:rFonts w:ascii="Times New Roman" w:eastAsia="Calibri" w:hAnsi="Times New Roman" w:cs="Times New Roman"/>
          <w:color w:val="000000"/>
          <w:sz w:val="24"/>
          <w:szCs w:val="24"/>
        </w:rPr>
        <w:fldChar w:fldCharType="separate"/>
      </w:r>
      <w:r w:rsidRPr="00A3565D">
        <w:rPr>
          <w:rFonts w:ascii="Times New Roman" w:eastAsia="Calibri" w:hAnsi="Times New Roman" w:cs="Times New Roman"/>
          <w:noProof/>
          <w:color w:val="000000"/>
          <w:sz w:val="24"/>
          <w:szCs w:val="24"/>
        </w:rPr>
        <w:t>(Puspawardani &amp; Juliarto, 2019)</w:t>
      </w:r>
      <w:r w:rsidR="001D17CE" w:rsidRPr="00A3565D">
        <w:rPr>
          <w:rFonts w:ascii="Times New Roman" w:eastAsia="Calibri" w:hAnsi="Times New Roman" w:cs="Times New Roman"/>
          <w:color w:val="000000"/>
          <w:sz w:val="24"/>
          <w:szCs w:val="24"/>
        </w:rPr>
        <w:fldChar w:fldCharType="end"/>
      </w:r>
      <w:r w:rsidRPr="00A3565D">
        <w:rPr>
          <w:rFonts w:ascii="Times New Roman" w:eastAsia="Times New Roman" w:hAnsi="Times New Roman" w:cs="Times New Roman"/>
          <w:color w:val="000000"/>
          <w:sz w:val="24"/>
          <w:szCs w:val="24"/>
        </w:rPr>
        <w:t>menemukan bahwa risiko keuangan berpengaruh signifikan terhadap pengungkapan risiko perusahaan.</w:t>
      </w:r>
    </w:p>
    <w:p w:rsidR="003C3499" w:rsidRPr="00A3565D" w:rsidRDefault="003C3499" w:rsidP="00A3565D">
      <w:pPr>
        <w:autoSpaceDE w:val="0"/>
        <w:autoSpaceDN w:val="0"/>
        <w:adjustRightInd w:val="0"/>
        <w:spacing w:after="0" w:line="240" w:lineRule="auto"/>
        <w:ind w:firstLine="360"/>
        <w:jc w:val="both"/>
        <w:rPr>
          <w:rFonts w:ascii="Times New Roman" w:eastAsia="Calibri" w:hAnsi="Times New Roman" w:cs="Times New Roman"/>
          <w:color w:val="000000"/>
          <w:sz w:val="24"/>
          <w:szCs w:val="24"/>
        </w:rPr>
      </w:pPr>
    </w:p>
    <w:p w:rsidR="002F66E0" w:rsidRPr="00A3565D" w:rsidRDefault="002F66E0" w:rsidP="00A3565D">
      <w:pPr>
        <w:autoSpaceDE w:val="0"/>
        <w:autoSpaceDN w:val="0"/>
        <w:adjustRightInd w:val="0"/>
        <w:spacing w:after="0" w:line="240" w:lineRule="auto"/>
        <w:ind w:firstLine="360"/>
        <w:jc w:val="both"/>
        <w:rPr>
          <w:rFonts w:ascii="Times New Roman" w:eastAsia="Calibri" w:hAnsi="Times New Roman" w:cs="Times New Roman"/>
          <w:b/>
          <w:color w:val="000000"/>
          <w:sz w:val="24"/>
          <w:szCs w:val="24"/>
        </w:rPr>
      </w:pPr>
      <w:r w:rsidRPr="00A3565D">
        <w:rPr>
          <w:rFonts w:ascii="Times New Roman" w:eastAsia="Calibri" w:hAnsi="Times New Roman" w:cs="Times New Roman"/>
          <w:b/>
          <w:color w:val="000000"/>
          <w:sz w:val="24"/>
          <w:szCs w:val="24"/>
        </w:rPr>
        <w:t>H3 : Risiko keuangan berpengaruh</w:t>
      </w:r>
      <w:r w:rsidR="003C3499" w:rsidRPr="00A3565D">
        <w:rPr>
          <w:rFonts w:ascii="Times New Roman" w:eastAsia="Calibri" w:hAnsi="Times New Roman" w:cs="Times New Roman"/>
          <w:b/>
          <w:color w:val="000000"/>
          <w:sz w:val="24"/>
          <w:szCs w:val="24"/>
        </w:rPr>
        <w:t xml:space="preserve"> </w:t>
      </w:r>
      <w:r w:rsidRPr="00A3565D">
        <w:rPr>
          <w:rFonts w:ascii="Times New Roman" w:eastAsia="Calibri" w:hAnsi="Times New Roman" w:cs="Times New Roman"/>
          <w:b/>
          <w:color w:val="000000"/>
          <w:sz w:val="24"/>
          <w:szCs w:val="24"/>
        </w:rPr>
        <w:t>positif terhadap pengungkapan risiko.</w:t>
      </w:r>
    </w:p>
    <w:p w:rsidR="003C3499" w:rsidRPr="00A3565D" w:rsidRDefault="003C3499" w:rsidP="00A3565D">
      <w:pPr>
        <w:autoSpaceDE w:val="0"/>
        <w:autoSpaceDN w:val="0"/>
        <w:adjustRightInd w:val="0"/>
        <w:spacing w:after="0" w:line="240" w:lineRule="auto"/>
        <w:ind w:firstLine="360"/>
        <w:jc w:val="both"/>
        <w:rPr>
          <w:rFonts w:ascii="Times New Roman" w:eastAsia="Calibri" w:hAnsi="Times New Roman" w:cs="Times New Roman"/>
          <w:b/>
          <w:color w:val="000000"/>
          <w:sz w:val="24"/>
          <w:szCs w:val="24"/>
        </w:rPr>
      </w:pPr>
    </w:p>
    <w:p w:rsidR="003C3499" w:rsidRPr="00A3565D" w:rsidRDefault="003C3499" w:rsidP="00A3565D">
      <w:pPr>
        <w:autoSpaceDE w:val="0"/>
        <w:autoSpaceDN w:val="0"/>
        <w:adjustRightInd w:val="0"/>
        <w:spacing w:after="0" w:line="240" w:lineRule="auto"/>
        <w:jc w:val="both"/>
        <w:rPr>
          <w:rFonts w:ascii="Times New Roman" w:hAnsi="Times New Roman" w:cs="Times New Roman"/>
          <w:b/>
          <w:sz w:val="24"/>
          <w:szCs w:val="24"/>
        </w:rPr>
      </w:pPr>
      <w:r w:rsidRPr="00A3565D">
        <w:rPr>
          <w:rFonts w:ascii="Times New Roman" w:hAnsi="Times New Roman" w:cs="Times New Roman"/>
          <w:b/>
          <w:sz w:val="24"/>
          <w:szCs w:val="24"/>
        </w:rPr>
        <w:t>METODE</w:t>
      </w:r>
    </w:p>
    <w:p w:rsidR="003C3499" w:rsidRPr="00A3565D" w:rsidRDefault="003C3499" w:rsidP="00A3565D">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3C3499" w:rsidRPr="00A3565D" w:rsidRDefault="003C3499" w:rsidP="00A3565D">
      <w:pPr>
        <w:spacing w:line="240" w:lineRule="auto"/>
        <w:jc w:val="both"/>
        <w:rPr>
          <w:rFonts w:ascii="Times New Roman" w:hAnsi="Times New Roman" w:cs="Times New Roman"/>
          <w:b/>
          <w:sz w:val="24"/>
          <w:szCs w:val="24"/>
          <w:lang w:eastAsia="ar-SA"/>
        </w:rPr>
      </w:pPr>
      <w:r w:rsidRPr="00A3565D">
        <w:rPr>
          <w:rFonts w:ascii="Times New Roman" w:hAnsi="Times New Roman" w:cs="Times New Roman"/>
          <w:b/>
          <w:sz w:val="24"/>
          <w:szCs w:val="24"/>
          <w:lang w:eastAsia="ar-SA"/>
        </w:rPr>
        <w:t>Jenis Penelitian</w:t>
      </w:r>
    </w:p>
    <w:p w:rsidR="003C3499" w:rsidRPr="00A3565D" w:rsidRDefault="003C3499" w:rsidP="00A3565D">
      <w:pPr>
        <w:spacing w:line="240" w:lineRule="auto"/>
        <w:ind w:firstLine="720"/>
        <w:jc w:val="both"/>
        <w:rPr>
          <w:rFonts w:ascii="Times New Roman" w:hAnsi="Times New Roman" w:cs="Times New Roman"/>
          <w:sz w:val="24"/>
          <w:szCs w:val="24"/>
        </w:rPr>
      </w:pPr>
      <w:r w:rsidRPr="00A3565D">
        <w:rPr>
          <w:rFonts w:ascii="Times New Roman" w:hAnsi="Times New Roman" w:cs="Times New Roman"/>
          <w:sz w:val="24"/>
          <w:szCs w:val="24"/>
          <w:lang w:eastAsia="ar-SA"/>
        </w:rPr>
        <w:t xml:space="preserve">Jenis penelitian yang digunakan dalam penelitian ini adalah penelitian kuantitatif. </w:t>
      </w:r>
      <w:r w:rsidRPr="00A3565D">
        <w:rPr>
          <w:rFonts w:ascii="Times New Roman" w:hAnsi="Times New Roman" w:cs="Times New Roman"/>
          <w:sz w:val="24"/>
          <w:szCs w:val="24"/>
        </w:rPr>
        <w:t xml:space="preserve">Pemilihan metode kuantatif karena data penelitian berupa angka-angka, yang akan dianalisis menggunakan data statistik dan bertujuan untuk menguji hipotesis yang ada. </w:t>
      </w:r>
    </w:p>
    <w:p w:rsidR="003C3499" w:rsidRPr="00A3565D" w:rsidRDefault="003C3499" w:rsidP="00A3565D">
      <w:pPr>
        <w:spacing w:after="160" w:line="240" w:lineRule="auto"/>
        <w:jc w:val="both"/>
        <w:rPr>
          <w:rFonts w:ascii="Times New Roman" w:eastAsia="Calibri" w:hAnsi="Times New Roman" w:cs="Times New Roman"/>
          <w:b/>
          <w:sz w:val="24"/>
          <w:szCs w:val="24"/>
        </w:rPr>
      </w:pPr>
      <w:r w:rsidRPr="00A3565D">
        <w:rPr>
          <w:rFonts w:ascii="Times New Roman" w:eastAsia="Calibri" w:hAnsi="Times New Roman" w:cs="Times New Roman"/>
          <w:b/>
          <w:sz w:val="24"/>
          <w:szCs w:val="24"/>
        </w:rPr>
        <w:t>Populasi dan Sampel</w:t>
      </w:r>
    </w:p>
    <w:p w:rsidR="003C3499" w:rsidRPr="00A3565D" w:rsidRDefault="003C3499" w:rsidP="00A3565D">
      <w:pPr>
        <w:spacing w:after="0" w:line="240" w:lineRule="auto"/>
        <w:ind w:firstLine="360"/>
        <w:jc w:val="both"/>
        <w:rPr>
          <w:rFonts w:ascii="Times New Roman" w:eastAsia="Calibri" w:hAnsi="Times New Roman" w:cs="Times New Roman"/>
          <w:b/>
          <w:color w:val="000000"/>
          <w:sz w:val="24"/>
          <w:szCs w:val="24"/>
        </w:rPr>
      </w:pPr>
      <w:r w:rsidRPr="00A3565D">
        <w:rPr>
          <w:rFonts w:ascii="Times New Roman" w:hAnsi="Times New Roman" w:cs="Times New Roman"/>
          <w:color w:val="000000" w:themeColor="text1"/>
          <w:sz w:val="24"/>
          <w:szCs w:val="24"/>
        </w:rPr>
        <w:t xml:space="preserve">Populasi adalah Keseluruhan dari objek Peneliti. Jadi yang dimaksud populasi adalah individu yang memiliki sifat yang sama. Populasi dalam penelitian ini adalah Industri Manufaktur yang telah terdaftar di Bursa Efek Indonesia (BEI) periode 2017-2019. </w:t>
      </w:r>
      <w:r w:rsidRPr="00A3565D">
        <w:rPr>
          <w:rFonts w:ascii="Times New Roman" w:eastAsia="Calibri" w:hAnsi="Times New Roman" w:cs="Times New Roman"/>
          <w:bCs/>
          <w:color w:val="000000"/>
          <w:sz w:val="24"/>
          <w:szCs w:val="24"/>
        </w:rPr>
        <w:t xml:space="preserve">Dalam penelitian ini </w:t>
      </w:r>
      <w:r w:rsidRPr="00A3565D">
        <w:rPr>
          <w:rFonts w:ascii="Times New Roman" w:eastAsia="Calibri" w:hAnsi="Times New Roman" w:cs="Times New Roman"/>
          <w:color w:val="000000"/>
          <w:sz w:val="24"/>
          <w:szCs w:val="24"/>
        </w:rPr>
        <w:t xml:space="preserve">teknik pengambilan sampel menggunakan metode </w:t>
      </w:r>
      <w:r w:rsidRPr="00A3565D">
        <w:rPr>
          <w:rFonts w:ascii="Times New Roman" w:eastAsia="Calibri" w:hAnsi="Times New Roman" w:cs="Times New Roman"/>
          <w:i/>
          <w:iCs/>
          <w:color w:val="000000"/>
          <w:sz w:val="24"/>
          <w:szCs w:val="24"/>
        </w:rPr>
        <w:t xml:space="preserve">purposive sampling </w:t>
      </w:r>
      <w:r w:rsidRPr="00A3565D">
        <w:rPr>
          <w:rFonts w:ascii="Times New Roman" w:eastAsia="Calibri" w:hAnsi="Times New Roman" w:cs="Times New Roman"/>
          <w:iCs/>
          <w:color w:val="000000"/>
          <w:sz w:val="24"/>
          <w:szCs w:val="24"/>
        </w:rPr>
        <w:t>menurut</w:t>
      </w:r>
      <w:r w:rsidR="001D17CE" w:rsidRPr="00A3565D">
        <w:rPr>
          <w:rFonts w:ascii="Times New Roman" w:eastAsia="Calibri" w:hAnsi="Times New Roman" w:cs="Times New Roman"/>
          <w:i/>
          <w:iCs/>
          <w:color w:val="000000"/>
          <w:sz w:val="24"/>
          <w:szCs w:val="24"/>
        </w:rPr>
        <w:fldChar w:fldCharType="begin"/>
      </w:r>
      <w:r w:rsidRPr="00A3565D">
        <w:rPr>
          <w:rFonts w:ascii="Times New Roman" w:eastAsia="Calibri" w:hAnsi="Times New Roman" w:cs="Times New Roman"/>
          <w:i/>
          <w:iCs/>
          <w:color w:val="000000"/>
          <w:sz w:val="24"/>
          <w:szCs w:val="24"/>
        </w:rPr>
        <w:instrText>ADDIN CSL_CITATION {"citationItems":[{"id":"ITEM-1","itemData":{"ISSN":"2337-3806","abstract":"The purpose of this study is to demonstrate empirically that product diversification, geographic diversification, company size, type of industry, leverage, profitability, and liquidity have significant effect on the risk disclosure of non-financial companies listed on the Indonesian Stock Exchange. The sample taken from companies' annual reports from 2010 to 2012 with Purposive sampling techniques to obtain 61 firms. The analysis method in this study is descriptive statistics aimed to provide a description of the data of mean, standard deviation, variance, maximum, minimum. The study result indicates that product diversification, geographic diversification, industry type, Leverage and liquidity have effect on the risk disclosure. Whereas level of profitability has no effect on risk disclosure. The regression result shows only 29.3% of the company's disclosure risk is influenced by product diversification, geographic diversification, type of industry, leverage, profitability, liquidity. While 70.7% is influenced by other variables that are not observed in this study. The study results indicate that the independent variable such as Liquidity, profitability, industry type, product diversification, geographic diversification have no significant positive effect on risk disclosure, while the leverage has significant effect on the risk disclosure.","author":[{"dropping-particle":"","family":"Yunifa","given":"Latifah","non-dropping-particle":"","parse-names":false,"suffix":""},{"dropping-particle":"","family":"Juliarto","given":"Agung","non-dropping-particle":"","parse-names":false,"suffix":""}],"container-title":"Analisis Pengaruh Karakteristik Perusahaan Terhadap Pengungkapan Risiko","id":"ITEM-1","issue":"2","issued":{"date-parts":[["2014"]]},"page":"345-355","title":"Analisis Pengaruh Karakteristik Perusahaan Terhadap Pengungkapan Risiko","type":"article-journal","volume":"3"},"uris":["http://www.mendeley.com/documents/?uuid=c04a9811-2952-40ba-b627-6094fe0e07fa"]}],"mendeley":{"formattedCitation":"(Yunifa &amp; Juliarto, 2014)","plainTextFormattedCitation":"(Yunifa &amp; Juliarto, 2014)","previouslyFormattedCitation":"(Yunifa &amp; Juliarto, 2014)"},"properties":{"noteIndex":0},"schema":"https://github.com/citation-style-language/schema/raw/master/csl-citation.json"}</w:instrText>
      </w:r>
      <w:r w:rsidR="001D17CE" w:rsidRPr="00A3565D">
        <w:rPr>
          <w:rFonts w:ascii="Times New Roman" w:eastAsia="Calibri" w:hAnsi="Times New Roman" w:cs="Times New Roman"/>
          <w:i/>
          <w:iCs/>
          <w:color w:val="000000"/>
          <w:sz w:val="24"/>
          <w:szCs w:val="24"/>
        </w:rPr>
        <w:fldChar w:fldCharType="separate"/>
      </w:r>
      <w:r w:rsidRPr="00A3565D">
        <w:rPr>
          <w:rFonts w:ascii="Times New Roman" w:eastAsia="Calibri" w:hAnsi="Times New Roman" w:cs="Times New Roman"/>
          <w:iCs/>
          <w:noProof/>
          <w:color w:val="000000"/>
          <w:sz w:val="24"/>
          <w:szCs w:val="24"/>
        </w:rPr>
        <w:t>(Yunifa &amp; Juliarto, 2014)</w:t>
      </w:r>
      <w:r w:rsidR="001D17CE" w:rsidRPr="00A3565D">
        <w:rPr>
          <w:rFonts w:ascii="Times New Roman" w:eastAsia="Calibri" w:hAnsi="Times New Roman" w:cs="Times New Roman"/>
          <w:i/>
          <w:iCs/>
          <w:color w:val="000000"/>
          <w:sz w:val="24"/>
          <w:szCs w:val="24"/>
        </w:rPr>
        <w:fldChar w:fldCharType="end"/>
      </w:r>
      <w:r w:rsidRPr="00A3565D">
        <w:rPr>
          <w:rFonts w:ascii="Times New Roman" w:eastAsia="Calibri" w:hAnsi="Times New Roman" w:cs="Times New Roman"/>
          <w:color w:val="000000"/>
          <w:sz w:val="24"/>
          <w:szCs w:val="24"/>
        </w:rPr>
        <w:t xml:space="preserve"> dalam menentukan sampel dengan kriteria  sebagai berikut:</w:t>
      </w:r>
    </w:p>
    <w:p w:rsidR="003C3499" w:rsidRPr="00A3565D" w:rsidRDefault="003C3499" w:rsidP="00A3565D">
      <w:pPr>
        <w:numPr>
          <w:ilvl w:val="0"/>
          <w:numId w:val="2"/>
        </w:numPr>
        <w:spacing w:after="0" w:line="240" w:lineRule="auto"/>
        <w:contextualSpacing/>
        <w:jc w:val="both"/>
        <w:rPr>
          <w:rFonts w:ascii="Times New Roman" w:eastAsia="Calibri" w:hAnsi="Times New Roman" w:cs="Times New Roman"/>
          <w:color w:val="000000"/>
          <w:sz w:val="24"/>
          <w:szCs w:val="24"/>
        </w:rPr>
      </w:pPr>
      <w:r w:rsidRPr="00A3565D">
        <w:rPr>
          <w:rFonts w:ascii="Times New Roman" w:eastAsia="Calibri" w:hAnsi="Times New Roman" w:cs="Times New Roman"/>
          <w:color w:val="000000"/>
          <w:sz w:val="24"/>
          <w:szCs w:val="24"/>
        </w:rPr>
        <w:t>Perusahaan sektor manufaktur yang terdaftar di Bursa Efek Indonesia (BEI) selama periode penelitian 2017-2019.</w:t>
      </w:r>
    </w:p>
    <w:p w:rsidR="003C3499" w:rsidRPr="00A3565D" w:rsidRDefault="003C3499" w:rsidP="00A3565D">
      <w:pPr>
        <w:numPr>
          <w:ilvl w:val="0"/>
          <w:numId w:val="2"/>
        </w:numPr>
        <w:spacing w:after="0" w:line="240" w:lineRule="auto"/>
        <w:contextualSpacing/>
        <w:jc w:val="both"/>
        <w:rPr>
          <w:rFonts w:ascii="Times New Roman" w:eastAsia="Calibri" w:hAnsi="Times New Roman" w:cs="Times New Roman"/>
          <w:color w:val="000000"/>
          <w:sz w:val="24"/>
          <w:szCs w:val="24"/>
        </w:rPr>
      </w:pPr>
      <w:r w:rsidRPr="00A3565D">
        <w:rPr>
          <w:rFonts w:ascii="Times New Roman" w:eastAsia="Calibri" w:hAnsi="Times New Roman" w:cs="Times New Roman"/>
          <w:color w:val="000000"/>
          <w:sz w:val="24"/>
          <w:szCs w:val="24"/>
        </w:rPr>
        <w:t>Perusahaan manufaktur yang mempublikasikan laporan tahunan 2017-2019 secara lengkap.</w:t>
      </w:r>
    </w:p>
    <w:p w:rsidR="003C3499" w:rsidRPr="00A3565D" w:rsidRDefault="003C3499" w:rsidP="00A3565D">
      <w:pPr>
        <w:numPr>
          <w:ilvl w:val="0"/>
          <w:numId w:val="2"/>
        </w:numPr>
        <w:spacing w:after="0" w:line="240" w:lineRule="auto"/>
        <w:contextualSpacing/>
        <w:jc w:val="both"/>
        <w:rPr>
          <w:rFonts w:ascii="Times New Roman" w:eastAsia="Calibri" w:hAnsi="Times New Roman" w:cs="Times New Roman"/>
          <w:color w:val="000000"/>
          <w:sz w:val="24"/>
          <w:szCs w:val="24"/>
        </w:rPr>
      </w:pPr>
      <w:r w:rsidRPr="00A3565D">
        <w:rPr>
          <w:rFonts w:ascii="Times New Roman" w:eastAsia="Calibri" w:hAnsi="Times New Roman" w:cs="Times New Roman"/>
          <w:color w:val="000000"/>
          <w:sz w:val="24"/>
          <w:szCs w:val="24"/>
        </w:rPr>
        <w:t xml:space="preserve"> Perusahaan manufaktur  yang memiliki data-data lengkap yang terkait dengan variabel penelitian.</w:t>
      </w:r>
    </w:p>
    <w:p w:rsidR="003C3499" w:rsidRPr="00A3565D" w:rsidRDefault="003C3499" w:rsidP="00A3565D">
      <w:pPr>
        <w:numPr>
          <w:ilvl w:val="0"/>
          <w:numId w:val="2"/>
        </w:numPr>
        <w:spacing w:after="0" w:line="240" w:lineRule="auto"/>
        <w:contextualSpacing/>
        <w:jc w:val="both"/>
        <w:rPr>
          <w:rFonts w:ascii="Times New Roman" w:eastAsia="Calibri" w:hAnsi="Times New Roman" w:cs="Times New Roman"/>
          <w:color w:val="000000"/>
          <w:sz w:val="24"/>
          <w:szCs w:val="24"/>
        </w:rPr>
      </w:pPr>
      <w:r w:rsidRPr="00A3565D">
        <w:rPr>
          <w:rFonts w:ascii="Times New Roman" w:eastAsia="Calibri" w:hAnsi="Times New Roman" w:cs="Times New Roman"/>
          <w:color w:val="000000"/>
          <w:sz w:val="24"/>
          <w:szCs w:val="24"/>
        </w:rPr>
        <w:t xml:space="preserve"> Perusahaan manufaktur yang melaporkan laporan keuangan dalam bentuk rupiah.</w:t>
      </w:r>
      <w:bookmarkStart w:id="7" w:name="_Toc58602767"/>
      <w:bookmarkStart w:id="8" w:name="_Toc58606635"/>
      <w:bookmarkStart w:id="9" w:name="_Toc58607364"/>
    </w:p>
    <w:p w:rsidR="003C3499" w:rsidRPr="00A3565D" w:rsidRDefault="003C3499" w:rsidP="00A3565D">
      <w:pPr>
        <w:spacing w:after="0" w:line="240" w:lineRule="auto"/>
        <w:ind w:left="720"/>
        <w:contextualSpacing/>
        <w:jc w:val="both"/>
        <w:rPr>
          <w:rFonts w:ascii="Times New Roman" w:eastAsia="Calibri" w:hAnsi="Times New Roman" w:cs="Times New Roman"/>
          <w:color w:val="000000"/>
          <w:sz w:val="24"/>
          <w:szCs w:val="24"/>
        </w:rPr>
      </w:pPr>
    </w:p>
    <w:p w:rsidR="003C3499" w:rsidRPr="00A3565D" w:rsidRDefault="003C3499" w:rsidP="00A3565D">
      <w:pPr>
        <w:spacing w:after="0" w:line="240" w:lineRule="auto"/>
        <w:ind w:left="720"/>
        <w:contextualSpacing/>
        <w:jc w:val="both"/>
        <w:rPr>
          <w:rFonts w:ascii="Times New Roman" w:hAnsi="Times New Roman" w:cs="Times New Roman"/>
          <w:b/>
          <w:color w:val="000000" w:themeColor="text1"/>
          <w:sz w:val="24"/>
          <w:szCs w:val="24"/>
        </w:rPr>
      </w:pPr>
    </w:p>
    <w:p w:rsidR="003C3499" w:rsidRPr="00A3565D" w:rsidRDefault="003C3499" w:rsidP="00A3565D">
      <w:pPr>
        <w:spacing w:after="0" w:line="240" w:lineRule="auto"/>
        <w:ind w:left="720"/>
        <w:contextualSpacing/>
        <w:jc w:val="both"/>
        <w:rPr>
          <w:rFonts w:ascii="Times New Roman" w:hAnsi="Times New Roman" w:cs="Times New Roman"/>
          <w:b/>
          <w:color w:val="000000" w:themeColor="text1"/>
          <w:sz w:val="24"/>
          <w:szCs w:val="24"/>
        </w:rPr>
      </w:pPr>
    </w:p>
    <w:p w:rsidR="003C3499" w:rsidRPr="00A3565D" w:rsidRDefault="003C3499" w:rsidP="00A3565D">
      <w:pPr>
        <w:spacing w:after="0" w:line="240" w:lineRule="auto"/>
        <w:ind w:left="720"/>
        <w:contextualSpacing/>
        <w:jc w:val="both"/>
        <w:rPr>
          <w:rFonts w:ascii="Times New Roman" w:hAnsi="Times New Roman" w:cs="Times New Roman"/>
          <w:b/>
          <w:color w:val="000000" w:themeColor="text1"/>
          <w:sz w:val="24"/>
          <w:szCs w:val="24"/>
        </w:rPr>
      </w:pPr>
    </w:p>
    <w:p w:rsidR="003C3499" w:rsidRPr="00A3565D" w:rsidRDefault="003C3499" w:rsidP="00A3565D">
      <w:pPr>
        <w:spacing w:after="0" w:line="240" w:lineRule="auto"/>
        <w:contextualSpacing/>
        <w:jc w:val="both"/>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Jenis Data dan Sumber Data</w:t>
      </w:r>
      <w:bookmarkEnd w:id="7"/>
      <w:bookmarkEnd w:id="8"/>
      <w:bookmarkEnd w:id="9"/>
    </w:p>
    <w:p w:rsidR="003C3499" w:rsidRPr="00A3565D" w:rsidRDefault="003C3499" w:rsidP="00A3565D">
      <w:pPr>
        <w:spacing w:after="0" w:line="240" w:lineRule="auto"/>
        <w:ind w:firstLine="426"/>
        <w:contextualSpacing/>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Data-data yang digunakan dalam Penelitian ini merupakan data sekunder yaitu data yang diperoleh secara tidak langsung dari sumber asli melainkan hasil dari publikasi Bursa Efek Indonesia (BEI) yang berkaitan dengan penelitian. Sumber data penelitian ini yaitu</w:t>
      </w:r>
      <w:r w:rsidRPr="00A3565D">
        <w:rPr>
          <w:rFonts w:ascii="Times New Roman" w:hAnsi="Times New Roman" w:cs="Times New Roman"/>
          <w:i/>
          <w:color w:val="000000" w:themeColor="text1"/>
          <w:sz w:val="24"/>
          <w:szCs w:val="24"/>
        </w:rPr>
        <w:t>annual report</w:t>
      </w:r>
      <w:r w:rsidRPr="00A3565D">
        <w:rPr>
          <w:rFonts w:ascii="Times New Roman" w:hAnsi="Times New Roman" w:cs="Times New Roman"/>
          <w:color w:val="000000" w:themeColor="text1"/>
          <w:sz w:val="24"/>
          <w:szCs w:val="24"/>
        </w:rPr>
        <w:t xml:space="preserve"> dan laporan keuangan perusahaan Manufaktur yang terdaftar di Bursa Efek Indonesia (BEI) tahun 2017-2019.</w:t>
      </w:r>
      <w:bookmarkStart w:id="10" w:name="_Toc58602768"/>
      <w:bookmarkStart w:id="11" w:name="_Toc58606636"/>
      <w:bookmarkStart w:id="12" w:name="_Toc58607365"/>
    </w:p>
    <w:p w:rsidR="00452AB8" w:rsidRPr="00A3565D" w:rsidRDefault="00452AB8" w:rsidP="00A3565D">
      <w:pPr>
        <w:spacing w:after="0" w:line="240" w:lineRule="auto"/>
        <w:ind w:firstLine="426"/>
        <w:contextualSpacing/>
        <w:jc w:val="both"/>
        <w:rPr>
          <w:rFonts w:ascii="Times New Roman" w:eastAsia="Calibri" w:hAnsi="Times New Roman" w:cs="Times New Roman"/>
          <w:b/>
          <w:color w:val="000000"/>
          <w:sz w:val="24"/>
          <w:szCs w:val="24"/>
        </w:rPr>
      </w:pPr>
    </w:p>
    <w:p w:rsidR="003C3499" w:rsidRPr="00A3565D" w:rsidRDefault="003C3499" w:rsidP="00A3565D">
      <w:pPr>
        <w:pStyle w:val="Heading3"/>
        <w:spacing w:before="0" w:line="240" w:lineRule="auto"/>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Metode Pengumpulan Data</w:t>
      </w:r>
      <w:bookmarkEnd w:id="10"/>
      <w:bookmarkEnd w:id="11"/>
      <w:bookmarkEnd w:id="12"/>
    </w:p>
    <w:p w:rsidR="00452AB8" w:rsidRPr="00A3565D" w:rsidRDefault="003C3499" w:rsidP="00A3565D">
      <w:pPr>
        <w:spacing w:line="240" w:lineRule="auto"/>
        <w:ind w:firstLine="720"/>
        <w:jc w:val="both"/>
        <w:rPr>
          <w:rFonts w:ascii="Times New Roman" w:eastAsia="Times New Roman" w:hAnsi="Times New Roman" w:cs="Times New Roman"/>
          <w:sz w:val="24"/>
          <w:szCs w:val="24"/>
          <w:lang w:eastAsia="id-ID"/>
        </w:rPr>
      </w:pPr>
      <w:r w:rsidRPr="00A3565D">
        <w:rPr>
          <w:rFonts w:ascii="Times New Roman" w:hAnsi="Times New Roman" w:cs="Times New Roman"/>
          <w:color w:val="000000" w:themeColor="text1"/>
          <w:sz w:val="24"/>
          <w:szCs w:val="24"/>
        </w:rPr>
        <w:t xml:space="preserve">Metode pengumpulan data pada penelitian ini  adalah menggunakan data sekundermelalui metode dokumentasiyaitu pengumpulan data dengan cara mengumpulkan data dari </w:t>
      </w:r>
      <w:r w:rsidRPr="00A3565D">
        <w:rPr>
          <w:rFonts w:ascii="Times New Roman" w:hAnsi="Times New Roman" w:cs="Times New Roman"/>
          <w:i/>
          <w:color w:val="000000" w:themeColor="text1"/>
          <w:sz w:val="24"/>
          <w:szCs w:val="24"/>
        </w:rPr>
        <w:t>annual report</w:t>
      </w:r>
      <w:r w:rsidRPr="00A3565D">
        <w:rPr>
          <w:rFonts w:ascii="Times New Roman" w:hAnsi="Times New Roman" w:cs="Times New Roman"/>
          <w:color w:val="000000" w:themeColor="text1"/>
          <w:sz w:val="24"/>
          <w:szCs w:val="24"/>
        </w:rPr>
        <w:t xml:space="preserve">  perusahaan manufaktur  yang terdaftar di Bursa Efek Indonesia (BEI) pada tahun 2017-2019.</w:t>
      </w:r>
      <w:r w:rsidR="00452AB8" w:rsidRPr="00A3565D">
        <w:rPr>
          <w:rFonts w:ascii="Times New Roman" w:hAnsi="Times New Roman" w:cs="Times New Roman"/>
          <w:sz w:val="24"/>
          <w:szCs w:val="24"/>
          <w:lang w:eastAsia="ar-SA"/>
        </w:rPr>
        <w:t xml:space="preserve"> Metode analisa data yang digunakan dalam penelitian ini adalah analisa regresi dengan bantuan Software SPSS. </w:t>
      </w:r>
      <w:r w:rsidR="00452AB8" w:rsidRPr="00A3565D">
        <w:rPr>
          <w:rFonts w:ascii="Times New Roman" w:eastAsia="Times New Roman" w:hAnsi="Times New Roman" w:cs="Times New Roman"/>
          <w:sz w:val="24"/>
          <w:szCs w:val="24"/>
          <w:lang w:eastAsia="id-ID"/>
        </w:rPr>
        <w:t>Statistik deskriptif yaitu dengan cara mendeskripsikan atau menggambarkan data yang telah terkumpul sebagaimana adanya tanpa bermaksud membuat kesimpulan yang berlaku untuk umum atau generalisasi dan uji asumsi klasik yaitu dengan uji normalitas, uji multikolinieritas, uji heteroskedastisitas dan uji autokorelasi.</w:t>
      </w:r>
    </w:p>
    <w:p w:rsidR="00452AB8" w:rsidRPr="00A3565D" w:rsidRDefault="00452AB8" w:rsidP="00A3565D">
      <w:pPr>
        <w:spacing w:line="240" w:lineRule="auto"/>
        <w:ind w:firstLine="720"/>
        <w:jc w:val="both"/>
        <w:rPr>
          <w:rFonts w:ascii="Times New Roman" w:eastAsia="Times New Roman" w:hAnsi="Times New Roman" w:cs="Times New Roman"/>
          <w:sz w:val="24"/>
          <w:szCs w:val="24"/>
          <w:lang w:eastAsia="id-ID"/>
        </w:rPr>
      </w:pPr>
    </w:p>
    <w:p w:rsidR="00452AB8" w:rsidRPr="00A3565D" w:rsidRDefault="00452AB8" w:rsidP="00A3565D">
      <w:pPr>
        <w:spacing w:line="240" w:lineRule="auto"/>
        <w:jc w:val="both"/>
        <w:rPr>
          <w:rFonts w:ascii="Times New Roman" w:eastAsia="Times New Roman" w:hAnsi="Times New Roman" w:cs="Times New Roman"/>
          <w:b/>
          <w:sz w:val="24"/>
          <w:szCs w:val="24"/>
          <w:lang w:eastAsia="id-ID"/>
        </w:rPr>
      </w:pPr>
      <w:r w:rsidRPr="00A3565D">
        <w:rPr>
          <w:rFonts w:ascii="Times New Roman" w:eastAsia="Times New Roman" w:hAnsi="Times New Roman" w:cs="Times New Roman"/>
          <w:b/>
          <w:sz w:val="24"/>
          <w:szCs w:val="24"/>
          <w:lang w:eastAsia="id-ID"/>
        </w:rPr>
        <w:t>Uji Hipotesis</w:t>
      </w:r>
    </w:p>
    <w:p w:rsidR="00452AB8" w:rsidRPr="00A3565D" w:rsidRDefault="00452AB8" w:rsidP="00A3565D">
      <w:pPr>
        <w:spacing w:line="240" w:lineRule="auto"/>
        <w:ind w:firstLine="720"/>
        <w:jc w:val="both"/>
        <w:rPr>
          <w:rFonts w:ascii="Times New Roman" w:hAnsi="Times New Roman" w:cs="Times New Roman"/>
          <w:b/>
          <w:sz w:val="24"/>
          <w:szCs w:val="24"/>
          <w:lang w:eastAsia="ar-SA"/>
        </w:rPr>
      </w:pPr>
      <w:r w:rsidRPr="00A3565D">
        <w:rPr>
          <w:rFonts w:ascii="Times New Roman" w:hAnsi="Times New Roman" w:cs="Times New Roman"/>
          <w:sz w:val="24"/>
          <w:szCs w:val="24"/>
          <w:lang w:eastAsia="ar-SA"/>
        </w:rPr>
        <w:t>Uji hipotesis yang dilakukan menggunakan analisis regresi linear berganda. Metode yang digunakan untuk menganalisis data dalam penelitian ini adalah metode analisis regresi linier berganda. Analisis linier berganda digunakan untuk mengetahui pengaruh faktor lebih dari satu variabel independen terhadap variabel dependen. Menentukan model keputusan dengan menggunakan statistik uji t, dengan melihat hasil signifikansi t.</w:t>
      </w:r>
    </w:p>
    <w:p w:rsidR="003C3499" w:rsidRPr="00A3565D" w:rsidRDefault="003C3499" w:rsidP="00A3565D">
      <w:pPr>
        <w:pStyle w:val="Heading3"/>
        <w:spacing w:before="0" w:line="240" w:lineRule="auto"/>
        <w:ind w:firstLine="720"/>
        <w:jc w:val="both"/>
        <w:rPr>
          <w:rFonts w:ascii="Times New Roman" w:hAnsi="Times New Roman" w:cs="Times New Roman"/>
          <w:color w:val="000000" w:themeColor="text1"/>
          <w:sz w:val="24"/>
          <w:szCs w:val="24"/>
        </w:rPr>
      </w:pPr>
    </w:p>
    <w:p w:rsidR="00452AB8" w:rsidRPr="00A3565D" w:rsidRDefault="00452AB8" w:rsidP="00A3565D">
      <w:pPr>
        <w:spacing w:line="240" w:lineRule="auto"/>
        <w:jc w:val="both"/>
        <w:rPr>
          <w:rFonts w:ascii="Times New Roman" w:hAnsi="Times New Roman" w:cs="Times New Roman"/>
          <w:b/>
          <w:sz w:val="24"/>
          <w:szCs w:val="24"/>
        </w:rPr>
      </w:pPr>
      <w:r w:rsidRPr="00A3565D">
        <w:rPr>
          <w:rFonts w:ascii="Times New Roman" w:hAnsi="Times New Roman" w:cs="Times New Roman"/>
          <w:b/>
          <w:sz w:val="24"/>
          <w:szCs w:val="24"/>
        </w:rPr>
        <w:t>HASIL DAN PEMBAHASAN</w:t>
      </w:r>
      <w:bookmarkStart w:id="13" w:name="_Toc58602772"/>
      <w:bookmarkStart w:id="14" w:name="_Toc58606646"/>
      <w:bookmarkStart w:id="15" w:name="_Toc58607375"/>
    </w:p>
    <w:p w:rsidR="00452AB8" w:rsidRPr="00A3565D" w:rsidRDefault="00452AB8" w:rsidP="00A3565D">
      <w:pPr>
        <w:spacing w:line="240" w:lineRule="auto"/>
        <w:jc w:val="both"/>
        <w:rPr>
          <w:rFonts w:ascii="Times New Roman" w:hAnsi="Times New Roman" w:cs="Times New Roman"/>
          <w:b/>
          <w:sz w:val="24"/>
          <w:szCs w:val="24"/>
        </w:rPr>
      </w:pPr>
      <w:r w:rsidRPr="00A3565D">
        <w:rPr>
          <w:rFonts w:ascii="Times New Roman" w:hAnsi="Times New Roman" w:cs="Times New Roman"/>
          <w:b/>
          <w:color w:val="000000" w:themeColor="text1"/>
          <w:sz w:val="24"/>
          <w:szCs w:val="24"/>
        </w:rPr>
        <w:t>Deskripsi Objek Peneletian</w:t>
      </w:r>
      <w:bookmarkEnd w:id="13"/>
      <w:bookmarkEnd w:id="14"/>
      <w:bookmarkEnd w:id="15"/>
    </w:p>
    <w:p w:rsidR="00644974" w:rsidRPr="00A3565D" w:rsidRDefault="00452AB8" w:rsidP="00A3565D">
      <w:pPr>
        <w:pStyle w:val="Heading2"/>
        <w:spacing w:before="0" w:line="240" w:lineRule="auto"/>
        <w:ind w:firstLine="720"/>
        <w:rPr>
          <w:rFonts w:ascii="Times New Roman" w:hAnsi="Times New Roman" w:cs="Times New Roman"/>
          <w:b w:val="0"/>
          <w:color w:val="000000" w:themeColor="text1"/>
          <w:sz w:val="24"/>
          <w:szCs w:val="24"/>
        </w:rPr>
      </w:pPr>
      <w:r w:rsidRPr="00A3565D">
        <w:rPr>
          <w:rFonts w:ascii="Times New Roman" w:hAnsi="Times New Roman" w:cs="Times New Roman"/>
          <w:b w:val="0"/>
          <w:color w:val="000000" w:themeColor="text1"/>
          <w:sz w:val="24"/>
          <w:szCs w:val="24"/>
        </w:rPr>
        <w:t xml:space="preserve">Dalam penelitian ini obyek penelitiannya adalah Perusahaan  Manufaktur yang terdaftar di Bursa Efek Indonesia tahun 2017-2019 yang diakses langsung melalui web resmi Bursa efek Indonesia (BEI) yaitu www.idx.co.id. Populasi yang tercatat di Bursa Efek Indonesia periode 2017 sampai 2019 sebanyak 169 perusahaan. Pengambilan sampel menggunakan </w:t>
      </w:r>
      <w:r w:rsidRPr="00A3565D">
        <w:rPr>
          <w:rFonts w:ascii="Times New Roman" w:hAnsi="Times New Roman" w:cs="Times New Roman"/>
          <w:b w:val="0"/>
          <w:i/>
          <w:color w:val="000000" w:themeColor="text1"/>
          <w:sz w:val="24"/>
          <w:szCs w:val="24"/>
        </w:rPr>
        <w:t xml:space="preserve">purposive sampling </w:t>
      </w:r>
      <w:r w:rsidRPr="00A3565D">
        <w:rPr>
          <w:rFonts w:ascii="Times New Roman" w:hAnsi="Times New Roman" w:cs="Times New Roman"/>
          <w:b w:val="0"/>
          <w:color w:val="000000" w:themeColor="text1"/>
          <w:sz w:val="24"/>
          <w:szCs w:val="24"/>
        </w:rPr>
        <w:t>dengan kriteria yang sudah ditentukan sebelumnya, sehingga tidak semua perusahaan manufaktur yang terdaftar di Bursa Efek Indonesia dijadikan sampel dalam penelitian ini. Terdapat 38 perusahaan dengan jumlah observasi sebanyak 114 observasi yang sesuai dengan kriteria yang telah ditentukan.</w:t>
      </w:r>
    </w:p>
    <w:p w:rsidR="00744319" w:rsidRPr="00A3565D" w:rsidRDefault="00744319" w:rsidP="00A3565D">
      <w:pPr>
        <w:spacing w:line="240" w:lineRule="auto"/>
        <w:rPr>
          <w:rFonts w:ascii="Times New Roman" w:hAnsi="Times New Roman" w:cs="Times New Roman"/>
          <w:sz w:val="24"/>
          <w:szCs w:val="24"/>
        </w:rPr>
      </w:pPr>
    </w:p>
    <w:p w:rsidR="00E45B35" w:rsidRPr="00A3565D" w:rsidRDefault="00E45B35" w:rsidP="00A3565D">
      <w:pPr>
        <w:spacing w:line="240" w:lineRule="auto"/>
        <w:rPr>
          <w:rFonts w:ascii="Times New Roman" w:hAnsi="Times New Roman" w:cs="Times New Roman"/>
          <w:b/>
          <w:sz w:val="24"/>
          <w:szCs w:val="24"/>
        </w:rPr>
      </w:pPr>
      <w:r w:rsidRPr="00A3565D">
        <w:rPr>
          <w:rFonts w:ascii="Times New Roman" w:hAnsi="Times New Roman" w:cs="Times New Roman"/>
          <w:b/>
          <w:sz w:val="24"/>
          <w:szCs w:val="24"/>
        </w:rPr>
        <w:t>Uji Statistik</w:t>
      </w:r>
    </w:p>
    <w:p w:rsidR="00E45B35" w:rsidRPr="00A3565D" w:rsidRDefault="00E45B35" w:rsidP="00A3565D">
      <w:pPr>
        <w:spacing w:line="240" w:lineRule="auto"/>
        <w:ind w:firstLine="72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Analisis statistik deskriptif digunakan untuk mengetahui nilai minimum, maksimum, mean (rata-rata) dan standar deviasi suatu data. Minimum merupakan nilai terkecil dalam suatu kelompok data. Maksimum merupakan nilai terbesar dari rangkaian suatu data. Mean merupakan rata-rata dalam rangkaian data penelitian. Sedangkan standard deviasi merupakan besarnya variasi dari data-data yang digunakan terhadap nilai rata-rata untuk setiap variabel dalam suatu penelitian.Dari hasil pengumpulan data sekunder di perusahaan manufaktur yang terdaftar di BEI periode 2017-2019, maka berikut ini output yang merupakan keseluruhan data yang digunakan dalam penelitian:</w:t>
      </w:r>
    </w:p>
    <w:p w:rsidR="00E45B35" w:rsidRPr="00A3565D" w:rsidRDefault="00E45B35" w:rsidP="00A3565D">
      <w:pPr>
        <w:pStyle w:val="NoSpacing"/>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Uji Statistik Deskriptif</w:t>
      </w:r>
    </w:p>
    <w:tbl>
      <w:tblPr>
        <w:tblW w:w="7491" w:type="dxa"/>
        <w:tblInd w:w="946" w:type="dxa"/>
        <w:tblLayout w:type="fixed"/>
        <w:tblCellMar>
          <w:left w:w="0" w:type="dxa"/>
          <w:right w:w="0" w:type="dxa"/>
        </w:tblCellMar>
        <w:tblLook w:val="0000"/>
      </w:tblPr>
      <w:tblGrid>
        <w:gridCol w:w="1495"/>
        <w:gridCol w:w="1085"/>
        <w:gridCol w:w="1135"/>
        <w:gridCol w:w="1167"/>
        <w:gridCol w:w="1086"/>
        <w:gridCol w:w="1523"/>
      </w:tblGrid>
      <w:tr w:rsidR="00E45B35" w:rsidRPr="00A3565D" w:rsidTr="00E45B35">
        <w:trPr>
          <w:cantSplit/>
          <w:trHeight w:val="317"/>
        </w:trPr>
        <w:tc>
          <w:tcPr>
            <w:tcW w:w="1495"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085"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N</w:t>
            </w:r>
          </w:p>
        </w:tc>
        <w:tc>
          <w:tcPr>
            <w:tcW w:w="1135"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Minimum</w:t>
            </w:r>
          </w:p>
        </w:tc>
        <w:tc>
          <w:tcPr>
            <w:tcW w:w="1167"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Maximum</w:t>
            </w:r>
          </w:p>
        </w:tc>
        <w:tc>
          <w:tcPr>
            <w:tcW w:w="1086"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Mean</w:t>
            </w:r>
          </w:p>
        </w:tc>
        <w:tc>
          <w:tcPr>
            <w:tcW w:w="1523"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Deviation</w:t>
            </w:r>
          </w:p>
        </w:tc>
      </w:tr>
      <w:tr w:rsidR="00E45B35" w:rsidRPr="00A3565D" w:rsidTr="00E45B35">
        <w:trPr>
          <w:cantSplit/>
          <w:trHeight w:val="317"/>
        </w:trPr>
        <w:tc>
          <w:tcPr>
            <w:tcW w:w="1495" w:type="dxa"/>
            <w:tcBorders>
              <w:top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X1</w:t>
            </w:r>
          </w:p>
        </w:tc>
        <w:tc>
          <w:tcPr>
            <w:tcW w:w="1085"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114</w:t>
            </w:r>
          </w:p>
        </w:tc>
        <w:tc>
          <w:tcPr>
            <w:tcW w:w="1135"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-1.11</w:t>
            </w:r>
          </w:p>
        </w:tc>
        <w:tc>
          <w:tcPr>
            <w:tcW w:w="1167"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.14</w:t>
            </w:r>
          </w:p>
        </w:tc>
        <w:tc>
          <w:tcPr>
            <w:tcW w:w="1086"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-.0272</w:t>
            </w:r>
          </w:p>
        </w:tc>
        <w:tc>
          <w:tcPr>
            <w:tcW w:w="1523"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.11651</w:t>
            </w:r>
          </w:p>
        </w:tc>
      </w:tr>
      <w:tr w:rsidR="00E45B35" w:rsidRPr="00A3565D" w:rsidTr="00E45B35">
        <w:trPr>
          <w:cantSplit/>
          <w:trHeight w:val="317"/>
        </w:trPr>
        <w:tc>
          <w:tcPr>
            <w:tcW w:w="1495" w:type="dxa"/>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X2</w:t>
            </w:r>
          </w:p>
        </w:tc>
        <w:tc>
          <w:tcPr>
            <w:tcW w:w="108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114</w:t>
            </w:r>
          </w:p>
        </w:tc>
        <w:tc>
          <w:tcPr>
            <w:tcW w:w="113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w:t>
            </w:r>
          </w:p>
        </w:tc>
        <w:tc>
          <w:tcPr>
            <w:tcW w:w="1167"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1.00</w:t>
            </w:r>
          </w:p>
        </w:tc>
        <w:tc>
          <w:tcPr>
            <w:tcW w:w="1086"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.9211</w:t>
            </w:r>
          </w:p>
        </w:tc>
        <w:tc>
          <w:tcPr>
            <w:tcW w:w="1523"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.27085</w:t>
            </w:r>
          </w:p>
        </w:tc>
      </w:tr>
      <w:tr w:rsidR="00E45B35" w:rsidRPr="00A3565D" w:rsidTr="00E45B35">
        <w:trPr>
          <w:cantSplit/>
          <w:trHeight w:val="317"/>
        </w:trPr>
        <w:tc>
          <w:tcPr>
            <w:tcW w:w="1495" w:type="dxa"/>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X3</w:t>
            </w:r>
          </w:p>
        </w:tc>
        <w:tc>
          <w:tcPr>
            <w:tcW w:w="108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114</w:t>
            </w:r>
          </w:p>
        </w:tc>
        <w:tc>
          <w:tcPr>
            <w:tcW w:w="113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.08</w:t>
            </w:r>
          </w:p>
        </w:tc>
        <w:tc>
          <w:tcPr>
            <w:tcW w:w="1167"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.79</w:t>
            </w:r>
          </w:p>
        </w:tc>
        <w:tc>
          <w:tcPr>
            <w:tcW w:w="1086"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.4217</w:t>
            </w:r>
          </w:p>
        </w:tc>
        <w:tc>
          <w:tcPr>
            <w:tcW w:w="1523"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.18598</w:t>
            </w:r>
          </w:p>
        </w:tc>
      </w:tr>
      <w:tr w:rsidR="00E45B35" w:rsidRPr="00A3565D" w:rsidTr="00E45B35">
        <w:trPr>
          <w:cantSplit/>
          <w:trHeight w:val="332"/>
        </w:trPr>
        <w:tc>
          <w:tcPr>
            <w:tcW w:w="1495" w:type="dxa"/>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Y</w:t>
            </w:r>
          </w:p>
        </w:tc>
        <w:tc>
          <w:tcPr>
            <w:tcW w:w="108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114</w:t>
            </w:r>
          </w:p>
        </w:tc>
        <w:tc>
          <w:tcPr>
            <w:tcW w:w="1135"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w:t>
            </w:r>
          </w:p>
        </w:tc>
        <w:tc>
          <w:tcPr>
            <w:tcW w:w="1167"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.68</w:t>
            </w:r>
          </w:p>
        </w:tc>
        <w:tc>
          <w:tcPr>
            <w:tcW w:w="1086"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.2748</w:t>
            </w:r>
          </w:p>
        </w:tc>
        <w:tc>
          <w:tcPr>
            <w:tcW w:w="1523"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.12018</w:t>
            </w:r>
          </w:p>
        </w:tc>
      </w:tr>
      <w:tr w:rsidR="00E45B35" w:rsidRPr="00A3565D" w:rsidTr="00E45B35">
        <w:trPr>
          <w:cantSplit/>
          <w:trHeight w:val="332"/>
        </w:trPr>
        <w:tc>
          <w:tcPr>
            <w:tcW w:w="1495" w:type="dxa"/>
            <w:tcBorders>
              <w:bottom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Valid N (listwise)</w:t>
            </w:r>
          </w:p>
        </w:tc>
        <w:tc>
          <w:tcPr>
            <w:tcW w:w="1085"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114</w:t>
            </w:r>
          </w:p>
        </w:tc>
        <w:tc>
          <w:tcPr>
            <w:tcW w:w="1135"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086"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523"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45B35" w:rsidRPr="00A3565D" w:rsidRDefault="00E45B35" w:rsidP="00A3565D">
      <w:pPr>
        <w:pStyle w:val="NoSpacing"/>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Sumber: Data Diolah, SPSS 23</w:t>
      </w:r>
    </w:p>
    <w:p w:rsidR="00E45B35" w:rsidRPr="00A3565D" w:rsidRDefault="00E45B35" w:rsidP="00A3565D">
      <w:pPr>
        <w:pStyle w:val="NoSpacing"/>
        <w:numPr>
          <w:ilvl w:val="0"/>
          <w:numId w:val="5"/>
        </w:numPr>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Dari  Tabel diatas data yang diolah, diperoleh hasil rata-rata Kebijakan Akuntansi sebesar -0.0272, nilai rata-rata tersebut dapat diartikan bahwa kebijkan akuntansi perusahaan manufaktur tahun 2017-2019 adalah sebesar – 2,7% dengan nilai standar deviasi 0.11651. Standard deviasi menunjukkan seberapa jauh sebuah nilai dalam suatu distribusi menyimpang dari rata-rata.Perusahaan yang memiliki Kebijakan Akuntansi paling tinggi dengan nilai maksimum sebesar 0.14 (14%) sedangkan perusahaan yang memiliki  Kebijakan Akuntansi terendah adalah dengan nilai minimum sebesar -1.11 (-111%). </w:t>
      </w:r>
    </w:p>
    <w:p w:rsidR="00E45B35" w:rsidRPr="00A3565D" w:rsidRDefault="00E45B35" w:rsidP="00A3565D">
      <w:pPr>
        <w:pStyle w:val="Default"/>
        <w:numPr>
          <w:ilvl w:val="0"/>
          <w:numId w:val="5"/>
        </w:numPr>
        <w:rPr>
          <w:color w:val="000000" w:themeColor="text1"/>
        </w:rPr>
      </w:pPr>
      <w:r w:rsidRPr="00A3565D">
        <w:rPr>
          <w:color w:val="000000" w:themeColor="text1"/>
        </w:rPr>
        <w:t xml:space="preserve">Variabel Pengendalian Internal mempunyai nilai rata-rata (mean) sebesar 0.9211 (92%) dengan standard deviasi sebesar 0.27085 (27.0%). Nilai minimum untuk variabel ini sebesar 0 (0%). Sedangkan nilai maximum sebesar 1 (100%). </w:t>
      </w:r>
    </w:p>
    <w:p w:rsidR="00E45B35" w:rsidRPr="00A3565D" w:rsidRDefault="00E45B35" w:rsidP="00A3565D">
      <w:pPr>
        <w:pStyle w:val="NoSpacing"/>
        <w:numPr>
          <w:ilvl w:val="0"/>
          <w:numId w:val="5"/>
        </w:numPr>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Risiko Keuangan mempunyai nilai rata-rata (mean) sebesar 0.4217 (42.1%) dengan standar deviasi sebesar 0.18598 (18.5%). Nilai minimum untuk variabel ini sebesar 0.08 (8%). Sedangkan nilai maximum sebesar 0.79 (79%).</w:t>
      </w:r>
    </w:p>
    <w:p w:rsidR="00E45B35" w:rsidRPr="00A3565D" w:rsidRDefault="00E45B35" w:rsidP="00A3565D">
      <w:pPr>
        <w:pStyle w:val="NoSpacing"/>
        <w:numPr>
          <w:ilvl w:val="0"/>
          <w:numId w:val="5"/>
        </w:numPr>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Pengungkapan Risiko mempunyai nilai rata-rata (mean) sebesar 0.2748 (27.4%) dengan standar deviasi sebesar 0.12018 (12.0%). Nilai minimum untuk variabel ini sebesar 0.06 (6%). Sedangkan nilai maximum sebesar 0.68 (68%).</w:t>
      </w:r>
    </w:p>
    <w:p w:rsidR="00744319" w:rsidRPr="00A3565D" w:rsidRDefault="00744319" w:rsidP="00A3565D">
      <w:pPr>
        <w:spacing w:after="160" w:line="240" w:lineRule="auto"/>
        <w:jc w:val="both"/>
        <w:rPr>
          <w:rFonts w:ascii="Times New Roman" w:hAnsi="Times New Roman" w:cs="Times New Roman"/>
          <w:b/>
          <w:sz w:val="24"/>
          <w:szCs w:val="24"/>
        </w:rPr>
      </w:pPr>
    </w:p>
    <w:p w:rsidR="00E45B35" w:rsidRPr="00A3565D" w:rsidRDefault="00E45B35" w:rsidP="00A3565D">
      <w:pPr>
        <w:spacing w:after="160" w:line="240" w:lineRule="auto"/>
        <w:jc w:val="both"/>
        <w:rPr>
          <w:rFonts w:ascii="Times New Roman" w:hAnsi="Times New Roman" w:cs="Times New Roman"/>
          <w:b/>
          <w:sz w:val="24"/>
          <w:szCs w:val="24"/>
          <w:lang w:val="en-ID"/>
        </w:rPr>
      </w:pPr>
      <w:r w:rsidRPr="00A3565D">
        <w:rPr>
          <w:rFonts w:ascii="Times New Roman" w:hAnsi="Times New Roman" w:cs="Times New Roman"/>
          <w:b/>
          <w:sz w:val="24"/>
          <w:szCs w:val="24"/>
        </w:rPr>
        <w:t>Uji Asumsi Klasik</w:t>
      </w:r>
    </w:p>
    <w:p w:rsidR="00E45B35" w:rsidRPr="00A3565D" w:rsidRDefault="00E45B35" w:rsidP="00A3565D">
      <w:pPr>
        <w:spacing w:after="160" w:line="240" w:lineRule="auto"/>
        <w:jc w:val="both"/>
        <w:rPr>
          <w:rFonts w:ascii="Times New Roman" w:hAnsi="Times New Roman" w:cs="Times New Roman"/>
          <w:b/>
          <w:sz w:val="24"/>
          <w:szCs w:val="24"/>
          <w:lang w:val="en-ID"/>
        </w:rPr>
      </w:pPr>
      <w:r w:rsidRPr="00A3565D">
        <w:rPr>
          <w:rFonts w:ascii="Times New Roman" w:hAnsi="Times New Roman" w:cs="Times New Roman"/>
          <w:b/>
          <w:sz w:val="24"/>
          <w:szCs w:val="24"/>
        </w:rPr>
        <w:t>Uji Normalitas</w:t>
      </w:r>
    </w:p>
    <w:p w:rsidR="00E45B35" w:rsidRPr="00A3565D" w:rsidRDefault="00E45B35"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Uji normalitas bertujuan untuk menguji apakah dalam model regresi variabel dependen, variabel independen, atau keduanya berdistribusi normal atau tidak. Uji normalitas dalam penilitan ini menggunakan p-plot SPSS 23, jika data menyebar disekitar garis diagonal atau mengikuti arah garis diagonal menunjukkan bahwa data tersebut terdestribusi normal,maka model regresi memenuhi asumsi normalitas, begitu juga sebaliknya jika data menjauh dari garis diagonal maka menujukkan pola distribusi tidak normal,hasil dari uji p-plot SPSS 23 sebagai berikut:</w:t>
      </w:r>
    </w:p>
    <w:p w:rsidR="00E45B35" w:rsidRPr="00A3565D" w:rsidRDefault="00E45B35" w:rsidP="00A3565D">
      <w:pPr>
        <w:spacing w:line="240" w:lineRule="auto"/>
        <w:ind w:firstLine="720"/>
        <w:jc w:val="both"/>
        <w:rPr>
          <w:rFonts w:ascii="Times New Roman" w:hAnsi="Times New Roman" w:cs="Times New Roman"/>
          <w:color w:val="000000" w:themeColor="text1"/>
          <w:sz w:val="24"/>
          <w:szCs w:val="24"/>
        </w:rPr>
      </w:pPr>
    </w:p>
    <w:p w:rsidR="00E45B35" w:rsidRPr="00A3565D" w:rsidRDefault="00E45B35" w:rsidP="00A3565D">
      <w:pPr>
        <w:spacing w:line="240" w:lineRule="auto"/>
        <w:ind w:firstLine="720"/>
        <w:jc w:val="both"/>
        <w:rPr>
          <w:rFonts w:ascii="Times New Roman" w:hAnsi="Times New Roman" w:cs="Times New Roman"/>
          <w:b/>
          <w:sz w:val="24"/>
          <w:szCs w:val="24"/>
        </w:rPr>
      </w:pPr>
    </w:p>
    <w:p w:rsidR="00E45B35" w:rsidRPr="00A3565D" w:rsidRDefault="00E45B35" w:rsidP="00A3565D">
      <w:pPr>
        <w:spacing w:line="240" w:lineRule="auto"/>
        <w:ind w:firstLine="720"/>
        <w:jc w:val="both"/>
        <w:rPr>
          <w:rFonts w:ascii="Times New Roman" w:hAnsi="Times New Roman" w:cs="Times New Roman"/>
          <w:b/>
          <w:sz w:val="24"/>
          <w:szCs w:val="24"/>
        </w:rPr>
      </w:pPr>
      <w:r w:rsidRPr="00A3565D">
        <w:rPr>
          <w:rFonts w:ascii="Times New Roman" w:hAnsi="Times New Roman" w:cs="Times New Roman"/>
          <w:noProof/>
          <w:color w:val="000000" w:themeColor="text1"/>
          <w:sz w:val="24"/>
          <w:szCs w:val="24"/>
        </w:rPr>
        <w:drawing>
          <wp:inline distT="0" distB="0" distL="0" distR="0">
            <wp:extent cx="4048125" cy="3057524"/>
            <wp:effectExtent l="19050" t="0" r="9525" b="0"/>
            <wp:docPr id="103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srcRect/>
                    <a:stretch/>
                  </pic:blipFill>
                  <pic:spPr>
                    <a:xfrm>
                      <a:off x="0" y="0"/>
                      <a:ext cx="4052540" cy="3060859"/>
                    </a:xfrm>
                    <a:prstGeom prst="rect">
                      <a:avLst/>
                    </a:prstGeom>
                    <a:ln>
                      <a:noFill/>
                    </a:ln>
                  </pic:spPr>
                </pic:pic>
              </a:graphicData>
            </a:graphic>
          </wp:inline>
        </w:drawing>
      </w:r>
    </w:p>
    <w:p w:rsidR="00E45B35" w:rsidRPr="00A3565D" w:rsidRDefault="00E45B35" w:rsidP="00A3565D">
      <w:pPr>
        <w:pStyle w:val="ListParagraph"/>
        <w:spacing w:after="0" w:line="240" w:lineRule="auto"/>
        <w:ind w:left="108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Sumber : Output SPSS 23</w:t>
      </w:r>
    </w:p>
    <w:p w:rsidR="00E45B35" w:rsidRPr="00A3565D" w:rsidRDefault="00E45B35" w:rsidP="00A3565D">
      <w:pPr>
        <w:spacing w:after="0" w:line="240" w:lineRule="auto"/>
        <w:ind w:left="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Berdasarkan uji normalitas pada gambar diatas bahwa data menyebar digaris diagonal dan mengikuti arah garis diagonal maka dapat diambil kesimpulan bahwa data pada penilitian ini berdistribusi normal.</w:t>
      </w:r>
    </w:p>
    <w:p w:rsidR="00744319" w:rsidRPr="00A3565D" w:rsidRDefault="00744319" w:rsidP="00A3565D">
      <w:pPr>
        <w:pStyle w:val="Heading4"/>
        <w:spacing w:before="0" w:line="240" w:lineRule="auto"/>
        <w:jc w:val="both"/>
        <w:rPr>
          <w:rFonts w:ascii="Times New Roman" w:hAnsi="Times New Roman" w:cs="Times New Roman"/>
          <w:i w:val="0"/>
          <w:color w:val="000000" w:themeColor="text1"/>
          <w:sz w:val="24"/>
          <w:szCs w:val="24"/>
        </w:rPr>
      </w:pPr>
    </w:p>
    <w:p w:rsidR="00E45B35" w:rsidRPr="00A3565D" w:rsidRDefault="00E45B35" w:rsidP="00A3565D">
      <w:pPr>
        <w:pStyle w:val="Heading4"/>
        <w:spacing w:before="0" w:line="240" w:lineRule="auto"/>
        <w:jc w:val="both"/>
        <w:rPr>
          <w:rFonts w:ascii="Times New Roman" w:hAnsi="Times New Roman" w:cs="Times New Roman"/>
          <w:i w:val="0"/>
          <w:color w:val="000000" w:themeColor="text1"/>
          <w:sz w:val="24"/>
          <w:szCs w:val="24"/>
        </w:rPr>
      </w:pPr>
      <w:r w:rsidRPr="00A3565D">
        <w:rPr>
          <w:rFonts w:ascii="Times New Roman" w:hAnsi="Times New Roman" w:cs="Times New Roman"/>
          <w:i w:val="0"/>
          <w:color w:val="000000" w:themeColor="text1"/>
          <w:sz w:val="24"/>
          <w:szCs w:val="24"/>
        </w:rPr>
        <w:t>Uji Multikolinearitas</w:t>
      </w:r>
    </w:p>
    <w:p w:rsidR="00E45B35" w:rsidRPr="00A3565D" w:rsidRDefault="00E45B35"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Pengujian multikolinieritas dalam analisis ini dapat dilihat dari </w:t>
      </w:r>
      <w:r w:rsidRPr="00A3565D">
        <w:rPr>
          <w:rFonts w:ascii="Times New Roman" w:hAnsi="Times New Roman" w:cs="Times New Roman"/>
          <w:i/>
          <w:color w:val="000000" w:themeColor="text1"/>
          <w:sz w:val="24"/>
          <w:szCs w:val="24"/>
        </w:rPr>
        <w:t xml:space="preserve">variance influence factor </w:t>
      </w:r>
      <w:r w:rsidRPr="00A3565D">
        <w:rPr>
          <w:rFonts w:ascii="Times New Roman" w:hAnsi="Times New Roman" w:cs="Times New Roman"/>
          <w:color w:val="000000" w:themeColor="text1"/>
          <w:sz w:val="24"/>
          <w:szCs w:val="24"/>
        </w:rPr>
        <w:t>(VIF). Keputusan ada tidaknya multikolinieritas adalah jika pada VIF memiliki standar nilai &lt; 10,00. Hasil  uji multikolinieritas pada penilitian ini adalah sebagai berikut.</w:t>
      </w:r>
    </w:p>
    <w:p w:rsidR="00E45B35" w:rsidRPr="00A3565D" w:rsidRDefault="00E45B35" w:rsidP="00A3565D">
      <w:pPr>
        <w:spacing w:after="0" w:line="240" w:lineRule="auto"/>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Pengujian  Multikolinieritas (VIF)</w:t>
      </w:r>
      <w:r w:rsidR="00E20479" w:rsidRPr="00A3565D">
        <w:rPr>
          <w:rFonts w:ascii="Times New Roman" w:hAnsi="Times New Roman" w:cs="Times New Roman"/>
          <w:b/>
          <w:color w:val="000000" w:themeColor="text1"/>
          <w:sz w:val="24"/>
          <w:szCs w:val="24"/>
        </w:rPr>
        <w:tab/>
      </w:r>
    </w:p>
    <w:tbl>
      <w:tblPr>
        <w:tblW w:w="7289" w:type="dxa"/>
        <w:tblInd w:w="426" w:type="dxa"/>
        <w:tblLayout w:type="fixed"/>
        <w:tblCellMar>
          <w:left w:w="0" w:type="dxa"/>
          <w:right w:w="0" w:type="dxa"/>
        </w:tblCellMar>
        <w:tblLook w:val="0000"/>
      </w:tblPr>
      <w:tblGrid>
        <w:gridCol w:w="146"/>
        <w:gridCol w:w="885"/>
        <w:gridCol w:w="1000"/>
        <w:gridCol w:w="999"/>
        <w:gridCol w:w="1103"/>
        <w:gridCol w:w="769"/>
        <w:gridCol w:w="769"/>
        <w:gridCol w:w="850"/>
        <w:gridCol w:w="768"/>
      </w:tblGrid>
      <w:tr w:rsidR="00E45B35" w:rsidRPr="00A3565D" w:rsidTr="00E20479">
        <w:trPr>
          <w:cantSplit/>
          <w:trHeight w:val="513"/>
        </w:trPr>
        <w:tc>
          <w:tcPr>
            <w:tcW w:w="1031" w:type="dxa"/>
            <w:gridSpan w:val="2"/>
            <w:vMerge w:val="restart"/>
            <w:tcBorders>
              <w:top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Model</w:t>
            </w:r>
          </w:p>
        </w:tc>
        <w:tc>
          <w:tcPr>
            <w:tcW w:w="1999" w:type="dxa"/>
            <w:gridSpan w:val="2"/>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Unstandardized Coefficients</w:t>
            </w:r>
          </w:p>
        </w:tc>
        <w:tc>
          <w:tcPr>
            <w:tcW w:w="1103"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Standardized Coefficients</w:t>
            </w:r>
          </w:p>
        </w:tc>
        <w:tc>
          <w:tcPr>
            <w:tcW w:w="769" w:type="dxa"/>
            <w:vMerge w:val="restart"/>
            <w:tcBorders>
              <w:top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T</w:t>
            </w:r>
          </w:p>
        </w:tc>
        <w:tc>
          <w:tcPr>
            <w:tcW w:w="769" w:type="dxa"/>
            <w:vMerge w:val="restart"/>
            <w:tcBorders>
              <w:top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Sig.</w:t>
            </w:r>
          </w:p>
        </w:tc>
        <w:tc>
          <w:tcPr>
            <w:tcW w:w="1618" w:type="dxa"/>
            <w:gridSpan w:val="2"/>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Collinearity Statistics</w:t>
            </w:r>
          </w:p>
        </w:tc>
      </w:tr>
      <w:tr w:rsidR="00E45B35" w:rsidRPr="00A3565D" w:rsidTr="00E20479">
        <w:trPr>
          <w:cantSplit/>
          <w:trHeight w:val="117"/>
        </w:trPr>
        <w:tc>
          <w:tcPr>
            <w:tcW w:w="1031" w:type="dxa"/>
            <w:gridSpan w:val="2"/>
            <w:vMerge/>
            <w:tcBorders>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000"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w:t>
            </w:r>
          </w:p>
        </w:tc>
        <w:tc>
          <w:tcPr>
            <w:tcW w:w="999"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Error</w:t>
            </w:r>
          </w:p>
        </w:tc>
        <w:tc>
          <w:tcPr>
            <w:tcW w:w="1103"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Beta</w:t>
            </w:r>
          </w:p>
        </w:tc>
        <w:tc>
          <w:tcPr>
            <w:tcW w:w="769" w:type="dxa"/>
            <w:vMerge/>
            <w:tcBorders>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769" w:type="dxa"/>
            <w:vMerge/>
            <w:tcBorders>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Tolerance</w:t>
            </w:r>
          </w:p>
        </w:tc>
        <w:tc>
          <w:tcPr>
            <w:tcW w:w="768" w:type="dxa"/>
            <w:tcBorders>
              <w:top w:val="single" w:sz="4" w:space="0" w:color="auto"/>
              <w:bottom w:val="single" w:sz="4" w:space="0" w:color="auto"/>
            </w:tcBorders>
            <w:shd w:val="clear" w:color="auto" w:fill="FFFFFF"/>
            <w:vAlign w:val="bottom"/>
          </w:tcPr>
          <w:p w:rsidR="00E45B35" w:rsidRPr="00A3565D" w:rsidRDefault="00E45B35"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VIF</w:t>
            </w:r>
          </w:p>
        </w:tc>
      </w:tr>
      <w:tr w:rsidR="00E45B35" w:rsidRPr="00A3565D" w:rsidTr="00E20479">
        <w:trPr>
          <w:cantSplit/>
          <w:trHeight w:val="256"/>
        </w:trPr>
        <w:tc>
          <w:tcPr>
            <w:tcW w:w="146" w:type="dxa"/>
            <w:vMerge w:val="restart"/>
            <w:tcBorders>
              <w:top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w:t>
            </w:r>
          </w:p>
        </w:tc>
        <w:tc>
          <w:tcPr>
            <w:tcW w:w="885" w:type="dxa"/>
            <w:tcBorders>
              <w:top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(Constant)</w:t>
            </w:r>
          </w:p>
        </w:tc>
        <w:tc>
          <w:tcPr>
            <w:tcW w:w="1000"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.313</w:t>
            </w:r>
          </w:p>
        </w:tc>
        <w:tc>
          <w:tcPr>
            <w:tcW w:w="999"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.049</w:t>
            </w:r>
          </w:p>
        </w:tc>
        <w:tc>
          <w:tcPr>
            <w:tcW w:w="1103"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769"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6.430</w:t>
            </w:r>
          </w:p>
        </w:tc>
        <w:tc>
          <w:tcPr>
            <w:tcW w:w="769"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.000</w:t>
            </w:r>
          </w:p>
        </w:tc>
        <w:tc>
          <w:tcPr>
            <w:tcW w:w="850"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768" w:type="dxa"/>
            <w:tcBorders>
              <w:top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r>
      <w:tr w:rsidR="00E45B35" w:rsidRPr="00A3565D" w:rsidTr="00E20479">
        <w:trPr>
          <w:cantSplit/>
          <w:trHeight w:val="117"/>
        </w:trPr>
        <w:tc>
          <w:tcPr>
            <w:tcW w:w="146" w:type="dxa"/>
            <w:vMerge/>
            <w:shd w:val="clear" w:color="auto" w:fill="FFFFFF"/>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885" w:type="dxa"/>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X1</w:t>
            </w:r>
          </w:p>
        </w:tc>
        <w:tc>
          <w:tcPr>
            <w:tcW w:w="1000"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-.058</w:t>
            </w:r>
          </w:p>
        </w:tc>
        <w:tc>
          <w:tcPr>
            <w:tcW w:w="99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.097</w:t>
            </w:r>
          </w:p>
        </w:tc>
        <w:tc>
          <w:tcPr>
            <w:tcW w:w="1103"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-.056</w:t>
            </w:r>
          </w:p>
        </w:tc>
        <w:tc>
          <w:tcPr>
            <w:tcW w:w="76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-.592</w:t>
            </w:r>
          </w:p>
        </w:tc>
        <w:tc>
          <w:tcPr>
            <w:tcW w:w="76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.555</w:t>
            </w:r>
          </w:p>
        </w:tc>
        <w:tc>
          <w:tcPr>
            <w:tcW w:w="850"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.977</w:t>
            </w:r>
          </w:p>
        </w:tc>
        <w:tc>
          <w:tcPr>
            <w:tcW w:w="768"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1.023</w:t>
            </w:r>
          </w:p>
        </w:tc>
      </w:tr>
      <w:tr w:rsidR="00E45B35" w:rsidRPr="00A3565D" w:rsidTr="00E20479">
        <w:trPr>
          <w:cantSplit/>
          <w:trHeight w:val="117"/>
        </w:trPr>
        <w:tc>
          <w:tcPr>
            <w:tcW w:w="146" w:type="dxa"/>
            <w:vMerge/>
            <w:shd w:val="clear" w:color="auto" w:fill="FFFFFF"/>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885" w:type="dxa"/>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X2</w:t>
            </w:r>
          </w:p>
        </w:tc>
        <w:tc>
          <w:tcPr>
            <w:tcW w:w="1000"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.010</w:t>
            </w:r>
          </w:p>
        </w:tc>
        <w:tc>
          <w:tcPr>
            <w:tcW w:w="99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.041</w:t>
            </w:r>
          </w:p>
        </w:tc>
        <w:tc>
          <w:tcPr>
            <w:tcW w:w="1103"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.023</w:t>
            </w:r>
          </w:p>
        </w:tc>
        <w:tc>
          <w:tcPr>
            <w:tcW w:w="76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.250</w:t>
            </w:r>
          </w:p>
        </w:tc>
        <w:tc>
          <w:tcPr>
            <w:tcW w:w="769"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.803</w:t>
            </w:r>
          </w:p>
        </w:tc>
        <w:tc>
          <w:tcPr>
            <w:tcW w:w="850"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.998</w:t>
            </w:r>
          </w:p>
        </w:tc>
        <w:tc>
          <w:tcPr>
            <w:tcW w:w="768" w:type="dxa"/>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1.002</w:t>
            </w:r>
          </w:p>
        </w:tc>
      </w:tr>
      <w:tr w:rsidR="00E45B35" w:rsidRPr="00A3565D" w:rsidTr="00E20479">
        <w:trPr>
          <w:cantSplit/>
          <w:trHeight w:val="117"/>
        </w:trPr>
        <w:tc>
          <w:tcPr>
            <w:tcW w:w="146" w:type="dxa"/>
            <w:vMerge/>
            <w:tcBorders>
              <w:bottom w:val="single" w:sz="4" w:space="0" w:color="auto"/>
            </w:tcBorders>
            <w:shd w:val="clear" w:color="auto" w:fill="FFFFFF"/>
          </w:tcPr>
          <w:p w:rsidR="00E45B35" w:rsidRPr="00A3565D" w:rsidRDefault="00E45B35"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885" w:type="dxa"/>
            <w:tcBorders>
              <w:bottom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X3</w:t>
            </w:r>
          </w:p>
        </w:tc>
        <w:tc>
          <w:tcPr>
            <w:tcW w:w="1000"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-.117</w:t>
            </w:r>
          </w:p>
        </w:tc>
        <w:tc>
          <w:tcPr>
            <w:tcW w:w="999"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.061</w:t>
            </w:r>
          </w:p>
        </w:tc>
        <w:tc>
          <w:tcPr>
            <w:tcW w:w="1103"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-.182</w:t>
            </w:r>
          </w:p>
        </w:tc>
        <w:tc>
          <w:tcPr>
            <w:tcW w:w="769"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-1.920</w:t>
            </w:r>
          </w:p>
        </w:tc>
        <w:tc>
          <w:tcPr>
            <w:tcW w:w="769"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.057</w:t>
            </w:r>
          </w:p>
        </w:tc>
        <w:tc>
          <w:tcPr>
            <w:tcW w:w="850"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.975</w:t>
            </w:r>
          </w:p>
        </w:tc>
        <w:tc>
          <w:tcPr>
            <w:tcW w:w="768" w:type="dxa"/>
            <w:tcBorders>
              <w:bottom w:val="single" w:sz="4" w:space="0" w:color="auto"/>
            </w:tcBorders>
            <w:shd w:val="clear" w:color="auto" w:fill="FFFFFF"/>
            <w:vAlign w:val="center"/>
          </w:tcPr>
          <w:p w:rsidR="00E45B35" w:rsidRPr="00A3565D" w:rsidRDefault="00E45B35"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1.025</w:t>
            </w:r>
          </w:p>
        </w:tc>
      </w:tr>
      <w:tr w:rsidR="00E45B35" w:rsidRPr="00A3565D" w:rsidTr="00E20479">
        <w:trPr>
          <w:cantSplit/>
          <w:trHeight w:val="256"/>
        </w:trPr>
        <w:tc>
          <w:tcPr>
            <w:tcW w:w="7289" w:type="dxa"/>
            <w:gridSpan w:val="9"/>
            <w:tcBorders>
              <w:top w:val="single" w:sz="4" w:space="0" w:color="auto"/>
            </w:tcBorders>
            <w:shd w:val="clear" w:color="auto" w:fill="FFFFFF"/>
          </w:tcPr>
          <w:p w:rsidR="00E45B35" w:rsidRPr="00A3565D" w:rsidRDefault="00E45B35"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 Dependent Variable: Y</w:t>
            </w:r>
          </w:p>
        </w:tc>
      </w:tr>
    </w:tbl>
    <w:p w:rsidR="00744319" w:rsidRPr="00A3565D" w:rsidRDefault="00744319" w:rsidP="00A3565D">
      <w:pPr>
        <w:spacing w:after="0" w:line="240" w:lineRule="auto"/>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Sumber : Output SPSS 23</w:t>
      </w:r>
    </w:p>
    <w:p w:rsidR="00E20479" w:rsidRPr="00A3565D" w:rsidRDefault="00E20479" w:rsidP="00A3565D">
      <w:pPr>
        <w:tabs>
          <w:tab w:val="left" w:pos="5245"/>
        </w:tabs>
        <w:spacing w:after="0" w:line="240" w:lineRule="auto"/>
        <w:ind w:left="993"/>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Berdasarkan tabel pengujian multikolinieritas dapat dilihat semua nilai variabel &lt; 10.00. Hal ini dibuktikan dengan variabel X1 (Kebijakan Akuntansi) nilai VIF 1.023, variabel X2 (Pengendalian Internal) nilai VIF 1.002, dan variabel X3 (Risiko Keuangan) nilai VIF 1.025. Dengan demikian dapat dikatakan bahwa antarvariabel independen pada penelitian ini tidak terdapat multikolinieritas.</w:t>
      </w:r>
    </w:p>
    <w:p w:rsidR="00E20479" w:rsidRPr="00A3565D" w:rsidRDefault="00E20479" w:rsidP="00A3565D">
      <w:pPr>
        <w:pStyle w:val="Heading4"/>
        <w:spacing w:before="0" w:line="240" w:lineRule="auto"/>
        <w:jc w:val="both"/>
        <w:rPr>
          <w:rFonts w:ascii="Times New Roman" w:hAnsi="Times New Roman" w:cs="Times New Roman"/>
          <w:i w:val="0"/>
          <w:color w:val="000000" w:themeColor="text1"/>
          <w:sz w:val="24"/>
          <w:szCs w:val="24"/>
        </w:rPr>
      </w:pPr>
      <w:r w:rsidRPr="00A3565D">
        <w:rPr>
          <w:rFonts w:ascii="Times New Roman" w:hAnsi="Times New Roman" w:cs="Times New Roman"/>
          <w:i w:val="0"/>
          <w:color w:val="000000" w:themeColor="text1"/>
          <w:sz w:val="24"/>
          <w:szCs w:val="24"/>
        </w:rPr>
        <w:t>Uji Heteroskedastisitas</w:t>
      </w:r>
      <w:bookmarkStart w:id="16" w:name="_GoBack"/>
      <w:bookmarkEnd w:id="16"/>
    </w:p>
    <w:p w:rsidR="00E20479" w:rsidRPr="00A3565D" w:rsidRDefault="00E20479" w:rsidP="00A3565D">
      <w:pPr>
        <w:pStyle w:val="Heading4"/>
        <w:spacing w:before="0" w:line="240" w:lineRule="auto"/>
        <w:ind w:firstLine="720"/>
        <w:jc w:val="both"/>
        <w:rPr>
          <w:rFonts w:ascii="Times New Roman" w:hAnsi="Times New Roman" w:cs="Times New Roman"/>
          <w:b w:val="0"/>
          <w:i w:val="0"/>
          <w:color w:val="000000" w:themeColor="text1"/>
          <w:sz w:val="24"/>
          <w:szCs w:val="24"/>
        </w:rPr>
      </w:pPr>
      <w:r w:rsidRPr="00A3565D">
        <w:rPr>
          <w:rFonts w:ascii="Times New Roman" w:hAnsi="Times New Roman" w:cs="Times New Roman"/>
          <w:b w:val="0"/>
          <w:i w:val="0"/>
          <w:color w:val="000000" w:themeColor="text1"/>
          <w:sz w:val="24"/>
          <w:szCs w:val="24"/>
        </w:rPr>
        <w:t>Uji heteroskedastisitas bertujuan untuk menguji apakah suatu model regresi terjadi ketidaksamaan variance dari residual suatu pengamatan ke pengamatan yang lain. Hasil dari pengujian sebagai berikut:</w:t>
      </w:r>
    </w:p>
    <w:p w:rsidR="00744319" w:rsidRPr="00A3565D" w:rsidRDefault="00744319" w:rsidP="00A3565D">
      <w:pPr>
        <w:spacing w:after="0" w:line="240" w:lineRule="auto"/>
        <w:ind w:left="720"/>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Uji Heteroskedastisitas (Uji Glesjer)</w:t>
      </w:r>
    </w:p>
    <w:tbl>
      <w:tblPr>
        <w:tblW w:w="7371" w:type="dxa"/>
        <w:tblInd w:w="1423" w:type="dxa"/>
        <w:tblLayout w:type="fixed"/>
        <w:tblCellMar>
          <w:left w:w="0" w:type="dxa"/>
          <w:right w:w="0" w:type="dxa"/>
        </w:tblCellMar>
        <w:tblLook w:val="0000"/>
      </w:tblPr>
      <w:tblGrid>
        <w:gridCol w:w="449"/>
        <w:gridCol w:w="1178"/>
        <w:gridCol w:w="1331"/>
        <w:gridCol w:w="1331"/>
        <w:gridCol w:w="1469"/>
        <w:gridCol w:w="1025"/>
        <w:gridCol w:w="588"/>
      </w:tblGrid>
      <w:tr w:rsidR="00744319" w:rsidRPr="00A3565D" w:rsidTr="00744319">
        <w:trPr>
          <w:cantSplit/>
        </w:trPr>
        <w:tc>
          <w:tcPr>
            <w:tcW w:w="1627" w:type="dxa"/>
            <w:gridSpan w:val="2"/>
            <w:vMerge w:val="restart"/>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Model</w:t>
            </w:r>
          </w:p>
        </w:tc>
        <w:tc>
          <w:tcPr>
            <w:tcW w:w="2662" w:type="dxa"/>
            <w:gridSpan w:val="2"/>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Unstandardized Coefficients</w:t>
            </w:r>
          </w:p>
        </w:tc>
        <w:tc>
          <w:tcPr>
            <w:tcW w:w="1469"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Standardized Coefficients</w:t>
            </w:r>
          </w:p>
        </w:tc>
        <w:tc>
          <w:tcPr>
            <w:tcW w:w="1025" w:type="dxa"/>
            <w:vMerge w:val="restart"/>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T</w:t>
            </w:r>
          </w:p>
        </w:tc>
        <w:tc>
          <w:tcPr>
            <w:tcW w:w="588" w:type="dxa"/>
            <w:vMerge w:val="restart"/>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Sig.</w:t>
            </w:r>
          </w:p>
        </w:tc>
      </w:tr>
      <w:tr w:rsidR="00744319" w:rsidRPr="00A3565D" w:rsidTr="00744319">
        <w:trPr>
          <w:cantSplit/>
        </w:trPr>
        <w:tc>
          <w:tcPr>
            <w:tcW w:w="1627" w:type="dxa"/>
            <w:gridSpan w:val="2"/>
            <w:vMerge/>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331"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w:t>
            </w:r>
          </w:p>
        </w:tc>
        <w:tc>
          <w:tcPr>
            <w:tcW w:w="1331"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Error</w:t>
            </w:r>
          </w:p>
        </w:tc>
        <w:tc>
          <w:tcPr>
            <w:tcW w:w="1469"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Beta</w:t>
            </w:r>
          </w:p>
        </w:tc>
        <w:tc>
          <w:tcPr>
            <w:tcW w:w="1025" w:type="dxa"/>
            <w:vMerge/>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588" w:type="dxa"/>
            <w:vMerge/>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r>
      <w:tr w:rsidR="00744319" w:rsidRPr="00A3565D" w:rsidTr="00744319">
        <w:trPr>
          <w:cantSplit/>
        </w:trPr>
        <w:tc>
          <w:tcPr>
            <w:tcW w:w="449" w:type="dxa"/>
            <w:vMerge w:val="restart"/>
            <w:tcBorders>
              <w:top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w:t>
            </w:r>
          </w:p>
        </w:tc>
        <w:tc>
          <w:tcPr>
            <w:tcW w:w="1178" w:type="dxa"/>
            <w:tcBorders>
              <w:top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(Constant)</w:t>
            </w:r>
          </w:p>
        </w:tc>
        <w:tc>
          <w:tcPr>
            <w:tcW w:w="1331" w:type="dxa"/>
            <w:tcBorders>
              <w:top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.035</w:t>
            </w:r>
          </w:p>
        </w:tc>
        <w:tc>
          <w:tcPr>
            <w:tcW w:w="1331" w:type="dxa"/>
            <w:tcBorders>
              <w:top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.032</w:t>
            </w:r>
          </w:p>
        </w:tc>
        <w:tc>
          <w:tcPr>
            <w:tcW w:w="1469" w:type="dxa"/>
            <w:tcBorders>
              <w:top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025" w:type="dxa"/>
            <w:tcBorders>
              <w:top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1.113</w:t>
            </w:r>
          </w:p>
        </w:tc>
        <w:tc>
          <w:tcPr>
            <w:tcW w:w="588" w:type="dxa"/>
            <w:tcBorders>
              <w:top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.268</w:t>
            </w:r>
          </w:p>
        </w:tc>
      </w:tr>
      <w:tr w:rsidR="00744319" w:rsidRPr="00A3565D" w:rsidTr="00744319">
        <w:trPr>
          <w:cantSplit/>
        </w:trPr>
        <w:tc>
          <w:tcPr>
            <w:tcW w:w="449" w:type="dxa"/>
            <w:vMerge/>
            <w:shd w:val="clear" w:color="auto" w:fill="FFFFFF"/>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78" w:type="dxa"/>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X1</w:t>
            </w:r>
          </w:p>
        </w:tc>
        <w:tc>
          <w:tcPr>
            <w:tcW w:w="1331"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.063</w:t>
            </w:r>
          </w:p>
        </w:tc>
        <w:tc>
          <w:tcPr>
            <w:tcW w:w="1331"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.064</w:t>
            </w:r>
          </w:p>
        </w:tc>
        <w:tc>
          <w:tcPr>
            <w:tcW w:w="1469"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.093</w:t>
            </w:r>
          </w:p>
        </w:tc>
        <w:tc>
          <w:tcPr>
            <w:tcW w:w="1025"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.992</w:t>
            </w:r>
          </w:p>
        </w:tc>
        <w:tc>
          <w:tcPr>
            <w:tcW w:w="588"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.323</w:t>
            </w:r>
          </w:p>
        </w:tc>
      </w:tr>
      <w:tr w:rsidR="00744319" w:rsidRPr="00A3565D" w:rsidTr="00744319">
        <w:trPr>
          <w:cantSplit/>
        </w:trPr>
        <w:tc>
          <w:tcPr>
            <w:tcW w:w="449" w:type="dxa"/>
            <w:vMerge/>
            <w:shd w:val="clear" w:color="auto" w:fill="FFFFFF"/>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78" w:type="dxa"/>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X2</w:t>
            </w:r>
          </w:p>
        </w:tc>
        <w:tc>
          <w:tcPr>
            <w:tcW w:w="1331"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.056</w:t>
            </w:r>
          </w:p>
        </w:tc>
        <w:tc>
          <w:tcPr>
            <w:tcW w:w="1331"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.027</w:t>
            </w:r>
          </w:p>
        </w:tc>
        <w:tc>
          <w:tcPr>
            <w:tcW w:w="1469"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.194</w:t>
            </w:r>
          </w:p>
        </w:tc>
        <w:tc>
          <w:tcPr>
            <w:tcW w:w="1025"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2.077</w:t>
            </w:r>
          </w:p>
        </w:tc>
        <w:tc>
          <w:tcPr>
            <w:tcW w:w="588" w:type="dxa"/>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.040</w:t>
            </w:r>
          </w:p>
        </w:tc>
      </w:tr>
      <w:tr w:rsidR="00744319" w:rsidRPr="00A3565D" w:rsidTr="00744319">
        <w:trPr>
          <w:cantSplit/>
        </w:trPr>
        <w:tc>
          <w:tcPr>
            <w:tcW w:w="449" w:type="dxa"/>
            <w:vMerge/>
            <w:tcBorders>
              <w:bottom w:val="single" w:sz="4" w:space="0" w:color="auto"/>
            </w:tcBorders>
            <w:shd w:val="clear" w:color="auto" w:fill="FFFFFF"/>
          </w:tcPr>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78" w:type="dxa"/>
            <w:tcBorders>
              <w:bottom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X3</w:t>
            </w:r>
          </w:p>
        </w:tc>
        <w:tc>
          <w:tcPr>
            <w:tcW w:w="1331" w:type="dxa"/>
            <w:tcBorders>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.003</w:t>
            </w:r>
          </w:p>
        </w:tc>
        <w:tc>
          <w:tcPr>
            <w:tcW w:w="1331" w:type="dxa"/>
            <w:tcBorders>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.040</w:t>
            </w:r>
          </w:p>
        </w:tc>
        <w:tc>
          <w:tcPr>
            <w:tcW w:w="1469" w:type="dxa"/>
            <w:tcBorders>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.007</w:t>
            </w:r>
          </w:p>
        </w:tc>
        <w:tc>
          <w:tcPr>
            <w:tcW w:w="1025" w:type="dxa"/>
            <w:tcBorders>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.078</w:t>
            </w:r>
          </w:p>
        </w:tc>
        <w:tc>
          <w:tcPr>
            <w:tcW w:w="588" w:type="dxa"/>
            <w:tcBorders>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.938</w:t>
            </w:r>
          </w:p>
        </w:tc>
      </w:tr>
      <w:tr w:rsidR="00744319" w:rsidRPr="00A3565D" w:rsidTr="00744319">
        <w:trPr>
          <w:cantSplit/>
        </w:trPr>
        <w:tc>
          <w:tcPr>
            <w:tcW w:w="7371" w:type="dxa"/>
            <w:gridSpan w:val="7"/>
            <w:tcBorders>
              <w:top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 Dependent Variable: Abs_RES</w:t>
            </w:r>
          </w:p>
        </w:tc>
      </w:tr>
    </w:tbl>
    <w:p w:rsidR="00744319" w:rsidRPr="00A3565D" w:rsidRDefault="00744319" w:rsidP="00A3565D">
      <w:pPr>
        <w:autoSpaceDE w:val="0"/>
        <w:autoSpaceDN w:val="0"/>
        <w:adjustRightInd w:val="0"/>
        <w:spacing w:after="0" w:line="240" w:lineRule="auto"/>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                     Sumber : Output SPSS 23</w:t>
      </w:r>
    </w:p>
    <w:p w:rsidR="00744319" w:rsidRPr="00A3565D" w:rsidRDefault="00744319" w:rsidP="00A3565D">
      <w:pPr>
        <w:spacing w:after="0" w:line="240" w:lineRule="auto"/>
        <w:ind w:left="426" w:firstLine="294"/>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Ketentuan dari alat uji ini model </w:t>
      </w:r>
      <w:r w:rsidRPr="00A3565D">
        <w:rPr>
          <w:rFonts w:ascii="Times New Roman" w:hAnsi="Times New Roman" w:cs="Times New Roman"/>
          <w:i/>
          <w:color w:val="000000" w:themeColor="text1"/>
          <w:sz w:val="24"/>
          <w:szCs w:val="24"/>
        </w:rPr>
        <w:t xml:space="preserve">glesjer </w:t>
      </w:r>
      <w:r w:rsidRPr="00A3565D">
        <w:rPr>
          <w:rFonts w:ascii="Times New Roman" w:hAnsi="Times New Roman" w:cs="Times New Roman"/>
          <w:color w:val="000000" w:themeColor="text1"/>
          <w:sz w:val="24"/>
          <w:szCs w:val="24"/>
        </w:rPr>
        <w:t>adalah masing-masing variabel memiliki sign &gt; 0.05, maka dapat disimpulkan bahwa tidak terjadi gejala heteroskedastisitas dalam model regresi. Berdasarkan tabel 4.4 diatas untuk nilai signifikansi (sig) variabel X1 (Kebijakan Akuntansi) adalah 0.268, untuk variabel X2 (Pengendalian Internal) nilai signifikansinya 0.323, dan untukvariabel X3 (Risiko Keuangan) nilai signifikansinya 0.938. Dari semua variabel tersebut memliki nilai lebih besar dari 0.05  maka dapat disimpulkan bahwa dalam penilitian ini tidak terjadi heteroskedastisitas.</w:t>
      </w:r>
    </w:p>
    <w:p w:rsidR="00A3565D" w:rsidRDefault="00A3565D" w:rsidP="00A3565D">
      <w:pPr>
        <w:pStyle w:val="Heading4"/>
        <w:spacing w:before="0" w:line="240" w:lineRule="auto"/>
        <w:jc w:val="both"/>
        <w:rPr>
          <w:rFonts w:ascii="Times New Roman" w:hAnsi="Times New Roman" w:cs="Times New Roman"/>
          <w:i w:val="0"/>
          <w:color w:val="000000" w:themeColor="text1"/>
          <w:sz w:val="24"/>
          <w:szCs w:val="24"/>
        </w:rPr>
      </w:pPr>
    </w:p>
    <w:p w:rsidR="00744319" w:rsidRPr="00A3565D" w:rsidRDefault="00744319" w:rsidP="00A3565D">
      <w:pPr>
        <w:pStyle w:val="Heading4"/>
        <w:spacing w:before="0" w:line="240" w:lineRule="auto"/>
        <w:jc w:val="both"/>
        <w:rPr>
          <w:rFonts w:ascii="Times New Roman" w:hAnsi="Times New Roman" w:cs="Times New Roman"/>
          <w:i w:val="0"/>
          <w:color w:val="000000" w:themeColor="text1"/>
          <w:sz w:val="24"/>
          <w:szCs w:val="24"/>
        </w:rPr>
      </w:pPr>
      <w:r w:rsidRPr="00A3565D">
        <w:rPr>
          <w:rFonts w:ascii="Times New Roman" w:hAnsi="Times New Roman" w:cs="Times New Roman"/>
          <w:i w:val="0"/>
          <w:color w:val="000000" w:themeColor="text1"/>
          <w:sz w:val="24"/>
          <w:szCs w:val="24"/>
        </w:rPr>
        <w:t xml:space="preserve">Uji Autokorelasi </w:t>
      </w:r>
    </w:p>
    <w:p w:rsidR="00744319" w:rsidRPr="00A3565D" w:rsidRDefault="00744319" w:rsidP="00A3565D">
      <w:pPr>
        <w:spacing w:after="0" w:line="240" w:lineRule="auto"/>
        <w:ind w:left="720"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Pengujian autokorelasi berdasarkan angka Durbin Watson cukup dengan menggunakan angka batas bawah -2 dan batas atas 2. Jika angka DW berada di antara -2 sampai dengan 2, maka  data dinyatakan bebas dari masalah autokorelasi.</w:t>
      </w:r>
    </w:p>
    <w:p w:rsidR="00744319" w:rsidRPr="00A3565D" w:rsidRDefault="00744319" w:rsidP="00A3565D">
      <w:pPr>
        <w:spacing w:after="0" w:line="240" w:lineRule="auto"/>
        <w:ind w:left="720"/>
        <w:jc w:val="center"/>
        <w:rPr>
          <w:rFonts w:ascii="Times New Roman" w:hAnsi="Times New Roman" w:cs="Times New Roman"/>
          <w:b/>
          <w:color w:val="000000" w:themeColor="text1"/>
          <w:sz w:val="24"/>
          <w:szCs w:val="24"/>
        </w:rPr>
      </w:pPr>
    </w:p>
    <w:p w:rsidR="00744319" w:rsidRPr="00A3565D" w:rsidRDefault="00744319" w:rsidP="00A3565D">
      <w:pPr>
        <w:spacing w:after="0" w:line="240" w:lineRule="auto"/>
        <w:ind w:left="720"/>
        <w:jc w:val="center"/>
        <w:rPr>
          <w:rFonts w:ascii="Times New Roman" w:hAnsi="Times New Roman" w:cs="Times New Roman"/>
          <w:b/>
          <w:color w:val="000000" w:themeColor="text1"/>
          <w:sz w:val="24"/>
          <w:szCs w:val="24"/>
        </w:rPr>
      </w:pPr>
    </w:p>
    <w:p w:rsidR="00744319" w:rsidRPr="00A3565D" w:rsidRDefault="00744319" w:rsidP="00A3565D">
      <w:pPr>
        <w:spacing w:after="0" w:line="240" w:lineRule="auto"/>
        <w:ind w:left="720"/>
        <w:jc w:val="center"/>
        <w:rPr>
          <w:rFonts w:ascii="Times New Roman" w:hAnsi="Times New Roman" w:cs="Times New Roman"/>
          <w:b/>
          <w:color w:val="000000" w:themeColor="text1"/>
          <w:sz w:val="24"/>
          <w:szCs w:val="24"/>
        </w:rPr>
      </w:pPr>
    </w:p>
    <w:p w:rsidR="00744319" w:rsidRPr="00A3565D" w:rsidRDefault="00744319" w:rsidP="00A3565D">
      <w:pPr>
        <w:spacing w:after="0" w:line="240" w:lineRule="auto"/>
        <w:ind w:left="720"/>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Uji Autokorelasi</w:t>
      </w:r>
    </w:p>
    <w:tbl>
      <w:tblPr>
        <w:tblW w:w="7229" w:type="dxa"/>
        <w:tblInd w:w="1071" w:type="dxa"/>
        <w:tblLayout w:type="fixed"/>
        <w:tblCellMar>
          <w:left w:w="0" w:type="dxa"/>
          <w:right w:w="0" w:type="dxa"/>
        </w:tblCellMar>
        <w:tblLook w:val="0000"/>
      </w:tblPr>
      <w:tblGrid>
        <w:gridCol w:w="772"/>
        <w:gridCol w:w="621"/>
        <w:gridCol w:w="1086"/>
        <w:gridCol w:w="1469"/>
        <w:gridCol w:w="1469"/>
        <w:gridCol w:w="1812"/>
      </w:tblGrid>
      <w:tr w:rsidR="00744319" w:rsidRPr="00A3565D" w:rsidTr="00744319">
        <w:trPr>
          <w:cantSplit/>
        </w:trPr>
        <w:tc>
          <w:tcPr>
            <w:tcW w:w="772"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Model</w:t>
            </w:r>
          </w:p>
        </w:tc>
        <w:tc>
          <w:tcPr>
            <w:tcW w:w="621"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R</w:t>
            </w:r>
          </w:p>
        </w:tc>
        <w:tc>
          <w:tcPr>
            <w:tcW w:w="1086"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R Square</w:t>
            </w:r>
          </w:p>
        </w:tc>
        <w:tc>
          <w:tcPr>
            <w:tcW w:w="1469"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Adjusted R Square</w:t>
            </w:r>
          </w:p>
        </w:tc>
        <w:tc>
          <w:tcPr>
            <w:tcW w:w="1469"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Error of the Estimate</w:t>
            </w:r>
          </w:p>
        </w:tc>
        <w:tc>
          <w:tcPr>
            <w:tcW w:w="1812" w:type="dxa"/>
            <w:tcBorders>
              <w:top w:val="single" w:sz="4" w:space="0" w:color="auto"/>
              <w:bottom w:val="single" w:sz="4" w:space="0" w:color="auto"/>
            </w:tcBorders>
            <w:shd w:val="clear" w:color="auto" w:fill="FFFFFF"/>
            <w:vAlign w:val="bottom"/>
          </w:tcPr>
          <w:p w:rsidR="00744319" w:rsidRPr="00A3565D" w:rsidRDefault="00744319"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Durbin-Watson</w:t>
            </w:r>
          </w:p>
        </w:tc>
      </w:tr>
      <w:tr w:rsidR="00744319" w:rsidRPr="00A3565D" w:rsidTr="00744319">
        <w:trPr>
          <w:cantSplit/>
        </w:trPr>
        <w:tc>
          <w:tcPr>
            <w:tcW w:w="772" w:type="dxa"/>
            <w:tcBorders>
              <w:top w:val="single" w:sz="4" w:space="0" w:color="auto"/>
              <w:bottom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w:t>
            </w:r>
          </w:p>
        </w:tc>
        <w:tc>
          <w:tcPr>
            <w:tcW w:w="621" w:type="dxa"/>
            <w:tcBorders>
              <w:top w:val="single" w:sz="4" w:space="0" w:color="auto"/>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.200</w:t>
            </w:r>
            <w:r w:rsidRPr="00A3565D">
              <w:rPr>
                <w:rFonts w:ascii="Times New Roman" w:hAnsi="Times New Roman" w:cs="Times New Roman"/>
                <w:color w:val="000000" w:themeColor="text1"/>
                <w:sz w:val="24"/>
                <w:szCs w:val="24"/>
                <w:vertAlign w:val="superscript"/>
              </w:rPr>
              <w:t>a</w:t>
            </w:r>
          </w:p>
        </w:tc>
        <w:tc>
          <w:tcPr>
            <w:tcW w:w="1086" w:type="dxa"/>
            <w:tcBorders>
              <w:top w:val="single" w:sz="4" w:space="0" w:color="auto"/>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.040</w:t>
            </w:r>
          </w:p>
        </w:tc>
        <w:tc>
          <w:tcPr>
            <w:tcW w:w="1469" w:type="dxa"/>
            <w:tcBorders>
              <w:top w:val="single" w:sz="4" w:space="0" w:color="auto"/>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.014</w:t>
            </w:r>
          </w:p>
        </w:tc>
        <w:tc>
          <w:tcPr>
            <w:tcW w:w="1469" w:type="dxa"/>
            <w:tcBorders>
              <w:top w:val="single" w:sz="4" w:space="0" w:color="auto"/>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.11934</w:t>
            </w:r>
          </w:p>
        </w:tc>
        <w:tc>
          <w:tcPr>
            <w:tcW w:w="1812" w:type="dxa"/>
            <w:tcBorders>
              <w:top w:val="single" w:sz="4" w:space="0" w:color="auto"/>
              <w:bottom w:val="single" w:sz="4" w:space="0" w:color="auto"/>
            </w:tcBorders>
            <w:shd w:val="clear" w:color="auto" w:fill="FFFFFF"/>
            <w:vAlign w:val="center"/>
          </w:tcPr>
          <w:p w:rsidR="00744319" w:rsidRPr="00A3565D" w:rsidRDefault="00744319"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.584</w:t>
            </w:r>
          </w:p>
        </w:tc>
      </w:tr>
      <w:tr w:rsidR="00744319" w:rsidRPr="00A3565D" w:rsidTr="00744319">
        <w:trPr>
          <w:cantSplit/>
        </w:trPr>
        <w:tc>
          <w:tcPr>
            <w:tcW w:w="7229" w:type="dxa"/>
            <w:gridSpan w:val="6"/>
            <w:tcBorders>
              <w:top w:val="single" w:sz="4" w:space="0" w:color="auto"/>
            </w:tcBorders>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 Predictors: (Constant), X3, X2, X1</w:t>
            </w:r>
          </w:p>
        </w:tc>
      </w:tr>
      <w:tr w:rsidR="00744319" w:rsidRPr="00A3565D" w:rsidTr="00744319">
        <w:trPr>
          <w:cantSplit/>
        </w:trPr>
        <w:tc>
          <w:tcPr>
            <w:tcW w:w="7229" w:type="dxa"/>
            <w:gridSpan w:val="6"/>
            <w:shd w:val="clear" w:color="auto" w:fill="FFFFFF"/>
          </w:tcPr>
          <w:p w:rsidR="00744319" w:rsidRPr="00A3565D" w:rsidRDefault="00744319"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 Dependent Variable: Y</w:t>
            </w:r>
          </w:p>
        </w:tc>
      </w:tr>
    </w:tbl>
    <w:p w:rsidR="00744319" w:rsidRPr="00A3565D" w:rsidRDefault="00744319" w:rsidP="00A3565D">
      <w:pPr>
        <w:spacing w:after="0" w:line="240" w:lineRule="auto"/>
        <w:ind w:left="72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Sumber: Output SPSS 23</w:t>
      </w:r>
    </w:p>
    <w:p w:rsidR="00744319" w:rsidRPr="00A3565D" w:rsidRDefault="00744319" w:rsidP="00A3565D">
      <w:pPr>
        <w:spacing w:after="0" w:line="240" w:lineRule="auto"/>
        <w:ind w:left="284"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Berdasarkan tabel uji autokorelasi di atas dapat dilihat bahwa nilai Durbin Watson sebesar 0.584. Batasan terjadinya autokorelasi adalah angka Durbin Watson berada antara -2 dan 2, yaitu -2 &lt; 0.584 &lt; 2. Maka dapat disimpulkan bahwa tidak ditemukannya autokorelasi dalam model regresi.</w:t>
      </w:r>
    </w:p>
    <w:p w:rsidR="00EA5DAF" w:rsidRPr="00A3565D" w:rsidRDefault="00EA5DAF" w:rsidP="00A3565D">
      <w:pPr>
        <w:pStyle w:val="Heading4"/>
        <w:spacing w:before="0" w:line="240" w:lineRule="auto"/>
        <w:jc w:val="both"/>
        <w:rPr>
          <w:rFonts w:ascii="Times New Roman" w:hAnsi="Times New Roman" w:cs="Times New Roman"/>
          <w:i w:val="0"/>
          <w:color w:val="000000" w:themeColor="text1"/>
          <w:sz w:val="24"/>
          <w:szCs w:val="24"/>
        </w:rPr>
      </w:pPr>
    </w:p>
    <w:p w:rsidR="00EA5DAF" w:rsidRPr="00A3565D" w:rsidRDefault="00EA5DAF" w:rsidP="00A3565D">
      <w:pPr>
        <w:pStyle w:val="Heading4"/>
        <w:spacing w:before="0" w:line="240" w:lineRule="auto"/>
        <w:jc w:val="both"/>
        <w:rPr>
          <w:rFonts w:ascii="Times New Roman" w:hAnsi="Times New Roman" w:cs="Times New Roman"/>
          <w:i w:val="0"/>
          <w:color w:val="000000" w:themeColor="text1"/>
          <w:sz w:val="24"/>
          <w:szCs w:val="24"/>
        </w:rPr>
      </w:pPr>
      <w:r w:rsidRPr="00A3565D">
        <w:rPr>
          <w:rFonts w:ascii="Times New Roman" w:hAnsi="Times New Roman" w:cs="Times New Roman"/>
          <w:i w:val="0"/>
          <w:color w:val="000000" w:themeColor="text1"/>
          <w:sz w:val="24"/>
          <w:szCs w:val="24"/>
        </w:rPr>
        <w:t>Analisis Regresi Linear Berganda</w:t>
      </w:r>
    </w:p>
    <w:p w:rsidR="00EA5DAF" w:rsidRPr="00A3565D" w:rsidRDefault="00EA5DAF"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Analisis ini digunakan untuk memprediksi nilai dan variabel dependen apabila nilai variabel independen mengalami kenaikan atau penurunan, bertujuan untuk mengetahui hubungan antara variabel dependen dan independen apakah mempunyai hubungan positif atau negatif. Berikut hasil dari uji Regresi Linear berganda:</w:t>
      </w:r>
    </w:p>
    <w:p w:rsidR="00EA5DAF" w:rsidRPr="00A3565D" w:rsidRDefault="00EA5DAF" w:rsidP="00A3565D">
      <w:pPr>
        <w:spacing w:after="0" w:line="240" w:lineRule="auto"/>
        <w:jc w:val="both"/>
        <w:rPr>
          <w:rFonts w:ascii="Times New Roman" w:hAnsi="Times New Roman" w:cs="Times New Roman"/>
          <w:color w:val="000000" w:themeColor="text1"/>
          <w:sz w:val="24"/>
          <w:szCs w:val="24"/>
        </w:rPr>
      </w:pPr>
    </w:p>
    <w:p w:rsidR="00744319" w:rsidRPr="00A3565D" w:rsidRDefault="00744319" w:rsidP="00A3565D">
      <w:pPr>
        <w:autoSpaceDE w:val="0"/>
        <w:autoSpaceDN w:val="0"/>
        <w:adjustRightInd w:val="0"/>
        <w:spacing w:after="0" w:line="240" w:lineRule="auto"/>
        <w:ind w:firstLine="720"/>
        <w:rPr>
          <w:rFonts w:ascii="Times New Roman" w:hAnsi="Times New Roman" w:cs="Times New Roman"/>
          <w:color w:val="000000" w:themeColor="text1"/>
          <w:sz w:val="24"/>
          <w:szCs w:val="24"/>
        </w:rPr>
      </w:pPr>
    </w:p>
    <w:p w:rsidR="00EA5DAF" w:rsidRPr="00A3565D" w:rsidRDefault="00EA5DAF" w:rsidP="00A3565D">
      <w:pPr>
        <w:pStyle w:val="NoSpacing"/>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Regresi Linear Berganda</w:t>
      </w:r>
    </w:p>
    <w:tbl>
      <w:tblPr>
        <w:tblW w:w="7229" w:type="dxa"/>
        <w:tblInd w:w="1071" w:type="dxa"/>
        <w:tblLayout w:type="fixed"/>
        <w:tblCellMar>
          <w:left w:w="0" w:type="dxa"/>
          <w:right w:w="0" w:type="dxa"/>
        </w:tblCellMar>
        <w:tblLook w:val="0000"/>
      </w:tblPr>
      <w:tblGrid>
        <w:gridCol w:w="307"/>
        <w:gridCol w:w="1110"/>
        <w:gridCol w:w="1399"/>
        <w:gridCol w:w="1011"/>
        <w:gridCol w:w="1417"/>
        <w:gridCol w:w="993"/>
        <w:gridCol w:w="992"/>
      </w:tblGrid>
      <w:tr w:rsidR="00EA5DAF" w:rsidRPr="00A3565D" w:rsidTr="00EA5DAF">
        <w:trPr>
          <w:cantSplit/>
        </w:trPr>
        <w:tc>
          <w:tcPr>
            <w:tcW w:w="1417" w:type="dxa"/>
            <w:gridSpan w:val="2"/>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Model</w:t>
            </w:r>
          </w:p>
        </w:tc>
        <w:tc>
          <w:tcPr>
            <w:tcW w:w="2410" w:type="dxa"/>
            <w:gridSpan w:val="2"/>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Unstandardized Coefficients</w:t>
            </w:r>
          </w:p>
        </w:tc>
        <w:tc>
          <w:tcPr>
            <w:tcW w:w="1417"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Standardized Coefficients</w:t>
            </w:r>
          </w:p>
        </w:tc>
        <w:tc>
          <w:tcPr>
            <w:tcW w:w="993" w:type="dxa"/>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T</w:t>
            </w:r>
          </w:p>
        </w:tc>
        <w:tc>
          <w:tcPr>
            <w:tcW w:w="992" w:type="dxa"/>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Sig.</w:t>
            </w:r>
          </w:p>
        </w:tc>
      </w:tr>
      <w:tr w:rsidR="00EA5DAF" w:rsidRPr="00A3565D" w:rsidTr="00EA5DAF">
        <w:trPr>
          <w:cantSplit/>
        </w:trPr>
        <w:tc>
          <w:tcPr>
            <w:tcW w:w="1417" w:type="dxa"/>
            <w:gridSpan w:val="2"/>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399"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w:t>
            </w:r>
          </w:p>
        </w:tc>
        <w:tc>
          <w:tcPr>
            <w:tcW w:w="1011"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Error</w:t>
            </w:r>
          </w:p>
        </w:tc>
        <w:tc>
          <w:tcPr>
            <w:tcW w:w="1417"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Beta</w:t>
            </w:r>
          </w:p>
        </w:tc>
        <w:tc>
          <w:tcPr>
            <w:tcW w:w="993" w:type="dxa"/>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r>
      <w:tr w:rsidR="00EA5DAF" w:rsidRPr="00A3565D" w:rsidTr="00EA5DAF">
        <w:trPr>
          <w:cantSplit/>
        </w:trPr>
        <w:tc>
          <w:tcPr>
            <w:tcW w:w="307" w:type="dxa"/>
            <w:vMerge w:val="restart"/>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w:t>
            </w:r>
          </w:p>
        </w:tc>
        <w:tc>
          <w:tcPr>
            <w:tcW w:w="1110" w:type="dxa"/>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(Constant)</w:t>
            </w:r>
          </w:p>
        </w:tc>
        <w:tc>
          <w:tcPr>
            <w:tcW w:w="1399"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.313</w:t>
            </w:r>
          </w:p>
        </w:tc>
        <w:tc>
          <w:tcPr>
            <w:tcW w:w="1011"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.049</w:t>
            </w:r>
          </w:p>
        </w:tc>
        <w:tc>
          <w:tcPr>
            <w:tcW w:w="1417"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993"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6.430</w:t>
            </w:r>
          </w:p>
        </w:tc>
        <w:tc>
          <w:tcPr>
            <w:tcW w:w="992"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.000</w:t>
            </w:r>
          </w:p>
        </w:tc>
      </w:tr>
      <w:tr w:rsidR="00EA5DAF" w:rsidRPr="00A3565D" w:rsidTr="00EA5DAF">
        <w:trPr>
          <w:cantSplit/>
        </w:trPr>
        <w:tc>
          <w:tcPr>
            <w:tcW w:w="307" w:type="dxa"/>
            <w:vMerge/>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X1</w:t>
            </w:r>
          </w:p>
        </w:tc>
        <w:tc>
          <w:tcPr>
            <w:tcW w:w="1399"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-.058</w:t>
            </w:r>
          </w:p>
        </w:tc>
        <w:tc>
          <w:tcPr>
            <w:tcW w:w="1011"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.097</w:t>
            </w:r>
          </w:p>
        </w:tc>
        <w:tc>
          <w:tcPr>
            <w:tcW w:w="1417"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-.056</w:t>
            </w:r>
          </w:p>
        </w:tc>
        <w:tc>
          <w:tcPr>
            <w:tcW w:w="993"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-.592</w:t>
            </w:r>
          </w:p>
        </w:tc>
        <w:tc>
          <w:tcPr>
            <w:tcW w:w="992"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.555</w:t>
            </w:r>
          </w:p>
        </w:tc>
      </w:tr>
      <w:tr w:rsidR="00EA5DAF" w:rsidRPr="00A3565D" w:rsidTr="00EA5DAF">
        <w:trPr>
          <w:cantSplit/>
        </w:trPr>
        <w:tc>
          <w:tcPr>
            <w:tcW w:w="307" w:type="dxa"/>
            <w:vMerge/>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X2</w:t>
            </w:r>
          </w:p>
        </w:tc>
        <w:tc>
          <w:tcPr>
            <w:tcW w:w="1399"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.010</w:t>
            </w:r>
          </w:p>
        </w:tc>
        <w:tc>
          <w:tcPr>
            <w:tcW w:w="1011"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.041</w:t>
            </w:r>
          </w:p>
        </w:tc>
        <w:tc>
          <w:tcPr>
            <w:tcW w:w="1417"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.023</w:t>
            </w:r>
          </w:p>
        </w:tc>
        <w:tc>
          <w:tcPr>
            <w:tcW w:w="993"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.250</w:t>
            </w:r>
          </w:p>
        </w:tc>
        <w:tc>
          <w:tcPr>
            <w:tcW w:w="992"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.803</w:t>
            </w:r>
          </w:p>
        </w:tc>
      </w:tr>
      <w:tr w:rsidR="00EA5DAF" w:rsidRPr="00A3565D" w:rsidTr="00EA5DAF">
        <w:trPr>
          <w:cantSplit/>
        </w:trPr>
        <w:tc>
          <w:tcPr>
            <w:tcW w:w="307" w:type="dxa"/>
            <w:vMerge/>
            <w:tcBorders>
              <w:bottom w:val="single" w:sz="4" w:space="0" w:color="auto"/>
            </w:tcBorders>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tcBorders>
              <w:bottom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X3</w:t>
            </w:r>
          </w:p>
        </w:tc>
        <w:tc>
          <w:tcPr>
            <w:tcW w:w="1399"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-.117</w:t>
            </w:r>
          </w:p>
        </w:tc>
        <w:tc>
          <w:tcPr>
            <w:tcW w:w="1011"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.061</w:t>
            </w:r>
          </w:p>
        </w:tc>
        <w:tc>
          <w:tcPr>
            <w:tcW w:w="1417"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-.182</w:t>
            </w:r>
          </w:p>
        </w:tc>
        <w:tc>
          <w:tcPr>
            <w:tcW w:w="993"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-1.920</w:t>
            </w:r>
          </w:p>
        </w:tc>
        <w:tc>
          <w:tcPr>
            <w:tcW w:w="992"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.057</w:t>
            </w:r>
          </w:p>
        </w:tc>
      </w:tr>
      <w:tr w:rsidR="00EA5DAF" w:rsidRPr="00A3565D" w:rsidTr="00EA5DAF">
        <w:trPr>
          <w:cantSplit/>
        </w:trPr>
        <w:tc>
          <w:tcPr>
            <w:tcW w:w="7229" w:type="dxa"/>
            <w:gridSpan w:val="7"/>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 Dependent Variable: Y</w:t>
            </w:r>
          </w:p>
        </w:tc>
      </w:tr>
    </w:tbl>
    <w:p w:rsidR="00EA5DAF" w:rsidRPr="00A3565D" w:rsidRDefault="00EA5DAF" w:rsidP="00A3565D">
      <w:pPr>
        <w:pStyle w:val="Default"/>
        <w:rPr>
          <w:color w:val="000000" w:themeColor="text1"/>
        </w:rPr>
      </w:pPr>
      <w:r w:rsidRPr="00A3565D">
        <w:rPr>
          <w:color w:val="000000" w:themeColor="text1"/>
        </w:rPr>
        <w:t>Sumber : Ouput SPSS 23</w:t>
      </w:r>
    </w:p>
    <w:p w:rsidR="00EA5DAF" w:rsidRPr="00A3565D" w:rsidRDefault="00EA5DAF" w:rsidP="00A3565D">
      <w:pPr>
        <w:pStyle w:val="Default"/>
        <w:ind w:left="720" w:firstLine="720"/>
        <w:jc w:val="both"/>
        <w:rPr>
          <w:color w:val="000000" w:themeColor="text1"/>
        </w:rPr>
      </w:pPr>
      <w:r w:rsidRPr="00A3565D">
        <w:rPr>
          <w:color w:val="000000" w:themeColor="text1"/>
        </w:rPr>
        <w:t>Berdasarkan tabel diatas menunjukkan bahwa model persamaan regresi linear berganda untuk memperkirakan apakah Kebijakan Akuntansi, Pengendalian Internal, Dan Risiko Keuangan berpengaruh positif atau negatif terhadap Kinerja Keuangan Perusahaan.Persamaan regresi dalam penelitian ini adalah:</w:t>
      </w:r>
    </w:p>
    <w:p w:rsidR="00EA5DAF" w:rsidRPr="00A3565D" w:rsidRDefault="00EA5DAF" w:rsidP="00A3565D">
      <w:pPr>
        <w:pStyle w:val="Default"/>
        <w:ind w:left="720" w:firstLine="273"/>
        <w:jc w:val="both"/>
        <w:rPr>
          <w:color w:val="000000" w:themeColor="text1"/>
        </w:rPr>
      </w:pPr>
      <w:r w:rsidRPr="00A3565D">
        <w:rPr>
          <w:color w:val="000000" w:themeColor="text1"/>
        </w:rPr>
        <w:t>Y = 0.313 – 0.058 X1 + 0.010 X2 – 0.117 X3 + e</w:t>
      </w:r>
    </w:p>
    <w:p w:rsidR="00EA5DAF" w:rsidRPr="00A3565D" w:rsidRDefault="00EA5DAF" w:rsidP="00A3565D">
      <w:pPr>
        <w:pStyle w:val="Default"/>
        <w:ind w:firstLine="720"/>
        <w:jc w:val="both"/>
        <w:rPr>
          <w:color w:val="000000" w:themeColor="text1"/>
        </w:rPr>
      </w:pPr>
      <w:r w:rsidRPr="00A3565D">
        <w:rPr>
          <w:color w:val="000000" w:themeColor="text1"/>
        </w:rPr>
        <w:t>Dari hasil regresi tersebut maka dapat disimpulkan bahwa:</w:t>
      </w:r>
    </w:p>
    <w:p w:rsidR="00EA5DAF" w:rsidRPr="00A3565D" w:rsidRDefault="00EA5DAF" w:rsidP="00A3565D">
      <w:pPr>
        <w:pStyle w:val="Default"/>
        <w:numPr>
          <w:ilvl w:val="0"/>
          <w:numId w:val="8"/>
        </w:numPr>
        <w:jc w:val="both"/>
        <w:rPr>
          <w:color w:val="000000" w:themeColor="text1"/>
        </w:rPr>
      </w:pPr>
      <w:r w:rsidRPr="00A3565D">
        <w:rPr>
          <w:color w:val="000000" w:themeColor="text1"/>
        </w:rPr>
        <w:t xml:space="preserve">Konstanta sebesar 0.313 menyatakan bahwa jika variabel independen dianggap konstan, maka variabel dependen dianggap bernilai sama dengan konstantanya. Dengan kata lain jika Kebijakan Akuntansi, Pengendalian Internal, dan </w:t>
      </w:r>
      <w:r w:rsidRPr="00A3565D">
        <w:rPr>
          <w:iCs/>
          <w:color w:val="000000" w:themeColor="text1"/>
        </w:rPr>
        <w:t>Risiko Keuangan</w:t>
      </w:r>
      <w:r w:rsidRPr="00A3565D">
        <w:rPr>
          <w:color w:val="000000" w:themeColor="text1"/>
        </w:rPr>
        <w:t>bernilai 0, maka akan menaikkan Pengungkapan Risiko sebesar 0.313.</w:t>
      </w:r>
    </w:p>
    <w:p w:rsidR="00EA5DAF" w:rsidRPr="00A3565D" w:rsidRDefault="00EA5DAF" w:rsidP="00A3565D">
      <w:pPr>
        <w:pStyle w:val="Default"/>
        <w:numPr>
          <w:ilvl w:val="0"/>
          <w:numId w:val="8"/>
        </w:numPr>
        <w:jc w:val="both"/>
        <w:rPr>
          <w:color w:val="000000" w:themeColor="text1"/>
        </w:rPr>
      </w:pPr>
      <w:r w:rsidRPr="00A3565D">
        <w:rPr>
          <w:color w:val="000000" w:themeColor="text1"/>
        </w:rPr>
        <w:t>Hubungan antara variabel Kebijakan Akuntansi dan Pengungkapan Risiko adalah negatif, hal ini menunjukkan dengan semakin besarnya kebijakan akuntansi maka akan menurunkan pengungkapan risiko yang dilakukan perusahaan sebesar -0.058.</w:t>
      </w:r>
    </w:p>
    <w:p w:rsidR="00EA5DAF" w:rsidRPr="00A3565D" w:rsidRDefault="00EA5DAF" w:rsidP="00A3565D">
      <w:pPr>
        <w:pStyle w:val="Default"/>
        <w:numPr>
          <w:ilvl w:val="0"/>
          <w:numId w:val="8"/>
        </w:numPr>
        <w:jc w:val="both"/>
        <w:rPr>
          <w:color w:val="000000" w:themeColor="text1"/>
        </w:rPr>
      </w:pPr>
      <w:r w:rsidRPr="00A3565D">
        <w:rPr>
          <w:color w:val="000000" w:themeColor="text1"/>
        </w:rPr>
        <w:t>Hubungan antara variabel Pengendalian Internal dan Pengungkapan Risiko adalah positif, hal ini menunjukkan bahwa semakin besar pengendalian internal maka akan menaikkan pengungkapan risiko yang dilakukan perusahaan sebesar 0.010.</w:t>
      </w:r>
    </w:p>
    <w:p w:rsidR="00EA5DAF" w:rsidRPr="00A3565D" w:rsidRDefault="00EA5DAF" w:rsidP="00A3565D">
      <w:pPr>
        <w:pStyle w:val="Default"/>
        <w:numPr>
          <w:ilvl w:val="0"/>
          <w:numId w:val="8"/>
        </w:numPr>
        <w:jc w:val="both"/>
        <w:rPr>
          <w:color w:val="000000" w:themeColor="text1"/>
        </w:rPr>
      </w:pPr>
      <w:r w:rsidRPr="00A3565D">
        <w:rPr>
          <w:color w:val="000000" w:themeColor="text1"/>
        </w:rPr>
        <w:t>Hubungan antara variabel Risiko Keuangan dan Pengungkapan Risiko adalah negatif, hal ini menunjukkan dengan semakin besarnya risiko keuangan maka akan menurunkan pengungkapan risiko yang dilakukan perusahaan sebesar -0.117.</w:t>
      </w:r>
    </w:p>
    <w:p w:rsidR="00A3565D" w:rsidRDefault="00A3565D" w:rsidP="00A3565D">
      <w:pPr>
        <w:pStyle w:val="Heading4"/>
        <w:spacing w:before="0" w:line="240" w:lineRule="auto"/>
        <w:jc w:val="both"/>
        <w:rPr>
          <w:rFonts w:ascii="Times New Roman" w:hAnsi="Times New Roman" w:cs="Times New Roman"/>
          <w:i w:val="0"/>
          <w:color w:val="000000" w:themeColor="text1"/>
          <w:sz w:val="24"/>
          <w:szCs w:val="24"/>
        </w:rPr>
      </w:pPr>
    </w:p>
    <w:p w:rsidR="00EA5DAF" w:rsidRPr="00A3565D" w:rsidRDefault="00EA5DAF" w:rsidP="00A3565D">
      <w:pPr>
        <w:pStyle w:val="Heading4"/>
        <w:spacing w:before="0" w:line="240" w:lineRule="auto"/>
        <w:jc w:val="both"/>
        <w:rPr>
          <w:rFonts w:ascii="Times New Roman" w:hAnsi="Times New Roman" w:cs="Times New Roman"/>
          <w:i w:val="0"/>
          <w:color w:val="000000" w:themeColor="text1"/>
          <w:sz w:val="24"/>
          <w:szCs w:val="24"/>
        </w:rPr>
      </w:pPr>
      <w:r w:rsidRPr="00A3565D">
        <w:rPr>
          <w:rFonts w:ascii="Times New Roman" w:hAnsi="Times New Roman" w:cs="Times New Roman"/>
          <w:i w:val="0"/>
          <w:color w:val="000000" w:themeColor="text1"/>
          <w:sz w:val="24"/>
          <w:szCs w:val="24"/>
        </w:rPr>
        <w:t>Uji Parsial (t-test)</w:t>
      </w:r>
    </w:p>
    <w:p w:rsidR="00EA5DAF" w:rsidRPr="00A3565D" w:rsidRDefault="00EA5DAF" w:rsidP="00A3565D">
      <w:pPr>
        <w:pStyle w:val="Default"/>
        <w:ind w:firstLine="720"/>
        <w:jc w:val="both"/>
        <w:rPr>
          <w:color w:val="000000" w:themeColor="text1"/>
        </w:rPr>
      </w:pPr>
      <w:r w:rsidRPr="00A3565D">
        <w:rPr>
          <w:color w:val="000000" w:themeColor="text1"/>
        </w:rPr>
        <w:t>Uji statistik t-test digunakan untuk melihat pengaruh masing-masing variabel independen (Kebijakan Akuntansi, Pengendalian Internal dan Risiko Keuangan) secara individu apakah berpengaruh signifikan terhadap variabel dependen (Pengungkapan Risiko)atau tidak, atau uji t digunakan untuk mengetahui tingginya derajat satu variabel X terhadap variabel Y jika variabel X yang lain dianggap konstan:</w:t>
      </w:r>
    </w:p>
    <w:p w:rsidR="00EA5DAF" w:rsidRPr="00A3565D" w:rsidRDefault="00EA5DAF" w:rsidP="00A3565D">
      <w:pPr>
        <w:spacing w:after="0" w:line="240" w:lineRule="auto"/>
        <w:jc w:val="center"/>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Hasil Uji t</w:t>
      </w:r>
    </w:p>
    <w:tbl>
      <w:tblPr>
        <w:tblW w:w="7229" w:type="dxa"/>
        <w:tblInd w:w="446" w:type="dxa"/>
        <w:tblLayout w:type="fixed"/>
        <w:tblCellMar>
          <w:left w:w="0" w:type="dxa"/>
          <w:right w:w="0" w:type="dxa"/>
        </w:tblCellMar>
        <w:tblLook w:val="0000"/>
      </w:tblPr>
      <w:tblGrid>
        <w:gridCol w:w="307"/>
        <w:gridCol w:w="1110"/>
        <w:gridCol w:w="1399"/>
        <w:gridCol w:w="1011"/>
        <w:gridCol w:w="1417"/>
        <w:gridCol w:w="993"/>
        <w:gridCol w:w="992"/>
      </w:tblGrid>
      <w:tr w:rsidR="00EA5DAF" w:rsidRPr="00A3565D" w:rsidTr="00141812">
        <w:trPr>
          <w:cantSplit/>
        </w:trPr>
        <w:tc>
          <w:tcPr>
            <w:tcW w:w="1417" w:type="dxa"/>
            <w:gridSpan w:val="2"/>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Model</w:t>
            </w:r>
          </w:p>
        </w:tc>
        <w:tc>
          <w:tcPr>
            <w:tcW w:w="2410" w:type="dxa"/>
            <w:gridSpan w:val="2"/>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Unstandardized Coefficients</w:t>
            </w:r>
          </w:p>
        </w:tc>
        <w:tc>
          <w:tcPr>
            <w:tcW w:w="1417"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Standardized Coefficients</w:t>
            </w:r>
          </w:p>
        </w:tc>
        <w:tc>
          <w:tcPr>
            <w:tcW w:w="993" w:type="dxa"/>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T</w:t>
            </w:r>
          </w:p>
        </w:tc>
        <w:tc>
          <w:tcPr>
            <w:tcW w:w="992" w:type="dxa"/>
            <w:vMerge w:val="restart"/>
            <w:tcBorders>
              <w:top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Sig.</w:t>
            </w:r>
          </w:p>
        </w:tc>
      </w:tr>
      <w:tr w:rsidR="00EA5DAF" w:rsidRPr="00A3565D" w:rsidTr="00141812">
        <w:trPr>
          <w:cantSplit/>
        </w:trPr>
        <w:tc>
          <w:tcPr>
            <w:tcW w:w="1417" w:type="dxa"/>
            <w:gridSpan w:val="2"/>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399"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w:t>
            </w:r>
          </w:p>
        </w:tc>
        <w:tc>
          <w:tcPr>
            <w:tcW w:w="1011"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Std. Error</w:t>
            </w:r>
          </w:p>
        </w:tc>
        <w:tc>
          <w:tcPr>
            <w:tcW w:w="1417" w:type="dxa"/>
            <w:tcBorders>
              <w:top w:val="single" w:sz="4" w:space="0" w:color="auto"/>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Beta</w:t>
            </w:r>
          </w:p>
        </w:tc>
        <w:tc>
          <w:tcPr>
            <w:tcW w:w="993" w:type="dxa"/>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vMerge/>
            <w:tcBorders>
              <w:bottom w:val="single" w:sz="4" w:space="0" w:color="auto"/>
            </w:tcBorders>
            <w:shd w:val="clear" w:color="auto" w:fill="FFFFFF"/>
            <w:vAlign w:val="bottom"/>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r>
      <w:tr w:rsidR="00EA5DAF" w:rsidRPr="00A3565D" w:rsidTr="00141812">
        <w:trPr>
          <w:cantSplit/>
        </w:trPr>
        <w:tc>
          <w:tcPr>
            <w:tcW w:w="307" w:type="dxa"/>
            <w:vMerge w:val="restart"/>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w:t>
            </w:r>
          </w:p>
        </w:tc>
        <w:tc>
          <w:tcPr>
            <w:tcW w:w="1110" w:type="dxa"/>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(Constant)</w:t>
            </w:r>
          </w:p>
        </w:tc>
        <w:tc>
          <w:tcPr>
            <w:tcW w:w="1399"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.313</w:t>
            </w:r>
          </w:p>
        </w:tc>
        <w:tc>
          <w:tcPr>
            <w:tcW w:w="1011"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.049</w:t>
            </w:r>
          </w:p>
        </w:tc>
        <w:tc>
          <w:tcPr>
            <w:tcW w:w="1417"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993"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6.430</w:t>
            </w:r>
          </w:p>
        </w:tc>
        <w:tc>
          <w:tcPr>
            <w:tcW w:w="992" w:type="dxa"/>
            <w:tcBorders>
              <w:top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.000</w:t>
            </w:r>
          </w:p>
        </w:tc>
      </w:tr>
      <w:tr w:rsidR="00EA5DAF" w:rsidRPr="00A3565D" w:rsidTr="00141812">
        <w:trPr>
          <w:cantSplit/>
        </w:trPr>
        <w:tc>
          <w:tcPr>
            <w:tcW w:w="307" w:type="dxa"/>
            <w:vMerge/>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X1</w:t>
            </w:r>
          </w:p>
        </w:tc>
        <w:tc>
          <w:tcPr>
            <w:tcW w:w="1399"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-.058</w:t>
            </w:r>
          </w:p>
        </w:tc>
        <w:tc>
          <w:tcPr>
            <w:tcW w:w="1011"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.097</w:t>
            </w:r>
          </w:p>
        </w:tc>
        <w:tc>
          <w:tcPr>
            <w:tcW w:w="1417"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-.056</w:t>
            </w:r>
          </w:p>
        </w:tc>
        <w:tc>
          <w:tcPr>
            <w:tcW w:w="993"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-.592</w:t>
            </w:r>
          </w:p>
        </w:tc>
        <w:tc>
          <w:tcPr>
            <w:tcW w:w="992"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.555</w:t>
            </w:r>
          </w:p>
        </w:tc>
      </w:tr>
      <w:tr w:rsidR="00EA5DAF" w:rsidRPr="00A3565D" w:rsidTr="00141812">
        <w:trPr>
          <w:cantSplit/>
        </w:trPr>
        <w:tc>
          <w:tcPr>
            <w:tcW w:w="307" w:type="dxa"/>
            <w:vMerge/>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X2</w:t>
            </w:r>
          </w:p>
        </w:tc>
        <w:tc>
          <w:tcPr>
            <w:tcW w:w="1399"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.010</w:t>
            </w:r>
          </w:p>
        </w:tc>
        <w:tc>
          <w:tcPr>
            <w:tcW w:w="1011"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.041</w:t>
            </w:r>
          </w:p>
        </w:tc>
        <w:tc>
          <w:tcPr>
            <w:tcW w:w="1417"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.023</w:t>
            </w:r>
          </w:p>
        </w:tc>
        <w:tc>
          <w:tcPr>
            <w:tcW w:w="993"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.250</w:t>
            </w:r>
          </w:p>
        </w:tc>
        <w:tc>
          <w:tcPr>
            <w:tcW w:w="992" w:type="dxa"/>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.803</w:t>
            </w:r>
          </w:p>
        </w:tc>
      </w:tr>
      <w:tr w:rsidR="00EA5DAF" w:rsidRPr="00A3565D" w:rsidTr="00141812">
        <w:trPr>
          <w:cantSplit/>
        </w:trPr>
        <w:tc>
          <w:tcPr>
            <w:tcW w:w="307" w:type="dxa"/>
            <w:vMerge/>
            <w:tcBorders>
              <w:bottom w:val="single" w:sz="4" w:space="0" w:color="auto"/>
            </w:tcBorders>
            <w:shd w:val="clear" w:color="auto" w:fill="FFFFFF"/>
          </w:tcPr>
          <w:p w:rsidR="00EA5DAF" w:rsidRPr="00A3565D" w:rsidRDefault="00EA5DAF" w:rsidP="00A3565D">
            <w:pPr>
              <w:autoSpaceDE w:val="0"/>
              <w:autoSpaceDN w:val="0"/>
              <w:adjustRightInd w:val="0"/>
              <w:spacing w:after="0" w:line="240" w:lineRule="auto"/>
              <w:rPr>
                <w:rFonts w:ascii="Times New Roman" w:hAnsi="Times New Roman" w:cs="Times New Roman"/>
                <w:color w:val="000000" w:themeColor="text1"/>
                <w:sz w:val="24"/>
                <w:szCs w:val="24"/>
              </w:rPr>
            </w:pPr>
          </w:p>
        </w:tc>
        <w:tc>
          <w:tcPr>
            <w:tcW w:w="1110" w:type="dxa"/>
            <w:tcBorders>
              <w:bottom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X3</w:t>
            </w:r>
          </w:p>
        </w:tc>
        <w:tc>
          <w:tcPr>
            <w:tcW w:w="1399"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-.117</w:t>
            </w:r>
          </w:p>
        </w:tc>
        <w:tc>
          <w:tcPr>
            <w:tcW w:w="1011"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.061</w:t>
            </w:r>
          </w:p>
        </w:tc>
        <w:tc>
          <w:tcPr>
            <w:tcW w:w="1417"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-.182</w:t>
            </w:r>
          </w:p>
        </w:tc>
        <w:tc>
          <w:tcPr>
            <w:tcW w:w="993"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-1.920</w:t>
            </w:r>
          </w:p>
        </w:tc>
        <w:tc>
          <w:tcPr>
            <w:tcW w:w="992" w:type="dxa"/>
            <w:tcBorders>
              <w:bottom w:val="single" w:sz="4" w:space="0" w:color="auto"/>
            </w:tcBorders>
            <w:shd w:val="clear" w:color="auto" w:fill="FFFFFF"/>
            <w:vAlign w:val="center"/>
          </w:tcPr>
          <w:p w:rsidR="00EA5DAF" w:rsidRPr="00A3565D" w:rsidRDefault="00EA5DAF" w:rsidP="00A3565D">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.057</w:t>
            </w:r>
          </w:p>
        </w:tc>
      </w:tr>
      <w:tr w:rsidR="00EA5DAF" w:rsidRPr="00A3565D" w:rsidTr="00141812">
        <w:trPr>
          <w:cantSplit/>
        </w:trPr>
        <w:tc>
          <w:tcPr>
            <w:tcW w:w="7229" w:type="dxa"/>
            <w:gridSpan w:val="7"/>
            <w:tcBorders>
              <w:top w:val="single" w:sz="4" w:space="0" w:color="auto"/>
            </w:tcBorders>
            <w:shd w:val="clear" w:color="auto" w:fill="FFFFFF"/>
          </w:tcPr>
          <w:p w:rsidR="00EA5DAF" w:rsidRPr="00A3565D" w:rsidRDefault="00EA5DAF" w:rsidP="00A3565D">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a. Dependent Variable: Y</w:t>
            </w:r>
          </w:p>
        </w:tc>
      </w:tr>
    </w:tbl>
    <w:p w:rsidR="00EA5DAF" w:rsidRPr="00A3565D" w:rsidRDefault="00EA5DAF" w:rsidP="00A3565D">
      <w:pPr>
        <w:spacing w:after="0" w:line="240" w:lineRule="auto"/>
        <w:ind w:firstLine="720"/>
        <w:rPr>
          <w:rFonts w:ascii="Times New Roman" w:hAnsi="Times New Roman" w:cs="Times New Roman"/>
          <w:iCs/>
          <w:color w:val="000000" w:themeColor="text1"/>
          <w:sz w:val="24"/>
          <w:szCs w:val="24"/>
        </w:rPr>
      </w:pPr>
      <w:r w:rsidRPr="00A3565D">
        <w:rPr>
          <w:rFonts w:ascii="Times New Roman" w:hAnsi="Times New Roman" w:cs="Times New Roman"/>
          <w:iCs/>
          <w:color w:val="000000" w:themeColor="text1"/>
          <w:sz w:val="24"/>
          <w:szCs w:val="24"/>
        </w:rPr>
        <w:t>Sumber: Data yang diolah</w:t>
      </w:r>
    </w:p>
    <w:p w:rsidR="00EA5DAF" w:rsidRPr="00A3565D" w:rsidRDefault="00EA5DAF" w:rsidP="00A3565D">
      <w:pPr>
        <w:spacing w:after="0" w:line="240" w:lineRule="auto"/>
        <w:ind w:firstLine="720"/>
        <w:rPr>
          <w:rFonts w:ascii="Times New Roman" w:hAnsi="Times New Roman" w:cs="Times New Roman"/>
          <w:b/>
          <w:color w:val="000000" w:themeColor="text1"/>
          <w:sz w:val="24"/>
          <w:szCs w:val="24"/>
        </w:rPr>
      </w:pPr>
    </w:p>
    <w:p w:rsidR="00EA5DAF" w:rsidRPr="00A3565D" w:rsidRDefault="00EA5DAF" w:rsidP="00A3565D">
      <w:pPr>
        <w:pStyle w:val="Default"/>
        <w:ind w:firstLine="426"/>
        <w:jc w:val="both"/>
        <w:rPr>
          <w:color w:val="000000" w:themeColor="text1"/>
        </w:rPr>
      </w:pPr>
      <w:r w:rsidRPr="00A3565D">
        <w:rPr>
          <w:color w:val="000000" w:themeColor="text1"/>
        </w:rPr>
        <w:t>Berdasarkan hasil uji t pada tabel diatas, disimpulkan bahwa:</w:t>
      </w:r>
    </w:p>
    <w:p w:rsidR="00EA5DAF" w:rsidRPr="00A3565D" w:rsidRDefault="00EA5DAF" w:rsidP="00A3565D">
      <w:pPr>
        <w:pStyle w:val="ListParagraph"/>
        <w:numPr>
          <w:ilvl w:val="0"/>
          <w:numId w:val="9"/>
        </w:numPr>
        <w:spacing w:after="0" w:line="240" w:lineRule="auto"/>
        <w:ind w:left="709" w:hanging="283"/>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X1 (Kebijakan Akuntansi) memiliki t hitung sebesar -0.592 dengan signifikansi sebesar 0.555, dimana lebih besar dari tingkat signifikansi yang digunakan (α= 0,05). maka hipotesis pertama (H1) ditolak. Hasil penelitian ini tidak berpengaruh signifikan terhadap pengungkapan risiko.</w:t>
      </w:r>
    </w:p>
    <w:p w:rsidR="00EA5DAF" w:rsidRPr="00A3565D" w:rsidRDefault="00EA5DAF" w:rsidP="00A3565D">
      <w:pPr>
        <w:pStyle w:val="ListParagraph"/>
        <w:numPr>
          <w:ilvl w:val="0"/>
          <w:numId w:val="9"/>
        </w:numPr>
        <w:spacing w:after="0" w:line="240" w:lineRule="auto"/>
        <w:ind w:left="709" w:hanging="283"/>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X2 (Pengendalian Internal) memiliki t hitung sebesar 0.250 dengan signifikansi sebesar 0.803, dimana lebih besar dari tingkat signifikansi yang digunakan (α= 0,05). maka hipotesis kedua (H2) ditolak. Hasil penelitian ini tidak berpengaruh signifikan terhadap pengungkapan risiko.</w:t>
      </w:r>
    </w:p>
    <w:p w:rsidR="00EA5DAF" w:rsidRPr="00A3565D" w:rsidRDefault="00EA5DAF" w:rsidP="00A3565D">
      <w:pPr>
        <w:pStyle w:val="ListParagraph"/>
        <w:numPr>
          <w:ilvl w:val="0"/>
          <w:numId w:val="9"/>
        </w:numPr>
        <w:spacing w:after="0" w:line="240" w:lineRule="auto"/>
        <w:ind w:left="709" w:hanging="283"/>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X3 (Risiko Keuangan) memiliki t hitung sebesar -0.182 dengan signifikansi sebesar 0.057, dimana lebih besar dari tingkat signifikansi yang digunakan (α= 0,05). Karena tingkat signifikan lebih besar dari α =0,05 maka hipotesis ketiga (H3) ditolak. Hasil penelitian ini menunjukan tidak berpengaruh signifikan terhadap pengungkapan risiko.</w:t>
      </w:r>
    </w:p>
    <w:p w:rsidR="00EA5DAF" w:rsidRPr="00A3565D" w:rsidRDefault="00EA5DAF" w:rsidP="00A3565D">
      <w:pPr>
        <w:pStyle w:val="Heading3"/>
        <w:spacing w:before="0" w:line="240" w:lineRule="auto"/>
        <w:jc w:val="both"/>
        <w:rPr>
          <w:rFonts w:ascii="Times New Roman" w:hAnsi="Times New Roman" w:cs="Times New Roman"/>
          <w:color w:val="000000" w:themeColor="text1"/>
          <w:sz w:val="24"/>
          <w:szCs w:val="24"/>
        </w:rPr>
      </w:pPr>
      <w:bookmarkStart w:id="17" w:name="_Toc58606652"/>
      <w:bookmarkStart w:id="18" w:name="_Toc58607381"/>
      <w:r w:rsidRPr="00A3565D">
        <w:rPr>
          <w:rFonts w:ascii="Times New Roman" w:hAnsi="Times New Roman" w:cs="Times New Roman"/>
          <w:color w:val="000000" w:themeColor="text1"/>
          <w:sz w:val="24"/>
          <w:szCs w:val="24"/>
        </w:rPr>
        <w:t>Pengaruh Kebijakan Akuntansiterhadap Pengungkapan Risiko</w:t>
      </w:r>
      <w:bookmarkEnd w:id="17"/>
      <w:bookmarkEnd w:id="18"/>
    </w:p>
    <w:p w:rsidR="00EA5DAF" w:rsidRPr="00A3565D" w:rsidRDefault="00EA5DAF"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Hasil  pengujian hipotesis pertama (H1) menunjukkan bahwa variabel Kebijakan Akuntansi berpengaruh negatif dan tidak signifikan terhadap pengungkapan risiko. Hal ini membuktikan bahwa hasil dari penelitian ini tidak sejalan dengan hipotesis yang menyatakan bahwa kebijakan akuntansi berpengaruh negatif signifikan terhadap pengungkapan risiko. Dengan demikian, hipotesis pertama yang menyatakan kebijakan akuntansi berpengaruh negatif signifikan terhadap pengungkapan risiko ditolak. Hal ini dikarenakan kebijakan akuntansi yang diterapkan manajemen akan mempengaruhi penyajian angka-angka akuntansi dalam laporan keuangan perusahaan, sementara informasi akuntansi yang disajikan perusahaan merupakan informasi yang relevan bagi investor dalam pengambilan keputusan, sehingga pilihan kebijakan akuntansi akan berdampak pada keputusan investor dalam menilai perusahaan. Namun kenyataannya sebagian besar aktivitas akuntansi keuangan dicurahkan pada diskusi dan argumentasi tentang kebijakan akuntansi dalam berbagai keadaan, serta banyak perdebatan dan konflik mengenai penyajian laporan keuangan disebabkan oleh perbedaan penerapan kebijakan akuntansi. Penerapan metode akuntansi yang berbeda akan menghasilkan angka yang berbeda dalam laporan keuangan menjadi bias dan ini menyebabkan kebijakan akuntansi tidak berpengaruh terhadap pengungkapan risiko.</w:t>
      </w:r>
    </w:p>
    <w:p w:rsidR="00EA5DAF" w:rsidRPr="00A3565D" w:rsidRDefault="00EA5DAF" w:rsidP="00A3565D">
      <w:pPr>
        <w:spacing w:after="0" w:line="240" w:lineRule="auto"/>
        <w:ind w:firstLine="720"/>
        <w:jc w:val="both"/>
        <w:rPr>
          <w:rFonts w:ascii="Times New Roman" w:hAnsi="Times New Roman" w:cs="Times New Roman"/>
          <w:color w:val="000000" w:themeColor="text1"/>
          <w:sz w:val="24"/>
          <w:szCs w:val="24"/>
        </w:rPr>
      </w:pPr>
    </w:p>
    <w:p w:rsidR="0028004E" w:rsidRPr="00A3565D" w:rsidRDefault="0028004E" w:rsidP="00A3565D">
      <w:pPr>
        <w:spacing w:after="0" w:line="240" w:lineRule="auto"/>
        <w:jc w:val="both"/>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Pengaruh Pengendalian Internal terhadap Pengungkapan Risiko</w:t>
      </w:r>
    </w:p>
    <w:p w:rsidR="0028004E" w:rsidRPr="00A3565D" w:rsidRDefault="0028004E"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Hasil pengujian hipotesis kedua (H2) menunjukkan bahwa variabel pengendalian internal berpengaruh positif dan tidak signifikan terhadap pengungkapan risiko. Penelitian ini tidak sesuai dengan pengembangan hipotesis yang menyatakan bahwa pengendalian internal berpengaruh positif terhadap pengungkapan risiko. Dengan demikian, hipotesis kedua yang menyatakan pengendalian internal berpengaruh positif signifikan terhadap pengungkapan risiko ditolak. Lemahnya pengendalian internal perusahaan mengakibatkan banyaknya risiko yang tidak bisa dihindari. Bercermin dari kasus skandal akuntansi yang terjadi pada Enron dan WorldCom, apabila sebuah perusahaan mengalami kebangkrutan secara tiba-tiba, hal pertama yang akan diselidiki oleh para </w:t>
      </w:r>
      <w:r w:rsidRPr="00A3565D">
        <w:rPr>
          <w:rFonts w:ascii="Times New Roman" w:hAnsi="Times New Roman" w:cs="Times New Roman"/>
          <w:i/>
          <w:color w:val="000000" w:themeColor="text1"/>
          <w:sz w:val="24"/>
          <w:szCs w:val="24"/>
        </w:rPr>
        <w:t>stakeholder</w:t>
      </w:r>
      <w:r w:rsidRPr="00A3565D">
        <w:rPr>
          <w:rFonts w:ascii="Times New Roman" w:hAnsi="Times New Roman" w:cs="Times New Roman"/>
          <w:color w:val="000000" w:themeColor="text1"/>
          <w:sz w:val="24"/>
          <w:szCs w:val="24"/>
        </w:rPr>
        <w:t xml:space="preserve"> adalah mengenai bagaimana pengendalian internal dijalankan dalam perusahaan tersebut. Faktor yang menyebabkan pengendalian internal tidak berpengaruh terhadap pengungkapan risiko dikarenakan pengendalian internal yang dilakukan oleh perusahaan tidak hanya menyakut masalah keuangan dan akuntansi saja, tetapi juga menyangkut seluruh kegiatan operasional perusahaan. Apabila perusahaan efektif dalam melakukan pengendalian internalnya maka </w:t>
      </w:r>
      <w:r w:rsidRPr="00A3565D">
        <w:rPr>
          <w:rFonts w:ascii="Times New Roman" w:hAnsi="Times New Roman" w:cs="Times New Roman"/>
          <w:i/>
          <w:color w:val="000000" w:themeColor="text1"/>
          <w:sz w:val="24"/>
          <w:szCs w:val="24"/>
        </w:rPr>
        <w:t>stakeholder</w:t>
      </w:r>
      <w:r w:rsidRPr="00A3565D">
        <w:rPr>
          <w:rFonts w:ascii="Times New Roman" w:hAnsi="Times New Roman" w:cs="Times New Roman"/>
          <w:color w:val="000000" w:themeColor="text1"/>
          <w:sz w:val="24"/>
          <w:szCs w:val="24"/>
        </w:rPr>
        <w:t>akan menjadi yakin terhadap realibilitas laporan keuangan yang disampaikan oleh perusahaan.</w:t>
      </w:r>
    </w:p>
    <w:p w:rsidR="0028004E" w:rsidRPr="00A3565D" w:rsidRDefault="0028004E" w:rsidP="00A3565D">
      <w:pPr>
        <w:spacing w:after="0" w:line="240" w:lineRule="auto"/>
        <w:jc w:val="both"/>
        <w:rPr>
          <w:rFonts w:ascii="Times New Roman" w:hAnsi="Times New Roman" w:cs="Times New Roman"/>
          <w:b/>
          <w:color w:val="000000" w:themeColor="text1"/>
          <w:sz w:val="24"/>
          <w:szCs w:val="24"/>
        </w:rPr>
      </w:pPr>
    </w:p>
    <w:p w:rsidR="0028004E" w:rsidRPr="00A3565D" w:rsidRDefault="0028004E" w:rsidP="00A3565D">
      <w:pPr>
        <w:spacing w:after="0" w:line="240" w:lineRule="auto"/>
        <w:jc w:val="both"/>
        <w:rPr>
          <w:rFonts w:ascii="Times New Roman" w:hAnsi="Times New Roman" w:cs="Times New Roman"/>
          <w:b/>
          <w:color w:val="000000" w:themeColor="text1"/>
          <w:sz w:val="24"/>
          <w:szCs w:val="24"/>
        </w:rPr>
      </w:pPr>
      <w:r w:rsidRPr="00A3565D">
        <w:rPr>
          <w:rFonts w:ascii="Times New Roman" w:hAnsi="Times New Roman" w:cs="Times New Roman"/>
          <w:b/>
          <w:color w:val="000000" w:themeColor="text1"/>
          <w:sz w:val="24"/>
          <w:szCs w:val="24"/>
        </w:rPr>
        <w:t>Pengaruh Risiko Keuangan terhadap Pengungkapan Risiko</w:t>
      </w:r>
    </w:p>
    <w:p w:rsidR="0028004E" w:rsidRPr="00A3565D" w:rsidRDefault="0028004E"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Hasil pengujian hipotesis ketiga (H3) menunjukkan bahwa variabel risiko keuangan memiliki pengaruh negatif terhadap pengungkapan risiko. Penelitian ini tidak sejalan dengan pengembangan hipotesis yang menyatakan risiko keuangan berpengaruh positif signifikan terhadap pengungkapan risiko. Hal tersebut menunjukkan bahwa besar kecilnya risiko keuangan (</w:t>
      </w:r>
      <w:r w:rsidRPr="00A3565D">
        <w:rPr>
          <w:rFonts w:ascii="Times New Roman" w:hAnsi="Times New Roman" w:cs="Times New Roman"/>
          <w:i/>
          <w:color w:val="000000" w:themeColor="text1"/>
          <w:sz w:val="24"/>
          <w:szCs w:val="24"/>
        </w:rPr>
        <w:t>leverage</w:t>
      </w:r>
      <w:r w:rsidRPr="00A3565D">
        <w:rPr>
          <w:rFonts w:ascii="Times New Roman" w:hAnsi="Times New Roman" w:cs="Times New Roman"/>
          <w:color w:val="000000" w:themeColor="text1"/>
          <w:sz w:val="24"/>
          <w:szCs w:val="24"/>
        </w:rPr>
        <w:t>) perusahaan belum mampu untuk meningkatkan dalam pengungkapan risiko perusahaan. Hal ini disebabkan karena risiko keuangan (</w:t>
      </w:r>
      <w:r w:rsidRPr="00A3565D">
        <w:rPr>
          <w:rFonts w:ascii="Times New Roman" w:hAnsi="Times New Roman" w:cs="Times New Roman"/>
          <w:i/>
          <w:color w:val="000000" w:themeColor="text1"/>
          <w:sz w:val="24"/>
          <w:szCs w:val="24"/>
        </w:rPr>
        <w:t>leverage</w:t>
      </w:r>
      <w:r w:rsidRPr="00A3565D">
        <w:rPr>
          <w:rFonts w:ascii="Times New Roman" w:hAnsi="Times New Roman" w:cs="Times New Roman"/>
          <w:color w:val="000000" w:themeColor="text1"/>
          <w:sz w:val="24"/>
          <w:szCs w:val="24"/>
        </w:rPr>
        <w:t>) perusahaan menunjukkan seberapa besar aktiva perusahaan yang dibiayai oleh hutang. Hutang bagi perusahaan merupakan hal yang sangat penting dan sudah menjadi keharusan bagi perusahaan yang ingin tumbuh dan berkembang. Penelitian ini didukung oleh  Mousa dan Elamir (2013), dan Al-Shammari (2014) yang menemukan bahwa  risiko keuangan (</w:t>
      </w:r>
      <w:r w:rsidRPr="00A3565D">
        <w:rPr>
          <w:rFonts w:ascii="Times New Roman" w:hAnsi="Times New Roman" w:cs="Times New Roman"/>
          <w:i/>
          <w:color w:val="000000" w:themeColor="text1"/>
          <w:sz w:val="24"/>
          <w:szCs w:val="24"/>
        </w:rPr>
        <w:t>leverage</w:t>
      </w:r>
      <w:r w:rsidRPr="00A3565D">
        <w:rPr>
          <w:rFonts w:ascii="Times New Roman" w:hAnsi="Times New Roman" w:cs="Times New Roman"/>
          <w:color w:val="000000" w:themeColor="text1"/>
          <w:sz w:val="24"/>
          <w:szCs w:val="24"/>
        </w:rPr>
        <w:t>) tidak berpengaruh signifikan terhadap  pengungkapan risiko. Mereka menyatakan bahwa  tingginya risiko keuangan (</w:t>
      </w:r>
      <w:r w:rsidRPr="00A3565D">
        <w:rPr>
          <w:rFonts w:ascii="Times New Roman" w:hAnsi="Times New Roman" w:cs="Times New Roman"/>
          <w:i/>
          <w:color w:val="000000" w:themeColor="text1"/>
          <w:sz w:val="24"/>
          <w:szCs w:val="24"/>
        </w:rPr>
        <w:t>leverage</w:t>
      </w:r>
      <w:r w:rsidRPr="00A3565D">
        <w:rPr>
          <w:rFonts w:ascii="Times New Roman" w:hAnsi="Times New Roman" w:cs="Times New Roman"/>
          <w:color w:val="000000" w:themeColor="text1"/>
          <w:sz w:val="24"/>
          <w:szCs w:val="24"/>
        </w:rPr>
        <w:t>) menunjukkan semakin besar tingkat ketergantungan perusahaan terhadap pihak eksternal (kreditur) sehingga perusahaan tersebut mungkin lebih beresiko mengenai adanya kesulitan pembayaran kewajiban dan bunganya</w:t>
      </w:r>
    </w:p>
    <w:p w:rsidR="0028004E" w:rsidRPr="00A3565D" w:rsidRDefault="0028004E" w:rsidP="00A3565D">
      <w:pPr>
        <w:spacing w:after="0" w:line="240" w:lineRule="auto"/>
        <w:ind w:firstLine="720"/>
        <w:jc w:val="both"/>
        <w:rPr>
          <w:rFonts w:ascii="Times New Roman" w:hAnsi="Times New Roman" w:cs="Times New Roman"/>
          <w:color w:val="000000" w:themeColor="text1"/>
          <w:sz w:val="24"/>
          <w:szCs w:val="24"/>
        </w:rPr>
      </w:pPr>
    </w:p>
    <w:p w:rsidR="0028004E" w:rsidRPr="00A3565D" w:rsidRDefault="0028004E" w:rsidP="00A3565D">
      <w:pPr>
        <w:spacing w:line="240" w:lineRule="auto"/>
        <w:jc w:val="both"/>
        <w:rPr>
          <w:rFonts w:ascii="Times New Roman" w:hAnsi="Times New Roman" w:cs="Times New Roman"/>
          <w:b/>
          <w:sz w:val="24"/>
          <w:szCs w:val="24"/>
        </w:rPr>
      </w:pPr>
      <w:r w:rsidRPr="00A3565D">
        <w:rPr>
          <w:rFonts w:ascii="Times New Roman" w:hAnsi="Times New Roman" w:cs="Times New Roman"/>
          <w:b/>
          <w:sz w:val="24"/>
          <w:szCs w:val="24"/>
        </w:rPr>
        <w:t>KESIMPULAN DAN SARAN</w:t>
      </w:r>
    </w:p>
    <w:p w:rsidR="0028004E" w:rsidRPr="00A3565D" w:rsidRDefault="0028004E" w:rsidP="00A3565D">
      <w:pPr>
        <w:pStyle w:val="Heading2"/>
        <w:spacing w:before="0" w:line="240" w:lineRule="auto"/>
        <w:ind w:left="-284"/>
        <w:jc w:val="both"/>
        <w:rPr>
          <w:rFonts w:ascii="Times New Roman" w:hAnsi="Times New Roman" w:cs="Times New Roman"/>
          <w:color w:val="000000" w:themeColor="text1"/>
          <w:sz w:val="24"/>
          <w:szCs w:val="24"/>
        </w:rPr>
      </w:pPr>
      <w:bookmarkStart w:id="19" w:name="_Toc58606657"/>
      <w:bookmarkStart w:id="20" w:name="_Toc58607386"/>
      <w:r w:rsidRPr="00A3565D">
        <w:rPr>
          <w:rFonts w:ascii="Times New Roman" w:hAnsi="Times New Roman" w:cs="Times New Roman"/>
          <w:color w:val="000000" w:themeColor="text1"/>
          <w:sz w:val="24"/>
          <w:szCs w:val="24"/>
        </w:rPr>
        <w:t xml:space="preserve">    Kesimpulan</w:t>
      </w:r>
      <w:bookmarkEnd w:id="19"/>
      <w:bookmarkEnd w:id="20"/>
    </w:p>
    <w:p w:rsidR="0028004E" w:rsidRPr="00A3565D" w:rsidRDefault="0028004E" w:rsidP="00A3565D">
      <w:pPr>
        <w:spacing w:after="0" w:line="240" w:lineRule="auto"/>
        <w:ind w:firstLine="426"/>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Berdasarkan hasil analisis data dan pengujian hipotesis sebelumnya, maka penelitian ini dapat disimpulkan sebagai berikut:</w:t>
      </w:r>
    </w:p>
    <w:p w:rsidR="0028004E" w:rsidRPr="00A3565D" w:rsidRDefault="0028004E" w:rsidP="00A3565D">
      <w:pPr>
        <w:pStyle w:val="ListParagraph"/>
        <w:numPr>
          <w:ilvl w:val="0"/>
          <w:numId w:val="11"/>
        </w:numPr>
        <w:spacing w:after="0" w:line="240" w:lineRule="auto"/>
        <w:ind w:left="426"/>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Kebijakan Akuntansi berpengaruh negatif dan tidak signifikan terhadap pengungkapan risiko pada perusahaan manufaktur yang terdaftar di Bursa Efek Indonesia tahun 2017-2019.</w:t>
      </w:r>
    </w:p>
    <w:p w:rsidR="0028004E" w:rsidRPr="00A3565D" w:rsidRDefault="0028004E" w:rsidP="00A3565D">
      <w:pPr>
        <w:pStyle w:val="ListParagraph"/>
        <w:numPr>
          <w:ilvl w:val="0"/>
          <w:numId w:val="11"/>
        </w:numPr>
        <w:tabs>
          <w:tab w:val="left" w:pos="426"/>
        </w:tabs>
        <w:spacing w:after="0" w:line="240" w:lineRule="auto"/>
        <w:ind w:left="426" w:hanging="284"/>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Pengendalian Internal berpengaruh positif dan tidak signifikan terhadap pengungkapan risiko pada perusahaan manufaktur yang terdaftar di Bursa Efek Indonesia tahun 2017-2019.</w:t>
      </w:r>
    </w:p>
    <w:p w:rsidR="0028004E" w:rsidRPr="00A3565D" w:rsidRDefault="0028004E" w:rsidP="00A3565D">
      <w:pPr>
        <w:pStyle w:val="ListParagraph"/>
        <w:numPr>
          <w:ilvl w:val="0"/>
          <w:numId w:val="11"/>
        </w:numPr>
        <w:tabs>
          <w:tab w:val="left" w:pos="426"/>
        </w:tabs>
        <w:spacing w:after="0" w:line="240" w:lineRule="auto"/>
        <w:ind w:left="426" w:hanging="284"/>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Variabel Risiko Keuangan berpengaruh negatif dan tidak signifikan terhadap pengungkapan risiko pada perusahaan manufaktur yang terdaftar di Bursa Efek Indonesia tahun 2017-2019.</w:t>
      </w:r>
    </w:p>
    <w:p w:rsidR="00A3565D" w:rsidRDefault="0028004E" w:rsidP="00A3565D">
      <w:pPr>
        <w:pStyle w:val="Heading2"/>
        <w:spacing w:before="0" w:line="240" w:lineRule="auto"/>
        <w:ind w:left="-284"/>
        <w:jc w:val="both"/>
        <w:rPr>
          <w:rFonts w:ascii="Times New Roman" w:hAnsi="Times New Roman" w:cs="Times New Roman"/>
          <w:color w:val="000000" w:themeColor="text1"/>
          <w:sz w:val="24"/>
          <w:szCs w:val="24"/>
        </w:rPr>
      </w:pPr>
      <w:bookmarkStart w:id="21" w:name="_Toc58606658"/>
      <w:bookmarkStart w:id="22" w:name="_Toc58607387"/>
      <w:r w:rsidRPr="00A3565D">
        <w:rPr>
          <w:rFonts w:ascii="Times New Roman" w:hAnsi="Times New Roman" w:cs="Times New Roman"/>
          <w:color w:val="000000" w:themeColor="text1"/>
          <w:sz w:val="24"/>
          <w:szCs w:val="24"/>
        </w:rPr>
        <w:t xml:space="preserve">    </w:t>
      </w:r>
    </w:p>
    <w:p w:rsidR="0028004E" w:rsidRPr="00A3565D" w:rsidRDefault="0028004E" w:rsidP="00A3565D">
      <w:pPr>
        <w:pStyle w:val="Heading2"/>
        <w:spacing w:before="0" w:line="240" w:lineRule="auto"/>
        <w:ind w:left="-284" w:firstLine="284"/>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Saran</w:t>
      </w:r>
      <w:bookmarkEnd w:id="21"/>
      <w:bookmarkEnd w:id="22"/>
    </w:p>
    <w:p w:rsidR="0028004E" w:rsidRPr="00A3565D" w:rsidRDefault="0028004E" w:rsidP="00A3565D">
      <w:pPr>
        <w:spacing w:after="0" w:line="240" w:lineRule="auto"/>
        <w:ind w:firstLine="426"/>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Sehubungan dengan adanya keterbatasan dalam penelitian ini, maka saran yang diajukan dalam penelitian ini antara lain sebagai berikut:</w:t>
      </w:r>
    </w:p>
    <w:p w:rsidR="0028004E" w:rsidRPr="00A3565D" w:rsidRDefault="0028004E" w:rsidP="00A3565D">
      <w:pPr>
        <w:pStyle w:val="ListParagraph"/>
        <w:numPr>
          <w:ilvl w:val="0"/>
          <w:numId w:val="12"/>
        </w:numPr>
        <w:spacing w:after="0" w:line="240" w:lineRule="auto"/>
        <w:ind w:left="851" w:hanging="425"/>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Bagi peneliti selanjutnya diharapkan dapat menambah variabel independen lainnya yang belum terdapat dalam penelitian ini agar dapat memberikan hasil yang lebih akurat penyebab terjadinya pengungkapan risiko.</w:t>
      </w:r>
    </w:p>
    <w:p w:rsidR="0028004E" w:rsidRPr="00A3565D" w:rsidRDefault="0028004E" w:rsidP="00A3565D">
      <w:pPr>
        <w:pStyle w:val="ListParagraph"/>
        <w:numPr>
          <w:ilvl w:val="0"/>
          <w:numId w:val="12"/>
        </w:numPr>
        <w:spacing w:after="0" w:line="240" w:lineRule="auto"/>
        <w:ind w:left="851" w:hanging="425"/>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Penelitian selanjutnya diharapkan dapat menambahkan jumlah periode dan menggunakan sampel yang lebih banyak agar hasil pengujiannya bisa lebih akurat. </w:t>
      </w:r>
    </w:p>
    <w:p w:rsidR="0028004E" w:rsidRPr="00A3565D" w:rsidRDefault="0028004E" w:rsidP="00A3565D">
      <w:pPr>
        <w:pStyle w:val="Heading2"/>
        <w:spacing w:before="0" w:line="240" w:lineRule="auto"/>
        <w:ind w:left="-142"/>
        <w:rPr>
          <w:rFonts w:ascii="Times New Roman" w:hAnsi="Times New Roman" w:cs="Times New Roman"/>
          <w:color w:val="000000" w:themeColor="text1"/>
          <w:sz w:val="24"/>
          <w:szCs w:val="24"/>
        </w:rPr>
      </w:pPr>
      <w:bookmarkStart w:id="23" w:name="_Toc58606659"/>
      <w:bookmarkStart w:id="24" w:name="_Toc58607388"/>
      <w:r w:rsidRPr="00A3565D">
        <w:rPr>
          <w:rFonts w:ascii="Times New Roman" w:hAnsi="Times New Roman" w:cs="Times New Roman"/>
          <w:color w:val="000000" w:themeColor="text1"/>
          <w:sz w:val="24"/>
          <w:szCs w:val="24"/>
        </w:rPr>
        <w:t xml:space="preserve">  Implikasi</w:t>
      </w:r>
      <w:bookmarkEnd w:id="23"/>
      <w:bookmarkEnd w:id="24"/>
    </w:p>
    <w:p w:rsidR="0028004E" w:rsidRDefault="0028004E" w:rsidP="00A3565D">
      <w:pPr>
        <w:spacing w:after="0" w:line="240" w:lineRule="auto"/>
        <w:ind w:firstLine="284"/>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 xml:space="preserve">Setelah dilakukannya penelitian ini mengenai pengungkapan risiko, diharapkan perusahaan lebih banyak mengungkapkan informasi kondisi keuangan perusahaan secara </w:t>
      </w:r>
      <w:r w:rsidRPr="00A3565D">
        <w:rPr>
          <w:rFonts w:ascii="Times New Roman" w:hAnsi="Times New Roman" w:cs="Times New Roman"/>
          <w:i/>
          <w:color w:val="000000" w:themeColor="text1"/>
          <w:sz w:val="24"/>
          <w:szCs w:val="24"/>
        </w:rPr>
        <w:t xml:space="preserve">real, </w:t>
      </w:r>
      <w:r w:rsidRPr="00A3565D">
        <w:rPr>
          <w:rFonts w:ascii="Times New Roman" w:hAnsi="Times New Roman" w:cs="Times New Roman"/>
          <w:color w:val="000000" w:themeColor="text1"/>
          <w:sz w:val="24"/>
          <w:szCs w:val="24"/>
        </w:rPr>
        <w:t>agar investor yang menginvestasikan dananya pada perusahaan tersebut tidak merasa dirugikan. Karena tingkat kepercayaan investor mempengaruhi nama baik perusahaan sehingga investor mempercayai kualitas perusahaan yang terkait. Hal tersebut juga dapat menguntungkan negara untuk mensejahterakan masyarakat.</w:t>
      </w:r>
    </w:p>
    <w:p w:rsidR="00A3565D" w:rsidRPr="00A3565D" w:rsidRDefault="00A3565D" w:rsidP="00A3565D">
      <w:pPr>
        <w:spacing w:after="0" w:line="240" w:lineRule="auto"/>
        <w:ind w:firstLine="284"/>
        <w:jc w:val="both"/>
        <w:rPr>
          <w:rFonts w:ascii="Times New Roman" w:hAnsi="Times New Roman" w:cs="Times New Roman"/>
          <w:color w:val="000000" w:themeColor="text1"/>
          <w:sz w:val="24"/>
          <w:szCs w:val="24"/>
        </w:rPr>
      </w:pPr>
    </w:p>
    <w:p w:rsidR="0028004E" w:rsidRPr="00A3565D" w:rsidRDefault="0028004E" w:rsidP="00A3565D">
      <w:pPr>
        <w:pStyle w:val="Heading2"/>
        <w:spacing w:before="0" w:line="240" w:lineRule="auto"/>
        <w:ind w:left="-142"/>
        <w:jc w:val="both"/>
        <w:rPr>
          <w:rFonts w:ascii="Times New Roman" w:hAnsi="Times New Roman" w:cs="Times New Roman"/>
          <w:color w:val="000000" w:themeColor="text1"/>
          <w:sz w:val="24"/>
          <w:szCs w:val="24"/>
        </w:rPr>
      </w:pPr>
      <w:bookmarkStart w:id="25" w:name="_Toc58606660"/>
      <w:bookmarkStart w:id="26" w:name="_Toc58607389"/>
      <w:r w:rsidRPr="00A3565D">
        <w:rPr>
          <w:rFonts w:ascii="Times New Roman" w:hAnsi="Times New Roman" w:cs="Times New Roman"/>
          <w:color w:val="000000" w:themeColor="text1"/>
          <w:sz w:val="24"/>
          <w:szCs w:val="24"/>
        </w:rPr>
        <w:t xml:space="preserve">  Keterbasan</w:t>
      </w:r>
      <w:bookmarkEnd w:id="25"/>
      <w:bookmarkEnd w:id="26"/>
    </w:p>
    <w:p w:rsidR="0028004E" w:rsidRPr="00A3565D" w:rsidRDefault="0028004E" w:rsidP="00A3565D">
      <w:pPr>
        <w:spacing w:after="0" w:line="240" w:lineRule="auto"/>
        <w:ind w:firstLine="720"/>
        <w:jc w:val="both"/>
        <w:rPr>
          <w:rFonts w:ascii="Times New Roman" w:hAnsi="Times New Roman" w:cs="Times New Roman"/>
          <w:color w:val="000000" w:themeColor="text1"/>
          <w:sz w:val="24"/>
          <w:szCs w:val="24"/>
        </w:rPr>
      </w:pPr>
      <w:r w:rsidRPr="00A3565D">
        <w:rPr>
          <w:rFonts w:ascii="Times New Roman" w:hAnsi="Times New Roman" w:cs="Times New Roman"/>
          <w:color w:val="000000" w:themeColor="text1"/>
          <w:sz w:val="24"/>
          <w:szCs w:val="24"/>
        </w:rPr>
        <w:t>Penelitian ini memiliki keterbatasan yang dapat dijadikan bahan pertimbangan untuk dilakukannya penelitian dimasa yang akan datang guna memperoleh hasil yang lebih baik dari penelitian sebelumnya. Berikut adalah keterbatasan dalam penelitian ini :</w:t>
      </w:r>
    </w:p>
    <w:p w:rsidR="0028004E" w:rsidRPr="00A3565D" w:rsidRDefault="0028004E" w:rsidP="00A3565D">
      <w:pPr>
        <w:pStyle w:val="ListParagraph"/>
        <w:numPr>
          <w:ilvl w:val="0"/>
          <w:numId w:val="14"/>
        </w:numPr>
        <w:spacing w:after="0" w:line="240" w:lineRule="auto"/>
        <w:ind w:left="426"/>
        <w:jc w:val="both"/>
        <w:rPr>
          <w:rFonts w:ascii="Times New Roman" w:hAnsi="Times New Roman" w:cs="Times New Roman"/>
          <w:b/>
          <w:color w:val="000000" w:themeColor="text1"/>
          <w:sz w:val="24"/>
          <w:szCs w:val="24"/>
        </w:rPr>
      </w:pPr>
      <w:r w:rsidRPr="00A3565D">
        <w:rPr>
          <w:rFonts w:ascii="Times New Roman" w:hAnsi="Times New Roman" w:cs="Times New Roman"/>
          <w:color w:val="000000" w:themeColor="text1"/>
          <w:sz w:val="24"/>
          <w:szCs w:val="24"/>
        </w:rPr>
        <w:t>Penelitian ini hanya menggunakan sampel perusahaan manufaktur sehingga hanya menggambarkan pengungkapan risiko dalam perusahaan manufaktur dan periode penelitian hanya tiga tahun pengamatan yaitu tahun 2017-2019.</w:t>
      </w:r>
    </w:p>
    <w:p w:rsidR="0028004E" w:rsidRPr="00A3565D" w:rsidRDefault="0028004E" w:rsidP="00A3565D">
      <w:pPr>
        <w:pStyle w:val="ListParagraph"/>
        <w:numPr>
          <w:ilvl w:val="0"/>
          <w:numId w:val="14"/>
        </w:numPr>
        <w:tabs>
          <w:tab w:val="left" w:pos="142"/>
        </w:tabs>
        <w:spacing w:after="0" w:line="240" w:lineRule="auto"/>
        <w:ind w:left="426" w:hanging="284"/>
        <w:jc w:val="both"/>
        <w:rPr>
          <w:rFonts w:ascii="Times New Roman" w:hAnsi="Times New Roman" w:cs="Times New Roman"/>
          <w:b/>
          <w:color w:val="000000" w:themeColor="text1"/>
          <w:sz w:val="24"/>
          <w:szCs w:val="24"/>
        </w:rPr>
      </w:pPr>
      <w:r w:rsidRPr="00A3565D">
        <w:rPr>
          <w:rFonts w:ascii="Times New Roman" w:hAnsi="Times New Roman" w:cs="Times New Roman"/>
          <w:color w:val="000000" w:themeColor="text1"/>
          <w:sz w:val="24"/>
          <w:szCs w:val="24"/>
        </w:rPr>
        <w:t>Penelitian ini hanya menggunakan tiga variabel yaitu kebijakan akuntansi, pengendalian internal dan risiko keuangan.</w:t>
      </w:r>
    </w:p>
    <w:p w:rsidR="00A3565D" w:rsidRDefault="00A3565D" w:rsidP="00A3565D">
      <w:pPr>
        <w:spacing w:line="240" w:lineRule="auto"/>
        <w:jc w:val="both"/>
        <w:rPr>
          <w:rFonts w:ascii="Times New Roman" w:hAnsi="Times New Roman" w:cs="Times New Roman"/>
          <w:b/>
          <w:sz w:val="24"/>
          <w:szCs w:val="24"/>
        </w:rPr>
      </w:pPr>
    </w:p>
    <w:p w:rsidR="0028004E" w:rsidRPr="00A3565D" w:rsidRDefault="0028004E" w:rsidP="00A3565D">
      <w:pPr>
        <w:spacing w:line="240" w:lineRule="auto"/>
        <w:jc w:val="both"/>
        <w:rPr>
          <w:rFonts w:ascii="Times New Roman" w:hAnsi="Times New Roman" w:cs="Times New Roman"/>
          <w:b/>
          <w:sz w:val="24"/>
          <w:szCs w:val="24"/>
        </w:rPr>
      </w:pPr>
      <w:r w:rsidRPr="00A3565D">
        <w:rPr>
          <w:rFonts w:ascii="Times New Roman" w:hAnsi="Times New Roman" w:cs="Times New Roman"/>
          <w:b/>
          <w:sz w:val="24"/>
          <w:szCs w:val="24"/>
        </w:rPr>
        <w:t>DAFTAR PUSTAKA</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Abdallah, A. A. N., Hassan, M. K., &amp; McClelland, P. L. (2015). Islamic financial institutions, corporate overnance, and corporate risk disclosure in Gulf Cooperation Council countries. </w:t>
      </w:r>
      <w:r w:rsidRPr="00A3565D">
        <w:rPr>
          <w:rFonts w:ascii="Times New Roman" w:hAnsi="Times New Roman" w:cs="Times New Roman"/>
          <w:i/>
          <w:iCs/>
          <w:noProof/>
          <w:color w:val="000000" w:themeColor="text1"/>
          <w:sz w:val="24"/>
          <w:szCs w:val="24"/>
        </w:rPr>
        <w:t>Journal of Multinational Financial Management</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31</w:t>
      </w:r>
      <w:r w:rsidRPr="00A3565D">
        <w:rPr>
          <w:rFonts w:ascii="Times New Roman" w:hAnsi="Times New Roman" w:cs="Times New Roman"/>
          <w:noProof/>
          <w:color w:val="000000" w:themeColor="text1"/>
          <w:sz w:val="24"/>
          <w:szCs w:val="24"/>
        </w:rPr>
        <w:t>, 63–82. https://doi.org/10.1016/j.mulfin.2015.02.003</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Agyei-Mensah, B. K. (2016). Internal control information disclosure and corporate governance: evidence from an emerging market. </w:t>
      </w:r>
      <w:r w:rsidRPr="00A3565D">
        <w:rPr>
          <w:rFonts w:ascii="Times New Roman" w:hAnsi="Times New Roman" w:cs="Times New Roman"/>
          <w:i/>
          <w:iCs/>
          <w:noProof/>
          <w:color w:val="000000" w:themeColor="text1"/>
          <w:sz w:val="24"/>
          <w:szCs w:val="24"/>
        </w:rPr>
        <w:t>Corporate Governance: The international journal of business in society</w:t>
      </w:r>
      <w:r w:rsidRPr="00A3565D">
        <w:rPr>
          <w:rFonts w:ascii="Times New Roman" w:hAnsi="Times New Roman" w:cs="Times New Roman"/>
          <w:noProof/>
          <w:color w:val="000000" w:themeColor="text1"/>
          <w:sz w:val="24"/>
          <w:szCs w:val="24"/>
        </w:rPr>
        <w:t>.</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Adi, I. P., &amp; Lesmana, S. (2017). Pengaruh Manajemen Laba Pada Nilai Perusahaan Manufaktur Yang Terdaftar Di Bursa Efek Indonesia Tahun 2012-2015. </w:t>
      </w:r>
      <w:r w:rsidRPr="00A3565D">
        <w:rPr>
          <w:rFonts w:ascii="Times New Roman" w:hAnsi="Times New Roman" w:cs="Times New Roman"/>
          <w:i/>
          <w:iCs/>
          <w:noProof/>
          <w:color w:val="000000" w:themeColor="text1"/>
          <w:sz w:val="24"/>
          <w:szCs w:val="24"/>
        </w:rPr>
        <w:t>E-Jurnal Akuntansi</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19</w:t>
      </w:r>
      <w:r w:rsidRPr="00A3565D">
        <w:rPr>
          <w:rFonts w:ascii="Times New Roman" w:hAnsi="Times New Roman" w:cs="Times New Roman"/>
          <w:noProof/>
          <w:color w:val="000000" w:themeColor="text1"/>
          <w:sz w:val="24"/>
          <w:szCs w:val="24"/>
        </w:rPr>
        <w:t>(2), 1060–1087.</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Agustina, C. H. (2014). </w:t>
      </w:r>
      <w:r w:rsidRPr="00A3565D">
        <w:rPr>
          <w:rFonts w:ascii="Times New Roman" w:hAnsi="Times New Roman" w:cs="Times New Roman"/>
          <w:i/>
          <w:iCs/>
          <w:noProof/>
          <w:color w:val="000000" w:themeColor="text1"/>
          <w:sz w:val="24"/>
          <w:szCs w:val="24"/>
        </w:rPr>
        <w:t>Pengaruh Kompetisi, Corporate Governance, Struktur Kepemilikan Terhadap Pengungkapan Risiko</w:t>
      </w:r>
      <w:r w:rsidRPr="00A3565D">
        <w:rPr>
          <w:rFonts w:ascii="Times New Roman" w:hAnsi="Times New Roman" w:cs="Times New Roman"/>
          <w:noProof/>
          <w:color w:val="000000" w:themeColor="text1"/>
          <w:sz w:val="24"/>
          <w:szCs w:val="24"/>
        </w:rPr>
        <w:t>. Universitas Diponegoro.</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Amran, A., Manaf Rosli Bin, A., &amp; Che Haat Mohd Hassan, B. (2009). </w:t>
      </w:r>
      <w:r w:rsidRPr="00A3565D">
        <w:rPr>
          <w:rFonts w:ascii="Times New Roman" w:hAnsi="Times New Roman" w:cs="Times New Roman"/>
          <w:i/>
          <w:noProof/>
          <w:color w:val="000000" w:themeColor="text1"/>
          <w:sz w:val="24"/>
          <w:szCs w:val="24"/>
        </w:rPr>
        <w:t xml:space="preserve">Risk reporting: An exploratory study on risk management disclosure in Malaysian annual reports. </w:t>
      </w:r>
      <w:r w:rsidRPr="00A3565D">
        <w:rPr>
          <w:rFonts w:ascii="Times New Roman" w:hAnsi="Times New Roman" w:cs="Times New Roman"/>
          <w:i/>
          <w:iCs/>
          <w:noProof/>
          <w:color w:val="000000" w:themeColor="text1"/>
          <w:sz w:val="24"/>
          <w:szCs w:val="24"/>
        </w:rPr>
        <w:t>Managerial Auditing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24</w:t>
      </w:r>
      <w:r w:rsidRPr="00A3565D">
        <w:rPr>
          <w:rFonts w:ascii="Times New Roman" w:hAnsi="Times New Roman" w:cs="Times New Roman"/>
          <w:noProof/>
          <w:color w:val="000000" w:themeColor="text1"/>
          <w:sz w:val="24"/>
          <w:szCs w:val="24"/>
        </w:rPr>
        <w:t>(1), 39–57. https://doi.org/10.1108/02686900910919893</w:t>
      </w:r>
    </w:p>
    <w:p w:rsidR="0028004E"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Darmadi, S., &amp; Sodikin, A. (2013). </w:t>
      </w:r>
      <w:r w:rsidRPr="00A3565D">
        <w:rPr>
          <w:rFonts w:ascii="Times New Roman" w:hAnsi="Times New Roman" w:cs="Times New Roman"/>
          <w:i/>
          <w:noProof/>
          <w:color w:val="000000" w:themeColor="text1"/>
          <w:sz w:val="24"/>
          <w:szCs w:val="24"/>
        </w:rPr>
        <w:t xml:space="preserve">Information disclosure by family-controlled firms: The role of board independence and institutional ownership. </w:t>
      </w:r>
      <w:r w:rsidRPr="00A3565D">
        <w:rPr>
          <w:rFonts w:ascii="Times New Roman" w:hAnsi="Times New Roman" w:cs="Times New Roman"/>
          <w:i/>
          <w:iCs/>
          <w:noProof/>
          <w:color w:val="000000" w:themeColor="text1"/>
          <w:sz w:val="24"/>
          <w:szCs w:val="24"/>
        </w:rPr>
        <w:t>Asian Review of Accounting</w:t>
      </w:r>
      <w:r w:rsidRPr="00A3565D">
        <w:rPr>
          <w:rFonts w:ascii="Times New Roman" w:hAnsi="Times New Roman" w:cs="Times New Roman"/>
          <w:i/>
          <w:noProof/>
          <w:color w:val="000000" w:themeColor="text1"/>
          <w:sz w:val="24"/>
          <w:szCs w:val="24"/>
        </w:rPr>
        <w:t>,</w:t>
      </w:r>
      <w:r w:rsidRPr="00A3565D">
        <w:rPr>
          <w:rFonts w:ascii="Times New Roman" w:hAnsi="Times New Roman" w:cs="Times New Roman"/>
          <w:i/>
          <w:iCs/>
          <w:noProof/>
          <w:color w:val="000000" w:themeColor="text1"/>
          <w:sz w:val="24"/>
          <w:szCs w:val="24"/>
        </w:rPr>
        <w:t>21</w:t>
      </w:r>
      <w:r w:rsidRPr="00A3565D">
        <w:rPr>
          <w:rFonts w:ascii="Times New Roman" w:hAnsi="Times New Roman" w:cs="Times New Roman"/>
          <w:noProof/>
          <w:color w:val="000000" w:themeColor="text1"/>
          <w:sz w:val="24"/>
          <w:szCs w:val="24"/>
        </w:rPr>
        <w:t>(3), 223–240. https://doi.org/10.1108/ARA-01-2013-0009</w:t>
      </w:r>
    </w:p>
    <w:p w:rsidR="00A3565D" w:rsidRPr="00A3565D" w:rsidRDefault="0028004E"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Fadly, B. dan E. S. (2018). Pengaruh Karakteristik Perusahaan dan Mekanisme Corporate Governance terhadap pengungkapan risiko dalam laporan</w:t>
      </w:r>
      <w:r w:rsidR="00A3565D" w:rsidRPr="00A3565D">
        <w:rPr>
          <w:rFonts w:ascii="Times New Roman" w:hAnsi="Times New Roman" w:cs="Times New Roman"/>
          <w:noProof/>
          <w:color w:val="000000" w:themeColor="text1"/>
          <w:sz w:val="24"/>
          <w:szCs w:val="24"/>
        </w:rPr>
        <w:t xml:space="preserve"> keuangan Interim pada perusajaan pertambangan yang terdaftar di bursa efek indonesia. </w:t>
      </w:r>
      <w:r w:rsidR="00A3565D" w:rsidRPr="00A3565D">
        <w:rPr>
          <w:rFonts w:ascii="Times New Roman" w:hAnsi="Times New Roman" w:cs="Times New Roman"/>
          <w:i/>
          <w:iCs/>
          <w:noProof/>
          <w:color w:val="000000" w:themeColor="text1"/>
          <w:sz w:val="24"/>
          <w:szCs w:val="24"/>
        </w:rPr>
        <w:t>Sekolah Tinggi Ilmu Ekonomi IBBI Medan</w:t>
      </w:r>
      <w:r w:rsidR="00A3565D" w:rsidRPr="00A3565D">
        <w:rPr>
          <w:rFonts w:ascii="Times New Roman" w:hAnsi="Times New Roman" w:cs="Times New Roman"/>
          <w:noProof/>
          <w:color w:val="000000" w:themeColor="text1"/>
          <w:sz w:val="24"/>
          <w:szCs w:val="24"/>
        </w:rPr>
        <w:t>, 1–11.</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Freeman, R. . (1984). </w:t>
      </w:r>
      <w:r w:rsidRPr="00A3565D">
        <w:rPr>
          <w:rFonts w:ascii="Times New Roman" w:hAnsi="Times New Roman" w:cs="Times New Roman"/>
          <w:i/>
          <w:iCs/>
          <w:noProof/>
          <w:color w:val="000000" w:themeColor="text1"/>
          <w:sz w:val="24"/>
          <w:szCs w:val="24"/>
        </w:rPr>
        <w:t>Strategic Management : A Stakeholder Approach</w:t>
      </w:r>
      <w:r w:rsidRPr="00A3565D">
        <w:rPr>
          <w:rFonts w:ascii="Times New Roman" w:hAnsi="Times New Roman" w:cs="Times New Roman"/>
          <w:noProof/>
          <w:color w:val="000000" w:themeColor="text1"/>
          <w:sz w:val="24"/>
          <w:szCs w:val="24"/>
        </w:rPr>
        <w:t>. Pitman.</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Ghozali, I. (2016). </w:t>
      </w:r>
      <w:r w:rsidRPr="00A3565D">
        <w:rPr>
          <w:rFonts w:ascii="Times New Roman" w:hAnsi="Times New Roman" w:cs="Times New Roman"/>
          <w:i/>
          <w:iCs/>
          <w:noProof/>
          <w:color w:val="000000" w:themeColor="text1"/>
          <w:sz w:val="24"/>
          <w:szCs w:val="24"/>
        </w:rPr>
        <w:t>Aplikasi Analisis Multivariete Dengan Program IBM SPSS 23</w:t>
      </w:r>
      <w:r w:rsidRPr="00A3565D">
        <w:rPr>
          <w:rFonts w:ascii="Times New Roman" w:hAnsi="Times New Roman" w:cs="Times New Roman"/>
          <w:noProof/>
          <w:color w:val="000000" w:themeColor="text1"/>
          <w:sz w:val="24"/>
          <w:szCs w:val="24"/>
        </w:rPr>
        <w:t xml:space="preserve"> (Edisi 8). Badan Penerbit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Ghozali, I. (2018). </w:t>
      </w:r>
      <w:r w:rsidRPr="00A3565D">
        <w:rPr>
          <w:rFonts w:ascii="Times New Roman" w:hAnsi="Times New Roman" w:cs="Times New Roman"/>
          <w:i/>
          <w:iCs/>
          <w:noProof/>
          <w:color w:val="000000" w:themeColor="text1"/>
          <w:sz w:val="24"/>
          <w:szCs w:val="24"/>
        </w:rPr>
        <w:t>Aplikasi Analisis Multivariete SPSS 25 (9th ed.)</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Gotri, S. K.,&amp; Syafruddin, M. (2019). Faktor - faktor  Yang Mempengaruhi Pengungkapan Risiko Perusahaan ( Studi Empiris pada Perusahaan yang Terdaftar di Bursa Efek Indonesia Tahun 2017 ). </w:t>
      </w:r>
      <w:r w:rsidRPr="00A3565D">
        <w:rPr>
          <w:rFonts w:ascii="Times New Roman" w:hAnsi="Times New Roman" w:cs="Times New Roman"/>
          <w:i/>
          <w:iCs/>
          <w:noProof/>
          <w:color w:val="000000" w:themeColor="text1"/>
          <w:sz w:val="24"/>
          <w:szCs w:val="24"/>
        </w:rPr>
        <w:t>Diponegoro Journal of Accounting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8</w:t>
      </w:r>
      <w:r w:rsidRPr="00A3565D">
        <w:rPr>
          <w:rFonts w:ascii="Times New Roman" w:hAnsi="Times New Roman" w:cs="Times New Roman"/>
          <w:noProof/>
          <w:color w:val="000000" w:themeColor="text1"/>
          <w:sz w:val="24"/>
          <w:szCs w:val="24"/>
        </w:rPr>
        <w:t>(2), 1–15.</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Hernández Madrigal, M., Aibar Guzmán, B., &amp; Aibar Guzmán, C. (2015). </w:t>
      </w:r>
      <w:r w:rsidRPr="00A3565D">
        <w:rPr>
          <w:rFonts w:ascii="Times New Roman" w:hAnsi="Times New Roman" w:cs="Times New Roman"/>
          <w:i/>
          <w:noProof/>
          <w:color w:val="000000" w:themeColor="text1"/>
          <w:sz w:val="24"/>
          <w:szCs w:val="24"/>
        </w:rPr>
        <w:t xml:space="preserve">Determinants of corporate risk disclosure in large Spanish companies: A snapshot. </w:t>
      </w:r>
      <w:r w:rsidRPr="00A3565D">
        <w:rPr>
          <w:rFonts w:ascii="Times New Roman" w:hAnsi="Times New Roman" w:cs="Times New Roman"/>
          <w:i/>
          <w:iCs/>
          <w:noProof/>
          <w:color w:val="000000" w:themeColor="text1"/>
          <w:sz w:val="24"/>
          <w:szCs w:val="24"/>
        </w:rPr>
        <w:t>Contaduria y Administracion</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60</w:t>
      </w:r>
      <w:r w:rsidRPr="00A3565D">
        <w:rPr>
          <w:rFonts w:ascii="Times New Roman" w:hAnsi="Times New Roman" w:cs="Times New Roman"/>
          <w:noProof/>
          <w:color w:val="000000" w:themeColor="text1"/>
          <w:sz w:val="24"/>
          <w:szCs w:val="24"/>
        </w:rPr>
        <w:t>(4), 757–775. https://doi.org/10.1016/j.cya.2015.05.014</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Hery. (2013). </w:t>
      </w:r>
      <w:r w:rsidRPr="00A3565D">
        <w:rPr>
          <w:rFonts w:ascii="Times New Roman" w:hAnsi="Times New Roman" w:cs="Times New Roman"/>
          <w:i/>
          <w:iCs/>
          <w:noProof/>
          <w:color w:val="000000" w:themeColor="text1"/>
          <w:sz w:val="24"/>
          <w:szCs w:val="24"/>
        </w:rPr>
        <w:t>Teori Akuntansi</w:t>
      </w:r>
      <w:r w:rsidRPr="00A3565D">
        <w:rPr>
          <w:rFonts w:ascii="Times New Roman" w:hAnsi="Times New Roman" w:cs="Times New Roman"/>
          <w:noProof/>
          <w:color w:val="000000" w:themeColor="text1"/>
          <w:sz w:val="24"/>
          <w:szCs w:val="24"/>
        </w:rPr>
        <w:t>. Lembaga Penerbit Fakultas Ekonomi.</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Lanis, R dan Richardson, G. 2013. </w:t>
      </w:r>
      <w:r w:rsidRPr="00A3565D">
        <w:rPr>
          <w:rFonts w:ascii="Times New Roman" w:hAnsi="Times New Roman" w:cs="Times New Roman"/>
          <w:i/>
          <w:noProof/>
          <w:color w:val="000000" w:themeColor="text1"/>
          <w:sz w:val="24"/>
          <w:szCs w:val="24"/>
        </w:rPr>
        <w:t>The Impact of Board of Director Oversight Characterictics on Coporate Tax Aggresiveness: An Empirical Analysis. Journal of Accounting and Public Policy</w:t>
      </w:r>
      <w:r w:rsidRPr="00A3565D">
        <w:rPr>
          <w:rFonts w:ascii="Times New Roman" w:hAnsi="Times New Roman" w:cs="Times New Roman"/>
          <w:noProof/>
          <w:color w:val="000000" w:themeColor="text1"/>
          <w:sz w:val="24"/>
          <w:szCs w:val="24"/>
        </w:rPr>
        <w:t>. Vol 32, pp. 68-88.</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Mokhtar, E. S., &amp; Mellett, H. (2013). </w:t>
      </w:r>
      <w:r w:rsidRPr="00A3565D">
        <w:rPr>
          <w:rFonts w:ascii="Times New Roman" w:hAnsi="Times New Roman" w:cs="Times New Roman"/>
          <w:i/>
          <w:noProof/>
          <w:color w:val="000000" w:themeColor="text1"/>
          <w:sz w:val="24"/>
          <w:szCs w:val="24"/>
        </w:rPr>
        <w:t>Competition, corporate governance, ownership structure and risk reporting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Managerial Auditing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28</w:t>
      </w:r>
      <w:r w:rsidRPr="00A3565D">
        <w:rPr>
          <w:rFonts w:ascii="Times New Roman" w:hAnsi="Times New Roman" w:cs="Times New Roman"/>
          <w:noProof/>
          <w:color w:val="000000" w:themeColor="text1"/>
          <w:sz w:val="24"/>
          <w:szCs w:val="24"/>
        </w:rPr>
        <w:t>(9), 838–865. https://doi.org/10.1108/MAJ-11-2012-0776</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Mousa, G. a, &amp; Elamir, E. a H. (2013). </w:t>
      </w:r>
      <w:r w:rsidRPr="00A3565D">
        <w:rPr>
          <w:rFonts w:ascii="Times New Roman" w:hAnsi="Times New Roman" w:cs="Times New Roman"/>
          <w:i/>
          <w:noProof/>
          <w:color w:val="000000" w:themeColor="text1"/>
          <w:sz w:val="24"/>
          <w:szCs w:val="24"/>
        </w:rPr>
        <w:t>Content Analysis of Corporate Risk Disclosures : The Case of Bahraini Capital Market</w:t>
      </w:r>
      <w:r w:rsidRPr="00A3565D">
        <w:rPr>
          <w:rFonts w:ascii="Times New Roman" w:hAnsi="Times New Roman" w:cs="Times New Roman"/>
          <w:noProof/>
          <w:color w:val="000000" w:themeColor="text1"/>
          <w:sz w:val="24"/>
          <w:szCs w:val="24"/>
        </w:rPr>
        <w:t xml:space="preserve"> Mousa &amp; Elamir. </w:t>
      </w:r>
      <w:r w:rsidRPr="00A3565D">
        <w:rPr>
          <w:rFonts w:ascii="Times New Roman" w:hAnsi="Times New Roman" w:cs="Times New Roman"/>
          <w:i/>
          <w:iCs/>
          <w:noProof/>
          <w:color w:val="000000" w:themeColor="text1"/>
          <w:sz w:val="24"/>
          <w:szCs w:val="24"/>
        </w:rPr>
        <w:t>Global Review of Accounting and Finance</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4</w:t>
      </w:r>
      <w:r w:rsidRPr="00A3565D">
        <w:rPr>
          <w:rFonts w:ascii="Times New Roman" w:hAnsi="Times New Roman" w:cs="Times New Roman"/>
          <w:noProof/>
          <w:color w:val="000000" w:themeColor="text1"/>
          <w:sz w:val="24"/>
          <w:szCs w:val="24"/>
        </w:rPr>
        <w:t>(1), 27–54.</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Moumen, N., Othman, H. B., &amp; Hussainey, K. (2016). </w:t>
      </w:r>
      <w:r w:rsidRPr="00A3565D">
        <w:rPr>
          <w:rFonts w:ascii="Times New Roman" w:hAnsi="Times New Roman" w:cs="Times New Roman"/>
          <w:i/>
          <w:noProof/>
          <w:color w:val="000000" w:themeColor="text1"/>
          <w:sz w:val="24"/>
          <w:szCs w:val="24"/>
        </w:rPr>
        <w:t>Board structure and the informativeness of risk disclosure: Evidence from MENA emerging markets. </w:t>
      </w:r>
      <w:r w:rsidRPr="00A3565D">
        <w:rPr>
          <w:rFonts w:ascii="Times New Roman" w:hAnsi="Times New Roman" w:cs="Times New Roman"/>
          <w:i/>
          <w:iCs/>
          <w:noProof/>
          <w:color w:val="000000" w:themeColor="text1"/>
          <w:sz w:val="24"/>
          <w:szCs w:val="24"/>
        </w:rPr>
        <w:t>Advances in accounting</w:t>
      </w:r>
      <w:r w:rsidRPr="00A3565D">
        <w:rPr>
          <w:rFonts w:ascii="Times New Roman" w:hAnsi="Times New Roman" w:cs="Times New Roman"/>
          <w:i/>
          <w:noProof/>
          <w:color w:val="000000" w:themeColor="text1"/>
          <w:sz w:val="24"/>
          <w:szCs w:val="24"/>
        </w:rPr>
        <w:t>,</w:t>
      </w:r>
      <w:r w:rsidRPr="00A3565D">
        <w:rPr>
          <w:rFonts w:ascii="Times New Roman" w:hAnsi="Times New Roman" w:cs="Times New Roman"/>
          <w:noProof/>
          <w:color w:val="000000" w:themeColor="text1"/>
          <w:sz w:val="24"/>
          <w:szCs w:val="24"/>
        </w:rPr>
        <w:t> </w:t>
      </w:r>
      <w:r w:rsidRPr="00A3565D">
        <w:rPr>
          <w:rFonts w:ascii="Times New Roman" w:hAnsi="Times New Roman" w:cs="Times New Roman"/>
          <w:i/>
          <w:iCs/>
          <w:noProof/>
          <w:color w:val="000000" w:themeColor="text1"/>
          <w:sz w:val="24"/>
          <w:szCs w:val="24"/>
        </w:rPr>
        <w:t>35</w:t>
      </w:r>
      <w:r w:rsidRPr="00A3565D">
        <w:rPr>
          <w:rFonts w:ascii="Times New Roman" w:hAnsi="Times New Roman" w:cs="Times New Roman"/>
          <w:noProof/>
          <w:color w:val="000000" w:themeColor="text1"/>
          <w:sz w:val="24"/>
          <w:szCs w:val="24"/>
        </w:rPr>
        <w:t>, 82-97.</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Mulyadi. (2013). </w:t>
      </w:r>
      <w:r w:rsidRPr="00A3565D">
        <w:rPr>
          <w:rFonts w:ascii="Times New Roman" w:hAnsi="Times New Roman" w:cs="Times New Roman"/>
          <w:i/>
          <w:iCs/>
          <w:noProof/>
          <w:color w:val="000000" w:themeColor="text1"/>
          <w:sz w:val="24"/>
          <w:szCs w:val="24"/>
        </w:rPr>
        <w:t>Sistem Akuntansi</w:t>
      </w:r>
      <w:r w:rsidRPr="00A3565D">
        <w:rPr>
          <w:rFonts w:ascii="Times New Roman" w:hAnsi="Times New Roman" w:cs="Times New Roman"/>
          <w:noProof/>
          <w:color w:val="000000" w:themeColor="text1"/>
          <w:sz w:val="24"/>
          <w:szCs w:val="24"/>
        </w:rPr>
        <w:t>. Salemba Tiga.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Probohudono, A. N., Tower, G., &amp; Rusmin, R. (2013). </w:t>
      </w:r>
      <w:r w:rsidRPr="00A3565D">
        <w:rPr>
          <w:rFonts w:ascii="Times New Roman" w:hAnsi="Times New Roman" w:cs="Times New Roman"/>
          <w:i/>
          <w:noProof/>
          <w:color w:val="000000" w:themeColor="text1"/>
          <w:sz w:val="24"/>
          <w:szCs w:val="24"/>
        </w:rPr>
        <w:t>Risk disclosure during the global financial crisis.</w:t>
      </w:r>
      <w:r w:rsidRPr="00A3565D">
        <w:rPr>
          <w:rFonts w:ascii="Times New Roman" w:hAnsi="Times New Roman" w:cs="Times New Roman"/>
          <w:i/>
          <w:iCs/>
          <w:noProof/>
          <w:color w:val="000000" w:themeColor="text1"/>
          <w:sz w:val="24"/>
          <w:szCs w:val="24"/>
        </w:rPr>
        <w:t>Social Responsibility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9</w:t>
      </w:r>
      <w:r w:rsidRPr="00A3565D">
        <w:rPr>
          <w:rFonts w:ascii="Times New Roman" w:hAnsi="Times New Roman" w:cs="Times New Roman"/>
          <w:noProof/>
          <w:color w:val="000000" w:themeColor="text1"/>
          <w:sz w:val="24"/>
          <w:szCs w:val="24"/>
        </w:rPr>
        <w:t>(1), 124–136. https://doi.org/10.1108/17471111311307859</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PSAK. (2010). </w:t>
      </w:r>
      <w:r w:rsidRPr="00A3565D">
        <w:rPr>
          <w:rFonts w:ascii="Times New Roman" w:hAnsi="Times New Roman" w:cs="Times New Roman"/>
          <w:i/>
          <w:iCs/>
          <w:noProof/>
          <w:color w:val="000000" w:themeColor="text1"/>
          <w:sz w:val="24"/>
          <w:szCs w:val="24"/>
        </w:rPr>
        <w:t>Exposure Draft (ED) Pernyataan Standar Akuntansi Keuangan (PSAK) No.60 (Revisi 2010)</w:t>
      </w:r>
      <w:r w:rsidRPr="00A3565D">
        <w:rPr>
          <w:rFonts w:ascii="Times New Roman" w:hAnsi="Times New Roman" w:cs="Times New Roman"/>
          <w:noProof/>
          <w:color w:val="000000" w:themeColor="text1"/>
          <w:sz w:val="24"/>
          <w:szCs w:val="24"/>
        </w:rPr>
        <w:t>.</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Puspawardani, M., &amp; Juliarto, A. (2019). Analisis Faktor-Faktor Yang Mempengaruhi Pengungkapan Risiko Perusahaan. </w:t>
      </w:r>
      <w:r w:rsidRPr="00A3565D">
        <w:rPr>
          <w:rFonts w:ascii="Times New Roman" w:hAnsi="Times New Roman" w:cs="Times New Roman"/>
          <w:i/>
          <w:iCs/>
          <w:noProof/>
          <w:color w:val="000000" w:themeColor="text1"/>
          <w:sz w:val="24"/>
          <w:szCs w:val="24"/>
        </w:rPr>
        <w:t>Diponegoro Journal of Accounting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8</w:t>
      </w:r>
      <w:r w:rsidRPr="00A3565D">
        <w:rPr>
          <w:rFonts w:ascii="Times New Roman" w:hAnsi="Times New Roman" w:cs="Times New Roman"/>
          <w:noProof/>
          <w:color w:val="000000" w:themeColor="text1"/>
          <w:sz w:val="24"/>
          <w:szCs w:val="24"/>
        </w:rPr>
        <w:t>(4), 1–11.</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Ruwita, C. (2012). </w:t>
      </w:r>
      <w:r w:rsidRPr="00A3565D">
        <w:rPr>
          <w:rFonts w:ascii="Times New Roman" w:hAnsi="Times New Roman" w:cs="Times New Roman"/>
          <w:i/>
          <w:iCs/>
          <w:noProof/>
          <w:color w:val="000000" w:themeColor="text1"/>
          <w:sz w:val="24"/>
          <w:szCs w:val="24"/>
        </w:rPr>
        <w:t>Perusahaan Dan Corporate Governance</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Sugiyanto, S., &amp; Candra, A. (2019). </w:t>
      </w:r>
      <w:r w:rsidRPr="00A3565D">
        <w:rPr>
          <w:rFonts w:ascii="Times New Roman" w:hAnsi="Times New Roman" w:cs="Times New Roman"/>
          <w:i/>
          <w:noProof/>
          <w:color w:val="000000" w:themeColor="text1"/>
          <w:sz w:val="24"/>
          <w:szCs w:val="24"/>
        </w:rPr>
        <w:t>Good Corporate Governance, Conservatism Accounting, Real Earnings Management, and Information Asymmetry on Share Return.</w:t>
      </w:r>
      <w:r w:rsidRPr="00A3565D">
        <w:rPr>
          <w:rFonts w:ascii="Times New Roman" w:hAnsi="Times New Roman" w:cs="Times New Roman"/>
          <w:i/>
          <w:iCs/>
          <w:noProof/>
          <w:color w:val="000000" w:themeColor="text1"/>
          <w:sz w:val="24"/>
          <w:szCs w:val="24"/>
        </w:rPr>
        <w:t>JIAFE (Jurnal Ilmiah Akuntansi Fakultas Ekonomi)</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4</w:t>
      </w:r>
      <w:r w:rsidRPr="00A3565D">
        <w:rPr>
          <w:rFonts w:ascii="Times New Roman" w:hAnsi="Times New Roman" w:cs="Times New Roman"/>
          <w:noProof/>
          <w:color w:val="000000" w:themeColor="text1"/>
          <w:sz w:val="24"/>
          <w:szCs w:val="24"/>
        </w:rPr>
        <w:t>(1), 9–18. https://doi.org/10.34204/jiafe.v4i1.1073</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Sugiyono. (2018). </w:t>
      </w:r>
      <w:r w:rsidRPr="00A3565D">
        <w:rPr>
          <w:rFonts w:ascii="Times New Roman" w:hAnsi="Times New Roman" w:cs="Times New Roman"/>
          <w:i/>
          <w:iCs/>
          <w:noProof/>
          <w:color w:val="000000" w:themeColor="text1"/>
          <w:sz w:val="24"/>
          <w:szCs w:val="24"/>
        </w:rPr>
        <w:t>Metode penelitian kuantitatif, kualitatif, dan R&amp;D</w:t>
      </w:r>
      <w:r w:rsidRPr="00A3565D">
        <w:rPr>
          <w:rFonts w:ascii="Times New Roman" w:hAnsi="Times New Roman" w:cs="Times New Roman"/>
          <w:noProof/>
          <w:color w:val="000000" w:themeColor="text1"/>
          <w:sz w:val="24"/>
          <w:szCs w:val="24"/>
        </w:rPr>
        <w:t>. Alfabeta.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Supriyadi, E. (2014). </w:t>
      </w:r>
      <w:r w:rsidRPr="00A3565D">
        <w:rPr>
          <w:rFonts w:ascii="Times New Roman" w:hAnsi="Times New Roman" w:cs="Times New Roman"/>
          <w:i/>
          <w:iCs/>
          <w:noProof/>
          <w:color w:val="000000" w:themeColor="text1"/>
          <w:sz w:val="24"/>
          <w:szCs w:val="24"/>
        </w:rPr>
        <w:t>SPSS+Amos</w:t>
      </w:r>
      <w:r w:rsidRPr="00A3565D">
        <w:rPr>
          <w:rFonts w:ascii="Times New Roman" w:hAnsi="Times New Roman" w:cs="Times New Roman"/>
          <w:noProof/>
          <w:color w:val="000000" w:themeColor="text1"/>
          <w:sz w:val="24"/>
          <w:szCs w:val="24"/>
        </w:rPr>
        <w:t>. In Media.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Suwardjono. (2014). </w:t>
      </w:r>
      <w:r w:rsidRPr="00A3565D">
        <w:rPr>
          <w:rFonts w:ascii="Times New Roman" w:hAnsi="Times New Roman" w:cs="Times New Roman"/>
          <w:i/>
          <w:iCs/>
          <w:noProof/>
          <w:color w:val="000000" w:themeColor="text1"/>
          <w:sz w:val="24"/>
          <w:szCs w:val="24"/>
        </w:rPr>
        <w:t>Teori Akuntansi, Perekayasaan, Pelaporan Keuangan</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noProof/>
          <w:color w:val="000000" w:themeColor="text1"/>
          <w:sz w:val="24"/>
          <w:szCs w:val="24"/>
        </w:rPr>
        <w:t>edisi</w:t>
      </w:r>
      <w:r w:rsidRPr="00A3565D">
        <w:rPr>
          <w:rFonts w:ascii="Times New Roman" w:hAnsi="Times New Roman" w:cs="Times New Roman"/>
          <w:color w:val="000000" w:themeColor="text1"/>
          <w:sz w:val="24"/>
          <w:szCs w:val="24"/>
        </w:rPr>
        <w:fldChar w:fldCharType="begin"/>
      </w:r>
      <w:r w:rsidRPr="00A3565D">
        <w:rPr>
          <w:rFonts w:ascii="Times New Roman" w:hAnsi="Times New Roman" w:cs="Times New Roman"/>
          <w:color w:val="000000" w:themeColor="text1"/>
          <w:sz w:val="24"/>
          <w:szCs w:val="24"/>
        </w:rPr>
        <w:instrText xml:space="preserve">ADDIN Mendeley Bibliography CSL_BIBLIOGRAPHY </w:instrText>
      </w:r>
      <w:r w:rsidRPr="00A3565D">
        <w:rPr>
          <w:rFonts w:ascii="Times New Roman" w:hAnsi="Times New Roman" w:cs="Times New Roman"/>
          <w:color w:val="000000" w:themeColor="text1"/>
          <w:sz w:val="24"/>
          <w:szCs w:val="24"/>
        </w:rPr>
        <w:fldChar w:fldCharType="separate"/>
      </w:r>
      <w:r w:rsidRPr="00A3565D">
        <w:rPr>
          <w:rFonts w:ascii="Times New Roman" w:hAnsi="Times New Roman" w:cs="Times New Roman"/>
          <w:noProof/>
          <w:color w:val="000000" w:themeColor="text1"/>
          <w:sz w:val="24"/>
          <w:szCs w:val="24"/>
        </w:rPr>
        <w:t xml:space="preserve">Abdallah, A. A. N., Hassan, M. K., &amp; McClelland, P. L. (2015). Islamic financial institutions, corporate overnance, and corporate risk disclosure in Gulf Cooperation Council countries. </w:t>
      </w:r>
      <w:r w:rsidRPr="00A3565D">
        <w:rPr>
          <w:rFonts w:ascii="Times New Roman" w:hAnsi="Times New Roman" w:cs="Times New Roman"/>
          <w:i/>
          <w:iCs/>
          <w:noProof/>
          <w:color w:val="000000" w:themeColor="text1"/>
          <w:sz w:val="24"/>
          <w:szCs w:val="24"/>
        </w:rPr>
        <w:t>Journal of Multinational Financial Management</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31</w:t>
      </w:r>
      <w:r w:rsidRPr="00A3565D">
        <w:rPr>
          <w:rFonts w:ascii="Times New Roman" w:hAnsi="Times New Roman" w:cs="Times New Roman"/>
          <w:noProof/>
          <w:color w:val="000000" w:themeColor="text1"/>
          <w:sz w:val="24"/>
          <w:szCs w:val="24"/>
        </w:rPr>
        <w:t>, 63–82. https://doi.org/10.1016/j.mulfin.2015.02.003</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Agyei-Mensah, B. K. (2016). Internal control information disclosure and corporate governance: evidence from an emerging market. </w:t>
      </w:r>
      <w:r w:rsidRPr="00A3565D">
        <w:rPr>
          <w:rFonts w:ascii="Times New Roman" w:hAnsi="Times New Roman" w:cs="Times New Roman"/>
          <w:i/>
          <w:iCs/>
          <w:noProof/>
          <w:color w:val="000000" w:themeColor="text1"/>
          <w:sz w:val="24"/>
          <w:szCs w:val="24"/>
        </w:rPr>
        <w:t>Corporate Governance: The international journal of business in society</w:t>
      </w:r>
      <w:r w:rsidRPr="00A3565D">
        <w:rPr>
          <w:rFonts w:ascii="Times New Roman" w:hAnsi="Times New Roman" w:cs="Times New Roman"/>
          <w:noProof/>
          <w:color w:val="000000" w:themeColor="text1"/>
          <w:sz w:val="24"/>
          <w:szCs w:val="24"/>
        </w:rPr>
        <w:t>.</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Adi, I. P., &amp; Lesmana, S. (2017). Pengaruh Manajemen Laba Pada Nilai Perusahaan Manufaktur Yang Terdaftar Di Bursa Efek Indonesia Tahun 2012-2015. </w:t>
      </w:r>
      <w:r w:rsidRPr="00A3565D">
        <w:rPr>
          <w:rFonts w:ascii="Times New Roman" w:hAnsi="Times New Roman" w:cs="Times New Roman"/>
          <w:i/>
          <w:iCs/>
          <w:noProof/>
          <w:color w:val="000000" w:themeColor="text1"/>
          <w:sz w:val="24"/>
          <w:szCs w:val="24"/>
        </w:rPr>
        <w:t>E-Jurnal Akuntansi</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19</w:t>
      </w:r>
      <w:r w:rsidRPr="00A3565D">
        <w:rPr>
          <w:rFonts w:ascii="Times New Roman" w:hAnsi="Times New Roman" w:cs="Times New Roman"/>
          <w:noProof/>
          <w:color w:val="000000" w:themeColor="text1"/>
          <w:sz w:val="24"/>
          <w:szCs w:val="24"/>
        </w:rPr>
        <w:t>(2), 1060–1087.</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Agustina, C. H. (2014). </w:t>
      </w:r>
      <w:r w:rsidRPr="00A3565D">
        <w:rPr>
          <w:rFonts w:ascii="Times New Roman" w:hAnsi="Times New Roman" w:cs="Times New Roman"/>
          <w:i/>
          <w:iCs/>
          <w:noProof/>
          <w:color w:val="000000" w:themeColor="text1"/>
          <w:sz w:val="24"/>
          <w:szCs w:val="24"/>
        </w:rPr>
        <w:t>Pengaruh Kompetisi, Corporate Governance, Struktur Kepemilikan Terhadap Pengungkapan Risiko</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Amran, A., Manaf Rosli Bin, A., &amp; Che Haat Mohd Hassan, B. (2009). </w:t>
      </w:r>
      <w:r w:rsidRPr="00A3565D">
        <w:rPr>
          <w:rFonts w:ascii="Times New Roman" w:hAnsi="Times New Roman" w:cs="Times New Roman"/>
          <w:i/>
          <w:noProof/>
          <w:color w:val="000000" w:themeColor="text1"/>
          <w:sz w:val="24"/>
          <w:szCs w:val="24"/>
        </w:rPr>
        <w:t xml:space="preserve">Risk reporting: An exploratory study on risk management disclosure in Malaysian annual reports. </w:t>
      </w:r>
      <w:r w:rsidRPr="00A3565D">
        <w:rPr>
          <w:rFonts w:ascii="Times New Roman" w:hAnsi="Times New Roman" w:cs="Times New Roman"/>
          <w:i/>
          <w:iCs/>
          <w:noProof/>
          <w:color w:val="000000" w:themeColor="text1"/>
          <w:sz w:val="24"/>
          <w:szCs w:val="24"/>
        </w:rPr>
        <w:t>Managerial Auditing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24</w:t>
      </w:r>
      <w:r w:rsidRPr="00A3565D">
        <w:rPr>
          <w:rFonts w:ascii="Times New Roman" w:hAnsi="Times New Roman" w:cs="Times New Roman"/>
          <w:noProof/>
          <w:color w:val="000000" w:themeColor="text1"/>
          <w:sz w:val="24"/>
          <w:szCs w:val="24"/>
        </w:rPr>
        <w:t>(1), 39–57. https://doi.org/10.1108/02686900910919893</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Darmadi, S., &amp; Sodikin, A. (2013). </w:t>
      </w:r>
      <w:r w:rsidRPr="00A3565D">
        <w:rPr>
          <w:rFonts w:ascii="Times New Roman" w:hAnsi="Times New Roman" w:cs="Times New Roman"/>
          <w:i/>
          <w:noProof/>
          <w:color w:val="000000" w:themeColor="text1"/>
          <w:sz w:val="24"/>
          <w:szCs w:val="24"/>
        </w:rPr>
        <w:t xml:space="preserve">Information disclosure by family-controlled firms: The role of board independence and institutional ownership. </w:t>
      </w:r>
      <w:r w:rsidRPr="00A3565D">
        <w:rPr>
          <w:rFonts w:ascii="Times New Roman" w:hAnsi="Times New Roman" w:cs="Times New Roman"/>
          <w:i/>
          <w:iCs/>
          <w:noProof/>
          <w:color w:val="000000" w:themeColor="text1"/>
          <w:sz w:val="24"/>
          <w:szCs w:val="24"/>
        </w:rPr>
        <w:t>Asian Review of Accounting</w:t>
      </w:r>
      <w:r w:rsidRPr="00A3565D">
        <w:rPr>
          <w:rFonts w:ascii="Times New Roman" w:hAnsi="Times New Roman" w:cs="Times New Roman"/>
          <w:i/>
          <w:noProof/>
          <w:color w:val="000000" w:themeColor="text1"/>
          <w:sz w:val="24"/>
          <w:szCs w:val="24"/>
        </w:rPr>
        <w:t>,</w:t>
      </w:r>
      <w:r w:rsidRPr="00A3565D">
        <w:rPr>
          <w:rFonts w:ascii="Times New Roman" w:hAnsi="Times New Roman" w:cs="Times New Roman"/>
          <w:i/>
          <w:iCs/>
          <w:noProof/>
          <w:color w:val="000000" w:themeColor="text1"/>
          <w:sz w:val="24"/>
          <w:szCs w:val="24"/>
        </w:rPr>
        <w:t>21</w:t>
      </w:r>
      <w:r w:rsidRPr="00A3565D">
        <w:rPr>
          <w:rFonts w:ascii="Times New Roman" w:hAnsi="Times New Roman" w:cs="Times New Roman"/>
          <w:noProof/>
          <w:color w:val="000000" w:themeColor="text1"/>
          <w:sz w:val="24"/>
          <w:szCs w:val="24"/>
        </w:rPr>
        <w:t>(3), 223–240. https://doi.org/10.1108/ARA-01-2013-0009</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Fadly, B. dan E. S. (2018). Pengaruh Karakteristik Perusahaan dan Mekanisme Corporate Governance terhadap pengungkapan risiko dalam laporan keuangan Interim pada perusajaan pertambangan yang terdaftar di bursa efek indonesia. </w:t>
      </w:r>
      <w:r w:rsidRPr="00A3565D">
        <w:rPr>
          <w:rFonts w:ascii="Times New Roman" w:hAnsi="Times New Roman" w:cs="Times New Roman"/>
          <w:i/>
          <w:iCs/>
          <w:noProof/>
          <w:color w:val="000000" w:themeColor="text1"/>
          <w:sz w:val="24"/>
          <w:szCs w:val="24"/>
        </w:rPr>
        <w:t>Sekolah Tinggi Ilmu Ekonomi IBBI Medan</w:t>
      </w:r>
      <w:r w:rsidRPr="00A3565D">
        <w:rPr>
          <w:rFonts w:ascii="Times New Roman" w:hAnsi="Times New Roman" w:cs="Times New Roman"/>
          <w:noProof/>
          <w:color w:val="000000" w:themeColor="text1"/>
          <w:sz w:val="24"/>
          <w:szCs w:val="24"/>
        </w:rPr>
        <w:t>, 1–11.</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Freeman, R. . (1984). </w:t>
      </w:r>
      <w:r w:rsidRPr="00A3565D">
        <w:rPr>
          <w:rFonts w:ascii="Times New Roman" w:hAnsi="Times New Roman" w:cs="Times New Roman"/>
          <w:i/>
          <w:iCs/>
          <w:noProof/>
          <w:color w:val="000000" w:themeColor="text1"/>
          <w:sz w:val="24"/>
          <w:szCs w:val="24"/>
        </w:rPr>
        <w:t>Strategic Management : A Stakeholder Approach</w:t>
      </w:r>
      <w:r w:rsidRPr="00A3565D">
        <w:rPr>
          <w:rFonts w:ascii="Times New Roman" w:hAnsi="Times New Roman" w:cs="Times New Roman"/>
          <w:noProof/>
          <w:color w:val="000000" w:themeColor="text1"/>
          <w:sz w:val="24"/>
          <w:szCs w:val="24"/>
        </w:rPr>
        <w:t>. Pitman.</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Ghozali, I. (2016). </w:t>
      </w:r>
      <w:r w:rsidRPr="00A3565D">
        <w:rPr>
          <w:rFonts w:ascii="Times New Roman" w:hAnsi="Times New Roman" w:cs="Times New Roman"/>
          <w:i/>
          <w:iCs/>
          <w:noProof/>
          <w:color w:val="000000" w:themeColor="text1"/>
          <w:sz w:val="24"/>
          <w:szCs w:val="24"/>
        </w:rPr>
        <w:t>Aplikasi Analisis Multivariete Dengan Program IBM SPSS 23</w:t>
      </w:r>
      <w:r w:rsidRPr="00A3565D">
        <w:rPr>
          <w:rFonts w:ascii="Times New Roman" w:hAnsi="Times New Roman" w:cs="Times New Roman"/>
          <w:noProof/>
          <w:color w:val="000000" w:themeColor="text1"/>
          <w:sz w:val="24"/>
          <w:szCs w:val="24"/>
        </w:rPr>
        <w:t xml:space="preserve"> (Edisi 8). Badan Penerbit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Ghozali, I. (2018). </w:t>
      </w:r>
      <w:r w:rsidRPr="00A3565D">
        <w:rPr>
          <w:rFonts w:ascii="Times New Roman" w:hAnsi="Times New Roman" w:cs="Times New Roman"/>
          <w:i/>
          <w:iCs/>
          <w:noProof/>
          <w:color w:val="000000" w:themeColor="text1"/>
          <w:sz w:val="24"/>
          <w:szCs w:val="24"/>
        </w:rPr>
        <w:t>Aplikasi Analisis Multivariete SPSS 25 (9th ed.)</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Gotri, S. K.,&amp; Syafruddin, M. (2019). Faktor - faktor  Yang Mempengaruhi Pengungkapan Risiko Perusahaan ( Studi Empiris pada Perusahaan yang Terdaftar di Bursa Efek Indonesia Tahun 2017 ). </w:t>
      </w:r>
      <w:r w:rsidRPr="00A3565D">
        <w:rPr>
          <w:rFonts w:ascii="Times New Roman" w:hAnsi="Times New Roman" w:cs="Times New Roman"/>
          <w:i/>
          <w:iCs/>
          <w:noProof/>
          <w:color w:val="000000" w:themeColor="text1"/>
          <w:sz w:val="24"/>
          <w:szCs w:val="24"/>
        </w:rPr>
        <w:t>Diponegoro Journal of Accounting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8</w:t>
      </w:r>
      <w:r w:rsidRPr="00A3565D">
        <w:rPr>
          <w:rFonts w:ascii="Times New Roman" w:hAnsi="Times New Roman" w:cs="Times New Roman"/>
          <w:noProof/>
          <w:color w:val="000000" w:themeColor="text1"/>
          <w:sz w:val="24"/>
          <w:szCs w:val="24"/>
        </w:rPr>
        <w:t>(2), 1–15.</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Hernández Madrigal, M., Aibar Guzmán, B., &amp; Aibar Guzmán, C. (2015). </w:t>
      </w:r>
      <w:r w:rsidRPr="00A3565D">
        <w:rPr>
          <w:rFonts w:ascii="Times New Roman" w:hAnsi="Times New Roman" w:cs="Times New Roman"/>
          <w:i/>
          <w:noProof/>
          <w:color w:val="000000" w:themeColor="text1"/>
          <w:sz w:val="24"/>
          <w:szCs w:val="24"/>
        </w:rPr>
        <w:t xml:space="preserve">Determinants of corporate risk disclosure in large Spanish companies: A snapshot. </w:t>
      </w:r>
      <w:r w:rsidRPr="00A3565D">
        <w:rPr>
          <w:rFonts w:ascii="Times New Roman" w:hAnsi="Times New Roman" w:cs="Times New Roman"/>
          <w:i/>
          <w:iCs/>
          <w:noProof/>
          <w:color w:val="000000" w:themeColor="text1"/>
          <w:sz w:val="24"/>
          <w:szCs w:val="24"/>
        </w:rPr>
        <w:t>Contaduria y Administracion</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60</w:t>
      </w:r>
      <w:r w:rsidRPr="00A3565D">
        <w:rPr>
          <w:rFonts w:ascii="Times New Roman" w:hAnsi="Times New Roman" w:cs="Times New Roman"/>
          <w:noProof/>
          <w:color w:val="000000" w:themeColor="text1"/>
          <w:sz w:val="24"/>
          <w:szCs w:val="24"/>
        </w:rPr>
        <w:t>(4), 757–775. https://doi.org/10.1016/j.cya.2015.05.014</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Hery. (2013). </w:t>
      </w:r>
      <w:r w:rsidRPr="00A3565D">
        <w:rPr>
          <w:rFonts w:ascii="Times New Roman" w:hAnsi="Times New Roman" w:cs="Times New Roman"/>
          <w:i/>
          <w:iCs/>
          <w:noProof/>
          <w:color w:val="000000" w:themeColor="text1"/>
          <w:sz w:val="24"/>
          <w:szCs w:val="24"/>
        </w:rPr>
        <w:t>Teori Akuntansi</w:t>
      </w:r>
      <w:r w:rsidRPr="00A3565D">
        <w:rPr>
          <w:rFonts w:ascii="Times New Roman" w:hAnsi="Times New Roman" w:cs="Times New Roman"/>
          <w:noProof/>
          <w:color w:val="000000" w:themeColor="text1"/>
          <w:sz w:val="24"/>
          <w:szCs w:val="24"/>
        </w:rPr>
        <w:t>. Lembaga Penerbit Fakultas Ekonomi.</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Lanis, R dan Richardson, G. 2013. </w:t>
      </w:r>
      <w:r w:rsidRPr="00A3565D">
        <w:rPr>
          <w:rFonts w:ascii="Times New Roman" w:hAnsi="Times New Roman" w:cs="Times New Roman"/>
          <w:i/>
          <w:noProof/>
          <w:color w:val="000000" w:themeColor="text1"/>
          <w:sz w:val="24"/>
          <w:szCs w:val="24"/>
        </w:rPr>
        <w:t>The Impact of Board of Director Oversight Characterictics on Coporate Tax Aggresiveness: An Empirical Analysis. Journal of Accounting and Public Policy</w:t>
      </w:r>
      <w:r w:rsidRPr="00A3565D">
        <w:rPr>
          <w:rFonts w:ascii="Times New Roman" w:hAnsi="Times New Roman" w:cs="Times New Roman"/>
          <w:noProof/>
          <w:color w:val="000000" w:themeColor="text1"/>
          <w:sz w:val="24"/>
          <w:szCs w:val="24"/>
        </w:rPr>
        <w:t>. Vol 32, pp. 68-88.</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Mokhtar, E. S., &amp; Mellett, H. (2013). </w:t>
      </w:r>
      <w:r w:rsidRPr="00A3565D">
        <w:rPr>
          <w:rFonts w:ascii="Times New Roman" w:hAnsi="Times New Roman" w:cs="Times New Roman"/>
          <w:i/>
          <w:noProof/>
          <w:color w:val="000000" w:themeColor="text1"/>
          <w:sz w:val="24"/>
          <w:szCs w:val="24"/>
        </w:rPr>
        <w:t>Competition, corporate governance, ownership structure and risk reporting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Managerial Auditing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28</w:t>
      </w:r>
      <w:r w:rsidRPr="00A3565D">
        <w:rPr>
          <w:rFonts w:ascii="Times New Roman" w:hAnsi="Times New Roman" w:cs="Times New Roman"/>
          <w:noProof/>
          <w:color w:val="000000" w:themeColor="text1"/>
          <w:sz w:val="24"/>
          <w:szCs w:val="24"/>
        </w:rPr>
        <w:t>(9), 838–865. https://doi.org/10.1108/MAJ-11-2012-0776</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Mousa, G. a, &amp; Elamir, E. a H. (2013). </w:t>
      </w:r>
      <w:r w:rsidRPr="00A3565D">
        <w:rPr>
          <w:rFonts w:ascii="Times New Roman" w:hAnsi="Times New Roman" w:cs="Times New Roman"/>
          <w:i/>
          <w:noProof/>
          <w:color w:val="000000" w:themeColor="text1"/>
          <w:sz w:val="24"/>
          <w:szCs w:val="24"/>
        </w:rPr>
        <w:t>Content Analysis of Corporate Risk Disclosures : The Case of Bahraini Capital Market</w:t>
      </w:r>
      <w:r w:rsidRPr="00A3565D">
        <w:rPr>
          <w:rFonts w:ascii="Times New Roman" w:hAnsi="Times New Roman" w:cs="Times New Roman"/>
          <w:noProof/>
          <w:color w:val="000000" w:themeColor="text1"/>
          <w:sz w:val="24"/>
          <w:szCs w:val="24"/>
        </w:rPr>
        <w:t xml:space="preserve"> Mousa &amp; Elamir. </w:t>
      </w:r>
      <w:r w:rsidRPr="00A3565D">
        <w:rPr>
          <w:rFonts w:ascii="Times New Roman" w:hAnsi="Times New Roman" w:cs="Times New Roman"/>
          <w:i/>
          <w:iCs/>
          <w:noProof/>
          <w:color w:val="000000" w:themeColor="text1"/>
          <w:sz w:val="24"/>
          <w:szCs w:val="24"/>
        </w:rPr>
        <w:t>Global Review of Accounting and Finance</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4</w:t>
      </w:r>
      <w:r w:rsidRPr="00A3565D">
        <w:rPr>
          <w:rFonts w:ascii="Times New Roman" w:hAnsi="Times New Roman" w:cs="Times New Roman"/>
          <w:noProof/>
          <w:color w:val="000000" w:themeColor="text1"/>
          <w:sz w:val="24"/>
          <w:szCs w:val="24"/>
        </w:rPr>
        <w:t>(1), 27–54.</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Moumen, N., Othman, H. B., &amp; Hussainey, K. (2016). </w:t>
      </w:r>
      <w:r w:rsidRPr="00A3565D">
        <w:rPr>
          <w:rFonts w:ascii="Times New Roman" w:hAnsi="Times New Roman" w:cs="Times New Roman"/>
          <w:i/>
          <w:noProof/>
          <w:color w:val="000000" w:themeColor="text1"/>
          <w:sz w:val="24"/>
          <w:szCs w:val="24"/>
        </w:rPr>
        <w:t>Board structure and the informativeness of risk disclosure: Evidence from MENA emerging markets. </w:t>
      </w:r>
      <w:r w:rsidRPr="00A3565D">
        <w:rPr>
          <w:rFonts w:ascii="Times New Roman" w:hAnsi="Times New Roman" w:cs="Times New Roman"/>
          <w:i/>
          <w:iCs/>
          <w:noProof/>
          <w:color w:val="000000" w:themeColor="text1"/>
          <w:sz w:val="24"/>
          <w:szCs w:val="24"/>
        </w:rPr>
        <w:t>Advances in accounting</w:t>
      </w:r>
      <w:r w:rsidRPr="00A3565D">
        <w:rPr>
          <w:rFonts w:ascii="Times New Roman" w:hAnsi="Times New Roman" w:cs="Times New Roman"/>
          <w:i/>
          <w:noProof/>
          <w:color w:val="000000" w:themeColor="text1"/>
          <w:sz w:val="24"/>
          <w:szCs w:val="24"/>
        </w:rPr>
        <w:t>,</w:t>
      </w:r>
      <w:r w:rsidRPr="00A3565D">
        <w:rPr>
          <w:rFonts w:ascii="Times New Roman" w:hAnsi="Times New Roman" w:cs="Times New Roman"/>
          <w:noProof/>
          <w:color w:val="000000" w:themeColor="text1"/>
          <w:sz w:val="24"/>
          <w:szCs w:val="24"/>
        </w:rPr>
        <w:t> </w:t>
      </w:r>
      <w:r w:rsidRPr="00A3565D">
        <w:rPr>
          <w:rFonts w:ascii="Times New Roman" w:hAnsi="Times New Roman" w:cs="Times New Roman"/>
          <w:i/>
          <w:iCs/>
          <w:noProof/>
          <w:color w:val="000000" w:themeColor="text1"/>
          <w:sz w:val="24"/>
          <w:szCs w:val="24"/>
        </w:rPr>
        <w:t>35</w:t>
      </w:r>
      <w:r w:rsidRPr="00A3565D">
        <w:rPr>
          <w:rFonts w:ascii="Times New Roman" w:hAnsi="Times New Roman" w:cs="Times New Roman"/>
          <w:noProof/>
          <w:color w:val="000000" w:themeColor="text1"/>
          <w:sz w:val="24"/>
          <w:szCs w:val="24"/>
        </w:rPr>
        <w:t>, 82-97.</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Mulyadi. (2013). </w:t>
      </w:r>
      <w:r w:rsidRPr="00A3565D">
        <w:rPr>
          <w:rFonts w:ascii="Times New Roman" w:hAnsi="Times New Roman" w:cs="Times New Roman"/>
          <w:i/>
          <w:iCs/>
          <w:noProof/>
          <w:color w:val="000000" w:themeColor="text1"/>
          <w:sz w:val="24"/>
          <w:szCs w:val="24"/>
        </w:rPr>
        <w:t>Sistem Akuntansi</w:t>
      </w:r>
      <w:r w:rsidRPr="00A3565D">
        <w:rPr>
          <w:rFonts w:ascii="Times New Roman" w:hAnsi="Times New Roman" w:cs="Times New Roman"/>
          <w:noProof/>
          <w:color w:val="000000" w:themeColor="text1"/>
          <w:sz w:val="24"/>
          <w:szCs w:val="24"/>
        </w:rPr>
        <w:t>. Salemba Tiga.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Probohudono, A. N., Tower, G., &amp; Rusmin, R. (2013). </w:t>
      </w:r>
      <w:r w:rsidRPr="00A3565D">
        <w:rPr>
          <w:rFonts w:ascii="Times New Roman" w:hAnsi="Times New Roman" w:cs="Times New Roman"/>
          <w:i/>
          <w:noProof/>
          <w:color w:val="000000" w:themeColor="text1"/>
          <w:sz w:val="24"/>
          <w:szCs w:val="24"/>
        </w:rPr>
        <w:t>Risk disclosure during the global financial crisis.</w:t>
      </w:r>
      <w:r w:rsidRPr="00A3565D">
        <w:rPr>
          <w:rFonts w:ascii="Times New Roman" w:hAnsi="Times New Roman" w:cs="Times New Roman"/>
          <w:i/>
          <w:iCs/>
          <w:noProof/>
          <w:color w:val="000000" w:themeColor="text1"/>
          <w:sz w:val="24"/>
          <w:szCs w:val="24"/>
        </w:rPr>
        <w:t>Social Responsibility Journal</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9</w:t>
      </w:r>
      <w:r w:rsidRPr="00A3565D">
        <w:rPr>
          <w:rFonts w:ascii="Times New Roman" w:hAnsi="Times New Roman" w:cs="Times New Roman"/>
          <w:noProof/>
          <w:color w:val="000000" w:themeColor="text1"/>
          <w:sz w:val="24"/>
          <w:szCs w:val="24"/>
        </w:rPr>
        <w:t>(1), 124–136. https://doi.org/10.1108/17471111311307859</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PSAK. (2010). </w:t>
      </w:r>
      <w:r w:rsidRPr="00A3565D">
        <w:rPr>
          <w:rFonts w:ascii="Times New Roman" w:hAnsi="Times New Roman" w:cs="Times New Roman"/>
          <w:i/>
          <w:iCs/>
          <w:noProof/>
          <w:color w:val="000000" w:themeColor="text1"/>
          <w:sz w:val="24"/>
          <w:szCs w:val="24"/>
        </w:rPr>
        <w:t>Exposure Draft (ED) Pernyataan Standar Akuntansi Keuangan (PSAK) No.60 (Revisi 2010)</w:t>
      </w:r>
      <w:r w:rsidRPr="00A3565D">
        <w:rPr>
          <w:rFonts w:ascii="Times New Roman" w:hAnsi="Times New Roman" w:cs="Times New Roman"/>
          <w:noProof/>
          <w:color w:val="000000" w:themeColor="text1"/>
          <w:sz w:val="24"/>
          <w:szCs w:val="24"/>
        </w:rPr>
        <w:t>.</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Puspawardani, M., &amp; Juliarto, A. (2019). Analisis Faktor-Faktor Yang Mempengaruhi Pengungkapan Risiko Perusahaan. </w:t>
      </w:r>
      <w:r w:rsidRPr="00A3565D">
        <w:rPr>
          <w:rFonts w:ascii="Times New Roman" w:hAnsi="Times New Roman" w:cs="Times New Roman"/>
          <w:i/>
          <w:iCs/>
          <w:noProof/>
          <w:color w:val="000000" w:themeColor="text1"/>
          <w:sz w:val="24"/>
          <w:szCs w:val="24"/>
        </w:rPr>
        <w:t>Diponegoro Journal of Accounting</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8</w:t>
      </w:r>
      <w:r w:rsidRPr="00A3565D">
        <w:rPr>
          <w:rFonts w:ascii="Times New Roman" w:hAnsi="Times New Roman" w:cs="Times New Roman"/>
          <w:noProof/>
          <w:color w:val="000000" w:themeColor="text1"/>
          <w:sz w:val="24"/>
          <w:szCs w:val="24"/>
        </w:rPr>
        <w:t>(4), 1–11.</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Ruwita, C. (2012). </w:t>
      </w:r>
      <w:r w:rsidRPr="00A3565D">
        <w:rPr>
          <w:rFonts w:ascii="Times New Roman" w:hAnsi="Times New Roman" w:cs="Times New Roman"/>
          <w:i/>
          <w:iCs/>
          <w:noProof/>
          <w:color w:val="000000" w:themeColor="text1"/>
          <w:sz w:val="24"/>
          <w:szCs w:val="24"/>
        </w:rPr>
        <w:t>Perusahaan Dan Corporate Governance</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Sugiyanto, S., &amp; Candra, A. (2019). </w:t>
      </w:r>
      <w:r w:rsidRPr="00A3565D">
        <w:rPr>
          <w:rFonts w:ascii="Times New Roman" w:hAnsi="Times New Roman" w:cs="Times New Roman"/>
          <w:i/>
          <w:noProof/>
          <w:color w:val="000000" w:themeColor="text1"/>
          <w:sz w:val="24"/>
          <w:szCs w:val="24"/>
        </w:rPr>
        <w:t>Good Corporate Governance, Conservatism Accounting, Real Earnings Management, and Information Asymmetry on Share Return.</w:t>
      </w:r>
      <w:r w:rsidRPr="00A3565D">
        <w:rPr>
          <w:rFonts w:ascii="Times New Roman" w:hAnsi="Times New Roman" w:cs="Times New Roman"/>
          <w:i/>
          <w:iCs/>
          <w:noProof/>
          <w:color w:val="000000" w:themeColor="text1"/>
          <w:sz w:val="24"/>
          <w:szCs w:val="24"/>
        </w:rPr>
        <w:t>JIAFE (Jurnal Ilmiah Akuntansi Fakultas Ekonomi)</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4</w:t>
      </w:r>
      <w:r w:rsidRPr="00A3565D">
        <w:rPr>
          <w:rFonts w:ascii="Times New Roman" w:hAnsi="Times New Roman" w:cs="Times New Roman"/>
          <w:noProof/>
          <w:color w:val="000000" w:themeColor="text1"/>
          <w:sz w:val="24"/>
          <w:szCs w:val="24"/>
        </w:rPr>
        <w:t>(1), 9–18. https://doi.org/10.34204/jiafe.v4i1.1073</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Sugiyono. (2018). </w:t>
      </w:r>
      <w:r w:rsidRPr="00A3565D">
        <w:rPr>
          <w:rFonts w:ascii="Times New Roman" w:hAnsi="Times New Roman" w:cs="Times New Roman"/>
          <w:i/>
          <w:iCs/>
          <w:noProof/>
          <w:color w:val="000000" w:themeColor="text1"/>
          <w:sz w:val="24"/>
          <w:szCs w:val="24"/>
        </w:rPr>
        <w:t>Metode penelitian kuantitatif, kualitatif, dan R&amp;D</w:t>
      </w:r>
      <w:r w:rsidRPr="00A3565D">
        <w:rPr>
          <w:rFonts w:ascii="Times New Roman" w:hAnsi="Times New Roman" w:cs="Times New Roman"/>
          <w:noProof/>
          <w:color w:val="000000" w:themeColor="text1"/>
          <w:sz w:val="24"/>
          <w:szCs w:val="24"/>
        </w:rPr>
        <w:t>. Alfabeta.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Supriyadi, E. (2014). </w:t>
      </w:r>
      <w:r w:rsidRPr="00A3565D">
        <w:rPr>
          <w:rFonts w:ascii="Times New Roman" w:hAnsi="Times New Roman" w:cs="Times New Roman"/>
          <w:i/>
          <w:iCs/>
          <w:noProof/>
          <w:color w:val="000000" w:themeColor="text1"/>
          <w:sz w:val="24"/>
          <w:szCs w:val="24"/>
        </w:rPr>
        <w:t>SPSS+Amos</w:t>
      </w:r>
      <w:r w:rsidRPr="00A3565D">
        <w:rPr>
          <w:rFonts w:ascii="Times New Roman" w:hAnsi="Times New Roman" w:cs="Times New Roman"/>
          <w:noProof/>
          <w:color w:val="000000" w:themeColor="text1"/>
          <w:sz w:val="24"/>
          <w:szCs w:val="24"/>
        </w:rPr>
        <w:t>. In Media.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Suwardjono. (2014). </w:t>
      </w:r>
      <w:r w:rsidRPr="00A3565D">
        <w:rPr>
          <w:rFonts w:ascii="Times New Roman" w:hAnsi="Times New Roman" w:cs="Times New Roman"/>
          <w:i/>
          <w:iCs/>
          <w:noProof/>
          <w:color w:val="000000" w:themeColor="text1"/>
          <w:sz w:val="24"/>
          <w:szCs w:val="24"/>
        </w:rPr>
        <w:t>Teori Akuntansi, Perekayasaan, Pelaporan Keuangan</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noProof/>
          <w:color w:val="000000" w:themeColor="text1"/>
          <w:sz w:val="24"/>
          <w:szCs w:val="24"/>
        </w:rPr>
        <w:t>edisi ketiga cetakan delapan</w:t>
      </w:r>
      <w:r w:rsidRPr="00A3565D">
        <w:rPr>
          <w:rFonts w:ascii="Times New Roman" w:hAnsi="Times New Roman" w:cs="Times New Roman"/>
          <w:noProof/>
          <w:color w:val="000000" w:themeColor="text1"/>
          <w:sz w:val="24"/>
          <w:szCs w:val="24"/>
        </w:rPr>
        <w:t>.Yogyakarta. BPFE Yoygakarta.</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Syailendra, B. (2013). </w:t>
      </w:r>
      <w:r w:rsidRPr="00A3565D">
        <w:rPr>
          <w:rFonts w:ascii="Times New Roman" w:hAnsi="Times New Roman" w:cs="Times New Roman"/>
          <w:i/>
          <w:iCs/>
          <w:noProof/>
          <w:color w:val="000000" w:themeColor="text1"/>
          <w:sz w:val="24"/>
          <w:szCs w:val="24"/>
        </w:rPr>
        <w:t>Analisis Faktor-Faktor Yang Berpengaruh Terhadap Pemilihan Metode Penilaian Persediaan (Studi Kasus Pada Perusahaan Dagang dan Manufaktur Yang Terdaftar di BEI Tahun 2008-2012)</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Taures, N. (2011). Analisis Hubungan antara Karakteristik Perusahaan dengan Pengungkapan Risiko (Studi Empiris pada Laporan Tahunan Perusahaan-Perusahaan Nonkeuangan Yang Terdaftar Di BEI Tahun 2009). In </w:t>
      </w:r>
      <w:r w:rsidRPr="00A3565D">
        <w:rPr>
          <w:rFonts w:ascii="Times New Roman" w:hAnsi="Times New Roman" w:cs="Times New Roman"/>
          <w:i/>
          <w:iCs/>
          <w:noProof/>
          <w:color w:val="000000" w:themeColor="text1"/>
          <w:sz w:val="24"/>
          <w:szCs w:val="24"/>
        </w:rPr>
        <w:t>Skripsi. Fakultas Ekonomika dan Bisnis, Universitas Diponegoro</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Wardhana, A. A. (2013). </w:t>
      </w:r>
      <w:r w:rsidRPr="00A3565D">
        <w:rPr>
          <w:rFonts w:ascii="Times New Roman" w:hAnsi="Times New Roman" w:cs="Times New Roman"/>
          <w:i/>
          <w:iCs/>
          <w:noProof/>
          <w:color w:val="000000" w:themeColor="text1"/>
          <w:sz w:val="24"/>
          <w:szCs w:val="24"/>
        </w:rPr>
        <w:t>Pengaruh Karakteristik Perusahaan Terhadap Tingkat Pengungkapan Risiko</w:t>
      </w:r>
      <w:r w:rsidRPr="00A3565D">
        <w:rPr>
          <w:rFonts w:ascii="Times New Roman" w:hAnsi="Times New Roman" w:cs="Times New Roman"/>
          <w:noProof/>
          <w:color w:val="000000" w:themeColor="text1"/>
          <w:sz w:val="24"/>
          <w:szCs w:val="24"/>
        </w:rPr>
        <w:t>. Universitas Diponegoro.</w:t>
      </w:r>
    </w:p>
    <w:p w:rsidR="00A3565D" w:rsidRPr="00A3565D" w:rsidRDefault="00A3565D" w:rsidP="00A3565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A3565D">
        <w:rPr>
          <w:rFonts w:ascii="Times New Roman" w:hAnsi="Times New Roman" w:cs="Times New Roman"/>
          <w:noProof/>
          <w:color w:val="000000" w:themeColor="text1"/>
          <w:sz w:val="24"/>
          <w:szCs w:val="24"/>
        </w:rPr>
        <w:t xml:space="preserve">Yunifa, L., &amp; Juliarto, A. (2014). Analisis Pengaruh Karakteristik Perusahaan Terhadap Pengungkapan Risiko. </w:t>
      </w:r>
      <w:r w:rsidRPr="00A3565D">
        <w:rPr>
          <w:rFonts w:ascii="Times New Roman" w:hAnsi="Times New Roman" w:cs="Times New Roman"/>
          <w:i/>
          <w:iCs/>
          <w:noProof/>
          <w:color w:val="000000" w:themeColor="text1"/>
          <w:sz w:val="24"/>
          <w:szCs w:val="24"/>
        </w:rPr>
        <w:t>Analisis Pengaruh Karakteristik Perusahaan Terhadap Pengungkapan Risiko</w:t>
      </w:r>
      <w:r w:rsidRPr="00A3565D">
        <w:rPr>
          <w:rFonts w:ascii="Times New Roman" w:hAnsi="Times New Roman" w:cs="Times New Roman"/>
          <w:noProof/>
          <w:color w:val="000000" w:themeColor="text1"/>
          <w:sz w:val="24"/>
          <w:szCs w:val="24"/>
        </w:rPr>
        <w:t xml:space="preserve">, </w:t>
      </w:r>
      <w:r w:rsidRPr="00A3565D">
        <w:rPr>
          <w:rFonts w:ascii="Times New Roman" w:hAnsi="Times New Roman" w:cs="Times New Roman"/>
          <w:i/>
          <w:iCs/>
          <w:noProof/>
          <w:color w:val="000000" w:themeColor="text1"/>
          <w:sz w:val="24"/>
          <w:szCs w:val="24"/>
        </w:rPr>
        <w:t>3</w:t>
      </w:r>
      <w:r w:rsidRPr="00A3565D">
        <w:rPr>
          <w:rFonts w:ascii="Times New Roman" w:hAnsi="Times New Roman" w:cs="Times New Roman"/>
          <w:noProof/>
          <w:color w:val="000000" w:themeColor="text1"/>
          <w:sz w:val="24"/>
          <w:szCs w:val="24"/>
        </w:rPr>
        <w:t>(2), 345–355.</w:t>
      </w:r>
    </w:p>
    <w:p w:rsidR="0028004E" w:rsidRPr="00A3565D" w:rsidRDefault="00A3565D" w:rsidP="00A3565D">
      <w:pPr>
        <w:spacing w:line="240" w:lineRule="auto"/>
        <w:jc w:val="both"/>
        <w:rPr>
          <w:rFonts w:ascii="Times New Roman" w:hAnsi="Times New Roman" w:cs="Times New Roman"/>
          <w:b/>
          <w:sz w:val="24"/>
          <w:szCs w:val="24"/>
        </w:rPr>
      </w:pPr>
      <w:r w:rsidRPr="00A3565D">
        <w:rPr>
          <w:rFonts w:ascii="Times New Roman" w:hAnsi="Times New Roman" w:cs="Times New Roman"/>
          <w:color w:val="000000" w:themeColor="text1"/>
          <w:sz w:val="24"/>
          <w:szCs w:val="24"/>
        </w:rPr>
        <w:fldChar w:fldCharType="end"/>
      </w:r>
    </w:p>
    <w:sectPr w:rsidR="0028004E" w:rsidRPr="00A3565D" w:rsidSect="00B930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447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E6C2501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0000006"/>
    <w:multiLevelType w:val="hybridMultilevel"/>
    <w:tmpl w:val="BFBC1E1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8"/>
    <w:multiLevelType w:val="hybridMultilevel"/>
    <w:tmpl w:val="A33CD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A"/>
    <w:multiLevelType w:val="hybridMultilevel"/>
    <w:tmpl w:val="6C08EC86"/>
    <w:lvl w:ilvl="0" w:tplc="714AA34C">
      <w:start w:val="1"/>
      <w:numFmt w:val="upperLetter"/>
      <w:lvlText w:val="%1."/>
      <w:lvlJc w:val="left"/>
      <w:pPr>
        <w:ind w:left="502"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D"/>
    <w:multiLevelType w:val="hybridMultilevel"/>
    <w:tmpl w:val="633A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F"/>
    <w:multiLevelType w:val="hybridMultilevel"/>
    <w:tmpl w:val="EDB02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2"/>
    <w:multiLevelType w:val="hybridMultilevel"/>
    <w:tmpl w:val="719CD256"/>
    <w:lvl w:ilvl="0" w:tplc="B6765DF2">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15"/>
    <w:multiLevelType w:val="hybridMultilevel"/>
    <w:tmpl w:val="A5F2BE92"/>
    <w:lvl w:ilvl="0" w:tplc="6748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6"/>
    <w:multiLevelType w:val="hybridMultilevel"/>
    <w:tmpl w:val="E47265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1A"/>
    <w:multiLevelType w:val="hybridMultilevel"/>
    <w:tmpl w:val="3926E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F"/>
    <w:multiLevelType w:val="hybridMultilevel"/>
    <w:tmpl w:val="BB984D2E"/>
    <w:lvl w:ilvl="0" w:tplc="4AD67F00">
      <w:start w:val="1"/>
      <w:numFmt w:val="decimal"/>
      <w:lvlText w:val="%1."/>
      <w:lvlJc w:val="left"/>
      <w:pPr>
        <w:ind w:left="786"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20"/>
    <w:multiLevelType w:val="hybridMultilevel"/>
    <w:tmpl w:val="C1987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803F4"/>
    <w:multiLevelType w:val="hybridMultilevel"/>
    <w:tmpl w:val="B23E6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
  </w:num>
  <w:num w:numId="4">
    <w:abstractNumId w:val="4"/>
  </w:num>
  <w:num w:numId="5">
    <w:abstractNumId w:val="0"/>
  </w:num>
  <w:num w:numId="6">
    <w:abstractNumId w:val="12"/>
  </w:num>
  <w:num w:numId="7">
    <w:abstractNumId w:val="6"/>
  </w:num>
  <w:num w:numId="8">
    <w:abstractNumId w:val="3"/>
  </w:num>
  <w:num w:numId="9">
    <w:abstractNumId w:val="1"/>
  </w:num>
  <w:num w:numId="10">
    <w:abstractNumId w:val="8"/>
  </w:num>
  <w:num w:numId="11">
    <w:abstractNumId w:val="11"/>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compat/>
  <w:rsids>
    <w:rsidRoot w:val="00B0328D"/>
    <w:rsid w:val="001D17CE"/>
    <w:rsid w:val="0028004E"/>
    <w:rsid w:val="002F66E0"/>
    <w:rsid w:val="003C3499"/>
    <w:rsid w:val="00452AB8"/>
    <w:rsid w:val="00644974"/>
    <w:rsid w:val="00744319"/>
    <w:rsid w:val="00A3565D"/>
    <w:rsid w:val="00B0328D"/>
    <w:rsid w:val="00B93004"/>
    <w:rsid w:val="00E20479"/>
    <w:rsid w:val="00E45B35"/>
    <w:rsid w:val="00EA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8D"/>
  </w:style>
  <w:style w:type="paragraph" w:styleId="Heading1">
    <w:name w:val="heading 1"/>
    <w:basedOn w:val="Normal"/>
    <w:link w:val="Heading1Char"/>
    <w:uiPriority w:val="1"/>
    <w:qFormat/>
    <w:rsid w:val="00B0328D"/>
    <w:pPr>
      <w:widowControl w:val="0"/>
      <w:autoSpaceDE w:val="0"/>
      <w:autoSpaceDN w:val="0"/>
      <w:spacing w:before="88" w:after="0" w:line="240" w:lineRule="auto"/>
      <w:ind w:left="1466" w:right="1709"/>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2F6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4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5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328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B0328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328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28D"/>
    <w:rPr>
      <w:color w:val="0000FF" w:themeColor="hyperlink"/>
      <w:u w:val="single"/>
    </w:rPr>
  </w:style>
  <w:style w:type="paragraph" w:customStyle="1" w:styleId="Default">
    <w:name w:val="Default"/>
    <w:rsid w:val="002F6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2F66E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3C3499"/>
    <w:pPr>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3C3499"/>
    <w:rPr>
      <w:rFonts w:ascii="Calibri" w:eastAsia="Calibri" w:hAnsi="Calibri" w:cs="SimSun"/>
    </w:rPr>
  </w:style>
  <w:style w:type="character" w:customStyle="1" w:styleId="Heading3Char">
    <w:name w:val="Heading 3 Char"/>
    <w:basedOn w:val="DefaultParagraphFont"/>
    <w:link w:val="Heading3"/>
    <w:uiPriority w:val="9"/>
    <w:rsid w:val="003C3499"/>
    <w:rPr>
      <w:rFonts w:asciiTheme="majorHAnsi" w:eastAsiaTheme="majorEastAsia" w:hAnsiTheme="majorHAnsi" w:cstheme="majorBidi"/>
      <w:b/>
      <w:bCs/>
      <w:color w:val="4F81BD" w:themeColor="accent1"/>
    </w:rPr>
  </w:style>
  <w:style w:type="paragraph" w:styleId="NoSpacing">
    <w:name w:val="No Spacing"/>
    <w:uiPriority w:val="1"/>
    <w:qFormat/>
    <w:rsid w:val="00E45B35"/>
    <w:pPr>
      <w:spacing w:after="0" w:line="240" w:lineRule="auto"/>
    </w:pPr>
    <w:rPr>
      <w:rFonts w:ascii="Calibri" w:eastAsia="Calibri" w:hAnsi="Calibri" w:cs="SimSun"/>
    </w:rPr>
  </w:style>
  <w:style w:type="paragraph" w:styleId="BalloonText">
    <w:name w:val="Balloon Text"/>
    <w:basedOn w:val="Normal"/>
    <w:link w:val="BalloonTextChar"/>
    <w:uiPriority w:val="99"/>
    <w:semiHidden/>
    <w:unhideWhenUsed/>
    <w:rsid w:val="00E4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35"/>
    <w:rPr>
      <w:rFonts w:ascii="Tahoma" w:hAnsi="Tahoma" w:cs="Tahoma"/>
      <w:sz w:val="16"/>
      <w:szCs w:val="16"/>
    </w:rPr>
  </w:style>
  <w:style w:type="character" w:customStyle="1" w:styleId="Heading4Char">
    <w:name w:val="Heading 4 Char"/>
    <w:basedOn w:val="DefaultParagraphFont"/>
    <w:link w:val="Heading4"/>
    <w:uiPriority w:val="9"/>
    <w:rsid w:val="00E45B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aeliindah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10496</Words>
  <Characters>59828</Characters>
  <Application>Microsoft Office Word</Application>
  <DocSecurity>0</DocSecurity>
  <Lines>498</Lines>
  <Paragraphs>140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Studi Kasus Perusahaan Manufaktur Yang Terdaftar Di Bursa Efek Indonesia Tahun</vt:lpstr>
      <vt:lpstr/>
      <vt:lpstr/>
      <vt:lpstr/>
      <vt:lpstr/>
      <vt:lpstr>PENDAHULUAN</vt:lpstr>
      <vt:lpstr>    </vt:lpstr>
      <vt:lpstr>    Pengaruh Pengendalian Internal terhadap Pengungkapan Risiko</vt:lpstr>
      <vt:lpstr>    Pengaruh Risiko Keuangan terhadap pengungkapan Risiko</vt:lpstr>
      <vt:lpstr>        Metode Pengumpulan Data</vt:lpstr>
      <vt:lpstr>        </vt:lpstr>
      <vt:lpstr>    Dalam penelitian ini obyek penelitiannya adalah Perusahaan  Manufaktur yang terd</vt:lpstr>
      <vt:lpstr>        Pengaruh Kebijakan Akuntansiterhadap Pengungkapan Risiko</vt:lpstr>
      <vt:lpstr>    Kesimpulan</vt:lpstr>
      <vt:lpstr>    Saran</vt:lpstr>
      <vt:lpstr>    Implikasi</vt:lpstr>
      <vt:lpstr>    Keterbasan</vt:lpstr>
    </vt:vector>
  </TitlesOfParts>
  <Company/>
  <LinksUpToDate>false</LinksUpToDate>
  <CharactersWithSpaces>70184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cp:revision>
  <dcterms:created xsi:type="dcterms:W3CDTF">2021-02-01T13:32:00Z</dcterms:created>
  <dcterms:modified xsi:type="dcterms:W3CDTF">2021-02-02T14:54:00Z</dcterms:modified>
</cp:coreProperties>
</file>